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A30" w:rsidRDefault="00011E47" w:rsidP="00011E47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011E47">
        <w:rPr>
          <w:b/>
          <w:sz w:val="32"/>
          <w:szCs w:val="32"/>
        </w:rPr>
        <w:t>MUNICIPAL NOTIFICATION</w:t>
      </w:r>
    </w:p>
    <w:p w:rsidR="00011E47" w:rsidRDefault="00011E47" w:rsidP="00011E47">
      <w:pPr>
        <w:jc w:val="center"/>
        <w:rPr>
          <w:sz w:val="28"/>
          <w:szCs w:val="28"/>
        </w:rPr>
      </w:pPr>
      <w:r>
        <w:rPr>
          <w:sz w:val="28"/>
          <w:szCs w:val="28"/>
        </w:rPr>
        <w:t>AMENDMENTS TO THE LICENCE ON TRADE AND BUSINESS ACT</w:t>
      </w:r>
    </w:p>
    <w:p w:rsidR="00312770" w:rsidRDefault="00011E47" w:rsidP="00CA5072">
      <w:pPr>
        <w:jc w:val="both"/>
        <w:rPr>
          <w:sz w:val="24"/>
          <w:szCs w:val="24"/>
        </w:rPr>
      </w:pPr>
      <w:r>
        <w:rPr>
          <w:sz w:val="24"/>
          <w:szCs w:val="24"/>
        </w:rPr>
        <w:t>THE PUBLIC I</w:t>
      </w:r>
      <w:r w:rsidR="00CA5072">
        <w:rPr>
          <w:sz w:val="24"/>
          <w:szCs w:val="24"/>
        </w:rPr>
        <w:t>S HEREBY ADVISED THAT EFFECTIVE</w:t>
      </w:r>
      <w:r>
        <w:rPr>
          <w:sz w:val="24"/>
          <w:szCs w:val="24"/>
        </w:rPr>
        <w:t xml:space="preserve"> MARCH 31, 2015, THE LICENCE ON TRADE AND BUSINESS ACT HAS BEEN AMENDED AND THE APPLICABLE FEES INCREASED. </w:t>
      </w:r>
    </w:p>
    <w:p w:rsidR="008B6051" w:rsidRDefault="008B6051" w:rsidP="00CA50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ACT REQUIRES THAT ALL PERSONS CARRYING </w:t>
      </w:r>
      <w:r w:rsidR="0070638F">
        <w:rPr>
          <w:sz w:val="24"/>
          <w:szCs w:val="24"/>
        </w:rPr>
        <w:t xml:space="preserve">AS </w:t>
      </w:r>
      <w:r>
        <w:rPr>
          <w:sz w:val="24"/>
          <w:szCs w:val="24"/>
        </w:rPr>
        <w:t xml:space="preserve">A </w:t>
      </w:r>
      <w:r w:rsidR="00011E47">
        <w:rPr>
          <w:sz w:val="24"/>
          <w:szCs w:val="24"/>
        </w:rPr>
        <w:t>TRADE</w:t>
      </w:r>
      <w:r>
        <w:rPr>
          <w:sz w:val="24"/>
          <w:szCs w:val="24"/>
        </w:rPr>
        <w:t xml:space="preserve"> OR BUSINESS ACQUIRE A</w:t>
      </w:r>
      <w:r w:rsidR="0070638F">
        <w:rPr>
          <w:sz w:val="24"/>
          <w:szCs w:val="24"/>
        </w:rPr>
        <w:t xml:space="preserve"> LICENCE TO OPERATE AND INCLUDE:</w:t>
      </w:r>
      <w:r w:rsidR="00011E47">
        <w:rPr>
          <w:sz w:val="24"/>
          <w:szCs w:val="24"/>
        </w:rPr>
        <w:t xml:space="preserve"> WHOLESALERS, RETAILERS, AUCTIONEERS</w:t>
      </w:r>
      <w:r w:rsidR="00312770">
        <w:rPr>
          <w:sz w:val="24"/>
          <w:szCs w:val="24"/>
        </w:rPr>
        <w:t>, NEWSPAPERS</w:t>
      </w:r>
      <w:r>
        <w:rPr>
          <w:sz w:val="24"/>
          <w:szCs w:val="24"/>
        </w:rPr>
        <w:t xml:space="preserve">, MERCHANTS, WHARFINGER, AND SUPERCARGO. </w:t>
      </w:r>
    </w:p>
    <w:p w:rsidR="00011E47" w:rsidRDefault="008B6051" w:rsidP="00CA5072">
      <w:pPr>
        <w:jc w:val="both"/>
        <w:rPr>
          <w:sz w:val="24"/>
          <w:szCs w:val="24"/>
        </w:rPr>
      </w:pPr>
      <w:r>
        <w:rPr>
          <w:sz w:val="24"/>
          <w:szCs w:val="24"/>
        </w:rPr>
        <w:t>TRADE LICENCE</w:t>
      </w:r>
      <w:r w:rsidR="00312770">
        <w:rPr>
          <w:sz w:val="24"/>
          <w:szCs w:val="24"/>
        </w:rPr>
        <w:t xml:space="preserve"> IS DUE AND PAYABLE ON THE 1</w:t>
      </w:r>
      <w:r w:rsidR="00312770" w:rsidRPr="00312770">
        <w:rPr>
          <w:sz w:val="24"/>
          <w:szCs w:val="24"/>
          <w:vertAlign w:val="superscript"/>
        </w:rPr>
        <w:t>ST</w:t>
      </w:r>
      <w:r w:rsidR="00312770">
        <w:rPr>
          <w:sz w:val="24"/>
          <w:szCs w:val="24"/>
        </w:rPr>
        <w:t xml:space="preserve"> OF APRIL OF EACH YEAR AT THE OFFICES OF THE TAX ADMINISTRATION OF JAMAICA (TAJ). THE FEES PAYABLE ARE BASED ON THE ANNUAL SALES OF BU</w:t>
      </w:r>
      <w:r w:rsidR="00805547">
        <w:rPr>
          <w:sz w:val="24"/>
          <w:szCs w:val="24"/>
        </w:rPr>
        <w:t>SINESSES AND HAVE BEEN ADJUSTED</w:t>
      </w:r>
      <w:r w:rsidR="00312770">
        <w:rPr>
          <w:sz w:val="24"/>
          <w:szCs w:val="24"/>
        </w:rPr>
        <w:t xml:space="preserve"> AS FOLLOWS:</w:t>
      </w:r>
    </w:p>
    <w:tbl>
      <w:tblPr>
        <w:tblStyle w:val="TableGrid"/>
        <w:tblW w:w="0" w:type="auto"/>
        <w:tblLook w:val="04A0"/>
      </w:tblPr>
      <w:tblGrid>
        <w:gridCol w:w="2538"/>
        <w:gridCol w:w="3330"/>
        <w:gridCol w:w="2250"/>
        <w:gridCol w:w="1458"/>
      </w:tblGrid>
      <w:tr w:rsidR="005A1F90" w:rsidRPr="00067233" w:rsidTr="0037751A">
        <w:tc>
          <w:tcPr>
            <w:tcW w:w="2538" w:type="dxa"/>
          </w:tcPr>
          <w:p w:rsidR="005A1F90" w:rsidRPr="00067233" w:rsidRDefault="005A1F90" w:rsidP="0037751A">
            <w:pPr>
              <w:rPr>
                <w:b/>
              </w:rPr>
            </w:pPr>
            <w:r w:rsidRPr="00067233">
              <w:rPr>
                <w:b/>
              </w:rPr>
              <w:t>Categories</w:t>
            </w:r>
          </w:p>
        </w:tc>
        <w:tc>
          <w:tcPr>
            <w:tcW w:w="3330" w:type="dxa"/>
          </w:tcPr>
          <w:p w:rsidR="005A1F90" w:rsidRPr="00067233" w:rsidRDefault="005A1F90" w:rsidP="0037751A">
            <w:pPr>
              <w:rPr>
                <w:b/>
              </w:rPr>
            </w:pPr>
            <w:r w:rsidRPr="00067233">
              <w:rPr>
                <w:b/>
              </w:rPr>
              <w:t>Description</w:t>
            </w:r>
          </w:p>
        </w:tc>
        <w:tc>
          <w:tcPr>
            <w:tcW w:w="2250" w:type="dxa"/>
          </w:tcPr>
          <w:p w:rsidR="005A1F90" w:rsidRPr="00067233" w:rsidRDefault="005A1F90" w:rsidP="0037751A">
            <w:pPr>
              <w:rPr>
                <w:b/>
              </w:rPr>
            </w:pPr>
            <w:r w:rsidRPr="00067233">
              <w:rPr>
                <w:b/>
              </w:rPr>
              <w:t>Annual Turnover</w:t>
            </w:r>
          </w:p>
        </w:tc>
        <w:tc>
          <w:tcPr>
            <w:tcW w:w="1458" w:type="dxa"/>
          </w:tcPr>
          <w:p w:rsidR="005A1F90" w:rsidRPr="00067233" w:rsidRDefault="005A1F90" w:rsidP="0037751A">
            <w:pPr>
              <w:rPr>
                <w:b/>
              </w:rPr>
            </w:pPr>
            <w:r w:rsidRPr="00067233">
              <w:rPr>
                <w:b/>
              </w:rPr>
              <w:t>Fees ($)</w:t>
            </w:r>
          </w:p>
        </w:tc>
      </w:tr>
      <w:tr w:rsidR="005A1F90" w:rsidRPr="00746178" w:rsidTr="0037751A">
        <w:tc>
          <w:tcPr>
            <w:tcW w:w="2538" w:type="dxa"/>
          </w:tcPr>
          <w:p w:rsidR="005A1F90" w:rsidRPr="00746178" w:rsidRDefault="005A1F90" w:rsidP="006A7728">
            <w:pPr>
              <w:rPr>
                <w:sz w:val="20"/>
                <w:szCs w:val="20"/>
              </w:rPr>
            </w:pPr>
            <w:r w:rsidRPr="00746178">
              <w:rPr>
                <w:sz w:val="20"/>
                <w:szCs w:val="20"/>
              </w:rPr>
              <w:t xml:space="preserve">Merchant, </w:t>
            </w:r>
            <w:r w:rsidR="006A7728">
              <w:rPr>
                <w:sz w:val="20"/>
                <w:szCs w:val="20"/>
              </w:rPr>
              <w:t>G</w:t>
            </w:r>
            <w:r w:rsidRPr="00746178">
              <w:rPr>
                <w:sz w:val="20"/>
                <w:szCs w:val="20"/>
              </w:rPr>
              <w:t>eneral Factor or Wholesale dealer</w:t>
            </w:r>
          </w:p>
        </w:tc>
        <w:tc>
          <w:tcPr>
            <w:tcW w:w="3330" w:type="dxa"/>
          </w:tcPr>
          <w:p w:rsidR="005A1F90" w:rsidRPr="00746178" w:rsidRDefault="005A1F90" w:rsidP="0037751A">
            <w:pPr>
              <w:rPr>
                <w:sz w:val="20"/>
                <w:szCs w:val="20"/>
              </w:rPr>
            </w:pPr>
            <w:r w:rsidRPr="00746178">
              <w:rPr>
                <w:sz w:val="20"/>
                <w:szCs w:val="20"/>
              </w:rPr>
              <w:t>For each designated place of business with liberty to store in and deliver out of public and other warehouse</w:t>
            </w:r>
          </w:p>
        </w:tc>
        <w:tc>
          <w:tcPr>
            <w:tcW w:w="2250" w:type="dxa"/>
          </w:tcPr>
          <w:p w:rsidR="005A1F90" w:rsidRPr="00746178" w:rsidRDefault="005A1F90" w:rsidP="0037751A">
            <w:pPr>
              <w:rPr>
                <w:sz w:val="20"/>
                <w:szCs w:val="20"/>
              </w:rPr>
            </w:pPr>
            <w:r w:rsidRPr="00746178">
              <w:rPr>
                <w:sz w:val="20"/>
                <w:szCs w:val="20"/>
              </w:rPr>
              <w:t>N/A</w:t>
            </w:r>
          </w:p>
        </w:tc>
        <w:tc>
          <w:tcPr>
            <w:tcW w:w="1458" w:type="dxa"/>
          </w:tcPr>
          <w:p w:rsidR="005A1F90" w:rsidRPr="00746178" w:rsidRDefault="005A1F90" w:rsidP="0037751A">
            <w:pPr>
              <w:jc w:val="right"/>
              <w:rPr>
                <w:sz w:val="20"/>
                <w:szCs w:val="20"/>
              </w:rPr>
            </w:pPr>
            <w:r w:rsidRPr="00746178">
              <w:rPr>
                <w:sz w:val="20"/>
                <w:szCs w:val="20"/>
              </w:rPr>
              <w:t>5,000.00</w:t>
            </w:r>
          </w:p>
        </w:tc>
      </w:tr>
      <w:tr w:rsidR="005A1F90" w:rsidRPr="00746178" w:rsidTr="0037751A">
        <w:tc>
          <w:tcPr>
            <w:tcW w:w="2538" w:type="dxa"/>
          </w:tcPr>
          <w:p w:rsidR="005A1F90" w:rsidRPr="00746178" w:rsidRDefault="005A1F90" w:rsidP="0037751A">
            <w:pPr>
              <w:rPr>
                <w:sz w:val="20"/>
                <w:szCs w:val="20"/>
              </w:rPr>
            </w:pPr>
            <w:r w:rsidRPr="00746178">
              <w:rPr>
                <w:sz w:val="20"/>
                <w:szCs w:val="20"/>
              </w:rPr>
              <w:t>Auctioneer or Commission Agent</w:t>
            </w:r>
          </w:p>
        </w:tc>
        <w:tc>
          <w:tcPr>
            <w:tcW w:w="3330" w:type="dxa"/>
          </w:tcPr>
          <w:p w:rsidR="005A1F90" w:rsidRPr="00746178" w:rsidRDefault="005A1F90" w:rsidP="0037751A">
            <w:pPr>
              <w:rPr>
                <w:sz w:val="20"/>
                <w:szCs w:val="20"/>
              </w:rPr>
            </w:pPr>
            <w:r w:rsidRPr="00746178">
              <w:rPr>
                <w:sz w:val="20"/>
                <w:szCs w:val="20"/>
              </w:rPr>
              <w:t>For each person carrying on business and shall include one designated place of business</w:t>
            </w:r>
          </w:p>
        </w:tc>
        <w:tc>
          <w:tcPr>
            <w:tcW w:w="2250" w:type="dxa"/>
          </w:tcPr>
          <w:p w:rsidR="005A1F90" w:rsidRPr="00746178" w:rsidRDefault="005A1F90" w:rsidP="0037751A">
            <w:pPr>
              <w:rPr>
                <w:sz w:val="20"/>
                <w:szCs w:val="20"/>
              </w:rPr>
            </w:pPr>
            <w:r w:rsidRPr="00746178">
              <w:rPr>
                <w:sz w:val="20"/>
                <w:szCs w:val="20"/>
              </w:rPr>
              <w:t>N/A</w:t>
            </w:r>
          </w:p>
        </w:tc>
        <w:tc>
          <w:tcPr>
            <w:tcW w:w="1458" w:type="dxa"/>
          </w:tcPr>
          <w:p w:rsidR="005A1F90" w:rsidRPr="00746178" w:rsidRDefault="005A1F90" w:rsidP="0037751A">
            <w:pPr>
              <w:jc w:val="right"/>
              <w:rPr>
                <w:sz w:val="20"/>
                <w:szCs w:val="20"/>
              </w:rPr>
            </w:pPr>
            <w:r w:rsidRPr="00746178">
              <w:rPr>
                <w:sz w:val="20"/>
                <w:szCs w:val="20"/>
              </w:rPr>
              <w:t>5,000.00</w:t>
            </w:r>
          </w:p>
        </w:tc>
      </w:tr>
      <w:tr w:rsidR="005A1F90" w:rsidRPr="00746178" w:rsidTr="0037751A">
        <w:tc>
          <w:tcPr>
            <w:tcW w:w="2538" w:type="dxa"/>
          </w:tcPr>
          <w:p w:rsidR="005A1F90" w:rsidRPr="00746178" w:rsidRDefault="005A1F90" w:rsidP="0037751A">
            <w:pPr>
              <w:rPr>
                <w:sz w:val="20"/>
                <w:szCs w:val="20"/>
              </w:rPr>
            </w:pPr>
            <w:proofErr w:type="spellStart"/>
            <w:r w:rsidRPr="00746178">
              <w:rPr>
                <w:sz w:val="20"/>
                <w:szCs w:val="20"/>
              </w:rPr>
              <w:t>Wharfinger</w:t>
            </w:r>
            <w:proofErr w:type="spellEnd"/>
          </w:p>
        </w:tc>
        <w:tc>
          <w:tcPr>
            <w:tcW w:w="3330" w:type="dxa"/>
          </w:tcPr>
          <w:p w:rsidR="005A1F90" w:rsidRPr="00746178" w:rsidRDefault="005A1F90" w:rsidP="0037751A">
            <w:pPr>
              <w:rPr>
                <w:sz w:val="20"/>
                <w:szCs w:val="20"/>
              </w:rPr>
            </w:pPr>
            <w:r w:rsidRPr="00746178">
              <w:rPr>
                <w:sz w:val="20"/>
                <w:szCs w:val="20"/>
              </w:rPr>
              <w:t>For each wharf</w:t>
            </w:r>
          </w:p>
        </w:tc>
        <w:tc>
          <w:tcPr>
            <w:tcW w:w="2250" w:type="dxa"/>
          </w:tcPr>
          <w:p w:rsidR="005A1F90" w:rsidRPr="00746178" w:rsidRDefault="005A1F90" w:rsidP="0037751A">
            <w:pPr>
              <w:rPr>
                <w:sz w:val="20"/>
                <w:szCs w:val="20"/>
              </w:rPr>
            </w:pPr>
            <w:r w:rsidRPr="00746178">
              <w:rPr>
                <w:sz w:val="20"/>
                <w:szCs w:val="20"/>
              </w:rPr>
              <w:t>N/A</w:t>
            </w:r>
          </w:p>
        </w:tc>
        <w:tc>
          <w:tcPr>
            <w:tcW w:w="1458" w:type="dxa"/>
          </w:tcPr>
          <w:p w:rsidR="005A1F90" w:rsidRPr="00746178" w:rsidRDefault="005A1F90" w:rsidP="0037751A">
            <w:pPr>
              <w:jc w:val="right"/>
              <w:rPr>
                <w:sz w:val="20"/>
                <w:szCs w:val="20"/>
              </w:rPr>
            </w:pPr>
            <w:r w:rsidRPr="00746178">
              <w:rPr>
                <w:sz w:val="20"/>
                <w:szCs w:val="20"/>
              </w:rPr>
              <w:t>5,000.00</w:t>
            </w:r>
          </w:p>
        </w:tc>
      </w:tr>
      <w:tr w:rsidR="005A1F90" w:rsidRPr="00746178" w:rsidTr="0037751A">
        <w:tc>
          <w:tcPr>
            <w:tcW w:w="2538" w:type="dxa"/>
          </w:tcPr>
          <w:p w:rsidR="005A1F90" w:rsidRPr="00746178" w:rsidRDefault="005A1F90" w:rsidP="0037751A">
            <w:pPr>
              <w:rPr>
                <w:sz w:val="20"/>
                <w:szCs w:val="20"/>
              </w:rPr>
            </w:pPr>
            <w:r w:rsidRPr="00746178">
              <w:rPr>
                <w:sz w:val="20"/>
                <w:szCs w:val="20"/>
              </w:rPr>
              <w:t>Super-Cargo</w:t>
            </w:r>
          </w:p>
        </w:tc>
        <w:tc>
          <w:tcPr>
            <w:tcW w:w="3330" w:type="dxa"/>
          </w:tcPr>
          <w:p w:rsidR="005A1F90" w:rsidRPr="00746178" w:rsidRDefault="005A1F90" w:rsidP="0037751A">
            <w:pPr>
              <w:rPr>
                <w:sz w:val="20"/>
                <w:szCs w:val="20"/>
              </w:rPr>
            </w:pPr>
            <w:r w:rsidRPr="00746178">
              <w:rPr>
                <w:sz w:val="20"/>
                <w:szCs w:val="20"/>
              </w:rPr>
              <w:t>For each person carrying on a business</w:t>
            </w:r>
          </w:p>
        </w:tc>
        <w:tc>
          <w:tcPr>
            <w:tcW w:w="2250" w:type="dxa"/>
          </w:tcPr>
          <w:p w:rsidR="005A1F90" w:rsidRPr="00746178" w:rsidRDefault="005A1F90" w:rsidP="0037751A">
            <w:pPr>
              <w:rPr>
                <w:sz w:val="20"/>
                <w:szCs w:val="20"/>
              </w:rPr>
            </w:pPr>
            <w:r w:rsidRPr="00746178">
              <w:rPr>
                <w:sz w:val="20"/>
                <w:szCs w:val="20"/>
              </w:rPr>
              <w:t>N/A</w:t>
            </w:r>
          </w:p>
        </w:tc>
        <w:tc>
          <w:tcPr>
            <w:tcW w:w="1458" w:type="dxa"/>
          </w:tcPr>
          <w:p w:rsidR="005A1F90" w:rsidRPr="00746178" w:rsidRDefault="005A1F90" w:rsidP="0037751A">
            <w:pPr>
              <w:jc w:val="right"/>
              <w:rPr>
                <w:sz w:val="20"/>
                <w:szCs w:val="20"/>
              </w:rPr>
            </w:pPr>
            <w:r w:rsidRPr="00746178">
              <w:rPr>
                <w:sz w:val="20"/>
                <w:szCs w:val="20"/>
              </w:rPr>
              <w:t>5,000.00</w:t>
            </w:r>
          </w:p>
        </w:tc>
      </w:tr>
      <w:tr w:rsidR="005A1F90" w:rsidRPr="00746178" w:rsidTr="0037751A">
        <w:tc>
          <w:tcPr>
            <w:tcW w:w="2538" w:type="dxa"/>
          </w:tcPr>
          <w:p w:rsidR="005A1F90" w:rsidRPr="00746178" w:rsidRDefault="005A1F90" w:rsidP="0037751A">
            <w:pPr>
              <w:rPr>
                <w:sz w:val="20"/>
                <w:szCs w:val="20"/>
              </w:rPr>
            </w:pPr>
            <w:r w:rsidRPr="00746178">
              <w:rPr>
                <w:sz w:val="20"/>
                <w:szCs w:val="20"/>
              </w:rPr>
              <w:t>Proprietor of a Newspaper</w:t>
            </w:r>
          </w:p>
        </w:tc>
        <w:tc>
          <w:tcPr>
            <w:tcW w:w="3330" w:type="dxa"/>
          </w:tcPr>
          <w:p w:rsidR="005A1F90" w:rsidRPr="00746178" w:rsidRDefault="005A1F90" w:rsidP="0037751A">
            <w:pPr>
              <w:rPr>
                <w:sz w:val="20"/>
                <w:szCs w:val="20"/>
              </w:rPr>
            </w:pPr>
            <w:r w:rsidRPr="00746178">
              <w:rPr>
                <w:sz w:val="20"/>
                <w:szCs w:val="20"/>
              </w:rPr>
              <w:t>For each designated newspaper</w:t>
            </w:r>
          </w:p>
          <w:p w:rsidR="005A1F90" w:rsidRPr="00746178" w:rsidRDefault="005A1F90" w:rsidP="0037751A">
            <w:pPr>
              <w:rPr>
                <w:sz w:val="20"/>
                <w:szCs w:val="20"/>
              </w:rPr>
            </w:pPr>
            <w:r w:rsidRPr="00746178">
              <w:rPr>
                <w:sz w:val="20"/>
                <w:szCs w:val="20"/>
              </w:rPr>
              <w:t>Daily</w:t>
            </w:r>
          </w:p>
          <w:p w:rsidR="005A1F90" w:rsidRPr="00746178" w:rsidRDefault="005A1F90" w:rsidP="0037751A">
            <w:pPr>
              <w:rPr>
                <w:sz w:val="20"/>
                <w:szCs w:val="20"/>
              </w:rPr>
            </w:pPr>
            <w:r w:rsidRPr="00746178">
              <w:rPr>
                <w:sz w:val="20"/>
                <w:szCs w:val="20"/>
              </w:rPr>
              <w:t>Other than daily</w:t>
            </w:r>
          </w:p>
        </w:tc>
        <w:tc>
          <w:tcPr>
            <w:tcW w:w="2250" w:type="dxa"/>
          </w:tcPr>
          <w:p w:rsidR="005A1F90" w:rsidRPr="00746178" w:rsidRDefault="005A1F90" w:rsidP="0037751A">
            <w:pPr>
              <w:rPr>
                <w:sz w:val="20"/>
                <w:szCs w:val="20"/>
              </w:rPr>
            </w:pPr>
            <w:r w:rsidRPr="00746178">
              <w:rPr>
                <w:sz w:val="20"/>
                <w:szCs w:val="20"/>
              </w:rPr>
              <w:t>N/A</w:t>
            </w:r>
          </w:p>
          <w:p w:rsidR="005A1F90" w:rsidRPr="00746178" w:rsidRDefault="005A1F90" w:rsidP="0037751A">
            <w:pPr>
              <w:rPr>
                <w:sz w:val="20"/>
                <w:szCs w:val="20"/>
              </w:rPr>
            </w:pPr>
          </w:p>
          <w:p w:rsidR="005A1F90" w:rsidRPr="00746178" w:rsidRDefault="005A1F90" w:rsidP="0037751A">
            <w:pPr>
              <w:rPr>
                <w:sz w:val="20"/>
                <w:szCs w:val="20"/>
              </w:rPr>
            </w:pPr>
            <w:r w:rsidRPr="00746178">
              <w:rPr>
                <w:sz w:val="20"/>
                <w:szCs w:val="20"/>
              </w:rPr>
              <w:t>N/A</w:t>
            </w:r>
          </w:p>
        </w:tc>
        <w:tc>
          <w:tcPr>
            <w:tcW w:w="1458" w:type="dxa"/>
          </w:tcPr>
          <w:p w:rsidR="005A1F90" w:rsidRPr="00746178" w:rsidRDefault="005A1F90" w:rsidP="0037751A">
            <w:pPr>
              <w:jc w:val="right"/>
              <w:rPr>
                <w:sz w:val="20"/>
                <w:szCs w:val="20"/>
              </w:rPr>
            </w:pPr>
            <w:r w:rsidRPr="00746178">
              <w:rPr>
                <w:sz w:val="20"/>
                <w:szCs w:val="20"/>
              </w:rPr>
              <w:t>5,000.00</w:t>
            </w:r>
          </w:p>
          <w:p w:rsidR="005A1F90" w:rsidRPr="00746178" w:rsidRDefault="005A1F90" w:rsidP="0037751A">
            <w:pPr>
              <w:jc w:val="right"/>
              <w:rPr>
                <w:sz w:val="20"/>
                <w:szCs w:val="20"/>
              </w:rPr>
            </w:pPr>
          </w:p>
          <w:p w:rsidR="005A1F90" w:rsidRPr="00746178" w:rsidRDefault="005A1F90" w:rsidP="0037751A">
            <w:pPr>
              <w:jc w:val="right"/>
              <w:rPr>
                <w:sz w:val="20"/>
                <w:szCs w:val="20"/>
              </w:rPr>
            </w:pPr>
            <w:r w:rsidRPr="00746178">
              <w:rPr>
                <w:sz w:val="20"/>
                <w:szCs w:val="20"/>
              </w:rPr>
              <w:t>1,000.00</w:t>
            </w:r>
          </w:p>
        </w:tc>
      </w:tr>
      <w:tr w:rsidR="005A1F90" w:rsidRPr="00746178" w:rsidTr="0037751A">
        <w:tc>
          <w:tcPr>
            <w:tcW w:w="2538" w:type="dxa"/>
          </w:tcPr>
          <w:p w:rsidR="005A1F90" w:rsidRPr="00746178" w:rsidRDefault="005A1F90" w:rsidP="0037751A">
            <w:pPr>
              <w:rPr>
                <w:sz w:val="20"/>
                <w:szCs w:val="20"/>
              </w:rPr>
            </w:pPr>
            <w:r w:rsidRPr="00746178">
              <w:rPr>
                <w:sz w:val="20"/>
                <w:szCs w:val="20"/>
              </w:rPr>
              <w:t>Grade 1 Retailer</w:t>
            </w:r>
          </w:p>
        </w:tc>
        <w:tc>
          <w:tcPr>
            <w:tcW w:w="3330" w:type="dxa"/>
          </w:tcPr>
          <w:p w:rsidR="005A1F90" w:rsidRPr="00746178" w:rsidRDefault="005A1F90" w:rsidP="0037751A">
            <w:pPr>
              <w:rPr>
                <w:sz w:val="20"/>
                <w:szCs w:val="20"/>
              </w:rPr>
            </w:pPr>
            <w:r w:rsidRPr="00746178">
              <w:rPr>
                <w:sz w:val="20"/>
                <w:szCs w:val="20"/>
              </w:rPr>
              <w:t>For each designated place of business</w:t>
            </w:r>
          </w:p>
        </w:tc>
        <w:tc>
          <w:tcPr>
            <w:tcW w:w="2250" w:type="dxa"/>
          </w:tcPr>
          <w:p w:rsidR="005A1F90" w:rsidRPr="00746178" w:rsidRDefault="005A1F90" w:rsidP="0037751A">
            <w:pPr>
              <w:rPr>
                <w:sz w:val="20"/>
                <w:szCs w:val="20"/>
              </w:rPr>
            </w:pPr>
            <w:r w:rsidRPr="00746178">
              <w:rPr>
                <w:sz w:val="20"/>
                <w:szCs w:val="20"/>
              </w:rPr>
              <w:t>Annual turnover less than $500,000</w:t>
            </w:r>
          </w:p>
        </w:tc>
        <w:tc>
          <w:tcPr>
            <w:tcW w:w="1458" w:type="dxa"/>
          </w:tcPr>
          <w:p w:rsidR="005A1F90" w:rsidRPr="00746178" w:rsidRDefault="005A1F90" w:rsidP="0037751A">
            <w:pPr>
              <w:jc w:val="right"/>
              <w:rPr>
                <w:sz w:val="20"/>
                <w:szCs w:val="20"/>
              </w:rPr>
            </w:pPr>
            <w:r w:rsidRPr="00746178">
              <w:rPr>
                <w:sz w:val="20"/>
                <w:szCs w:val="20"/>
              </w:rPr>
              <w:t>2,500.00</w:t>
            </w:r>
          </w:p>
        </w:tc>
      </w:tr>
      <w:tr w:rsidR="005A1F90" w:rsidRPr="00746178" w:rsidTr="0037751A">
        <w:tc>
          <w:tcPr>
            <w:tcW w:w="2538" w:type="dxa"/>
          </w:tcPr>
          <w:p w:rsidR="005A1F90" w:rsidRPr="00746178" w:rsidRDefault="005A1F90" w:rsidP="0037751A">
            <w:pPr>
              <w:rPr>
                <w:sz w:val="20"/>
                <w:szCs w:val="20"/>
              </w:rPr>
            </w:pPr>
            <w:r w:rsidRPr="00746178">
              <w:rPr>
                <w:sz w:val="20"/>
                <w:szCs w:val="20"/>
              </w:rPr>
              <w:t>Grade 2 Retailer</w:t>
            </w:r>
          </w:p>
        </w:tc>
        <w:tc>
          <w:tcPr>
            <w:tcW w:w="3330" w:type="dxa"/>
          </w:tcPr>
          <w:p w:rsidR="005A1F90" w:rsidRDefault="005A1F90" w:rsidP="0037751A">
            <w:r w:rsidRPr="00551A44">
              <w:rPr>
                <w:sz w:val="20"/>
                <w:szCs w:val="20"/>
              </w:rPr>
              <w:t>For each designated place of business</w:t>
            </w:r>
          </w:p>
        </w:tc>
        <w:tc>
          <w:tcPr>
            <w:tcW w:w="2250" w:type="dxa"/>
          </w:tcPr>
          <w:p w:rsidR="005A1F90" w:rsidRPr="00746178" w:rsidRDefault="005A1F90" w:rsidP="0037751A">
            <w:pPr>
              <w:rPr>
                <w:sz w:val="20"/>
                <w:szCs w:val="20"/>
              </w:rPr>
            </w:pPr>
            <w:r w:rsidRPr="00746178">
              <w:rPr>
                <w:sz w:val="20"/>
                <w:szCs w:val="20"/>
              </w:rPr>
              <w:t>Annual turnover exceeds $500,000 but less than $1,000,000</w:t>
            </w:r>
          </w:p>
        </w:tc>
        <w:tc>
          <w:tcPr>
            <w:tcW w:w="1458" w:type="dxa"/>
          </w:tcPr>
          <w:p w:rsidR="005A1F90" w:rsidRPr="00746178" w:rsidRDefault="005A1F90" w:rsidP="0037751A">
            <w:pPr>
              <w:jc w:val="right"/>
              <w:rPr>
                <w:sz w:val="20"/>
                <w:szCs w:val="20"/>
              </w:rPr>
            </w:pPr>
          </w:p>
          <w:p w:rsidR="005A1F90" w:rsidRPr="00746178" w:rsidRDefault="005A1F90" w:rsidP="0037751A">
            <w:pPr>
              <w:jc w:val="right"/>
              <w:rPr>
                <w:sz w:val="20"/>
                <w:szCs w:val="20"/>
              </w:rPr>
            </w:pPr>
          </w:p>
          <w:p w:rsidR="005A1F90" w:rsidRPr="00746178" w:rsidRDefault="005A1F90" w:rsidP="0037751A">
            <w:pPr>
              <w:jc w:val="right"/>
              <w:rPr>
                <w:sz w:val="20"/>
                <w:szCs w:val="20"/>
              </w:rPr>
            </w:pPr>
            <w:r w:rsidRPr="00746178">
              <w:rPr>
                <w:sz w:val="20"/>
                <w:szCs w:val="20"/>
              </w:rPr>
              <w:t>5,000.00</w:t>
            </w:r>
          </w:p>
        </w:tc>
      </w:tr>
      <w:tr w:rsidR="005A1F90" w:rsidRPr="00746178" w:rsidTr="0037751A">
        <w:tc>
          <w:tcPr>
            <w:tcW w:w="2538" w:type="dxa"/>
          </w:tcPr>
          <w:p w:rsidR="005A1F90" w:rsidRPr="00746178" w:rsidRDefault="005A1F90" w:rsidP="0037751A">
            <w:pPr>
              <w:rPr>
                <w:sz w:val="20"/>
                <w:szCs w:val="20"/>
              </w:rPr>
            </w:pPr>
            <w:r w:rsidRPr="00746178">
              <w:rPr>
                <w:sz w:val="20"/>
                <w:szCs w:val="20"/>
              </w:rPr>
              <w:t>Grade 3 Retailer</w:t>
            </w:r>
          </w:p>
        </w:tc>
        <w:tc>
          <w:tcPr>
            <w:tcW w:w="3330" w:type="dxa"/>
          </w:tcPr>
          <w:p w:rsidR="005A1F90" w:rsidRDefault="005A1F90" w:rsidP="0037751A">
            <w:r w:rsidRPr="00551A44">
              <w:rPr>
                <w:sz w:val="20"/>
                <w:szCs w:val="20"/>
              </w:rPr>
              <w:t>For each designated place of business</w:t>
            </w:r>
          </w:p>
        </w:tc>
        <w:tc>
          <w:tcPr>
            <w:tcW w:w="2250" w:type="dxa"/>
          </w:tcPr>
          <w:p w:rsidR="005A1F90" w:rsidRPr="00746178" w:rsidRDefault="005A1F90" w:rsidP="0037751A">
            <w:pPr>
              <w:rPr>
                <w:sz w:val="20"/>
                <w:szCs w:val="20"/>
              </w:rPr>
            </w:pPr>
            <w:r w:rsidRPr="00746178">
              <w:rPr>
                <w:sz w:val="20"/>
                <w:szCs w:val="20"/>
              </w:rPr>
              <w:t>Annual turnover exceeds $1,000,000 but less than $2,500,000</w:t>
            </w:r>
          </w:p>
        </w:tc>
        <w:tc>
          <w:tcPr>
            <w:tcW w:w="1458" w:type="dxa"/>
          </w:tcPr>
          <w:p w:rsidR="005A1F90" w:rsidRPr="00746178" w:rsidRDefault="005A1F90" w:rsidP="0037751A">
            <w:pPr>
              <w:jc w:val="right"/>
              <w:rPr>
                <w:sz w:val="20"/>
                <w:szCs w:val="20"/>
              </w:rPr>
            </w:pPr>
          </w:p>
          <w:p w:rsidR="005A1F90" w:rsidRPr="00746178" w:rsidRDefault="005A1F90" w:rsidP="0037751A">
            <w:pPr>
              <w:jc w:val="right"/>
              <w:rPr>
                <w:sz w:val="20"/>
                <w:szCs w:val="20"/>
              </w:rPr>
            </w:pPr>
          </w:p>
          <w:p w:rsidR="005A1F90" w:rsidRPr="00746178" w:rsidRDefault="005A1F90" w:rsidP="0037751A">
            <w:pPr>
              <w:jc w:val="right"/>
              <w:rPr>
                <w:sz w:val="20"/>
                <w:szCs w:val="20"/>
              </w:rPr>
            </w:pPr>
          </w:p>
          <w:p w:rsidR="005A1F90" w:rsidRPr="00746178" w:rsidRDefault="005A1F90" w:rsidP="0037751A">
            <w:pPr>
              <w:jc w:val="right"/>
              <w:rPr>
                <w:sz w:val="20"/>
                <w:szCs w:val="20"/>
              </w:rPr>
            </w:pPr>
            <w:r w:rsidRPr="00746178">
              <w:rPr>
                <w:sz w:val="20"/>
                <w:szCs w:val="20"/>
              </w:rPr>
              <w:t>10,000.00</w:t>
            </w:r>
          </w:p>
        </w:tc>
      </w:tr>
      <w:tr w:rsidR="005A1F90" w:rsidRPr="00746178" w:rsidTr="0037751A">
        <w:tc>
          <w:tcPr>
            <w:tcW w:w="2538" w:type="dxa"/>
          </w:tcPr>
          <w:p w:rsidR="005A1F90" w:rsidRPr="00746178" w:rsidRDefault="005A1F90" w:rsidP="0037751A">
            <w:pPr>
              <w:rPr>
                <w:sz w:val="20"/>
                <w:szCs w:val="20"/>
              </w:rPr>
            </w:pPr>
            <w:r w:rsidRPr="00746178">
              <w:rPr>
                <w:sz w:val="20"/>
                <w:szCs w:val="20"/>
              </w:rPr>
              <w:t>Grade 4 Retailer</w:t>
            </w:r>
          </w:p>
        </w:tc>
        <w:tc>
          <w:tcPr>
            <w:tcW w:w="3330" w:type="dxa"/>
          </w:tcPr>
          <w:p w:rsidR="005A1F90" w:rsidRDefault="005A1F90" w:rsidP="0037751A">
            <w:r w:rsidRPr="00551A44">
              <w:rPr>
                <w:sz w:val="20"/>
                <w:szCs w:val="20"/>
              </w:rPr>
              <w:t>For each designated place of business</w:t>
            </w:r>
          </w:p>
        </w:tc>
        <w:tc>
          <w:tcPr>
            <w:tcW w:w="2250" w:type="dxa"/>
          </w:tcPr>
          <w:p w:rsidR="005A1F90" w:rsidRPr="00746178" w:rsidRDefault="005A1F90" w:rsidP="0037751A">
            <w:pPr>
              <w:rPr>
                <w:sz w:val="20"/>
                <w:szCs w:val="20"/>
              </w:rPr>
            </w:pPr>
            <w:r w:rsidRPr="00746178">
              <w:rPr>
                <w:sz w:val="20"/>
                <w:szCs w:val="20"/>
              </w:rPr>
              <w:t>Annual Turnover exceeds $2,500,000 but less than $5,000,000</w:t>
            </w:r>
          </w:p>
        </w:tc>
        <w:tc>
          <w:tcPr>
            <w:tcW w:w="1458" w:type="dxa"/>
          </w:tcPr>
          <w:p w:rsidR="005A1F90" w:rsidRPr="00746178" w:rsidRDefault="005A1F90" w:rsidP="0037751A">
            <w:pPr>
              <w:jc w:val="right"/>
              <w:rPr>
                <w:sz w:val="20"/>
                <w:szCs w:val="20"/>
              </w:rPr>
            </w:pPr>
          </w:p>
          <w:p w:rsidR="005A1F90" w:rsidRPr="00746178" w:rsidRDefault="005A1F90" w:rsidP="0037751A">
            <w:pPr>
              <w:jc w:val="right"/>
              <w:rPr>
                <w:sz w:val="20"/>
                <w:szCs w:val="20"/>
              </w:rPr>
            </w:pPr>
          </w:p>
          <w:p w:rsidR="005A1F90" w:rsidRPr="00746178" w:rsidRDefault="005A1F90" w:rsidP="0037751A">
            <w:pPr>
              <w:jc w:val="right"/>
              <w:rPr>
                <w:sz w:val="20"/>
                <w:szCs w:val="20"/>
              </w:rPr>
            </w:pPr>
          </w:p>
          <w:p w:rsidR="005A1F90" w:rsidRPr="00746178" w:rsidRDefault="005A1F90" w:rsidP="0037751A">
            <w:pPr>
              <w:jc w:val="right"/>
              <w:rPr>
                <w:sz w:val="20"/>
                <w:szCs w:val="20"/>
              </w:rPr>
            </w:pPr>
            <w:r w:rsidRPr="00746178">
              <w:rPr>
                <w:sz w:val="20"/>
                <w:szCs w:val="20"/>
              </w:rPr>
              <w:t>15,000.00</w:t>
            </w:r>
          </w:p>
        </w:tc>
      </w:tr>
      <w:tr w:rsidR="005A1F90" w:rsidRPr="00746178" w:rsidTr="0037751A">
        <w:tc>
          <w:tcPr>
            <w:tcW w:w="2538" w:type="dxa"/>
          </w:tcPr>
          <w:p w:rsidR="005A1F90" w:rsidRPr="00746178" w:rsidRDefault="005A1F90" w:rsidP="0037751A">
            <w:pPr>
              <w:rPr>
                <w:sz w:val="20"/>
                <w:szCs w:val="20"/>
              </w:rPr>
            </w:pPr>
            <w:r w:rsidRPr="00746178">
              <w:rPr>
                <w:sz w:val="20"/>
                <w:szCs w:val="20"/>
              </w:rPr>
              <w:t>Grade 5 Retailer</w:t>
            </w:r>
          </w:p>
        </w:tc>
        <w:tc>
          <w:tcPr>
            <w:tcW w:w="3330" w:type="dxa"/>
          </w:tcPr>
          <w:p w:rsidR="005A1F90" w:rsidRDefault="005A1F90" w:rsidP="0037751A">
            <w:r w:rsidRPr="00551A44">
              <w:rPr>
                <w:sz w:val="20"/>
                <w:szCs w:val="20"/>
              </w:rPr>
              <w:t>For each designated place of business</w:t>
            </w:r>
          </w:p>
        </w:tc>
        <w:tc>
          <w:tcPr>
            <w:tcW w:w="2250" w:type="dxa"/>
          </w:tcPr>
          <w:p w:rsidR="005A1F90" w:rsidRPr="00746178" w:rsidRDefault="005A1F90" w:rsidP="0037751A">
            <w:pPr>
              <w:rPr>
                <w:sz w:val="20"/>
                <w:szCs w:val="20"/>
              </w:rPr>
            </w:pPr>
            <w:r w:rsidRPr="00746178">
              <w:rPr>
                <w:sz w:val="20"/>
                <w:szCs w:val="20"/>
              </w:rPr>
              <w:t>Annual turnover exceeds $5,000,000 but less than $10,000,000</w:t>
            </w:r>
          </w:p>
        </w:tc>
        <w:tc>
          <w:tcPr>
            <w:tcW w:w="1458" w:type="dxa"/>
          </w:tcPr>
          <w:p w:rsidR="005A1F90" w:rsidRPr="00746178" w:rsidRDefault="005A1F90" w:rsidP="0037751A">
            <w:pPr>
              <w:jc w:val="right"/>
              <w:rPr>
                <w:sz w:val="20"/>
                <w:szCs w:val="20"/>
              </w:rPr>
            </w:pPr>
          </w:p>
          <w:p w:rsidR="005A1F90" w:rsidRPr="00746178" w:rsidRDefault="005A1F90" w:rsidP="0037751A">
            <w:pPr>
              <w:jc w:val="right"/>
              <w:rPr>
                <w:sz w:val="20"/>
                <w:szCs w:val="20"/>
              </w:rPr>
            </w:pPr>
          </w:p>
          <w:p w:rsidR="005A1F90" w:rsidRPr="00746178" w:rsidRDefault="005A1F90" w:rsidP="0037751A">
            <w:pPr>
              <w:jc w:val="right"/>
              <w:rPr>
                <w:sz w:val="20"/>
                <w:szCs w:val="20"/>
              </w:rPr>
            </w:pPr>
          </w:p>
          <w:p w:rsidR="005A1F90" w:rsidRPr="00746178" w:rsidRDefault="005A1F90" w:rsidP="0037751A">
            <w:pPr>
              <w:jc w:val="right"/>
              <w:rPr>
                <w:sz w:val="20"/>
                <w:szCs w:val="20"/>
              </w:rPr>
            </w:pPr>
            <w:r w:rsidRPr="00746178">
              <w:rPr>
                <w:sz w:val="20"/>
                <w:szCs w:val="20"/>
              </w:rPr>
              <w:t>25,000.00</w:t>
            </w:r>
          </w:p>
        </w:tc>
      </w:tr>
      <w:tr w:rsidR="005A1F90" w:rsidRPr="00746178" w:rsidTr="0037751A">
        <w:tc>
          <w:tcPr>
            <w:tcW w:w="2538" w:type="dxa"/>
          </w:tcPr>
          <w:p w:rsidR="005A1F90" w:rsidRPr="00746178" w:rsidRDefault="005A1F90" w:rsidP="0037751A">
            <w:pPr>
              <w:rPr>
                <w:sz w:val="20"/>
                <w:szCs w:val="20"/>
              </w:rPr>
            </w:pPr>
            <w:r w:rsidRPr="00746178">
              <w:rPr>
                <w:sz w:val="20"/>
                <w:szCs w:val="20"/>
              </w:rPr>
              <w:t>Grade 6 Retailer</w:t>
            </w:r>
          </w:p>
        </w:tc>
        <w:tc>
          <w:tcPr>
            <w:tcW w:w="3330" w:type="dxa"/>
          </w:tcPr>
          <w:p w:rsidR="005A1F90" w:rsidRDefault="005A1F90" w:rsidP="0037751A">
            <w:r w:rsidRPr="00551A44">
              <w:rPr>
                <w:sz w:val="20"/>
                <w:szCs w:val="20"/>
              </w:rPr>
              <w:t>For each designated place of business</w:t>
            </w:r>
          </w:p>
        </w:tc>
        <w:tc>
          <w:tcPr>
            <w:tcW w:w="2250" w:type="dxa"/>
          </w:tcPr>
          <w:p w:rsidR="005A1F90" w:rsidRPr="00746178" w:rsidRDefault="005A1F90" w:rsidP="0037751A">
            <w:pPr>
              <w:rPr>
                <w:sz w:val="20"/>
                <w:szCs w:val="20"/>
              </w:rPr>
            </w:pPr>
            <w:r w:rsidRPr="00746178">
              <w:rPr>
                <w:sz w:val="20"/>
                <w:szCs w:val="20"/>
              </w:rPr>
              <w:t>Annual turnover exceeds $10,000,000 but less than $15,000,000</w:t>
            </w:r>
          </w:p>
        </w:tc>
        <w:tc>
          <w:tcPr>
            <w:tcW w:w="1458" w:type="dxa"/>
          </w:tcPr>
          <w:p w:rsidR="005A1F90" w:rsidRPr="00746178" w:rsidRDefault="005A1F90" w:rsidP="0037751A">
            <w:pPr>
              <w:jc w:val="right"/>
              <w:rPr>
                <w:sz w:val="20"/>
                <w:szCs w:val="20"/>
              </w:rPr>
            </w:pPr>
          </w:p>
          <w:p w:rsidR="005A1F90" w:rsidRPr="00746178" w:rsidRDefault="005A1F90" w:rsidP="0037751A">
            <w:pPr>
              <w:jc w:val="right"/>
              <w:rPr>
                <w:sz w:val="20"/>
                <w:szCs w:val="20"/>
              </w:rPr>
            </w:pPr>
          </w:p>
          <w:p w:rsidR="005A1F90" w:rsidRPr="00746178" w:rsidRDefault="005A1F90" w:rsidP="0037751A">
            <w:pPr>
              <w:jc w:val="right"/>
              <w:rPr>
                <w:sz w:val="20"/>
                <w:szCs w:val="20"/>
              </w:rPr>
            </w:pPr>
          </w:p>
          <w:p w:rsidR="005A1F90" w:rsidRPr="00746178" w:rsidRDefault="005A1F90" w:rsidP="0037751A">
            <w:pPr>
              <w:jc w:val="right"/>
              <w:rPr>
                <w:sz w:val="20"/>
                <w:szCs w:val="20"/>
              </w:rPr>
            </w:pPr>
            <w:r w:rsidRPr="00746178">
              <w:rPr>
                <w:sz w:val="20"/>
                <w:szCs w:val="20"/>
              </w:rPr>
              <w:lastRenderedPageBreak/>
              <w:t>35,000.00</w:t>
            </w:r>
          </w:p>
        </w:tc>
      </w:tr>
      <w:tr w:rsidR="005A1F90" w:rsidRPr="00746178" w:rsidTr="0037751A">
        <w:tc>
          <w:tcPr>
            <w:tcW w:w="2538" w:type="dxa"/>
          </w:tcPr>
          <w:p w:rsidR="005A1F90" w:rsidRPr="00746178" w:rsidRDefault="005A1F90" w:rsidP="0037751A">
            <w:pPr>
              <w:rPr>
                <w:sz w:val="20"/>
                <w:szCs w:val="20"/>
              </w:rPr>
            </w:pPr>
            <w:r w:rsidRPr="00746178">
              <w:rPr>
                <w:sz w:val="20"/>
                <w:szCs w:val="20"/>
              </w:rPr>
              <w:lastRenderedPageBreak/>
              <w:t>Grade 7 Retailer</w:t>
            </w:r>
          </w:p>
        </w:tc>
        <w:tc>
          <w:tcPr>
            <w:tcW w:w="3330" w:type="dxa"/>
          </w:tcPr>
          <w:p w:rsidR="005A1F90" w:rsidRDefault="005A1F90" w:rsidP="0037751A">
            <w:r w:rsidRPr="00551A44">
              <w:rPr>
                <w:sz w:val="20"/>
                <w:szCs w:val="20"/>
              </w:rPr>
              <w:t>For each designated place of business</w:t>
            </w:r>
          </w:p>
        </w:tc>
        <w:tc>
          <w:tcPr>
            <w:tcW w:w="2250" w:type="dxa"/>
          </w:tcPr>
          <w:p w:rsidR="005A1F90" w:rsidRPr="00746178" w:rsidRDefault="005A1F90" w:rsidP="0037751A">
            <w:pPr>
              <w:rPr>
                <w:sz w:val="20"/>
                <w:szCs w:val="20"/>
              </w:rPr>
            </w:pPr>
            <w:r w:rsidRPr="00746178">
              <w:rPr>
                <w:sz w:val="20"/>
                <w:szCs w:val="20"/>
              </w:rPr>
              <w:t>Annual turnover exceeds $15,000,000 but does not exceed $25,000,000</w:t>
            </w:r>
          </w:p>
        </w:tc>
        <w:tc>
          <w:tcPr>
            <w:tcW w:w="1458" w:type="dxa"/>
          </w:tcPr>
          <w:p w:rsidR="005A1F90" w:rsidRDefault="005A1F90" w:rsidP="0037751A">
            <w:pPr>
              <w:jc w:val="right"/>
              <w:rPr>
                <w:sz w:val="20"/>
                <w:szCs w:val="20"/>
              </w:rPr>
            </w:pPr>
          </w:p>
          <w:p w:rsidR="005A1F90" w:rsidRDefault="005A1F90" w:rsidP="0037751A">
            <w:pPr>
              <w:jc w:val="right"/>
              <w:rPr>
                <w:sz w:val="20"/>
                <w:szCs w:val="20"/>
              </w:rPr>
            </w:pPr>
          </w:p>
          <w:p w:rsidR="005A1F90" w:rsidRPr="00746178" w:rsidRDefault="005A1F90" w:rsidP="0037751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45,000.00</w:t>
            </w:r>
          </w:p>
          <w:p w:rsidR="005A1F90" w:rsidRPr="00746178" w:rsidRDefault="005A1F90" w:rsidP="0037751A">
            <w:pPr>
              <w:jc w:val="right"/>
              <w:rPr>
                <w:sz w:val="20"/>
                <w:szCs w:val="20"/>
              </w:rPr>
            </w:pPr>
          </w:p>
          <w:p w:rsidR="005A1F90" w:rsidRPr="00746178" w:rsidRDefault="005A1F90" w:rsidP="0037751A">
            <w:pPr>
              <w:jc w:val="right"/>
              <w:rPr>
                <w:sz w:val="20"/>
                <w:szCs w:val="20"/>
              </w:rPr>
            </w:pPr>
          </w:p>
          <w:p w:rsidR="005A1F90" w:rsidRPr="00746178" w:rsidRDefault="005A1F90" w:rsidP="0037751A">
            <w:pPr>
              <w:jc w:val="right"/>
              <w:rPr>
                <w:sz w:val="20"/>
                <w:szCs w:val="20"/>
              </w:rPr>
            </w:pPr>
          </w:p>
        </w:tc>
      </w:tr>
      <w:tr w:rsidR="005A1F90" w:rsidRPr="00746178" w:rsidTr="0037751A">
        <w:tc>
          <w:tcPr>
            <w:tcW w:w="2538" w:type="dxa"/>
          </w:tcPr>
          <w:p w:rsidR="005A1F90" w:rsidRPr="00746178" w:rsidRDefault="005A1F90" w:rsidP="0037751A">
            <w:pPr>
              <w:rPr>
                <w:sz w:val="20"/>
                <w:szCs w:val="20"/>
              </w:rPr>
            </w:pPr>
            <w:r w:rsidRPr="00746178">
              <w:rPr>
                <w:sz w:val="20"/>
                <w:szCs w:val="20"/>
              </w:rPr>
              <w:t>Grade 8 Retailer</w:t>
            </w:r>
          </w:p>
        </w:tc>
        <w:tc>
          <w:tcPr>
            <w:tcW w:w="3330" w:type="dxa"/>
          </w:tcPr>
          <w:p w:rsidR="005A1F90" w:rsidRDefault="005A1F90" w:rsidP="0037751A">
            <w:r w:rsidRPr="00551A44">
              <w:rPr>
                <w:sz w:val="20"/>
                <w:szCs w:val="20"/>
              </w:rPr>
              <w:t>For each designated place of business</w:t>
            </w:r>
          </w:p>
        </w:tc>
        <w:tc>
          <w:tcPr>
            <w:tcW w:w="2250" w:type="dxa"/>
          </w:tcPr>
          <w:p w:rsidR="005A1F90" w:rsidRPr="00746178" w:rsidRDefault="005A1F90" w:rsidP="0037751A">
            <w:pPr>
              <w:rPr>
                <w:sz w:val="20"/>
                <w:szCs w:val="20"/>
              </w:rPr>
            </w:pPr>
            <w:r w:rsidRPr="00746178">
              <w:rPr>
                <w:sz w:val="20"/>
                <w:szCs w:val="20"/>
              </w:rPr>
              <w:t>Annual turnover exceeds $25,000,000 but less than $50,000,000</w:t>
            </w:r>
          </w:p>
        </w:tc>
        <w:tc>
          <w:tcPr>
            <w:tcW w:w="1458" w:type="dxa"/>
          </w:tcPr>
          <w:p w:rsidR="005A1F90" w:rsidRPr="00746178" w:rsidRDefault="005A1F90" w:rsidP="0037751A">
            <w:pPr>
              <w:jc w:val="right"/>
              <w:rPr>
                <w:sz w:val="20"/>
                <w:szCs w:val="20"/>
              </w:rPr>
            </w:pPr>
          </w:p>
          <w:p w:rsidR="005A1F90" w:rsidRPr="00746178" w:rsidRDefault="005A1F90" w:rsidP="0037751A">
            <w:pPr>
              <w:jc w:val="right"/>
              <w:rPr>
                <w:sz w:val="20"/>
                <w:szCs w:val="20"/>
              </w:rPr>
            </w:pPr>
          </w:p>
          <w:p w:rsidR="005A1F90" w:rsidRPr="00746178" w:rsidRDefault="005A1F90" w:rsidP="0037751A">
            <w:pPr>
              <w:jc w:val="right"/>
              <w:rPr>
                <w:sz w:val="20"/>
                <w:szCs w:val="20"/>
              </w:rPr>
            </w:pPr>
          </w:p>
          <w:p w:rsidR="005A1F90" w:rsidRPr="00746178" w:rsidRDefault="005A1F90" w:rsidP="0037751A">
            <w:pPr>
              <w:jc w:val="right"/>
              <w:rPr>
                <w:sz w:val="20"/>
                <w:szCs w:val="20"/>
              </w:rPr>
            </w:pPr>
            <w:r w:rsidRPr="00746178">
              <w:rPr>
                <w:sz w:val="20"/>
                <w:szCs w:val="20"/>
              </w:rPr>
              <w:t>55,000.00</w:t>
            </w:r>
          </w:p>
        </w:tc>
      </w:tr>
      <w:tr w:rsidR="005A1F90" w:rsidRPr="00746178" w:rsidTr="0037751A">
        <w:tc>
          <w:tcPr>
            <w:tcW w:w="2538" w:type="dxa"/>
          </w:tcPr>
          <w:p w:rsidR="005A1F90" w:rsidRPr="00746178" w:rsidRDefault="005A1F90" w:rsidP="0037751A">
            <w:pPr>
              <w:rPr>
                <w:sz w:val="20"/>
                <w:szCs w:val="20"/>
              </w:rPr>
            </w:pPr>
            <w:r w:rsidRPr="00746178">
              <w:rPr>
                <w:sz w:val="20"/>
                <w:szCs w:val="20"/>
              </w:rPr>
              <w:t>Grade 9 Retailer</w:t>
            </w:r>
          </w:p>
        </w:tc>
        <w:tc>
          <w:tcPr>
            <w:tcW w:w="3330" w:type="dxa"/>
          </w:tcPr>
          <w:p w:rsidR="005A1F90" w:rsidRDefault="005A1F90" w:rsidP="0037751A">
            <w:r w:rsidRPr="00551A44">
              <w:rPr>
                <w:sz w:val="20"/>
                <w:szCs w:val="20"/>
              </w:rPr>
              <w:t>For each designated place of business</w:t>
            </w:r>
          </w:p>
        </w:tc>
        <w:tc>
          <w:tcPr>
            <w:tcW w:w="2250" w:type="dxa"/>
          </w:tcPr>
          <w:p w:rsidR="005A1F90" w:rsidRPr="00746178" w:rsidRDefault="005A1F90" w:rsidP="0037751A">
            <w:pPr>
              <w:rPr>
                <w:sz w:val="20"/>
                <w:szCs w:val="20"/>
              </w:rPr>
            </w:pPr>
            <w:r w:rsidRPr="00746178">
              <w:rPr>
                <w:sz w:val="20"/>
                <w:szCs w:val="20"/>
              </w:rPr>
              <w:t>Annual Turnover exceeds $50,000,000 but less than $100,000,000</w:t>
            </w:r>
          </w:p>
        </w:tc>
        <w:tc>
          <w:tcPr>
            <w:tcW w:w="1458" w:type="dxa"/>
          </w:tcPr>
          <w:p w:rsidR="005A1F90" w:rsidRPr="00746178" w:rsidRDefault="005A1F90" w:rsidP="0037751A">
            <w:pPr>
              <w:jc w:val="right"/>
              <w:rPr>
                <w:sz w:val="20"/>
                <w:szCs w:val="20"/>
              </w:rPr>
            </w:pPr>
          </w:p>
          <w:p w:rsidR="005A1F90" w:rsidRPr="00746178" w:rsidRDefault="005A1F90" w:rsidP="0037751A">
            <w:pPr>
              <w:jc w:val="right"/>
              <w:rPr>
                <w:sz w:val="20"/>
                <w:szCs w:val="20"/>
              </w:rPr>
            </w:pPr>
          </w:p>
          <w:p w:rsidR="005A1F90" w:rsidRPr="00746178" w:rsidRDefault="005A1F90" w:rsidP="0037751A">
            <w:pPr>
              <w:jc w:val="right"/>
              <w:rPr>
                <w:sz w:val="20"/>
                <w:szCs w:val="20"/>
              </w:rPr>
            </w:pPr>
          </w:p>
          <w:p w:rsidR="005A1F90" w:rsidRPr="00746178" w:rsidRDefault="005A1F90" w:rsidP="0037751A">
            <w:pPr>
              <w:jc w:val="right"/>
              <w:rPr>
                <w:sz w:val="20"/>
                <w:szCs w:val="20"/>
              </w:rPr>
            </w:pPr>
            <w:r w:rsidRPr="00746178">
              <w:rPr>
                <w:sz w:val="20"/>
                <w:szCs w:val="20"/>
              </w:rPr>
              <w:t>65,000.00</w:t>
            </w:r>
          </w:p>
        </w:tc>
      </w:tr>
      <w:tr w:rsidR="005A1F90" w:rsidRPr="00746178" w:rsidTr="0037751A">
        <w:tc>
          <w:tcPr>
            <w:tcW w:w="2538" w:type="dxa"/>
          </w:tcPr>
          <w:p w:rsidR="005A1F90" w:rsidRPr="00746178" w:rsidRDefault="005A1F90" w:rsidP="0037751A">
            <w:pPr>
              <w:rPr>
                <w:sz w:val="20"/>
                <w:szCs w:val="20"/>
              </w:rPr>
            </w:pPr>
            <w:r w:rsidRPr="00746178">
              <w:rPr>
                <w:sz w:val="20"/>
                <w:szCs w:val="20"/>
              </w:rPr>
              <w:t>Grade 10 Retailer</w:t>
            </w:r>
          </w:p>
        </w:tc>
        <w:tc>
          <w:tcPr>
            <w:tcW w:w="3330" w:type="dxa"/>
          </w:tcPr>
          <w:p w:rsidR="005A1F90" w:rsidRDefault="005A1F90" w:rsidP="0037751A">
            <w:r w:rsidRPr="00551A44">
              <w:rPr>
                <w:sz w:val="20"/>
                <w:szCs w:val="20"/>
              </w:rPr>
              <w:t>For each designated place of business</w:t>
            </w:r>
          </w:p>
        </w:tc>
        <w:tc>
          <w:tcPr>
            <w:tcW w:w="2250" w:type="dxa"/>
          </w:tcPr>
          <w:p w:rsidR="005A1F90" w:rsidRPr="00746178" w:rsidRDefault="005A1F90" w:rsidP="0037751A">
            <w:pPr>
              <w:rPr>
                <w:sz w:val="20"/>
                <w:szCs w:val="20"/>
              </w:rPr>
            </w:pPr>
            <w:r w:rsidRPr="00746178">
              <w:rPr>
                <w:sz w:val="20"/>
                <w:szCs w:val="20"/>
              </w:rPr>
              <w:t>Annual turnover exceeds $100,000,000</w:t>
            </w:r>
          </w:p>
        </w:tc>
        <w:tc>
          <w:tcPr>
            <w:tcW w:w="1458" w:type="dxa"/>
          </w:tcPr>
          <w:p w:rsidR="005A1F90" w:rsidRPr="00746178" w:rsidRDefault="005A1F90" w:rsidP="0037751A">
            <w:pPr>
              <w:jc w:val="right"/>
              <w:rPr>
                <w:sz w:val="20"/>
                <w:szCs w:val="20"/>
              </w:rPr>
            </w:pPr>
          </w:p>
          <w:p w:rsidR="005A1F90" w:rsidRPr="00746178" w:rsidRDefault="005A1F90" w:rsidP="0037751A">
            <w:pPr>
              <w:jc w:val="right"/>
              <w:rPr>
                <w:sz w:val="20"/>
                <w:szCs w:val="20"/>
              </w:rPr>
            </w:pPr>
            <w:r w:rsidRPr="00746178">
              <w:rPr>
                <w:sz w:val="20"/>
                <w:szCs w:val="20"/>
              </w:rPr>
              <w:t>75,000.00</w:t>
            </w:r>
          </w:p>
        </w:tc>
      </w:tr>
    </w:tbl>
    <w:p w:rsidR="005A1F90" w:rsidRDefault="005A1F90" w:rsidP="00011E47">
      <w:pPr>
        <w:rPr>
          <w:sz w:val="24"/>
          <w:szCs w:val="24"/>
        </w:rPr>
      </w:pPr>
    </w:p>
    <w:p w:rsidR="00B679BA" w:rsidRDefault="005A1F90" w:rsidP="00CA5072">
      <w:pPr>
        <w:jc w:val="both"/>
        <w:rPr>
          <w:sz w:val="24"/>
          <w:szCs w:val="24"/>
        </w:rPr>
      </w:pPr>
      <w:r>
        <w:rPr>
          <w:sz w:val="24"/>
          <w:szCs w:val="24"/>
        </w:rPr>
        <w:t>BUSINESSES ARE HEREBY ADVISED THAT THEY ARE REQUIRED UNDER THE ACT TO</w:t>
      </w:r>
      <w:r w:rsidR="00CA5072">
        <w:rPr>
          <w:sz w:val="24"/>
          <w:szCs w:val="24"/>
        </w:rPr>
        <w:t xml:space="preserve"> FILE AN </w:t>
      </w:r>
      <w:r w:rsidR="00F8234C">
        <w:rPr>
          <w:sz w:val="24"/>
          <w:szCs w:val="24"/>
        </w:rPr>
        <w:t>ANNUAL RETURN WHICH MAY REQUIRE</w:t>
      </w:r>
      <w:r w:rsidR="00CA5072">
        <w:rPr>
          <w:sz w:val="24"/>
          <w:szCs w:val="24"/>
        </w:rPr>
        <w:t xml:space="preserve"> PROOF</w:t>
      </w:r>
      <w:r w:rsidR="00F8234C">
        <w:rPr>
          <w:sz w:val="24"/>
          <w:szCs w:val="24"/>
        </w:rPr>
        <w:t xml:space="preserve"> OF THEIR ANNUAL SALES/TURNOVER. F</w:t>
      </w:r>
      <w:r w:rsidR="003947CB">
        <w:rPr>
          <w:sz w:val="24"/>
          <w:szCs w:val="24"/>
        </w:rPr>
        <w:t>AILURE TO FILE AN ANNUAL</w:t>
      </w:r>
      <w:r w:rsidR="006A7728">
        <w:rPr>
          <w:sz w:val="24"/>
          <w:szCs w:val="24"/>
        </w:rPr>
        <w:t xml:space="preserve"> RETURN</w:t>
      </w:r>
      <w:r w:rsidR="003947CB">
        <w:rPr>
          <w:sz w:val="24"/>
          <w:szCs w:val="24"/>
        </w:rPr>
        <w:t xml:space="preserve"> WILL RESULT IN AN ASSES</w:t>
      </w:r>
      <w:r w:rsidR="006A7728">
        <w:rPr>
          <w:sz w:val="24"/>
          <w:szCs w:val="24"/>
        </w:rPr>
        <w:t>S</w:t>
      </w:r>
      <w:r w:rsidR="003947CB">
        <w:rPr>
          <w:sz w:val="24"/>
          <w:szCs w:val="24"/>
        </w:rPr>
        <w:t xml:space="preserve">MENT OF </w:t>
      </w:r>
      <w:r w:rsidR="00D95FA1">
        <w:rPr>
          <w:sz w:val="24"/>
          <w:szCs w:val="24"/>
        </w:rPr>
        <w:t>ANNUAL SALES AND FEES PAYABLE BY THE COLLECTOR OF TAXES.</w:t>
      </w:r>
    </w:p>
    <w:p w:rsidR="003947CB" w:rsidRDefault="003947CB" w:rsidP="00CA5072">
      <w:pPr>
        <w:jc w:val="both"/>
        <w:rPr>
          <w:sz w:val="24"/>
          <w:szCs w:val="24"/>
        </w:rPr>
      </w:pPr>
      <w:r>
        <w:rPr>
          <w:sz w:val="24"/>
          <w:szCs w:val="24"/>
        </w:rPr>
        <w:t>FOR FURTHER INFORMATION, PLEASE CONTACT THE FOLLOWING:</w:t>
      </w:r>
    </w:p>
    <w:p w:rsidR="003947CB" w:rsidRDefault="003947CB" w:rsidP="003947CB">
      <w:pPr>
        <w:pStyle w:val="NoSpacing"/>
      </w:pPr>
      <w:r>
        <w:t>KINGSTON AND SAINT ANDREW CORPORATION</w:t>
      </w:r>
    </w:p>
    <w:p w:rsidR="003947CB" w:rsidRDefault="003947CB" w:rsidP="003947CB">
      <w:pPr>
        <w:pStyle w:val="NoSpacing"/>
      </w:pPr>
      <w:r>
        <w:t>24 CHURCH STREET, KINGSTON, 922-8647-8</w:t>
      </w:r>
    </w:p>
    <w:p w:rsidR="003947CB" w:rsidRDefault="003947CB" w:rsidP="003947CB">
      <w:pPr>
        <w:pStyle w:val="NoSpacing"/>
      </w:pPr>
    </w:p>
    <w:p w:rsidR="003947CB" w:rsidRDefault="003947CB" w:rsidP="003947CB">
      <w:pPr>
        <w:pStyle w:val="NoSpacing"/>
      </w:pPr>
      <w:r>
        <w:t>TAX ADMINISTRATION OF JAMAICA</w:t>
      </w:r>
    </w:p>
    <w:p w:rsidR="00D95FA1" w:rsidRDefault="00D95FA1" w:rsidP="003947CB">
      <w:pPr>
        <w:pStyle w:val="NoSpacing"/>
      </w:pPr>
      <w:r>
        <w:t>1-2 KING STREET, 922-8355</w:t>
      </w:r>
    </w:p>
    <w:p w:rsidR="00D95FA1" w:rsidRDefault="00D95FA1" w:rsidP="003947CB">
      <w:pPr>
        <w:pStyle w:val="NoSpacing"/>
      </w:pPr>
      <w:r>
        <w:t>191 CONSTANT SPRING ROAD, 969-0000</w:t>
      </w:r>
    </w:p>
    <w:p w:rsidR="00D95FA1" w:rsidRDefault="00D95FA1" w:rsidP="003947CB">
      <w:pPr>
        <w:pStyle w:val="NoSpacing"/>
      </w:pPr>
      <w:r>
        <w:t xml:space="preserve">15B OLD HOPE ROAD, 960-1500, </w:t>
      </w:r>
    </w:p>
    <w:p w:rsidR="003947CB" w:rsidRPr="00011E47" w:rsidRDefault="003947CB" w:rsidP="003947CB">
      <w:pPr>
        <w:ind w:firstLine="720"/>
        <w:jc w:val="both"/>
        <w:rPr>
          <w:sz w:val="24"/>
          <w:szCs w:val="24"/>
        </w:rPr>
      </w:pPr>
    </w:p>
    <w:p w:rsidR="00011E47" w:rsidRPr="00011E47" w:rsidRDefault="00011E47" w:rsidP="00CA5072">
      <w:pPr>
        <w:jc w:val="both"/>
        <w:rPr>
          <w:sz w:val="28"/>
          <w:szCs w:val="28"/>
        </w:rPr>
      </w:pPr>
    </w:p>
    <w:sectPr w:rsidR="00011E47" w:rsidRPr="00011E47" w:rsidSect="00011E47">
      <w:pgSz w:w="12240" w:h="15840"/>
      <w:pgMar w:top="1440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11E47"/>
    <w:rsid w:val="00011E47"/>
    <w:rsid w:val="00295782"/>
    <w:rsid w:val="00312770"/>
    <w:rsid w:val="003947CB"/>
    <w:rsid w:val="00584BBC"/>
    <w:rsid w:val="00595467"/>
    <w:rsid w:val="005A1F90"/>
    <w:rsid w:val="006A7728"/>
    <w:rsid w:val="0070638F"/>
    <w:rsid w:val="00805547"/>
    <w:rsid w:val="008A66E9"/>
    <w:rsid w:val="008B6051"/>
    <w:rsid w:val="009213C4"/>
    <w:rsid w:val="00A73AD2"/>
    <w:rsid w:val="00B56D5C"/>
    <w:rsid w:val="00B679BA"/>
    <w:rsid w:val="00CA5072"/>
    <w:rsid w:val="00D95FA1"/>
    <w:rsid w:val="00F823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J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4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1F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947C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</dc:creator>
  <cp:lastModifiedBy> </cp:lastModifiedBy>
  <cp:revision>2</cp:revision>
  <dcterms:created xsi:type="dcterms:W3CDTF">2015-06-22T18:28:00Z</dcterms:created>
  <dcterms:modified xsi:type="dcterms:W3CDTF">2015-06-22T18:28:00Z</dcterms:modified>
</cp:coreProperties>
</file>