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Job Title:</w:t>
      </w:r>
      <w:r w:rsidDel="00000000" w:rsidR="00000000" w:rsidRPr="00000000">
        <w:rPr>
          <w:rtl w:val="0"/>
        </w:rPr>
        <w:t xml:space="preserve"> Volunteer, </w:t>
      </w:r>
      <w:r w:rsidDel="00000000" w:rsidR="00000000" w:rsidRPr="00000000">
        <w:rPr>
          <w:rtl w:val="0"/>
        </w:rPr>
        <w:t xml:space="preserve">Whole Health Connections Program (WHCP)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: 2534 State St. #208, San Diego, CA 92101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Schedule</w:t>
      </w:r>
      <w:r w:rsidDel="00000000" w:rsidR="00000000" w:rsidRPr="00000000">
        <w:rPr>
          <w:rtl w:val="0"/>
        </w:rPr>
        <w:t xml:space="preserve">: Flexible, depends on the project assigned. 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Reports To:</w:t>
      </w:r>
      <w:r w:rsidDel="00000000" w:rsidR="00000000" w:rsidRPr="00000000">
        <w:rPr>
          <w:rtl w:val="0"/>
        </w:rPr>
        <w:t xml:space="preserve"> Whole Health Connections Program Manager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Compensation:</w:t>
      </w:r>
      <w:r w:rsidDel="00000000" w:rsidR="00000000" w:rsidRPr="00000000">
        <w:rPr>
          <w:rtl w:val="0"/>
        </w:rPr>
        <w:t xml:space="preserve"> Unpaid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Potential Duties and Responsibilities: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20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Build relationships with local health, mental health, and immigrant resource providers in San Diego County.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20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Represent SCIP at community events and community partnership meetings.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Conduct client needs assessments.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Facilitate community resource referrals for clients.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200" w:line="240" w:lineRule="auto"/>
        <w:ind w:left="720" w:hanging="360"/>
      </w:pPr>
      <w:r w:rsidDel="00000000" w:rsidR="00000000" w:rsidRPr="00000000">
        <w:rPr>
          <w:rtl w:val="0"/>
        </w:rPr>
        <w:t xml:space="preserve">Create culturally relevant educational materials about chronic disease prevention, mental health, active living, and other health-related topics.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clients with educational information about chronic disease prevention, mental health, and active living, and other health related topics through one-on-one sessions and group presentations.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Help clients create feasible, personal health-related goals.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Occasionally assist transporting clients to medical or other resource appointments.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 all contact with clients.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Conduct online research for resources requested by clients and send information to clients in a timely manner.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 the Program Manager in developing content for the WHCP e-newsletter.</w:t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Required Qualifications: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Some experience working with immigrant, asylee, or refugee populations.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Respectful of other cultures and practice cultural humility.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Excellent written communication skills.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 organizational skills. 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Necessary Working Style: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Independent and self-motivated worker.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Ability to work in an office at a computer for 5-8 hours per day.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36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36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drawing>
        <wp:inline distB="114300" distT="114300" distL="114300" distR="114300">
          <wp:extent cx="2286000" cy="64839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6000" cy="6483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