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before="720" w:line="276" w:lineRule="auto"/>
      </w:pPr>
      <w:r>
        <w:rPr>
          <w:rFonts w:ascii="Lexend" w:hAnsi="Lexend" w:cs="Lexend" w:eastAsia="Lexend"/>
          <w:b/>
          <w:i w:val="0"/>
          <w:color w:val="128770"/>
          <w:sz w:val="20"/>
        </w:rPr>
        <w:t>STRUCTURAL LEARNING</w:t>
      </w:r>
    </w:p>
    <w:p>
      <w:pPr>
        <w:spacing w:after="0" w:before="0" w:line="240" w:lineRule="auto"/>
      </w:pPr>
      <w:r>
        <w:rPr>
          <w:rFonts w:ascii="Lexend" w:hAnsi="Lexend" w:cs="Lexend" w:eastAsia="Lexend"/>
          <w:b/>
          <w:i w:val="0"/>
          <w:color w:val="1A1A1A"/>
          <w:sz w:val="80"/>
        </w:rPr>
        <w:t>Inclusion Base</w:t>
      </w:r>
    </w:p>
    <w:p>
      <w:pPr>
        <w:spacing w:after="200" w:before="0" w:line="240" w:lineRule="auto"/>
      </w:pPr>
      <w:r>
        <w:rPr>
          <w:rFonts w:ascii="Lexend" w:hAnsi="Lexend" w:cs="Lexend" w:eastAsia="Lexend"/>
          <w:b/>
          <w:i w:val="0"/>
          <w:color w:val="128770"/>
          <w:sz w:val="52"/>
        </w:rPr>
        <w:t>Self-Audit and Development Tool</w:t>
      </w:r>
    </w:p>
    <w:p>
      <w:pPr>
        <w:spacing w:after="160" w:before="40"/>
        <w:pBdr>
          <w:bottom w:val="single" w:sz="12" w:space="1" w:color="128770"/>
        </w:pBdr>
      </w:pPr>
    </w:p>
    <w:p>
      <w:pPr>
        <w:spacing w:after="200" w:before="0" w:line="276" w:lineRule="auto"/>
      </w:pPr>
      <w:r>
        <w:rPr>
          <w:rFonts w:ascii="Inter" w:hAnsi="Inter" w:cs="Inter" w:eastAsia="Inter"/>
          <w:b w:val="0"/>
          <w:i w:val="0"/>
          <w:color w:val="1A1A1A"/>
          <w:sz w:val="24"/>
        </w:rPr>
        <w:t>A working document for SENCOs and school leaders, built criterion by criterion from the Department for Education's Inclusion bases in schools guidance (June 2026).</w:t>
      </w:r>
    </w:p>
    <w:tbl>
      <w:tblPr>
        <w:tblW w:type="auto" w:w="0"/>
        <w:tblLayout w:type="fixed"/>
        <w:tblLook w:firstColumn="1" w:firstRow="1" w:lastColumn="0" w:lastRow="0" w:noHBand="0" w:noVBand="1" w:val="04A0"/>
      </w:tblPr>
      <w:tblGrid>
        <w:gridCol w:w="5159"/>
        <w:gridCol w:w="5159"/>
        <w:gridCol w:w="5159"/>
      </w:tblGrid>
      <w:tr>
        <w:tc>
          <w:tcPr>
            <w:tcW w:type="dxa" w:w="5159"/>
            <w:shd w:val="clear" w:color="auto" w:fill="F1F7F6"/>
            <w:tcMar>
              <w:top w:w="140" w:type="dxa"/>
              <w:bottom w:w="140" w:type="dxa"/>
              <w:left w:w="160" w:type="dxa"/>
              <w:right w:w="160" w:type="dxa"/>
            </w:tcMar>
            <w:vAlign w:val="top"/>
          </w:tcPr>
          <w:p>
            <w:pPr>
              <w:spacing w:before="0" w:after="80" w:line="259" w:lineRule="auto"/>
            </w:pPr>
            <w:r>
              <w:rPr>
                <w:rFonts w:ascii="Lexend" w:hAnsi="Lexend" w:cs="Lexend" w:eastAsia="Lexend"/>
                <w:b/>
                <w:i w:val="0"/>
                <w:color w:val="128770"/>
                <w:sz w:val="28"/>
              </w:rPr>
              <w:t>56 criteria</w:t>
            </w:r>
          </w:p>
          <w:p>
            <w:pPr>
              <w:spacing w:before="0" w:after="80" w:line="259" w:lineRule="auto"/>
            </w:pPr>
            <w:r>
              <w:rPr>
                <w:rFonts w:ascii="Inter" w:hAnsi="Inter" w:cs="Inter" w:eastAsia="Inter"/>
                <w:b w:val="0"/>
                <w:i w:val="0"/>
                <w:color w:val="1A1A1A"/>
                <w:sz w:val="19"/>
              </w:rPr>
              <w:t>Atomic and individually ratable, across seven sections. One claim per row, never a paragraph.</w:t>
            </w:r>
          </w:p>
        </w:tc>
        <w:tc>
          <w:tcPr>
            <w:tcW w:type="dxa" w:w="5159"/>
            <w:shd w:val="clear" w:color="auto" w:fill="F1F7F6"/>
            <w:tcMar>
              <w:top w:w="140" w:type="dxa"/>
              <w:bottom w:w="140" w:type="dxa"/>
              <w:left w:w="160" w:type="dxa"/>
              <w:right w:w="160" w:type="dxa"/>
            </w:tcMar>
            <w:vAlign w:val="top"/>
          </w:tcPr>
          <w:p>
            <w:pPr>
              <w:spacing w:before="0" w:after="80" w:line="259" w:lineRule="auto"/>
            </w:pPr>
            <w:r>
              <w:rPr>
                <w:rFonts w:ascii="Lexend" w:hAnsi="Lexend" w:cs="Lexend" w:eastAsia="Lexend"/>
                <w:b/>
                <w:i w:val="0"/>
                <w:color w:val="128770"/>
                <w:sz w:val="28"/>
              </w:rPr>
              <w:t>10 legal flags</w:t>
            </w:r>
          </w:p>
          <w:p>
            <w:pPr>
              <w:spacing w:before="0" w:after="80" w:line="259" w:lineRule="auto"/>
            </w:pPr>
            <w:r>
              <w:rPr>
                <w:rFonts w:ascii="Inter" w:hAnsi="Inter" w:cs="Inter" w:eastAsia="Inter"/>
                <w:b w:val="0"/>
                <w:i w:val="0"/>
                <w:color w:val="1A1A1A"/>
                <w:sz w:val="19"/>
              </w:rPr>
              <w:t>Where the guidance says MUST, an existing statutory duty applies. Those rows are marked.</w:t>
            </w:r>
          </w:p>
        </w:tc>
        <w:tc>
          <w:tcPr>
            <w:tcW w:type="dxa" w:w="5159"/>
            <w:shd w:val="clear" w:color="auto" w:fill="F1F7F6"/>
            <w:tcMar>
              <w:top w:w="140" w:type="dxa"/>
              <w:bottom w:w="140" w:type="dxa"/>
              <w:left w:w="160" w:type="dxa"/>
              <w:right w:w="160" w:type="dxa"/>
            </w:tcMar>
            <w:vAlign w:val="top"/>
          </w:tcPr>
          <w:p>
            <w:pPr>
              <w:spacing w:before="0" w:after="80" w:line="259" w:lineRule="auto"/>
            </w:pPr>
            <w:r>
              <w:rPr>
                <w:rFonts w:ascii="Lexend" w:hAnsi="Lexend" w:cs="Lexend" w:eastAsia="Lexend"/>
                <w:b/>
                <w:i w:val="0"/>
                <w:color w:val="128770"/>
                <w:sz w:val="28"/>
              </w:rPr>
              <w:t>Non-statutory</w:t>
            </w:r>
          </w:p>
          <w:p>
            <w:pPr>
              <w:spacing w:before="0" w:after="80" w:line="259" w:lineRule="auto"/>
            </w:pPr>
            <w:r>
              <w:rPr>
                <w:rFonts w:ascii="Inter" w:hAnsi="Inter" w:cs="Inter" w:eastAsia="Inter"/>
                <w:b w:val="0"/>
                <w:i w:val="0"/>
                <w:color w:val="1A1A1A"/>
                <w:sz w:val="19"/>
              </w:rPr>
              <w:t>The guidance itself is a recommendation, not law. This tool is a development instrument, not a compliance check.</w:t>
            </w:r>
          </w:p>
        </w:tc>
      </w:tr>
    </w:tbl>
    <w:p>
      <w:pPr>
        <w:spacing w:after="240" w:before="0" w:line="276" w:lineRule="auto"/>
      </w:pPr>
    </w:p>
    <w:p>
      <w:pPr>
        <w:spacing w:after="80" w:before="160" w:line="276" w:lineRule="auto"/>
      </w:pPr>
      <w:r>
        <w:rPr>
          <w:rFonts w:ascii="Lexend" w:hAnsi="Lexend" w:cs="Lexend" w:eastAsia="Lexend"/>
          <w:b/>
          <w:i w:val="0"/>
          <w:color w:val="1A1A1A"/>
          <w:sz w:val="26"/>
        </w:rPr>
        <w:t>Why this tool is different</w:t>
      </w:r>
    </w:p>
    <w:p>
      <w:pPr>
        <w:spacing w:after="60" w:before="0" w:line="276" w:lineRule="auto"/>
      </w:pPr>
      <w:r>
        <w:rPr>
          <w:rFonts w:ascii="Inter" w:hAnsi="Inter" w:cs="Inter" w:eastAsia="Inter"/>
          <w:b/>
          <w:i w:val="0"/>
          <w:color w:val="128770"/>
          <w:sz w:val="20"/>
        </w:rPr>
        <w:t xml:space="preserve">→  </w:t>
      </w:r>
      <w:r>
        <w:rPr>
          <w:rFonts w:ascii="Inter" w:hAnsi="Inter" w:cs="Inter" w:eastAsia="Inter"/>
          <w:b w:val="0"/>
          <w:i w:val="0"/>
          <w:color w:val="1A1A1A"/>
          <w:sz w:val="20"/>
        </w:rPr>
        <w:t>Every criterion carries the guidance sentence it came from, so you can check us.</w:t>
      </w:r>
    </w:p>
    <w:p>
      <w:pPr>
        <w:spacing w:after="60" w:before="0" w:line="276" w:lineRule="auto"/>
      </w:pPr>
      <w:r>
        <w:rPr>
          <w:rFonts w:ascii="Inter" w:hAnsi="Inter" w:cs="Inter" w:eastAsia="Inter"/>
          <w:b/>
          <w:i w:val="0"/>
          <w:color w:val="128770"/>
          <w:sz w:val="20"/>
        </w:rPr>
        <w:t xml:space="preserve">→  </w:t>
      </w:r>
      <w:r>
        <w:rPr>
          <w:rFonts w:ascii="Inter" w:hAnsi="Inter" w:cs="Inter" w:eastAsia="Inter"/>
          <w:b w:val="0"/>
          <w:i w:val="0"/>
          <w:color w:val="1A1A1A"/>
          <w:sz w:val="20"/>
        </w:rPr>
        <w:t>Every criterion has anchored descriptors at 1, 3 and 5, so a score means something specific rather than a feeling.</w:t>
      </w:r>
    </w:p>
    <w:p>
      <w:pPr>
        <w:spacing w:after="60" w:before="0" w:line="276" w:lineRule="auto"/>
      </w:pPr>
      <w:r>
        <w:rPr>
          <w:rFonts w:ascii="Inter" w:hAnsi="Inter" w:cs="Inter" w:eastAsia="Inter"/>
          <w:b/>
          <w:i w:val="0"/>
          <w:color w:val="128770"/>
          <w:sz w:val="20"/>
        </w:rPr>
        <w:t xml:space="preserve">→  </w:t>
      </w:r>
      <w:r>
        <w:rPr>
          <w:rFonts w:ascii="Inter" w:hAnsi="Inter" w:cs="Inter" w:eastAsia="Inter"/>
          <w:b w:val="0"/>
          <w:i w:val="0"/>
          <w:color w:val="1A1A1A"/>
          <w:sz w:val="20"/>
        </w:rPr>
        <w:t>The evidence column sits to the left of the rating column on purpose. Fill it in first.</w:t>
      </w:r>
    </w:p>
    <w:p>
      <w:pPr>
        <w:spacing w:after="60" w:before="0" w:line="276" w:lineRule="auto"/>
      </w:pPr>
      <w:r>
        <w:rPr>
          <w:rFonts w:ascii="Inter" w:hAnsi="Inter" w:cs="Inter" w:eastAsia="Inter"/>
          <w:b/>
          <w:i w:val="0"/>
          <w:color w:val="128770"/>
          <w:sz w:val="20"/>
        </w:rPr>
        <w:t xml:space="preserve">→  </w:t>
      </w:r>
      <w:r>
        <w:rPr>
          <w:rFonts w:ascii="Inter" w:hAnsi="Inter" w:cs="Inter" w:eastAsia="Inter"/>
          <w:b w:val="0"/>
          <w:i w:val="0"/>
          <w:color w:val="1A1A1A"/>
          <w:sz w:val="20"/>
        </w:rPr>
        <w:t>Suggested next steps are drawn from the EEF's Special Educational Needs in Mainstream Schools guidance report, not invented.</w:t>
      </w:r>
    </w:p>
    <w:p>
      <w:pPr>
        <w:spacing w:after="200" w:before="0" w:line="276" w:lineRule="auto"/>
      </w:pPr>
    </w:p>
    <w:p>
      <w:pPr>
        <w:spacing w:after="120" w:before="120" w:line="276" w:lineRule="auto"/>
      </w:pPr>
      <w:r>
        <w:rPr>
          <w:rFonts w:ascii="Inter" w:hAnsi="Inter" w:cs="Inter" w:eastAsia="Inter"/>
          <w:b w:val="0"/>
          <w:i/>
          <w:color w:val="666666"/>
          <w:sz w:val="16"/>
        </w:rPr>
        <w:t>Version 0.2-draft  ·  2026-07-25  ·  Source: Inclusion bases in schools guidance, Department for Education, June 2026</w:t>
      </w:r>
    </w:p>
    <w:p>
      <w:pPr>
        <w:spacing w:after="20" w:before="0" w:line="276" w:lineRule="auto"/>
        <w:pageBreakBefore/>
      </w:pPr>
      <w:r>
        <w:rPr>
          <w:rFonts w:ascii="Lexend" w:hAnsi="Lexend" w:cs="Lexend" w:eastAsia="Lexend"/>
          <w:b/>
          <w:i w:val="0"/>
          <w:color w:val="128770"/>
          <w:sz w:val="16"/>
        </w:rPr>
        <w:t>PAGE 1</w:t>
      </w:r>
    </w:p>
    <w:p>
      <w:pPr>
        <w:spacing w:after="80" w:before="0" w:line="276" w:lineRule="auto"/>
      </w:pPr>
      <w:r>
        <w:rPr>
          <w:rFonts w:ascii="Lexend" w:hAnsi="Lexend" w:cs="Lexend" w:eastAsia="Lexend"/>
          <w:b/>
          <w:i w:val="0"/>
          <w:color w:val="1A1A1A"/>
          <w:sz w:val="44"/>
        </w:rPr>
        <w:t>Where does your base sit on the continuum?</w:t>
      </w:r>
    </w:p>
    <w:p>
      <w:pPr>
        <w:spacing w:after="160" w:before="40"/>
        <w:pBdr>
          <w:bottom w:val="single" w:sz="12" w:space="1" w:color="128770"/>
        </w:pBdr>
      </w:pPr>
    </w:p>
    <w:p>
      <w:pPr>
        <w:spacing w:after="200" w:before="0" w:line="276" w:lineRule="auto"/>
      </w:pPr>
      <w:r>
        <w:rPr>
          <w:rFonts w:ascii="Inter" w:hAnsi="Inter" w:cs="Inter" w:eastAsia="Inter"/>
          <w:b w:val="0"/>
          <w:i w:val="0"/>
          <w:color w:val="1A1A1A"/>
          <w:sz w:val="21"/>
        </w:rPr>
        <w:t>Mark today's position and your intended position on the continuum from 'base provides access to a dedicated learning area' to 'base supports access to mainstream classes'. Then name the single barrier that moves you along it.</w:t>
      </w:r>
    </w:p>
    <w:tbl>
      <w:tblPr>
        <w:tblStyle w:val="TableGrid"/>
        <w:tblW w:type="auto" w:w="0"/>
        <w:tblLayout w:type="fixed"/>
        <w:tblLook w:firstColumn="1" w:firstRow="1" w:lastColumn="0" w:lastRow="0" w:noHBand="0" w:noVBand="1" w:val="04A0"/>
      </w:tblPr>
      <w:tblGrid>
        <w:gridCol w:w="2211"/>
        <w:gridCol w:w="2211"/>
        <w:gridCol w:w="2211"/>
        <w:gridCol w:w="2211"/>
        <w:gridCol w:w="2211"/>
        <w:gridCol w:w="2211"/>
        <w:gridCol w:w="2211"/>
      </w:tblGrid>
      <w:tr>
        <w:tc>
          <w:tcPr>
            <w:tcW w:type="dxa" w:w="2438"/>
            <w:shd w:val="clear" w:color="auto" w:fill="F7F7F7"/>
            <w:tcMar>
              <w:top w:w="60" w:type="dxa"/>
              <w:bottom w:w="60" w:type="dxa"/>
              <w:left w:w="90" w:type="dxa"/>
              <w:right w:w="90" w:type="dxa"/>
            </w:tcMar>
            <w:vAlign w:val="top"/>
          </w:tcPr>
          <w:p>
            <w:pPr>
              <w:spacing w:before="0" w:after="40" w:line="259" w:lineRule="auto"/>
            </w:pPr>
            <w:r>
              <w:rPr>
                <w:rFonts w:ascii="Inter" w:hAnsi="Inter" w:cs="Inter" w:eastAsia="Inter"/>
                <w:b/>
                <w:i w:val="0"/>
                <w:color w:val="128770"/>
                <w:sz w:val="17"/>
              </w:rPr>
            </w:r>
          </w:p>
        </w:tc>
        <w:tc>
          <w:tcPr>
            <w:tcW w:type="dxa" w:w="2154"/>
            <w:shd w:val="clear" w:color="auto" w:fill="D6E9E5"/>
            <w:tcMar>
              <w:top w:w="60" w:type="dxa"/>
              <w:bottom w:w="60" w:type="dxa"/>
              <w:left w:w="90" w:type="dxa"/>
              <w:right w:w="90" w:type="dxa"/>
            </w:tcMar>
            <w:vAlign w:val="top"/>
          </w:tcPr>
          <w:p>
            <w:pPr>
              <w:spacing w:before="0" w:after="40" w:line="259" w:lineRule="auto"/>
            </w:pPr>
            <w:r>
              <w:rPr>
                <w:rFonts w:ascii="Inter" w:hAnsi="Inter" w:cs="Inter" w:eastAsia="Inter"/>
                <w:b/>
                <w:i w:val="0"/>
                <w:color w:val="128770"/>
                <w:sz w:val="17"/>
              </w:rPr>
              <w:t>A dedicated</w:t>
              <w:br/>
              <w:t>learning area</w:t>
            </w:r>
          </w:p>
        </w:tc>
        <w:tc>
          <w:tcPr>
            <w:tcW w:type="dxa" w:w="2154"/>
            <w:shd w:val="clear" w:color="auto" w:fill="F7F7F7"/>
            <w:tcMar>
              <w:top w:w="60" w:type="dxa"/>
              <w:bottom w:w="60" w:type="dxa"/>
              <w:left w:w="90" w:type="dxa"/>
              <w:right w:w="90" w:type="dxa"/>
            </w:tcMar>
            <w:vAlign w:val="top"/>
          </w:tcPr>
          <w:p>
            <w:pPr>
              <w:spacing w:before="0" w:after="40" w:line="259" w:lineRule="auto"/>
            </w:pPr>
            <w:r>
              <w:rPr>
                <w:rFonts w:ascii="Inter" w:hAnsi="Inter" w:cs="Inter" w:eastAsia="Inter"/>
                <w:b/>
                <w:i w:val="0"/>
                <w:color w:val="128770"/>
                <w:sz w:val="17"/>
              </w:rPr>
            </w:r>
          </w:p>
        </w:tc>
        <w:tc>
          <w:tcPr>
            <w:tcW w:type="dxa" w:w="2154"/>
            <w:shd w:val="clear" w:color="auto" w:fill="D6E9E5"/>
            <w:tcMar>
              <w:top w:w="60" w:type="dxa"/>
              <w:bottom w:w="60" w:type="dxa"/>
              <w:left w:w="90" w:type="dxa"/>
              <w:right w:w="90" w:type="dxa"/>
            </w:tcMar>
            <w:vAlign w:val="top"/>
          </w:tcPr>
          <w:p>
            <w:pPr>
              <w:spacing w:before="0" w:after="40" w:line="259" w:lineRule="auto"/>
            </w:pPr>
            <w:r>
              <w:rPr>
                <w:rFonts w:ascii="Inter" w:hAnsi="Inter" w:cs="Inter" w:eastAsia="Inter"/>
                <w:b/>
                <w:i w:val="0"/>
                <w:color w:val="128770"/>
                <w:sz w:val="17"/>
              </w:rPr>
              <w:t>Balanced</w:t>
            </w:r>
          </w:p>
        </w:tc>
        <w:tc>
          <w:tcPr>
            <w:tcW w:type="dxa" w:w="2154"/>
            <w:shd w:val="clear" w:color="auto" w:fill="F7F7F7"/>
            <w:tcMar>
              <w:top w:w="60" w:type="dxa"/>
              <w:bottom w:w="60" w:type="dxa"/>
              <w:left w:w="90" w:type="dxa"/>
              <w:right w:w="90" w:type="dxa"/>
            </w:tcMar>
            <w:vAlign w:val="top"/>
          </w:tcPr>
          <w:p>
            <w:pPr>
              <w:spacing w:before="0" w:after="40" w:line="259" w:lineRule="auto"/>
            </w:pPr>
            <w:r>
              <w:rPr>
                <w:rFonts w:ascii="Inter" w:hAnsi="Inter" w:cs="Inter" w:eastAsia="Inter"/>
                <w:b/>
                <w:i w:val="0"/>
                <w:color w:val="128770"/>
                <w:sz w:val="17"/>
              </w:rPr>
            </w:r>
          </w:p>
        </w:tc>
        <w:tc>
          <w:tcPr>
            <w:tcW w:type="dxa" w:w="2154"/>
            <w:shd w:val="clear" w:color="auto" w:fill="D6E9E5"/>
            <w:tcMar>
              <w:top w:w="60" w:type="dxa"/>
              <w:bottom w:w="60" w:type="dxa"/>
              <w:left w:w="90" w:type="dxa"/>
              <w:right w:w="90" w:type="dxa"/>
            </w:tcMar>
            <w:vAlign w:val="top"/>
          </w:tcPr>
          <w:p>
            <w:pPr>
              <w:spacing w:before="0" w:after="40" w:line="259" w:lineRule="auto"/>
            </w:pPr>
            <w:r>
              <w:rPr>
                <w:rFonts w:ascii="Inter" w:hAnsi="Inter" w:cs="Inter" w:eastAsia="Inter"/>
                <w:b/>
                <w:i w:val="0"/>
                <w:color w:val="128770"/>
                <w:sz w:val="17"/>
              </w:rPr>
              <w:t>Access to</w:t>
              <w:br/>
              <w:t>mainstream classes</w:t>
            </w:r>
          </w:p>
        </w:tc>
        <w:tc>
          <w:tcPr>
            <w:tcW w:type="dxa" w:w="2268"/>
            <w:shd w:val="clear" w:color="auto" w:fill="F7F7F7"/>
            <w:tcMar>
              <w:top w:w="60" w:type="dxa"/>
              <w:bottom w:w="60" w:type="dxa"/>
              <w:left w:w="90" w:type="dxa"/>
              <w:right w:w="90" w:type="dxa"/>
            </w:tcMar>
            <w:vAlign w:val="top"/>
          </w:tcPr>
          <w:p>
            <w:pPr>
              <w:spacing w:before="0" w:after="40" w:line="259" w:lineRule="auto"/>
            </w:pPr>
            <w:r>
              <w:rPr>
                <w:rFonts w:ascii="Inter" w:hAnsi="Inter" w:cs="Inter" w:eastAsia="Inter"/>
                <w:b/>
                <w:i w:val="0"/>
                <w:color w:val="128770"/>
                <w:sz w:val="17"/>
              </w:rPr>
            </w:r>
          </w:p>
        </w:tc>
      </w:tr>
      <w:tr>
        <w:trPr>
          <w:trHeight w:val="793" w:hRule="atLeast"/>
        </w:trPr>
        <w:tc>
          <w:tcPr>
            <w:tcW w:type="dxa" w:w="2438"/>
            <w:tcMar>
              <w:top w:w="60" w:type="dxa"/>
              <w:bottom w:w="60" w:type="dxa"/>
              <w:left w:w="90" w:type="dxa"/>
              <w:right w:w="90" w:type="dxa"/>
            </w:tcMar>
            <w:shd w:val="clear" w:color="auto" w:fill="F1F7F6"/>
            <w:vAlign w:val="center"/>
          </w:tcPr>
          <w:p>
            <w:pPr>
              <w:spacing w:before="0" w:after="40" w:line="259" w:lineRule="auto"/>
            </w:pPr>
            <w:r>
              <w:rPr>
                <w:rFonts w:ascii="Inter" w:hAnsi="Inter" w:cs="Inter" w:eastAsia="Inter"/>
                <w:b/>
                <w:i w:val="0"/>
                <w:color w:val="1A1A1A"/>
                <w:sz w:val="19"/>
              </w:rPr>
              <w:t>Where our base sits today</w:t>
            </w:r>
          </w:p>
          <w:p>
            <w:pPr>
              <w:spacing w:before="0" w:after="40" w:line="259" w:lineRule="auto"/>
            </w:pPr>
            <w:r>
              <w:rPr>
                <w:rFonts w:ascii="Inter" w:hAnsi="Inter" w:cs="Inter" w:eastAsia="Inter"/>
                <w:b w:val="0"/>
                <w:i/>
                <w:color w:val="666666"/>
                <w:sz w:val="16"/>
              </w:rPr>
              <w:t>mark X</w:t>
            </w:r>
          </w:p>
        </w:tc>
        <w:tc>
          <w:tcPr>
            <w:tcW w:type="dxa" w:w="2154"/>
            <w:tcMar>
              <w:top w:w="60" w:type="dxa"/>
              <w:bottom w:w="60" w:type="dxa"/>
              <w:left w:w="90" w:type="dxa"/>
              <w:right w:w="90" w:type="dxa"/>
            </w:tcMar>
            <w:vAlign w:val="center"/>
          </w:tcPr>
          <w:p>
            <w:pPr>
              <w:spacing w:before="0" w:after="40" w:line="259" w:lineRule="auto"/>
            </w:pPr>
            <w:r>
              <w:rPr>
                <w:rFonts w:ascii="Inter" w:hAnsi="Inter" w:cs="Inter" w:eastAsia="Inter"/>
                <w:b w:val="0"/>
                <w:i w:val="0"/>
                <w:color w:val="1A1A1A"/>
                <w:sz w:val="18"/>
              </w:rPr>
            </w:r>
          </w:p>
        </w:tc>
        <w:tc>
          <w:tcPr>
            <w:tcW w:type="dxa" w:w="2154"/>
            <w:tcMar>
              <w:top w:w="60" w:type="dxa"/>
              <w:bottom w:w="60" w:type="dxa"/>
              <w:left w:w="90" w:type="dxa"/>
              <w:right w:w="90" w:type="dxa"/>
            </w:tcMar>
            <w:vAlign w:val="center"/>
          </w:tcPr>
          <w:p>
            <w:pPr>
              <w:spacing w:before="0" w:after="40" w:line="259" w:lineRule="auto"/>
            </w:pPr>
            <w:r>
              <w:rPr>
                <w:rFonts w:ascii="Inter" w:hAnsi="Inter" w:cs="Inter" w:eastAsia="Inter"/>
                <w:b w:val="0"/>
                <w:i w:val="0"/>
                <w:color w:val="1A1A1A"/>
                <w:sz w:val="18"/>
              </w:rPr>
            </w:r>
          </w:p>
        </w:tc>
        <w:tc>
          <w:tcPr>
            <w:tcW w:type="dxa" w:w="2154"/>
            <w:tcMar>
              <w:top w:w="60" w:type="dxa"/>
              <w:bottom w:w="60" w:type="dxa"/>
              <w:left w:w="90" w:type="dxa"/>
              <w:right w:w="90" w:type="dxa"/>
            </w:tcMar>
            <w:vAlign w:val="center"/>
          </w:tcPr>
          <w:p>
            <w:pPr>
              <w:spacing w:before="0" w:after="40" w:line="259" w:lineRule="auto"/>
            </w:pPr>
            <w:r>
              <w:rPr>
                <w:rFonts w:ascii="Inter" w:hAnsi="Inter" w:cs="Inter" w:eastAsia="Inter"/>
                <w:b w:val="0"/>
                <w:i w:val="0"/>
                <w:color w:val="1A1A1A"/>
                <w:sz w:val="18"/>
              </w:rPr>
            </w:r>
          </w:p>
        </w:tc>
        <w:tc>
          <w:tcPr>
            <w:tcW w:type="dxa" w:w="2154"/>
            <w:tcMar>
              <w:top w:w="60" w:type="dxa"/>
              <w:bottom w:w="60" w:type="dxa"/>
              <w:left w:w="90" w:type="dxa"/>
              <w:right w:w="90" w:type="dxa"/>
            </w:tcMar>
            <w:vAlign w:val="center"/>
          </w:tcPr>
          <w:p>
            <w:pPr>
              <w:spacing w:before="0" w:after="40" w:line="259" w:lineRule="auto"/>
            </w:pPr>
            <w:r>
              <w:rPr>
                <w:rFonts w:ascii="Inter" w:hAnsi="Inter" w:cs="Inter" w:eastAsia="Inter"/>
                <w:b w:val="0"/>
                <w:i w:val="0"/>
                <w:color w:val="1A1A1A"/>
                <w:sz w:val="18"/>
              </w:rPr>
            </w:r>
          </w:p>
        </w:tc>
        <w:tc>
          <w:tcPr>
            <w:tcW w:type="dxa" w:w="2154"/>
            <w:tcMar>
              <w:top w:w="60" w:type="dxa"/>
              <w:bottom w:w="60" w:type="dxa"/>
              <w:left w:w="90" w:type="dxa"/>
              <w:right w:w="90" w:type="dxa"/>
            </w:tcMar>
            <w:vAlign w:val="center"/>
          </w:tcPr>
          <w:p>
            <w:pPr>
              <w:spacing w:before="0" w:after="40" w:line="259" w:lineRule="auto"/>
            </w:pPr>
            <w:r>
              <w:rPr>
                <w:rFonts w:ascii="Inter" w:hAnsi="Inter" w:cs="Inter" w:eastAsia="Inter"/>
                <w:b w:val="0"/>
                <w:i w:val="0"/>
                <w:color w:val="1A1A1A"/>
                <w:sz w:val="18"/>
              </w:rPr>
            </w:r>
          </w:p>
        </w:tc>
        <w:tc>
          <w:tcPr>
            <w:tcW w:type="dxa" w:w="2268"/>
            <w:tcMar>
              <w:top w:w="60" w:type="dxa"/>
              <w:bottom w:w="60" w:type="dxa"/>
              <w:left w:w="90" w:type="dxa"/>
              <w:right w:w="90" w:type="dxa"/>
            </w:tcMar>
            <w:vAlign w:val="center"/>
          </w:tcPr>
          <w:p>
            <w:pPr>
              <w:spacing w:before="0" w:after="40" w:line="259" w:lineRule="auto"/>
            </w:pPr>
            <w:r>
              <w:rPr>
                <w:rFonts w:ascii="Inter" w:hAnsi="Inter" w:cs="Inter" w:eastAsia="Inter"/>
                <w:b w:val="0"/>
                <w:i w:val="0"/>
                <w:color w:val="1A1A1A"/>
                <w:sz w:val="18"/>
              </w:rPr>
            </w:r>
          </w:p>
        </w:tc>
      </w:tr>
      <w:tr>
        <w:trPr>
          <w:trHeight w:val="793" w:hRule="atLeast"/>
        </w:trPr>
        <w:tc>
          <w:tcPr>
            <w:tcW w:type="dxa" w:w="2438"/>
            <w:tcMar>
              <w:top w:w="60" w:type="dxa"/>
              <w:bottom w:w="60" w:type="dxa"/>
              <w:left w:w="90" w:type="dxa"/>
              <w:right w:w="90" w:type="dxa"/>
            </w:tcMar>
            <w:shd w:val="clear" w:color="auto" w:fill="F1F7F6"/>
            <w:vAlign w:val="center"/>
          </w:tcPr>
          <w:p>
            <w:pPr>
              <w:spacing w:before="0" w:after="40" w:line="259" w:lineRule="auto"/>
            </w:pPr>
            <w:r>
              <w:rPr>
                <w:rFonts w:ascii="Inter" w:hAnsi="Inter" w:cs="Inter" w:eastAsia="Inter"/>
                <w:b/>
                <w:i w:val="0"/>
                <w:color w:val="1A1A1A"/>
                <w:sz w:val="19"/>
              </w:rPr>
              <w:t>Where we intend it to sit</w:t>
            </w:r>
          </w:p>
          <w:p>
            <w:pPr>
              <w:spacing w:before="0" w:after="40" w:line="259" w:lineRule="auto"/>
            </w:pPr>
            <w:r>
              <w:rPr>
                <w:rFonts w:ascii="Inter" w:hAnsi="Inter" w:cs="Inter" w:eastAsia="Inter"/>
                <w:b w:val="0"/>
                <w:i/>
                <w:color w:val="666666"/>
                <w:sz w:val="16"/>
              </w:rPr>
              <w:t>mark X</w:t>
            </w:r>
          </w:p>
        </w:tc>
        <w:tc>
          <w:tcPr>
            <w:tcW w:type="dxa" w:w="2154"/>
            <w:tcMar>
              <w:top w:w="60" w:type="dxa"/>
              <w:bottom w:w="60" w:type="dxa"/>
              <w:left w:w="90" w:type="dxa"/>
              <w:right w:w="90" w:type="dxa"/>
            </w:tcMar>
            <w:vAlign w:val="center"/>
          </w:tcPr>
          <w:p>
            <w:pPr>
              <w:spacing w:before="0" w:after="40" w:line="259" w:lineRule="auto"/>
            </w:pPr>
            <w:r>
              <w:rPr>
                <w:rFonts w:ascii="Inter" w:hAnsi="Inter" w:cs="Inter" w:eastAsia="Inter"/>
                <w:b w:val="0"/>
                <w:i w:val="0"/>
                <w:color w:val="1A1A1A"/>
                <w:sz w:val="18"/>
              </w:rPr>
            </w:r>
          </w:p>
        </w:tc>
        <w:tc>
          <w:tcPr>
            <w:tcW w:type="dxa" w:w="2154"/>
            <w:tcMar>
              <w:top w:w="60" w:type="dxa"/>
              <w:bottom w:w="60" w:type="dxa"/>
              <w:left w:w="90" w:type="dxa"/>
              <w:right w:w="90" w:type="dxa"/>
            </w:tcMar>
            <w:vAlign w:val="center"/>
          </w:tcPr>
          <w:p>
            <w:pPr>
              <w:spacing w:before="0" w:after="40" w:line="259" w:lineRule="auto"/>
            </w:pPr>
            <w:r>
              <w:rPr>
                <w:rFonts w:ascii="Inter" w:hAnsi="Inter" w:cs="Inter" w:eastAsia="Inter"/>
                <w:b w:val="0"/>
                <w:i w:val="0"/>
                <w:color w:val="1A1A1A"/>
                <w:sz w:val="18"/>
              </w:rPr>
            </w:r>
          </w:p>
        </w:tc>
        <w:tc>
          <w:tcPr>
            <w:tcW w:type="dxa" w:w="2154"/>
            <w:tcMar>
              <w:top w:w="60" w:type="dxa"/>
              <w:bottom w:w="60" w:type="dxa"/>
              <w:left w:w="90" w:type="dxa"/>
              <w:right w:w="90" w:type="dxa"/>
            </w:tcMar>
            <w:vAlign w:val="center"/>
          </w:tcPr>
          <w:p>
            <w:pPr>
              <w:spacing w:before="0" w:after="40" w:line="259" w:lineRule="auto"/>
            </w:pPr>
            <w:r>
              <w:rPr>
                <w:rFonts w:ascii="Inter" w:hAnsi="Inter" w:cs="Inter" w:eastAsia="Inter"/>
                <w:b w:val="0"/>
                <w:i w:val="0"/>
                <w:color w:val="1A1A1A"/>
                <w:sz w:val="18"/>
              </w:rPr>
            </w:r>
          </w:p>
        </w:tc>
        <w:tc>
          <w:tcPr>
            <w:tcW w:type="dxa" w:w="2154"/>
            <w:tcMar>
              <w:top w:w="60" w:type="dxa"/>
              <w:bottom w:w="60" w:type="dxa"/>
              <w:left w:w="90" w:type="dxa"/>
              <w:right w:w="90" w:type="dxa"/>
            </w:tcMar>
            <w:vAlign w:val="center"/>
          </w:tcPr>
          <w:p>
            <w:pPr>
              <w:spacing w:before="0" w:after="40" w:line="259" w:lineRule="auto"/>
            </w:pPr>
            <w:r>
              <w:rPr>
                <w:rFonts w:ascii="Inter" w:hAnsi="Inter" w:cs="Inter" w:eastAsia="Inter"/>
                <w:b w:val="0"/>
                <w:i w:val="0"/>
                <w:color w:val="1A1A1A"/>
                <w:sz w:val="18"/>
              </w:rPr>
            </w:r>
          </w:p>
        </w:tc>
        <w:tc>
          <w:tcPr>
            <w:tcW w:type="dxa" w:w="2154"/>
            <w:tcMar>
              <w:top w:w="60" w:type="dxa"/>
              <w:bottom w:w="60" w:type="dxa"/>
              <w:left w:w="90" w:type="dxa"/>
              <w:right w:w="90" w:type="dxa"/>
            </w:tcMar>
            <w:vAlign w:val="center"/>
          </w:tcPr>
          <w:p>
            <w:pPr>
              <w:spacing w:before="0" w:after="40" w:line="259" w:lineRule="auto"/>
            </w:pPr>
            <w:r>
              <w:rPr>
                <w:rFonts w:ascii="Inter" w:hAnsi="Inter" w:cs="Inter" w:eastAsia="Inter"/>
                <w:b w:val="0"/>
                <w:i w:val="0"/>
                <w:color w:val="1A1A1A"/>
                <w:sz w:val="18"/>
              </w:rPr>
            </w:r>
          </w:p>
        </w:tc>
        <w:tc>
          <w:tcPr>
            <w:tcW w:type="dxa" w:w="2268"/>
            <w:tcMar>
              <w:top w:w="60" w:type="dxa"/>
              <w:bottom w:w="60" w:type="dxa"/>
              <w:left w:w="90" w:type="dxa"/>
              <w:right w:w="90" w:type="dxa"/>
            </w:tcMar>
            <w:vAlign w:val="center"/>
          </w:tcPr>
          <w:p>
            <w:pPr>
              <w:spacing w:before="0" w:after="40" w:line="259" w:lineRule="auto"/>
            </w:pPr>
            <w:r>
              <w:rPr>
                <w:rFonts w:ascii="Inter" w:hAnsi="Inter" w:cs="Inter" w:eastAsia="Inter"/>
                <w:b w:val="0"/>
                <w:i w:val="0"/>
                <w:color w:val="1A1A1A"/>
                <w:sz w:val="18"/>
              </w:rPr>
            </w:r>
          </w:p>
        </w:tc>
      </w:tr>
      <w:tr>
        <w:trPr>
          <w:trHeight w:val="1474" w:hRule="atLeast"/>
        </w:trPr>
        <w:tc>
          <w:tcPr>
            <w:tcW w:type="dxa" w:w="2438"/>
            <w:shd w:val="clear" w:color="auto" w:fill="F1F7F6"/>
            <w:tcMar>
              <w:top w:w="60" w:type="dxa"/>
              <w:bottom w:w="60" w:type="dxa"/>
              <w:left w:w="90" w:type="dxa"/>
              <w:right w:w="90" w:type="dxa"/>
            </w:tcMar>
            <w:vAlign w:val="center"/>
          </w:tcPr>
          <w:p>
            <w:pPr>
              <w:spacing w:before="0" w:after="40" w:line="259" w:lineRule="auto"/>
            </w:pPr>
            <w:r>
              <w:rPr>
                <w:rFonts w:ascii="Inter" w:hAnsi="Inter" w:cs="Inter" w:eastAsia="Inter"/>
                <w:b/>
                <w:i w:val="0"/>
                <w:color w:val="1A1A1A"/>
                <w:sz w:val="19"/>
              </w:rPr>
              <w:t>The single barrier that moves us along it</w:t>
            </w:r>
          </w:p>
        </w:tc>
        <w:tc>
          <w:tcPr>
            <w:tcW w:type="dxa" w:w="13038"/>
            <w:gridSpan w:val="6"/>
            <w:tcMar>
              <w:top w:w="60" w:type="dxa"/>
              <w:bottom w:w="60" w:type="dxa"/>
              <w:left w:w="90" w:type="dxa"/>
              <w:right w:w="90" w:type="dxa"/>
            </w:tcMar>
            <w:vAlign w:val="top"/>
          </w:tcPr>
          <w:p>
            <w:pPr>
              <w:spacing w:before="0" w:after="40" w:line="259" w:lineRule="auto"/>
            </w:pPr>
            <w:r>
              <w:rPr>
                <w:rFonts w:ascii="Inter" w:hAnsi="Inter" w:cs="Inter" w:eastAsia="Inter"/>
                <w:b w:val="0"/>
                <w:i w:val="0"/>
                <w:color w:val="1A1A1A"/>
                <w:sz w:val="18"/>
              </w:rPr>
            </w:r>
          </w:p>
        </w:tc>
      </w:tr>
    </w:tbl>
    <w:p>
      <w:pPr>
        <w:spacing w:after="160" w:before="0" w:line="276" w:lineRule="auto"/>
      </w:pPr>
    </w:p>
    <w:p>
      <w:pPr>
        <w:spacing w:after="120" w:before="120" w:line="276" w:lineRule="auto"/>
      </w:pPr>
      <w:r>
        <w:rPr>
          <w:rFonts w:ascii="Inter" w:hAnsi="Inter" w:cs="Inter" w:eastAsia="Inter"/>
          <w:b w:val="0"/>
          <w:i/>
          <w:color w:val="666666"/>
          <w:sz w:val="19"/>
        </w:rPr>
        <w:t>The guidance states the ambition is to move along the continuum by removing barriers and increasing participation, while recognising that long-term access to a base as a dedicated learning area is appropriate for some learners and fully compatible with inclusion.</w:t>
      </w:r>
    </w:p>
    <w:p>
      <w:pPr>
        <w:spacing w:after="120" w:before="40" w:line="276" w:lineRule="auto"/>
      </w:pPr>
      <w:r>
        <w:rPr>
          <w:rFonts w:ascii="Inter" w:hAnsi="Inter" w:cs="Inter" w:eastAsia="Inter"/>
          <w:b w:val="0"/>
          <w:i w:val="0"/>
          <w:color w:val="666666"/>
          <w:sz w:val="17"/>
        </w:rPr>
        <w:t>Adapted from Figure 1 of the guidance, which credits Strogilos and Ward (2024). Position on the continuum is a design choice about time in mainstream classes. It is not a quality judgement, and the guidance is explicit that a dedicated learning area remains the right answer for some learners.</w:t>
      </w:r>
    </w:p>
    <w:p>
      <w:pPr>
        <w:spacing w:after="20" w:before="0" w:line="276" w:lineRule="auto"/>
        <w:pageBreakBefore/>
      </w:pPr>
      <w:r>
        <w:rPr>
          <w:rFonts w:ascii="Lexend" w:hAnsi="Lexend" w:cs="Lexend" w:eastAsia="Lexend"/>
          <w:b/>
          <w:i w:val="0"/>
          <w:color w:val="128770"/>
          <w:sz w:val="16"/>
        </w:rPr>
        <w:t>PAGE 2</w:t>
      </w:r>
    </w:p>
    <w:p>
      <w:pPr>
        <w:spacing w:after="80" w:before="0" w:line="276" w:lineRule="auto"/>
      </w:pPr>
      <w:r>
        <w:rPr>
          <w:rFonts w:ascii="Lexend" w:hAnsi="Lexend" w:cs="Lexend" w:eastAsia="Lexend"/>
          <w:b/>
          <w:i w:val="0"/>
          <w:color w:val="1A1A1A"/>
          <w:sz w:val="44"/>
        </w:rPr>
        <w:t>How to use this tool honestly</w:t>
      </w:r>
    </w:p>
    <w:p>
      <w:pPr>
        <w:spacing w:after="160" w:before="40"/>
        <w:pBdr>
          <w:bottom w:val="single" w:sz="12" w:space="1" w:color="128770"/>
        </w:pBdr>
      </w:pPr>
    </w:p>
    <w:tbl>
      <w:tblPr>
        <w:tblW w:type="auto" w:w="0"/>
        <w:tblLayout w:type="fixed"/>
        <w:tblLook w:firstColumn="1" w:firstRow="1" w:lastColumn="0" w:lastRow="0" w:noHBand="0" w:noVBand="1" w:val="04A0"/>
      </w:tblPr>
      <w:tblGrid>
        <w:gridCol w:w="7739"/>
        <w:gridCol w:w="7739"/>
      </w:tblGrid>
      <w:tr>
        <w:tc>
          <w:tcPr>
            <w:tcW w:type="dxa" w:w="9071"/>
            <w:tcMar>
              <w:top w:w="60" w:type="dxa"/>
              <w:bottom w:w="60" w:type="dxa"/>
              <w:left w:w="0" w:type="dxa"/>
              <w:right w:w="200" w:type="dxa"/>
            </w:tcMar>
            <w:vAlign w:val="top"/>
          </w:tcPr>
          <w:p>
            <w:pPr>
              <w:spacing w:before="0" w:after="160" w:line="259" w:lineRule="auto"/>
            </w:pPr>
            <w:r>
              <w:rPr>
                <w:rFonts w:ascii="Inter" w:hAnsi="Inter" w:cs="Inter" w:eastAsia="Inter"/>
                <w:b/>
                <w:i w:val="0"/>
                <w:color w:val="128770"/>
                <w:sz w:val="21"/>
              </w:rPr>
              <w:t xml:space="preserve">1.  </w:t>
            </w:r>
            <w:r>
              <w:rPr>
                <w:rFonts w:ascii="Inter" w:hAnsi="Inter" w:cs="Inter" w:eastAsia="Inter"/>
                <w:b w:val="0"/>
                <w:i w:val="0"/>
                <w:color w:val="1A1A1A"/>
                <w:sz w:val="21"/>
              </w:rPr>
              <w:t>Complete the evidence column before you enter a rating. A rating without evidence is a guess.</w:t>
            </w:r>
          </w:p>
          <w:p>
            <w:pPr>
              <w:spacing w:before="0" w:after="160" w:line="259" w:lineRule="auto"/>
            </w:pPr>
            <w:r>
              <w:rPr>
                <w:rFonts w:ascii="Inter" w:hAnsi="Inter" w:cs="Inter" w:eastAsia="Inter"/>
                <w:b/>
                <w:i w:val="0"/>
                <w:color w:val="128770"/>
                <w:sz w:val="21"/>
              </w:rPr>
              <w:t xml:space="preserve">2.  </w:t>
            </w:r>
            <w:r>
              <w:rPr>
                <w:rFonts w:ascii="Inter" w:hAnsi="Inter" w:cs="Inter" w:eastAsia="Inter"/>
                <w:b w:val="0"/>
                <w:i w:val="0"/>
                <w:color w:val="1A1A1A"/>
                <w:sz w:val="21"/>
              </w:rPr>
              <w:t>Name a moderator who does not work in the base - a peer SENCO, a trust lead, or your local authority. Research on self-assessment shows scores inflate without external challenge, and inflate most where practice is least secure.</w:t>
            </w:r>
          </w:p>
          <w:p>
            <w:pPr>
              <w:spacing w:before="0" w:after="160" w:line="259" w:lineRule="auto"/>
            </w:pPr>
            <w:r>
              <w:rPr>
                <w:rFonts w:ascii="Inter" w:hAnsi="Inter" w:cs="Inter" w:eastAsia="Inter"/>
                <w:b/>
                <w:i w:val="0"/>
                <w:color w:val="128770"/>
                <w:sz w:val="21"/>
              </w:rPr>
              <w:t xml:space="preserve">3.  </w:t>
            </w:r>
            <w:r>
              <w:rPr>
                <w:rFonts w:ascii="Inter" w:hAnsi="Inter" w:cs="Inter" w:eastAsia="Inter"/>
                <w:b w:val="0"/>
                <w:i w:val="0"/>
                <w:color w:val="1A1A1A"/>
                <w:sz w:val="21"/>
              </w:rPr>
              <w:t>Set a re-rate date at the same time as the next step. Feedback is what makes the second rating more accurate than the first.</w:t>
            </w:r>
          </w:p>
          <w:p>
            <w:pPr>
              <w:spacing w:before="0" w:after="160" w:line="259" w:lineRule="auto"/>
            </w:pPr>
            <w:r>
              <w:rPr>
                <w:rFonts w:ascii="Inter" w:hAnsi="Inter" w:cs="Inter" w:eastAsia="Inter"/>
                <w:b/>
                <w:i w:val="0"/>
                <w:color w:val="128770"/>
                <w:sz w:val="21"/>
              </w:rPr>
              <w:t xml:space="preserve">4.  </w:t>
            </w:r>
            <w:r>
              <w:rPr>
                <w:rFonts w:ascii="Inter" w:hAnsi="Inter" w:cs="Inter" w:eastAsia="Inter"/>
                <w:b w:val="0"/>
                <w:i w:val="0"/>
                <w:color w:val="1A1A1A"/>
                <w:sz w:val="21"/>
              </w:rPr>
              <w:t>You do not have to work through the principles in order. Take the section that matters most this term.</w:t>
            </w:r>
          </w:p>
          <w:p>
            <w:pPr>
              <w:spacing w:before="0" w:after="160" w:line="259" w:lineRule="auto"/>
            </w:pPr>
            <w:r>
              <w:rPr>
                <w:rFonts w:ascii="Inter" w:hAnsi="Inter" w:cs="Inter" w:eastAsia="Inter"/>
                <w:b/>
                <w:i w:val="0"/>
                <w:color w:val="128770"/>
                <w:sz w:val="21"/>
              </w:rPr>
              <w:t xml:space="preserve">5.  </w:t>
            </w:r>
            <w:r>
              <w:rPr>
                <w:rFonts w:ascii="Inter" w:hAnsi="Inter" w:cs="Inter" w:eastAsia="Inter"/>
                <w:b w:val="0"/>
                <w:i w:val="0"/>
                <w:color w:val="1A1A1A"/>
                <w:sz w:val="21"/>
              </w:rPr>
              <w:t>This guidance is non-statutory. 'Should' is a recommendation. 'Must' marks an existing legal duty and is flagged in this tool.</w:t>
            </w:r>
          </w:p>
        </w:tc>
        <w:tc>
          <w:tcPr>
            <w:tcW w:type="dxa" w:w="6406"/>
            <w:shd w:val="clear" w:color="auto" w:fill="F1F7F6"/>
            <w:tcMar>
              <w:top w:w="160" w:type="dxa"/>
              <w:bottom w:w="160" w:type="dxa"/>
              <w:left w:w="180" w:type="dxa"/>
              <w:right w:w="180" w:type="dxa"/>
            </w:tcMar>
            <w:vAlign w:val="top"/>
          </w:tcPr>
          <w:p>
            <w:pPr>
              <w:spacing w:before="0" w:after="100" w:line="259" w:lineRule="auto"/>
            </w:pPr>
            <w:r>
              <w:rPr>
                <w:rFonts w:ascii="Lexend" w:hAnsi="Lexend" w:cs="Lexend" w:eastAsia="Lexend"/>
                <w:b/>
                <w:i w:val="0"/>
                <w:color w:val="128770"/>
                <w:sz w:val="22"/>
              </w:rPr>
              <w:t>Why the evidence column is compulsory</w:t>
            </w:r>
          </w:p>
          <w:p>
            <w:pPr>
              <w:spacing w:before="0" w:after="100" w:line="259" w:lineRule="auto"/>
            </w:pPr>
            <w:r>
              <w:rPr>
                <w:rFonts w:ascii="Inter" w:hAnsi="Inter" w:cs="Inter" w:eastAsia="Inter"/>
                <w:b w:val="0"/>
                <w:i w:val="0"/>
                <w:color w:val="1A1A1A"/>
                <w:sz w:val="19"/>
              </w:rPr>
              <w:t>Self-assessment inflates. A meta-analysis of 160 studies covering 29,352 people found an overall overestimation effect of g = 0.206. Overestimation shrinks with feedback, with experience of self-assessment, and with greater knowledge of the content.</w:t>
            </w:r>
          </w:p>
          <w:p>
            <w:pPr>
              <w:spacing w:before="0" w:after="100" w:line="259" w:lineRule="auto"/>
            </w:pPr>
            <w:r>
              <w:rPr>
                <w:rFonts w:ascii="Inter" w:hAnsi="Inter" w:cs="Inter" w:eastAsia="Inter"/>
                <w:b w:val="0"/>
                <w:i w:val="0"/>
                <w:color w:val="1A1A1A"/>
                <w:sz w:val="19"/>
              </w:rPr>
              <w:t>The practical consequence is uncomfortable. The schools whose practice is least secure are the schools most likely to rate themselves generously (Leon et al., 2021). A bare red-amber-green grid does nothing about that.</w:t>
            </w:r>
          </w:p>
          <w:p>
            <w:pPr>
              <w:spacing w:before="0" w:after="100" w:line="259" w:lineRule="auto"/>
            </w:pPr>
            <w:r>
              <w:rPr>
                <w:rFonts w:ascii="Inter" w:hAnsi="Inter" w:cs="Inter" w:eastAsia="Inter"/>
                <w:b w:val="0"/>
                <w:i w:val="0"/>
                <w:color w:val="1A1A1A"/>
                <w:sz w:val="19"/>
              </w:rPr>
              <w:t>So this tool asks for evidence before a score, names a moderator who does not work in the base, and sets a re-rate date. Those three things are the difference between an audit and a wish list.</w:t>
            </w:r>
          </w:p>
          <w:p>
            <w:pPr>
              <w:spacing w:before="0" w:after="100" w:line="259" w:lineRule="auto"/>
            </w:pPr>
            <w:r>
              <w:rPr>
                <w:rFonts w:ascii="Inter" w:hAnsi="Inter" w:cs="Inter" w:eastAsia="Inter"/>
                <w:b w:val="0"/>
                <w:i/>
                <w:color w:val="666666"/>
                <w:sz w:val="16"/>
              </w:rPr>
              <w:t>Leon et al. (2023), Educational Psychology Review</w:t>
            </w:r>
          </w:p>
        </w:tc>
      </w:tr>
    </w:tbl>
    <w:p>
      <w:pPr>
        <w:spacing w:after="200" w:before="0" w:line="276" w:lineRule="auto"/>
      </w:pPr>
    </w:p>
    <w:p>
      <w:pPr>
        <w:spacing w:after="80" w:before="160" w:line="276" w:lineRule="auto"/>
      </w:pPr>
      <w:r>
        <w:rPr>
          <w:rFonts w:ascii="Lexend" w:hAnsi="Lexend" w:cs="Lexend" w:eastAsia="Lexend"/>
          <w:b/>
          <w:i w:val="0"/>
          <w:color w:val="1A1A1A"/>
          <w:sz w:val="26"/>
        </w:rPr>
        <w:t>What each rating means</w:t>
      </w:r>
    </w:p>
    <w:tbl>
      <w:tblPr>
        <w:tblStyle w:val="TableGrid"/>
        <w:tblW w:type="auto" w:w="0"/>
        <w:tblLayout w:type="fixed"/>
        <w:tblLook w:firstColumn="1" w:firstRow="1" w:lastColumn="0" w:lastRow="0" w:noHBand="0" w:noVBand="1" w:val="04A0"/>
      </w:tblPr>
      <w:tblGrid>
        <w:gridCol w:w="5159"/>
        <w:gridCol w:w="5159"/>
        <w:gridCol w:w="5159"/>
      </w:tblGrid>
      <w:tr>
        <w:tc>
          <w:tcPr>
            <w:tcW w:type="dxa" w:w="5159"/>
            <w:tcMar>
              <w:top w:w="120" w:type="dxa"/>
              <w:bottom w:w="120" w:type="dxa"/>
              <w:left w:w="150" w:type="dxa"/>
              <w:right w:w="150" w:type="dxa"/>
            </w:tcMar>
            <w:shd w:val="clear" w:color="auto" w:fill="F7F7F7"/>
            <w:vAlign w:val="top"/>
          </w:tcPr>
          <w:p>
            <w:pPr>
              <w:spacing w:before="0" w:after="60" w:line="259" w:lineRule="auto"/>
            </w:pPr>
            <w:r>
              <w:rPr>
                <w:rFonts w:ascii="Lexend" w:hAnsi="Lexend" w:cs="Lexend" w:eastAsia="Lexend"/>
                <w:b/>
                <w:i w:val="0"/>
                <w:color w:val="128770"/>
                <w:sz w:val="40"/>
              </w:rPr>
              <w:t>1</w:t>
            </w:r>
          </w:p>
          <w:p>
            <w:pPr>
              <w:spacing w:before="0" w:after="60" w:line="259" w:lineRule="auto"/>
            </w:pPr>
            <w:r>
              <w:rPr>
                <w:rFonts w:ascii="Inter" w:hAnsi="Inter" w:cs="Inter" w:eastAsia="Inter"/>
                <w:b w:val="0"/>
                <w:i w:val="0"/>
                <w:color w:val="1A1A1A"/>
                <w:sz w:val="19"/>
              </w:rPr>
              <w:t>Not started, or in place for individual learners by chance rather than design.</w:t>
            </w:r>
          </w:p>
        </w:tc>
        <w:tc>
          <w:tcPr>
            <w:tcW w:type="dxa" w:w="5159"/>
            <w:tcMar>
              <w:top w:w="120" w:type="dxa"/>
              <w:bottom w:w="120" w:type="dxa"/>
              <w:left w:w="150" w:type="dxa"/>
              <w:right w:w="150" w:type="dxa"/>
            </w:tcMar>
            <w:shd w:val="clear" w:color="auto" w:fill="F7F7F7"/>
            <w:vAlign w:val="top"/>
          </w:tcPr>
          <w:p>
            <w:pPr>
              <w:spacing w:before="0" w:after="60" w:line="259" w:lineRule="auto"/>
            </w:pPr>
            <w:r>
              <w:rPr>
                <w:rFonts w:ascii="Lexend" w:hAnsi="Lexend" w:cs="Lexend" w:eastAsia="Lexend"/>
                <w:b/>
                <w:i w:val="0"/>
                <w:color w:val="128770"/>
                <w:sz w:val="40"/>
              </w:rPr>
              <w:t>3</w:t>
            </w:r>
          </w:p>
          <w:p>
            <w:pPr>
              <w:spacing w:before="0" w:after="60" w:line="259" w:lineRule="auto"/>
            </w:pPr>
            <w:r>
              <w:rPr>
                <w:rFonts w:ascii="Inter" w:hAnsi="Inter" w:cs="Inter" w:eastAsia="Inter"/>
                <w:b w:val="0"/>
                <w:i w:val="0"/>
                <w:color w:val="1A1A1A"/>
                <w:sz w:val="19"/>
              </w:rPr>
              <w:t>In place and understood by the people directly involved, but not consistent, documented, or resilient to staff change.</w:t>
            </w:r>
          </w:p>
        </w:tc>
        <w:tc>
          <w:tcPr>
            <w:tcW w:type="dxa" w:w="5159"/>
            <w:tcMar>
              <w:top w:w="120" w:type="dxa"/>
              <w:bottom w:w="120" w:type="dxa"/>
              <w:left w:w="150" w:type="dxa"/>
              <w:right w:w="150" w:type="dxa"/>
            </w:tcMar>
            <w:shd w:val="clear" w:color="auto" w:fill="FEF6D9"/>
            <w:vAlign w:val="top"/>
          </w:tcPr>
          <w:p>
            <w:pPr>
              <w:spacing w:before="0" w:after="60" w:line="259" w:lineRule="auto"/>
            </w:pPr>
            <w:r>
              <w:rPr>
                <w:rFonts w:ascii="Lexend" w:hAnsi="Lexend" w:cs="Lexend" w:eastAsia="Lexend"/>
                <w:b/>
                <w:i w:val="0"/>
                <w:color w:val="128770"/>
                <w:sz w:val="40"/>
              </w:rPr>
              <w:t>5</w:t>
            </w:r>
          </w:p>
          <w:p>
            <w:pPr>
              <w:spacing w:before="0" w:after="60" w:line="259" w:lineRule="auto"/>
            </w:pPr>
            <w:r>
              <w:rPr>
                <w:rFonts w:ascii="Inter" w:hAnsi="Inter" w:cs="Inter" w:eastAsia="Inter"/>
                <w:b w:val="0"/>
                <w:i w:val="0"/>
                <w:color w:val="1A1A1A"/>
                <w:sz w:val="19"/>
              </w:rPr>
              <w:t>Consistent, documented, understood across the whole school, monitored, and adjusted on evidence.</w:t>
            </w:r>
          </w:p>
        </w:tc>
      </w:tr>
    </w:tbl>
    <w:p>
      <w:pPr>
        <w:spacing w:after="120" w:before="0" w:line="276" w:lineRule="auto"/>
      </w:pPr>
    </w:p>
    <w:p>
      <w:pPr>
        <w:spacing w:after="120" w:before="80" w:line="276" w:lineRule="auto"/>
      </w:pPr>
      <w:r>
        <w:rPr>
          <w:rFonts w:ascii="Inter" w:hAnsi="Inter" w:cs="Inter" w:eastAsia="Inter"/>
          <w:b w:val="0"/>
          <w:i w:val="0"/>
          <w:color w:val="666666"/>
          <w:sz w:val="19"/>
        </w:rPr>
        <w:t>2 and 4 are the in-between positions. Every criterion in this tool also carries its own descriptors at 1, 3 and 5, written for that specific practice. Use those in preference to the general ones above.</w:t>
      </w:r>
    </w:p>
    <w:p>
      <w:pPr>
        <w:spacing w:after="20" w:before="0" w:line="276" w:lineRule="auto"/>
        <w:pageBreakBefore/>
      </w:pPr>
      <w:r>
        <w:rPr>
          <w:rFonts w:ascii="Lexend" w:hAnsi="Lexend" w:cs="Lexend" w:eastAsia="Lexend"/>
          <w:b/>
          <w:i w:val="0"/>
          <w:color w:val="128770"/>
          <w:sz w:val="16"/>
        </w:rPr>
        <w:t>SUMMARY</w:t>
      </w:r>
    </w:p>
    <w:p>
      <w:pPr>
        <w:spacing w:after="80" w:before="0" w:line="276" w:lineRule="auto"/>
      </w:pPr>
      <w:r>
        <w:rPr>
          <w:rFonts w:ascii="Lexend" w:hAnsi="Lexend" w:cs="Lexend" w:eastAsia="Lexend"/>
          <w:b/>
          <w:i w:val="0"/>
          <w:color w:val="1A1A1A"/>
          <w:sz w:val="44"/>
        </w:rPr>
        <w:t>Section summary and moderation record</w:t>
      </w:r>
    </w:p>
    <w:p>
      <w:pPr>
        <w:spacing w:after="160" w:before="40"/>
        <w:pBdr>
          <w:bottom w:val="single" w:sz="12" w:space="1" w:color="128770"/>
        </w:pBdr>
      </w:pPr>
    </w:p>
    <w:p>
      <w:pPr>
        <w:spacing w:after="160" w:before="0" w:line="276" w:lineRule="auto"/>
      </w:pPr>
      <w:r>
        <w:rPr>
          <w:rFonts w:ascii="Inter" w:hAnsi="Inter" w:cs="Inter" w:eastAsia="Inter"/>
          <w:b w:val="0"/>
          <w:i w:val="0"/>
          <w:color w:val="1A1A1A"/>
          <w:sz w:val="20"/>
        </w:rPr>
        <w:t>Complete this page last. Transfer the number of criteria you rated 1 or 2 into the priority column. That count, not the average, is what tells you where to work next.</w:t>
      </w:r>
    </w:p>
    <w:tbl>
      <w:tblPr>
        <w:tblStyle w:val="TableGrid"/>
        <w:tblW w:type="auto" w:w="0"/>
        <w:tblLayout w:type="fixed"/>
        <w:tblLook w:firstColumn="1" w:firstRow="1" w:lastColumn="0" w:lastRow="0" w:noHBand="0" w:noVBand="1" w:val="04A0"/>
      </w:tblPr>
      <w:tblGrid>
        <w:gridCol w:w="3096"/>
        <w:gridCol w:w="3096"/>
        <w:gridCol w:w="3096"/>
        <w:gridCol w:w="3096"/>
        <w:gridCol w:w="3096"/>
      </w:tblGrid>
      <w:tr>
        <w:trPr>
          <w:tblHeader w:val="true"/>
        </w:trPr>
        <w:tc>
          <w:tcPr>
            <w:tcW w:type="dxa" w:w="4252"/>
            <w:shd w:val="clear" w:color="auto" w:fill="D6E9E5"/>
            <w:tcMar>
              <w:top w:w="60" w:type="dxa"/>
              <w:bottom w:w="60" w:type="dxa"/>
              <w:left w:w="90" w:type="dxa"/>
              <w:right w:w="90" w:type="dxa"/>
            </w:tcMar>
            <w:vAlign w:val="top"/>
          </w:tcPr>
          <w:p>
            <w:pPr>
              <w:spacing w:before="0" w:after="40" w:line="259" w:lineRule="auto"/>
            </w:pPr>
            <w:r>
              <w:rPr>
                <w:rFonts w:ascii="Inter" w:hAnsi="Inter" w:cs="Inter" w:eastAsia="Inter"/>
                <w:b/>
                <w:i w:val="0"/>
                <w:color w:val="128770"/>
                <w:sz w:val="18"/>
              </w:rPr>
              <w:t>Section</w:t>
            </w:r>
          </w:p>
        </w:tc>
        <w:tc>
          <w:tcPr>
            <w:tcW w:type="dxa" w:w="1587"/>
            <w:shd w:val="clear" w:color="auto" w:fill="D6E9E5"/>
            <w:tcMar>
              <w:top w:w="60" w:type="dxa"/>
              <w:bottom w:w="60" w:type="dxa"/>
              <w:left w:w="90" w:type="dxa"/>
              <w:right w:w="90" w:type="dxa"/>
            </w:tcMar>
            <w:vAlign w:val="top"/>
          </w:tcPr>
          <w:p>
            <w:pPr>
              <w:spacing w:before="0" w:after="40" w:line="259" w:lineRule="auto"/>
            </w:pPr>
            <w:r>
              <w:rPr>
                <w:rFonts w:ascii="Inter" w:hAnsi="Inter" w:cs="Inter" w:eastAsia="Inter"/>
                <w:b/>
                <w:i w:val="0"/>
                <w:color w:val="128770"/>
                <w:sz w:val="18"/>
              </w:rPr>
              <w:t>Criteria</w:t>
            </w:r>
          </w:p>
        </w:tc>
        <w:tc>
          <w:tcPr>
            <w:tcW w:type="dxa" w:w="2608"/>
            <w:shd w:val="clear" w:color="auto" w:fill="D6E9E5"/>
            <w:tcMar>
              <w:top w:w="60" w:type="dxa"/>
              <w:bottom w:w="60" w:type="dxa"/>
              <w:left w:w="90" w:type="dxa"/>
              <w:right w:w="90" w:type="dxa"/>
            </w:tcMar>
            <w:vAlign w:val="top"/>
          </w:tcPr>
          <w:p>
            <w:pPr>
              <w:spacing w:before="0" w:after="40" w:line="259" w:lineRule="auto"/>
            </w:pPr>
            <w:r>
              <w:rPr>
                <w:rFonts w:ascii="Inter" w:hAnsi="Inter" w:cs="Inter" w:eastAsia="Inter"/>
                <w:b/>
                <w:i w:val="0"/>
                <w:color w:val="128770"/>
                <w:sz w:val="18"/>
              </w:rPr>
              <w:t>Rated 1 or 2  (priority count)</w:t>
            </w:r>
          </w:p>
        </w:tc>
        <w:tc>
          <w:tcPr>
            <w:tcW w:type="dxa" w:w="4082"/>
            <w:shd w:val="clear" w:color="auto" w:fill="D6E9E5"/>
            <w:tcMar>
              <w:top w:w="60" w:type="dxa"/>
              <w:bottom w:w="60" w:type="dxa"/>
              <w:left w:w="90" w:type="dxa"/>
              <w:right w:w="90" w:type="dxa"/>
            </w:tcMar>
            <w:vAlign w:val="top"/>
          </w:tcPr>
          <w:p>
            <w:pPr>
              <w:spacing w:before="0" w:after="40" w:line="259" w:lineRule="auto"/>
            </w:pPr>
            <w:r>
              <w:rPr>
                <w:rFonts w:ascii="Inter" w:hAnsi="Inter" w:cs="Inter" w:eastAsia="Inter"/>
                <w:b/>
                <w:i w:val="0"/>
                <w:color w:val="128770"/>
                <w:sz w:val="18"/>
              </w:rPr>
              <w:t>The one thing we will change this term</w:t>
            </w:r>
          </w:p>
        </w:tc>
        <w:tc>
          <w:tcPr>
            <w:tcW w:type="dxa" w:w="2948"/>
            <w:shd w:val="clear" w:color="auto" w:fill="D6E9E5"/>
            <w:tcMar>
              <w:top w:w="60" w:type="dxa"/>
              <w:bottom w:w="60" w:type="dxa"/>
              <w:left w:w="90" w:type="dxa"/>
              <w:right w:w="90" w:type="dxa"/>
            </w:tcMar>
            <w:vAlign w:val="top"/>
          </w:tcPr>
          <w:p>
            <w:pPr>
              <w:spacing w:before="0" w:after="40" w:line="259" w:lineRule="auto"/>
            </w:pPr>
            <w:r>
              <w:rPr>
                <w:rFonts w:ascii="Inter" w:hAnsi="Inter" w:cs="Inter" w:eastAsia="Inter"/>
                <w:b/>
                <w:i w:val="0"/>
                <w:color w:val="128770"/>
                <w:sz w:val="18"/>
              </w:rPr>
              <w:t>Owner / review date</w:t>
            </w:r>
          </w:p>
        </w:tc>
      </w:tr>
      <w:tr>
        <w:trPr>
          <w:trHeight w:val="567" w:hRule="atLeast"/>
          <w:cantSplit/>
        </w:trPr>
        <w:tc>
          <w:tcPr>
            <w:tcW w:type="dxa" w:w="4252"/>
            <w:tcMar>
              <w:top w:w="60" w:type="dxa"/>
              <w:bottom w:w="60" w:type="dxa"/>
              <w:left w:w="90" w:type="dxa"/>
              <w:right w:w="90" w:type="dxa"/>
            </w:tcMar>
            <w:shd w:val="clear" w:color="auto" w:fill="F1F7F6"/>
            <w:vAlign w:val="center"/>
          </w:tcPr>
          <w:p>
            <w:pPr>
              <w:spacing w:before="0" w:after="40" w:line="259" w:lineRule="auto"/>
            </w:pPr>
            <w:r>
              <w:rPr>
                <w:rFonts w:ascii="Inter" w:hAnsi="Inter" w:cs="Inter" w:eastAsia="Inter"/>
                <w:b/>
                <w:i w:val="0"/>
                <w:color w:val="1A1A1A"/>
                <w:sz w:val="18"/>
              </w:rPr>
              <w:t>P1  Supporting inclusion in the school or local area</w:t>
            </w:r>
          </w:p>
        </w:tc>
        <w:tc>
          <w:tcPr>
            <w:tcW w:type="dxa" w:w="1587"/>
            <w:tcMar>
              <w:top w:w="60" w:type="dxa"/>
              <w:bottom w:w="60" w:type="dxa"/>
              <w:left w:w="90" w:type="dxa"/>
              <w:right w:w="90" w:type="dxa"/>
            </w:tcMar>
            <w:vAlign w:val="center"/>
          </w:tcPr>
          <w:p>
            <w:pPr>
              <w:spacing w:before="0" w:after="40" w:line="259" w:lineRule="auto"/>
            </w:pPr>
            <w:r>
              <w:rPr>
                <w:rFonts w:ascii="Inter" w:hAnsi="Inter" w:cs="Inter" w:eastAsia="Inter"/>
                <w:b w:val="0"/>
                <w:i w:val="0"/>
                <w:color w:val="666666"/>
                <w:sz w:val="18"/>
              </w:rPr>
              <w:t>8</w:t>
            </w:r>
          </w:p>
        </w:tc>
        <w:tc>
          <w:tcPr>
            <w:tcW w:type="dxa" w:w="2608"/>
            <w:tcMar>
              <w:top w:w="60" w:type="dxa"/>
              <w:bottom w:w="60" w:type="dxa"/>
              <w:left w:w="90" w:type="dxa"/>
              <w:right w:w="90" w:type="dxa"/>
            </w:tcMar>
            <w:shd w:val="clear" w:color="auto" w:fill="FEF6D9"/>
            <w:vAlign w:val="center"/>
          </w:tcPr>
          <w:p>
            <w:pPr>
              <w:spacing w:before="0" w:after="40" w:line="259" w:lineRule="auto"/>
            </w:pPr>
            <w:r>
              <w:rPr>
                <w:rFonts w:ascii="Inter" w:hAnsi="Inter" w:cs="Inter" w:eastAsia="Inter"/>
                <w:b w:val="0"/>
                <w:i w:val="0"/>
                <w:color w:val="1A1A1A"/>
                <w:sz w:val="18"/>
              </w:rPr>
            </w:r>
          </w:p>
        </w:tc>
        <w:tc>
          <w:tcPr>
            <w:tcW w:type="dxa" w:w="4082"/>
            <w:tcMar>
              <w:top w:w="60" w:type="dxa"/>
              <w:bottom w:w="60" w:type="dxa"/>
              <w:left w:w="90" w:type="dxa"/>
              <w:right w:w="90" w:type="dxa"/>
            </w:tcMar>
            <w:vAlign w:val="center"/>
          </w:tcPr>
          <w:p>
            <w:pPr>
              <w:spacing w:before="0" w:after="40" w:line="259" w:lineRule="auto"/>
            </w:pPr>
            <w:r>
              <w:rPr>
                <w:rFonts w:ascii="Inter" w:hAnsi="Inter" w:cs="Inter" w:eastAsia="Inter"/>
                <w:b w:val="0"/>
                <w:i w:val="0"/>
                <w:color w:val="1A1A1A"/>
                <w:sz w:val="18"/>
              </w:rPr>
            </w:r>
          </w:p>
        </w:tc>
        <w:tc>
          <w:tcPr>
            <w:tcW w:type="dxa" w:w="2948"/>
            <w:tcMar>
              <w:top w:w="60" w:type="dxa"/>
              <w:bottom w:w="60" w:type="dxa"/>
              <w:left w:w="90" w:type="dxa"/>
              <w:right w:w="90" w:type="dxa"/>
            </w:tcMar>
            <w:vAlign w:val="center"/>
          </w:tcPr>
          <w:p>
            <w:pPr>
              <w:spacing w:before="0" w:after="40" w:line="259" w:lineRule="auto"/>
            </w:pPr>
            <w:r>
              <w:rPr>
                <w:rFonts w:ascii="Inter" w:hAnsi="Inter" w:cs="Inter" w:eastAsia="Inter"/>
                <w:b w:val="0"/>
                <w:i w:val="0"/>
                <w:color w:val="1A1A1A"/>
                <w:sz w:val="18"/>
              </w:rPr>
            </w:r>
          </w:p>
        </w:tc>
      </w:tr>
      <w:tr>
        <w:trPr>
          <w:trHeight w:val="567" w:hRule="atLeast"/>
          <w:cantSplit/>
        </w:trPr>
        <w:tc>
          <w:tcPr>
            <w:tcW w:type="dxa" w:w="4252"/>
            <w:tcMar>
              <w:top w:w="60" w:type="dxa"/>
              <w:bottom w:w="60" w:type="dxa"/>
              <w:left w:w="90" w:type="dxa"/>
              <w:right w:w="90" w:type="dxa"/>
            </w:tcMar>
            <w:shd w:val="clear" w:color="auto" w:fill="F1F7F6"/>
            <w:vAlign w:val="center"/>
          </w:tcPr>
          <w:p>
            <w:pPr>
              <w:spacing w:before="0" w:after="40" w:line="259" w:lineRule="auto"/>
            </w:pPr>
            <w:r>
              <w:rPr>
                <w:rFonts w:ascii="Inter" w:hAnsi="Inter" w:cs="Inter" w:eastAsia="Inter"/>
                <w:b/>
                <w:i w:val="0"/>
                <w:color w:val="1A1A1A"/>
                <w:sz w:val="18"/>
              </w:rPr>
              <w:t>P2  High-quality curriculum design</w:t>
            </w:r>
          </w:p>
        </w:tc>
        <w:tc>
          <w:tcPr>
            <w:tcW w:type="dxa" w:w="1587"/>
            <w:tcMar>
              <w:top w:w="60" w:type="dxa"/>
              <w:bottom w:w="60" w:type="dxa"/>
              <w:left w:w="90" w:type="dxa"/>
              <w:right w:w="90" w:type="dxa"/>
            </w:tcMar>
            <w:vAlign w:val="center"/>
          </w:tcPr>
          <w:p>
            <w:pPr>
              <w:spacing w:before="0" w:after="40" w:line="259" w:lineRule="auto"/>
            </w:pPr>
            <w:r>
              <w:rPr>
                <w:rFonts w:ascii="Inter" w:hAnsi="Inter" w:cs="Inter" w:eastAsia="Inter"/>
                <w:b w:val="0"/>
                <w:i w:val="0"/>
                <w:color w:val="666666"/>
                <w:sz w:val="18"/>
              </w:rPr>
              <w:t>7</w:t>
            </w:r>
          </w:p>
        </w:tc>
        <w:tc>
          <w:tcPr>
            <w:tcW w:type="dxa" w:w="2608"/>
            <w:tcMar>
              <w:top w:w="60" w:type="dxa"/>
              <w:bottom w:w="60" w:type="dxa"/>
              <w:left w:w="90" w:type="dxa"/>
              <w:right w:w="90" w:type="dxa"/>
            </w:tcMar>
            <w:shd w:val="clear" w:color="auto" w:fill="FEF6D9"/>
            <w:vAlign w:val="center"/>
          </w:tcPr>
          <w:p>
            <w:pPr>
              <w:spacing w:before="0" w:after="40" w:line="259" w:lineRule="auto"/>
            </w:pPr>
            <w:r>
              <w:rPr>
                <w:rFonts w:ascii="Inter" w:hAnsi="Inter" w:cs="Inter" w:eastAsia="Inter"/>
                <w:b w:val="0"/>
                <w:i w:val="0"/>
                <w:color w:val="1A1A1A"/>
                <w:sz w:val="18"/>
              </w:rPr>
            </w:r>
          </w:p>
        </w:tc>
        <w:tc>
          <w:tcPr>
            <w:tcW w:type="dxa" w:w="4082"/>
            <w:tcMar>
              <w:top w:w="60" w:type="dxa"/>
              <w:bottom w:w="60" w:type="dxa"/>
              <w:left w:w="90" w:type="dxa"/>
              <w:right w:w="90" w:type="dxa"/>
            </w:tcMar>
            <w:vAlign w:val="center"/>
          </w:tcPr>
          <w:p>
            <w:pPr>
              <w:spacing w:before="0" w:after="40" w:line="259" w:lineRule="auto"/>
            </w:pPr>
            <w:r>
              <w:rPr>
                <w:rFonts w:ascii="Inter" w:hAnsi="Inter" w:cs="Inter" w:eastAsia="Inter"/>
                <w:b w:val="0"/>
                <w:i w:val="0"/>
                <w:color w:val="1A1A1A"/>
                <w:sz w:val="18"/>
              </w:rPr>
            </w:r>
          </w:p>
        </w:tc>
        <w:tc>
          <w:tcPr>
            <w:tcW w:type="dxa" w:w="2948"/>
            <w:tcMar>
              <w:top w:w="60" w:type="dxa"/>
              <w:bottom w:w="60" w:type="dxa"/>
              <w:left w:w="90" w:type="dxa"/>
              <w:right w:w="90" w:type="dxa"/>
            </w:tcMar>
            <w:vAlign w:val="center"/>
          </w:tcPr>
          <w:p>
            <w:pPr>
              <w:spacing w:before="0" w:after="40" w:line="259" w:lineRule="auto"/>
            </w:pPr>
            <w:r>
              <w:rPr>
                <w:rFonts w:ascii="Inter" w:hAnsi="Inter" w:cs="Inter" w:eastAsia="Inter"/>
                <w:b w:val="0"/>
                <w:i w:val="0"/>
                <w:color w:val="1A1A1A"/>
                <w:sz w:val="18"/>
              </w:rPr>
            </w:r>
          </w:p>
        </w:tc>
      </w:tr>
      <w:tr>
        <w:trPr>
          <w:trHeight w:val="567" w:hRule="atLeast"/>
          <w:cantSplit/>
        </w:trPr>
        <w:tc>
          <w:tcPr>
            <w:tcW w:type="dxa" w:w="4252"/>
            <w:tcMar>
              <w:top w:w="60" w:type="dxa"/>
              <w:bottom w:w="60" w:type="dxa"/>
              <w:left w:w="90" w:type="dxa"/>
              <w:right w:w="90" w:type="dxa"/>
            </w:tcMar>
            <w:shd w:val="clear" w:color="auto" w:fill="F1F7F6"/>
            <w:vAlign w:val="center"/>
          </w:tcPr>
          <w:p>
            <w:pPr>
              <w:spacing w:before="0" w:after="40" w:line="259" w:lineRule="auto"/>
            </w:pPr>
            <w:r>
              <w:rPr>
                <w:rFonts w:ascii="Inter" w:hAnsi="Inter" w:cs="Inter" w:eastAsia="Inter"/>
                <w:b/>
                <w:i w:val="0"/>
                <w:color w:val="1A1A1A"/>
                <w:sz w:val="18"/>
              </w:rPr>
              <w:t>P3  Effective data, assessment and outcomes</w:t>
            </w:r>
          </w:p>
        </w:tc>
        <w:tc>
          <w:tcPr>
            <w:tcW w:type="dxa" w:w="1587"/>
            <w:tcMar>
              <w:top w:w="60" w:type="dxa"/>
              <w:bottom w:w="60" w:type="dxa"/>
              <w:left w:w="90" w:type="dxa"/>
              <w:right w:w="90" w:type="dxa"/>
            </w:tcMar>
            <w:vAlign w:val="center"/>
          </w:tcPr>
          <w:p>
            <w:pPr>
              <w:spacing w:before="0" w:after="40" w:line="259" w:lineRule="auto"/>
            </w:pPr>
            <w:r>
              <w:rPr>
                <w:rFonts w:ascii="Inter" w:hAnsi="Inter" w:cs="Inter" w:eastAsia="Inter"/>
                <w:b w:val="0"/>
                <w:i w:val="0"/>
                <w:color w:val="666666"/>
                <w:sz w:val="18"/>
              </w:rPr>
              <w:t>7</w:t>
            </w:r>
          </w:p>
        </w:tc>
        <w:tc>
          <w:tcPr>
            <w:tcW w:type="dxa" w:w="2608"/>
            <w:tcMar>
              <w:top w:w="60" w:type="dxa"/>
              <w:bottom w:w="60" w:type="dxa"/>
              <w:left w:w="90" w:type="dxa"/>
              <w:right w:w="90" w:type="dxa"/>
            </w:tcMar>
            <w:shd w:val="clear" w:color="auto" w:fill="FEF6D9"/>
            <w:vAlign w:val="center"/>
          </w:tcPr>
          <w:p>
            <w:pPr>
              <w:spacing w:before="0" w:after="40" w:line="259" w:lineRule="auto"/>
            </w:pPr>
            <w:r>
              <w:rPr>
                <w:rFonts w:ascii="Inter" w:hAnsi="Inter" w:cs="Inter" w:eastAsia="Inter"/>
                <w:b w:val="0"/>
                <w:i w:val="0"/>
                <w:color w:val="1A1A1A"/>
                <w:sz w:val="18"/>
              </w:rPr>
            </w:r>
          </w:p>
        </w:tc>
        <w:tc>
          <w:tcPr>
            <w:tcW w:type="dxa" w:w="4082"/>
            <w:tcMar>
              <w:top w:w="60" w:type="dxa"/>
              <w:bottom w:w="60" w:type="dxa"/>
              <w:left w:w="90" w:type="dxa"/>
              <w:right w:w="90" w:type="dxa"/>
            </w:tcMar>
            <w:vAlign w:val="center"/>
          </w:tcPr>
          <w:p>
            <w:pPr>
              <w:spacing w:before="0" w:after="40" w:line="259" w:lineRule="auto"/>
            </w:pPr>
            <w:r>
              <w:rPr>
                <w:rFonts w:ascii="Inter" w:hAnsi="Inter" w:cs="Inter" w:eastAsia="Inter"/>
                <w:b w:val="0"/>
                <w:i w:val="0"/>
                <w:color w:val="1A1A1A"/>
                <w:sz w:val="18"/>
              </w:rPr>
            </w:r>
          </w:p>
        </w:tc>
        <w:tc>
          <w:tcPr>
            <w:tcW w:type="dxa" w:w="2948"/>
            <w:tcMar>
              <w:top w:w="60" w:type="dxa"/>
              <w:bottom w:w="60" w:type="dxa"/>
              <w:left w:w="90" w:type="dxa"/>
              <w:right w:w="90" w:type="dxa"/>
            </w:tcMar>
            <w:vAlign w:val="center"/>
          </w:tcPr>
          <w:p>
            <w:pPr>
              <w:spacing w:before="0" w:after="40" w:line="259" w:lineRule="auto"/>
            </w:pPr>
            <w:r>
              <w:rPr>
                <w:rFonts w:ascii="Inter" w:hAnsi="Inter" w:cs="Inter" w:eastAsia="Inter"/>
                <w:b w:val="0"/>
                <w:i w:val="0"/>
                <w:color w:val="1A1A1A"/>
                <w:sz w:val="18"/>
              </w:rPr>
            </w:r>
          </w:p>
        </w:tc>
      </w:tr>
      <w:tr>
        <w:trPr>
          <w:trHeight w:val="567" w:hRule="atLeast"/>
          <w:cantSplit/>
        </w:trPr>
        <w:tc>
          <w:tcPr>
            <w:tcW w:type="dxa" w:w="4252"/>
            <w:tcMar>
              <w:top w:w="60" w:type="dxa"/>
              <w:bottom w:w="60" w:type="dxa"/>
              <w:left w:w="90" w:type="dxa"/>
              <w:right w:w="90" w:type="dxa"/>
            </w:tcMar>
            <w:shd w:val="clear" w:color="auto" w:fill="F1F7F6"/>
            <w:vAlign w:val="center"/>
          </w:tcPr>
          <w:p>
            <w:pPr>
              <w:spacing w:before="0" w:after="40" w:line="259" w:lineRule="auto"/>
            </w:pPr>
            <w:r>
              <w:rPr>
                <w:rFonts w:ascii="Inter" w:hAnsi="Inter" w:cs="Inter" w:eastAsia="Inter"/>
                <w:b/>
                <w:i w:val="0"/>
                <w:color w:val="1A1A1A"/>
                <w:sz w:val="18"/>
              </w:rPr>
              <w:t>P4  Effective workforce and leadership</w:t>
            </w:r>
          </w:p>
        </w:tc>
        <w:tc>
          <w:tcPr>
            <w:tcW w:type="dxa" w:w="1587"/>
            <w:tcMar>
              <w:top w:w="60" w:type="dxa"/>
              <w:bottom w:w="60" w:type="dxa"/>
              <w:left w:w="90" w:type="dxa"/>
              <w:right w:w="90" w:type="dxa"/>
            </w:tcMar>
            <w:vAlign w:val="center"/>
          </w:tcPr>
          <w:p>
            <w:pPr>
              <w:spacing w:before="0" w:after="40" w:line="259" w:lineRule="auto"/>
            </w:pPr>
            <w:r>
              <w:rPr>
                <w:rFonts w:ascii="Inter" w:hAnsi="Inter" w:cs="Inter" w:eastAsia="Inter"/>
                <w:b w:val="0"/>
                <w:i w:val="0"/>
                <w:color w:val="666666"/>
                <w:sz w:val="18"/>
              </w:rPr>
              <w:t>8</w:t>
            </w:r>
          </w:p>
        </w:tc>
        <w:tc>
          <w:tcPr>
            <w:tcW w:type="dxa" w:w="2608"/>
            <w:tcMar>
              <w:top w:w="60" w:type="dxa"/>
              <w:bottom w:w="60" w:type="dxa"/>
              <w:left w:w="90" w:type="dxa"/>
              <w:right w:w="90" w:type="dxa"/>
            </w:tcMar>
            <w:shd w:val="clear" w:color="auto" w:fill="FEF6D9"/>
            <w:vAlign w:val="center"/>
          </w:tcPr>
          <w:p>
            <w:pPr>
              <w:spacing w:before="0" w:after="40" w:line="259" w:lineRule="auto"/>
            </w:pPr>
            <w:r>
              <w:rPr>
                <w:rFonts w:ascii="Inter" w:hAnsi="Inter" w:cs="Inter" w:eastAsia="Inter"/>
                <w:b w:val="0"/>
                <w:i w:val="0"/>
                <w:color w:val="1A1A1A"/>
                <w:sz w:val="18"/>
              </w:rPr>
            </w:r>
          </w:p>
        </w:tc>
        <w:tc>
          <w:tcPr>
            <w:tcW w:type="dxa" w:w="4082"/>
            <w:tcMar>
              <w:top w:w="60" w:type="dxa"/>
              <w:bottom w:w="60" w:type="dxa"/>
              <w:left w:w="90" w:type="dxa"/>
              <w:right w:w="90" w:type="dxa"/>
            </w:tcMar>
            <w:vAlign w:val="center"/>
          </w:tcPr>
          <w:p>
            <w:pPr>
              <w:spacing w:before="0" w:after="40" w:line="259" w:lineRule="auto"/>
            </w:pPr>
            <w:r>
              <w:rPr>
                <w:rFonts w:ascii="Inter" w:hAnsi="Inter" w:cs="Inter" w:eastAsia="Inter"/>
                <w:b w:val="0"/>
                <w:i w:val="0"/>
                <w:color w:val="1A1A1A"/>
                <w:sz w:val="18"/>
              </w:rPr>
            </w:r>
          </w:p>
        </w:tc>
        <w:tc>
          <w:tcPr>
            <w:tcW w:type="dxa" w:w="2948"/>
            <w:tcMar>
              <w:top w:w="60" w:type="dxa"/>
              <w:bottom w:w="60" w:type="dxa"/>
              <w:left w:w="90" w:type="dxa"/>
              <w:right w:w="90" w:type="dxa"/>
            </w:tcMar>
            <w:vAlign w:val="center"/>
          </w:tcPr>
          <w:p>
            <w:pPr>
              <w:spacing w:before="0" w:after="40" w:line="259" w:lineRule="auto"/>
            </w:pPr>
            <w:r>
              <w:rPr>
                <w:rFonts w:ascii="Inter" w:hAnsi="Inter" w:cs="Inter" w:eastAsia="Inter"/>
                <w:b w:val="0"/>
                <w:i w:val="0"/>
                <w:color w:val="1A1A1A"/>
                <w:sz w:val="18"/>
              </w:rPr>
            </w:r>
          </w:p>
        </w:tc>
      </w:tr>
      <w:tr>
        <w:trPr>
          <w:trHeight w:val="567" w:hRule="atLeast"/>
          <w:cantSplit/>
        </w:trPr>
        <w:tc>
          <w:tcPr>
            <w:tcW w:type="dxa" w:w="4252"/>
            <w:tcMar>
              <w:top w:w="60" w:type="dxa"/>
              <w:bottom w:w="60" w:type="dxa"/>
              <w:left w:w="90" w:type="dxa"/>
              <w:right w:w="90" w:type="dxa"/>
            </w:tcMar>
            <w:shd w:val="clear" w:color="auto" w:fill="F1F7F6"/>
            <w:vAlign w:val="center"/>
          </w:tcPr>
          <w:p>
            <w:pPr>
              <w:spacing w:before="0" w:after="40" w:line="259" w:lineRule="auto"/>
            </w:pPr>
            <w:r>
              <w:rPr>
                <w:rFonts w:ascii="Inter" w:hAnsi="Inter" w:cs="Inter" w:eastAsia="Inter"/>
                <w:b/>
                <w:i w:val="0"/>
                <w:color w:val="1A1A1A"/>
                <w:sz w:val="18"/>
              </w:rPr>
              <w:t>P5  Effective partnership working</w:t>
            </w:r>
          </w:p>
        </w:tc>
        <w:tc>
          <w:tcPr>
            <w:tcW w:type="dxa" w:w="1587"/>
            <w:tcMar>
              <w:top w:w="60" w:type="dxa"/>
              <w:bottom w:w="60" w:type="dxa"/>
              <w:left w:w="90" w:type="dxa"/>
              <w:right w:w="90" w:type="dxa"/>
            </w:tcMar>
            <w:vAlign w:val="center"/>
          </w:tcPr>
          <w:p>
            <w:pPr>
              <w:spacing w:before="0" w:after="40" w:line="259" w:lineRule="auto"/>
            </w:pPr>
            <w:r>
              <w:rPr>
                <w:rFonts w:ascii="Inter" w:hAnsi="Inter" w:cs="Inter" w:eastAsia="Inter"/>
                <w:b w:val="0"/>
                <w:i w:val="0"/>
                <w:color w:val="666666"/>
                <w:sz w:val="18"/>
              </w:rPr>
              <w:t>8</w:t>
            </w:r>
          </w:p>
        </w:tc>
        <w:tc>
          <w:tcPr>
            <w:tcW w:type="dxa" w:w="2608"/>
            <w:tcMar>
              <w:top w:w="60" w:type="dxa"/>
              <w:bottom w:w="60" w:type="dxa"/>
              <w:left w:w="90" w:type="dxa"/>
              <w:right w:w="90" w:type="dxa"/>
            </w:tcMar>
            <w:shd w:val="clear" w:color="auto" w:fill="FEF6D9"/>
            <w:vAlign w:val="center"/>
          </w:tcPr>
          <w:p>
            <w:pPr>
              <w:spacing w:before="0" w:after="40" w:line="259" w:lineRule="auto"/>
            </w:pPr>
            <w:r>
              <w:rPr>
                <w:rFonts w:ascii="Inter" w:hAnsi="Inter" w:cs="Inter" w:eastAsia="Inter"/>
                <w:b w:val="0"/>
                <w:i w:val="0"/>
                <w:color w:val="1A1A1A"/>
                <w:sz w:val="18"/>
              </w:rPr>
            </w:r>
          </w:p>
        </w:tc>
        <w:tc>
          <w:tcPr>
            <w:tcW w:type="dxa" w:w="4082"/>
            <w:tcMar>
              <w:top w:w="60" w:type="dxa"/>
              <w:bottom w:w="60" w:type="dxa"/>
              <w:left w:w="90" w:type="dxa"/>
              <w:right w:w="90" w:type="dxa"/>
            </w:tcMar>
            <w:vAlign w:val="center"/>
          </w:tcPr>
          <w:p>
            <w:pPr>
              <w:spacing w:before="0" w:after="40" w:line="259" w:lineRule="auto"/>
            </w:pPr>
            <w:r>
              <w:rPr>
                <w:rFonts w:ascii="Inter" w:hAnsi="Inter" w:cs="Inter" w:eastAsia="Inter"/>
                <w:b w:val="0"/>
                <w:i w:val="0"/>
                <w:color w:val="1A1A1A"/>
                <w:sz w:val="18"/>
              </w:rPr>
            </w:r>
          </w:p>
        </w:tc>
        <w:tc>
          <w:tcPr>
            <w:tcW w:type="dxa" w:w="2948"/>
            <w:tcMar>
              <w:top w:w="60" w:type="dxa"/>
              <w:bottom w:w="60" w:type="dxa"/>
              <w:left w:w="90" w:type="dxa"/>
              <w:right w:w="90" w:type="dxa"/>
            </w:tcMar>
            <w:vAlign w:val="center"/>
          </w:tcPr>
          <w:p>
            <w:pPr>
              <w:spacing w:before="0" w:after="40" w:line="259" w:lineRule="auto"/>
            </w:pPr>
            <w:r>
              <w:rPr>
                <w:rFonts w:ascii="Inter" w:hAnsi="Inter" w:cs="Inter" w:eastAsia="Inter"/>
                <w:b w:val="0"/>
                <w:i w:val="0"/>
                <w:color w:val="1A1A1A"/>
                <w:sz w:val="18"/>
              </w:rPr>
            </w:r>
          </w:p>
        </w:tc>
      </w:tr>
      <w:tr>
        <w:trPr>
          <w:trHeight w:val="567" w:hRule="atLeast"/>
          <w:cantSplit/>
        </w:trPr>
        <w:tc>
          <w:tcPr>
            <w:tcW w:type="dxa" w:w="4252"/>
            <w:tcMar>
              <w:top w:w="60" w:type="dxa"/>
              <w:bottom w:w="60" w:type="dxa"/>
              <w:left w:w="90" w:type="dxa"/>
              <w:right w:w="90" w:type="dxa"/>
            </w:tcMar>
            <w:shd w:val="clear" w:color="auto" w:fill="F1F7F6"/>
            <w:vAlign w:val="center"/>
          </w:tcPr>
          <w:p>
            <w:pPr>
              <w:spacing w:before="0" w:after="40" w:line="259" w:lineRule="auto"/>
            </w:pPr>
            <w:r>
              <w:rPr>
                <w:rFonts w:ascii="Inter" w:hAnsi="Inter" w:cs="Inter" w:eastAsia="Inter"/>
                <w:b/>
                <w:i w:val="0"/>
                <w:color w:val="1A1A1A"/>
                <w:sz w:val="18"/>
              </w:rPr>
              <w:t>P6  Inclusive and accessible physical environments</w:t>
            </w:r>
          </w:p>
        </w:tc>
        <w:tc>
          <w:tcPr>
            <w:tcW w:type="dxa" w:w="1587"/>
            <w:tcMar>
              <w:top w:w="60" w:type="dxa"/>
              <w:bottom w:w="60" w:type="dxa"/>
              <w:left w:w="90" w:type="dxa"/>
              <w:right w:w="90" w:type="dxa"/>
            </w:tcMar>
            <w:vAlign w:val="center"/>
          </w:tcPr>
          <w:p>
            <w:pPr>
              <w:spacing w:before="0" w:after="40" w:line="259" w:lineRule="auto"/>
            </w:pPr>
            <w:r>
              <w:rPr>
                <w:rFonts w:ascii="Inter" w:hAnsi="Inter" w:cs="Inter" w:eastAsia="Inter"/>
                <w:b w:val="0"/>
                <w:i w:val="0"/>
                <w:color w:val="666666"/>
                <w:sz w:val="18"/>
              </w:rPr>
              <w:t>7</w:t>
            </w:r>
          </w:p>
        </w:tc>
        <w:tc>
          <w:tcPr>
            <w:tcW w:type="dxa" w:w="2608"/>
            <w:tcMar>
              <w:top w:w="60" w:type="dxa"/>
              <w:bottom w:w="60" w:type="dxa"/>
              <w:left w:w="90" w:type="dxa"/>
              <w:right w:w="90" w:type="dxa"/>
            </w:tcMar>
            <w:shd w:val="clear" w:color="auto" w:fill="FEF6D9"/>
            <w:vAlign w:val="center"/>
          </w:tcPr>
          <w:p>
            <w:pPr>
              <w:spacing w:before="0" w:after="40" w:line="259" w:lineRule="auto"/>
            </w:pPr>
            <w:r>
              <w:rPr>
                <w:rFonts w:ascii="Inter" w:hAnsi="Inter" w:cs="Inter" w:eastAsia="Inter"/>
                <w:b w:val="0"/>
                <w:i w:val="0"/>
                <w:color w:val="1A1A1A"/>
                <w:sz w:val="18"/>
              </w:rPr>
            </w:r>
          </w:p>
        </w:tc>
        <w:tc>
          <w:tcPr>
            <w:tcW w:type="dxa" w:w="4082"/>
            <w:tcMar>
              <w:top w:w="60" w:type="dxa"/>
              <w:bottom w:w="60" w:type="dxa"/>
              <w:left w:w="90" w:type="dxa"/>
              <w:right w:w="90" w:type="dxa"/>
            </w:tcMar>
            <w:vAlign w:val="center"/>
          </w:tcPr>
          <w:p>
            <w:pPr>
              <w:spacing w:before="0" w:after="40" w:line="259" w:lineRule="auto"/>
            </w:pPr>
            <w:r>
              <w:rPr>
                <w:rFonts w:ascii="Inter" w:hAnsi="Inter" w:cs="Inter" w:eastAsia="Inter"/>
                <w:b w:val="0"/>
                <w:i w:val="0"/>
                <w:color w:val="1A1A1A"/>
                <w:sz w:val="18"/>
              </w:rPr>
            </w:r>
          </w:p>
        </w:tc>
        <w:tc>
          <w:tcPr>
            <w:tcW w:type="dxa" w:w="2948"/>
            <w:tcMar>
              <w:top w:w="60" w:type="dxa"/>
              <w:bottom w:w="60" w:type="dxa"/>
              <w:left w:w="90" w:type="dxa"/>
              <w:right w:w="90" w:type="dxa"/>
            </w:tcMar>
            <w:vAlign w:val="center"/>
          </w:tcPr>
          <w:p>
            <w:pPr>
              <w:spacing w:before="0" w:after="40" w:line="259" w:lineRule="auto"/>
            </w:pPr>
            <w:r>
              <w:rPr>
                <w:rFonts w:ascii="Inter" w:hAnsi="Inter" w:cs="Inter" w:eastAsia="Inter"/>
                <w:b w:val="0"/>
                <w:i w:val="0"/>
                <w:color w:val="1A1A1A"/>
                <w:sz w:val="18"/>
              </w:rPr>
            </w:r>
          </w:p>
        </w:tc>
      </w:tr>
      <w:tr>
        <w:trPr>
          <w:trHeight w:val="567" w:hRule="atLeast"/>
          <w:cantSplit/>
        </w:trPr>
        <w:tc>
          <w:tcPr>
            <w:tcW w:type="dxa" w:w="4252"/>
            <w:tcMar>
              <w:top w:w="60" w:type="dxa"/>
              <w:bottom w:w="60" w:type="dxa"/>
              <w:left w:w="90" w:type="dxa"/>
              <w:right w:w="90" w:type="dxa"/>
            </w:tcMar>
            <w:shd w:val="clear" w:color="auto" w:fill="F1F7F6"/>
            <w:vAlign w:val="center"/>
          </w:tcPr>
          <w:p>
            <w:pPr>
              <w:spacing w:before="0" w:after="40" w:line="259" w:lineRule="auto"/>
            </w:pPr>
            <w:r>
              <w:rPr>
                <w:rFonts w:ascii="Inter" w:hAnsi="Inter" w:cs="Inter" w:eastAsia="Inter"/>
                <w:b/>
                <w:i w:val="0"/>
                <w:color w:val="1A1A1A"/>
                <w:sz w:val="18"/>
              </w:rPr>
              <w:t>C7  Commissioning, governance and compliance</w:t>
            </w:r>
          </w:p>
        </w:tc>
        <w:tc>
          <w:tcPr>
            <w:tcW w:type="dxa" w:w="1587"/>
            <w:tcMar>
              <w:top w:w="60" w:type="dxa"/>
              <w:bottom w:w="60" w:type="dxa"/>
              <w:left w:w="90" w:type="dxa"/>
              <w:right w:w="90" w:type="dxa"/>
            </w:tcMar>
            <w:vAlign w:val="center"/>
          </w:tcPr>
          <w:p>
            <w:pPr>
              <w:spacing w:before="0" w:after="40" w:line="259" w:lineRule="auto"/>
            </w:pPr>
            <w:r>
              <w:rPr>
                <w:rFonts w:ascii="Inter" w:hAnsi="Inter" w:cs="Inter" w:eastAsia="Inter"/>
                <w:b w:val="0"/>
                <w:i w:val="0"/>
                <w:color w:val="666666"/>
                <w:sz w:val="18"/>
              </w:rPr>
              <w:t>11</w:t>
            </w:r>
          </w:p>
        </w:tc>
        <w:tc>
          <w:tcPr>
            <w:tcW w:type="dxa" w:w="2608"/>
            <w:tcMar>
              <w:top w:w="60" w:type="dxa"/>
              <w:bottom w:w="60" w:type="dxa"/>
              <w:left w:w="90" w:type="dxa"/>
              <w:right w:w="90" w:type="dxa"/>
            </w:tcMar>
            <w:shd w:val="clear" w:color="auto" w:fill="FEF6D9"/>
            <w:vAlign w:val="center"/>
          </w:tcPr>
          <w:p>
            <w:pPr>
              <w:spacing w:before="0" w:after="40" w:line="259" w:lineRule="auto"/>
            </w:pPr>
            <w:r>
              <w:rPr>
                <w:rFonts w:ascii="Inter" w:hAnsi="Inter" w:cs="Inter" w:eastAsia="Inter"/>
                <w:b w:val="0"/>
                <w:i w:val="0"/>
                <w:color w:val="1A1A1A"/>
                <w:sz w:val="18"/>
              </w:rPr>
            </w:r>
          </w:p>
        </w:tc>
        <w:tc>
          <w:tcPr>
            <w:tcW w:type="dxa" w:w="4082"/>
            <w:tcMar>
              <w:top w:w="60" w:type="dxa"/>
              <w:bottom w:w="60" w:type="dxa"/>
              <w:left w:w="90" w:type="dxa"/>
              <w:right w:w="90" w:type="dxa"/>
            </w:tcMar>
            <w:vAlign w:val="center"/>
          </w:tcPr>
          <w:p>
            <w:pPr>
              <w:spacing w:before="0" w:after="40" w:line="259" w:lineRule="auto"/>
            </w:pPr>
            <w:r>
              <w:rPr>
                <w:rFonts w:ascii="Inter" w:hAnsi="Inter" w:cs="Inter" w:eastAsia="Inter"/>
                <w:b w:val="0"/>
                <w:i w:val="0"/>
                <w:color w:val="1A1A1A"/>
                <w:sz w:val="18"/>
              </w:rPr>
            </w:r>
          </w:p>
        </w:tc>
        <w:tc>
          <w:tcPr>
            <w:tcW w:type="dxa" w:w="2948"/>
            <w:tcMar>
              <w:top w:w="60" w:type="dxa"/>
              <w:bottom w:w="60" w:type="dxa"/>
              <w:left w:w="90" w:type="dxa"/>
              <w:right w:w="90" w:type="dxa"/>
            </w:tcMar>
            <w:vAlign w:val="center"/>
          </w:tcPr>
          <w:p>
            <w:pPr>
              <w:spacing w:before="0" w:after="40" w:line="259" w:lineRule="auto"/>
            </w:pPr>
            <w:r>
              <w:rPr>
                <w:rFonts w:ascii="Inter" w:hAnsi="Inter" w:cs="Inter" w:eastAsia="Inter"/>
                <w:b w:val="0"/>
                <w:i w:val="0"/>
                <w:color w:val="1A1A1A"/>
                <w:sz w:val="18"/>
              </w:rPr>
            </w:r>
          </w:p>
        </w:tc>
      </w:tr>
    </w:tbl>
    <w:p>
      <w:pPr>
        <w:spacing w:after="80" w:before="240" w:line="276" w:lineRule="auto"/>
      </w:pPr>
      <w:r>
        <w:rPr>
          <w:rFonts w:ascii="Lexend" w:hAnsi="Lexend" w:cs="Lexend" w:eastAsia="Lexend"/>
          <w:b/>
          <w:i w:val="0"/>
          <w:color w:val="1A1A1A"/>
          <w:sz w:val="26"/>
        </w:rPr>
        <w:t>Moderation</w:t>
      </w:r>
    </w:p>
    <w:tbl>
      <w:tblPr>
        <w:tblStyle w:val="TableGrid"/>
        <w:tblW w:type="auto" w:w="0"/>
        <w:tblLayout w:type="fixed"/>
        <w:tblLook w:firstColumn="1" w:firstRow="1" w:lastColumn="0" w:lastRow="0" w:noHBand="0" w:noVBand="1" w:val="04A0"/>
      </w:tblPr>
      <w:tblGrid>
        <w:gridCol w:w="3869"/>
        <w:gridCol w:w="3869"/>
        <w:gridCol w:w="3869"/>
        <w:gridCol w:w="3869"/>
      </w:tblGrid>
      <w:tr>
        <w:tc>
          <w:tcPr>
            <w:tcW w:type="dxa" w:w="3855"/>
            <w:shd w:val="clear" w:color="auto" w:fill="D6E9E5"/>
            <w:tcMar>
              <w:top w:w="60" w:type="dxa"/>
              <w:bottom w:w="60" w:type="dxa"/>
              <w:left w:w="90" w:type="dxa"/>
              <w:right w:w="90" w:type="dxa"/>
            </w:tcMar>
            <w:vAlign w:val="top"/>
          </w:tcPr>
          <w:p>
            <w:pPr>
              <w:spacing w:before="0" w:after="40" w:line="259" w:lineRule="auto"/>
            </w:pPr>
            <w:r>
              <w:rPr>
                <w:rFonts w:ascii="Inter" w:hAnsi="Inter" w:cs="Inter" w:eastAsia="Inter"/>
                <w:b/>
                <w:i w:val="0"/>
                <w:color w:val="128770"/>
                <w:sz w:val="18"/>
              </w:rPr>
              <w:t>Completed by (name and role)</w:t>
            </w:r>
          </w:p>
        </w:tc>
        <w:tc>
          <w:tcPr>
            <w:tcW w:type="dxa" w:w="3855"/>
            <w:shd w:val="clear" w:color="auto" w:fill="D6E9E5"/>
            <w:tcMar>
              <w:top w:w="60" w:type="dxa"/>
              <w:bottom w:w="60" w:type="dxa"/>
              <w:left w:w="90" w:type="dxa"/>
              <w:right w:w="90" w:type="dxa"/>
            </w:tcMar>
            <w:vAlign w:val="top"/>
          </w:tcPr>
          <w:p>
            <w:pPr>
              <w:spacing w:before="0" w:after="40" w:line="259" w:lineRule="auto"/>
            </w:pPr>
            <w:r>
              <w:rPr>
                <w:rFonts w:ascii="Inter" w:hAnsi="Inter" w:cs="Inter" w:eastAsia="Inter"/>
                <w:b/>
                <w:i w:val="0"/>
                <w:color w:val="128770"/>
                <w:sz w:val="18"/>
              </w:rPr>
              <w:t>Moderated by (must not work in the base)</w:t>
            </w:r>
          </w:p>
        </w:tc>
        <w:tc>
          <w:tcPr>
            <w:tcW w:type="dxa" w:w="3855"/>
            <w:shd w:val="clear" w:color="auto" w:fill="D6E9E5"/>
            <w:tcMar>
              <w:top w:w="60" w:type="dxa"/>
              <w:bottom w:w="60" w:type="dxa"/>
              <w:left w:w="90" w:type="dxa"/>
              <w:right w:w="90" w:type="dxa"/>
            </w:tcMar>
            <w:vAlign w:val="top"/>
          </w:tcPr>
          <w:p>
            <w:pPr>
              <w:spacing w:before="0" w:after="40" w:line="259" w:lineRule="auto"/>
            </w:pPr>
            <w:r>
              <w:rPr>
                <w:rFonts w:ascii="Inter" w:hAnsi="Inter" w:cs="Inter" w:eastAsia="Inter"/>
                <w:b/>
                <w:i w:val="0"/>
                <w:color w:val="128770"/>
                <w:sz w:val="18"/>
              </w:rPr>
              <w:t>Date completed</w:t>
            </w:r>
          </w:p>
        </w:tc>
        <w:tc>
          <w:tcPr>
            <w:tcW w:type="dxa" w:w="3912"/>
            <w:shd w:val="clear" w:color="auto" w:fill="D6E9E5"/>
            <w:tcMar>
              <w:top w:w="60" w:type="dxa"/>
              <w:bottom w:w="60" w:type="dxa"/>
              <w:left w:w="90" w:type="dxa"/>
              <w:right w:w="90" w:type="dxa"/>
            </w:tcMar>
            <w:vAlign w:val="top"/>
          </w:tcPr>
          <w:p>
            <w:pPr>
              <w:spacing w:before="0" w:after="40" w:line="259" w:lineRule="auto"/>
            </w:pPr>
            <w:r>
              <w:rPr>
                <w:rFonts w:ascii="Inter" w:hAnsi="Inter" w:cs="Inter" w:eastAsia="Inter"/>
                <w:b/>
                <w:i w:val="0"/>
                <w:color w:val="128770"/>
                <w:sz w:val="18"/>
              </w:rPr>
              <w:t>Re-rate date</w:t>
            </w:r>
          </w:p>
        </w:tc>
      </w:tr>
      <w:tr>
        <w:trPr>
          <w:trHeight w:val="737" w:hRule="atLeast"/>
          <w:cantSplit/>
        </w:trPr>
        <w:tc>
          <w:tcPr>
            <w:tcW w:type="dxa" w:w="3855"/>
            <w:tcMar>
              <w:top w:w="60" w:type="dxa"/>
              <w:bottom w:w="60" w:type="dxa"/>
              <w:left w:w="90" w:type="dxa"/>
              <w:right w:w="90" w:type="dxa"/>
            </w:tcMar>
            <w:vAlign w:val="top"/>
          </w:tcPr>
          <w:p>
            <w:pPr>
              <w:spacing w:before="0" w:after="40" w:line="259" w:lineRule="auto"/>
            </w:pPr>
            <w:r>
              <w:rPr>
                <w:rFonts w:ascii="Inter" w:hAnsi="Inter" w:cs="Inter" w:eastAsia="Inter"/>
                <w:b w:val="0"/>
                <w:i w:val="0"/>
                <w:color w:val="1A1A1A"/>
                <w:sz w:val="18"/>
              </w:rPr>
            </w:r>
          </w:p>
        </w:tc>
        <w:tc>
          <w:tcPr>
            <w:tcW w:type="dxa" w:w="3855"/>
            <w:tcMar>
              <w:top w:w="60" w:type="dxa"/>
              <w:bottom w:w="60" w:type="dxa"/>
              <w:left w:w="90" w:type="dxa"/>
              <w:right w:w="90" w:type="dxa"/>
            </w:tcMar>
            <w:vAlign w:val="top"/>
          </w:tcPr>
          <w:p>
            <w:pPr>
              <w:spacing w:before="0" w:after="40" w:line="259" w:lineRule="auto"/>
            </w:pPr>
            <w:r>
              <w:rPr>
                <w:rFonts w:ascii="Inter" w:hAnsi="Inter" w:cs="Inter" w:eastAsia="Inter"/>
                <w:b w:val="0"/>
                <w:i w:val="0"/>
                <w:color w:val="1A1A1A"/>
                <w:sz w:val="18"/>
              </w:rPr>
            </w:r>
          </w:p>
        </w:tc>
        <w:tc>
          <w:tcPr>
            <w:tcW w:type="dxa" w:w="3855"/>
            <w:tcMar>
              <w:top w:w="60" w:type="dxa"/>
              <w:bottom w:w="60" w:type="dxa"/>
              <w:left w:w="90" w:type="dxa"/>
              <w:right w:w="90" w:type="dxa"/>
            </w:tcMar>
            <w:vAlign w:val="top"/>
          </w:tcPr>
          <w:p>
            <w:pPr>
              <w:spacing w:before="0" w:after="40" w:line="259" w:lineRule="auto"/>
            </w:pPr>
            <w:r>
              <w:rPr>
                <w:rFonts w:ascii="Inter" w:hAnsi="Inter" w:cs="Inter" w:eastAsia="Inter"/>
                <w:b w:val="0"/>
                <w:i w:val="0"/>
                <w:color w:val="1A1A1A"/>
                <w:sz w:val="18"/>
              </w:rPr>
            </w:r>
          </w:p>
        </w:tc>
        <w:tc>
          <w:tcPr>
            <w:tcW w:type="dxa" w:w="3912"/>
            <w:tcMar>
              <w:top w:w="60" w:type="dxa"/>
              <w:bottom w:w="60" w:type="dxa"/>
              <w:left w:w="90" w:type="dxa"/>
              <w:right w:w="90" w:type="dxa"/>
            </w:tcMar>
            <w:vAlign w:val="top"/>
          </w:tcPr>
          <w:p>
            <w:pPr>
              <w:spacing w:before="0" w:after="40" w:line="259" w:lineRule="auto"/>
            </w:pPr>
            <w:r>
              <w:rPr>
                <w:rFonts w:ascii="Inter" w:hAnsi="Inter" w:cs="Inter" w:eastAsia="Inter"/>
                <w:b w:val="0"/>
                <w:i w:val="0"/>
                <w:color w:val="1A1A1A"/>
                <w:sz w:val="18"/>
              </w:rPr>
            </w:r>
          </w:p>
        </w:tc>
      </w:tr>
    </w:tbl>
    <w:p>
      <w:pPr>
        <w:spacing w:after="120" w:before="80" w:line="276" w:lineRule="auto"/>
      </w:pPr>
      <w:r>
        <w:rPr>
          <w:rFonts w:ascii="Inter" w:hAnsi="Inter" w:cs="Inter" w:eastAsia="Inter"/>
          <w:b w:val="0"/>
          <w:i/>
          <w:color w:val="666666"/>
          <w:sz w:val="19"/>
        </w:rPr>
        <w:t>If no name goes in the moderation box, treat every rating on the pages that follow as provisional. That is not a formality. It is the single control that stops this document recording what you hoped was true.</w:t>
      </w:r>
    </w:p>
    <w:p>
      <w:pPr>
        <w:spacing w:after="0" w:before="0" w:line="240" w:lineRule="auto"/>
        <w:pageBreakBefore/>
      </w:pPr>
      <w:r>
        <w:rPr>
          <w:rFonts w:ascii="Inter" w:hAnsi="Inter" w:cs="Inter" w:eastAsia="Inter"/>
          <w:b w:val="0"/>
          <w:i w:val="0"/>
          <w:color w:val="1A1A1A"/>
          <w:sz w:val="2"/>
        </w:rPr>
      </w:r>
    </w:p>
    <w:tbl>
      <w:tblPr>
        <w:tblW w:type="auto" w:w="0"/>
        <w:tblLayout w:type="fixed"/>
        <w:tblLook w:firstColumn="1" w:firstRow="1" w:lastColumn="0" w:lastRow="0" w:noHBand="0" w:noVBand="1" w:val="04A0"/>
      </w:tblPr>
      <w:tblGrid>
        <w:gridCol w:w="15478"/>
      </w:tblGrid>
      <w:tr>
        <w:tc>
          <w:tcPr>
            <w:tcW w:type="dxa" w:w="15477"/>
            <w:shd w:val="clear" w:color="auto" w:fill="128770"/>
            <w:tcMar>
              <w:top w:w="130" w:type="dxa"/>
              <w:bottom w:w="130" w:type="dxa"/>
              <w:left w:w="160" w:type="dxa"/>
              <w:right w:w="160" w:type="dxa"/>
            </w:tcMar>
            <w:vAlign w:val="top"/>
          </w:tcPr>
          <w:p>
            <w:pPr>
              <w:spacing w:before="0" w:after="40" w:line="259" w:lineRule="auto"/>
            </w:pPr>
            <w:r>
              <w:rPr>
                <w:rFonts w:ascii="Lexend" w:hAnsi="Lexend" w:cs="Lexend" w:eastAsia="Lexend"/>
                <w:b/>
                <w:i w:val="0"/>
                <w:color w:val="FFFFFF"/>
                <w:sz w:val="30"/>
              </w:rPr>
              <w:t xml:space="preserve">P1   </w:t>
            </w:r>
            <w:r>
              <w:rPr>
                <w:rFonts w:ascii="Lexend" w:hAnsi="Lexend" w:cs="Lexend" w:eastAsia="Lexend"/>
                <w:b/>
                <w:i w:val="0"/>
                <w:color w:val="FFFFFF"/>
                <w:sz w:val="30"/>
              </w:rPr>
              <w:t>Supporting inclusion in the school or local area</w:t>
            </w:r>
          </w:p>
          <w:p>
            <w:pPr>
              <w:spacing w:before="0" w:after="40" w:line="259" w:lineRule="auto"/>
            </w:pPr>
            <w:r>
              <w:rPr>
                <w:rFonts w:ascii="Inter" w:hAnsi="Inter" w:cs="Inter" w:eastAsia="Inter"/>
                <w:b w:val="0"/>
                <w:i w:val="0"/>
                <w:color w:val="FFFFFF"/>
                <w:sz w:val="17"/>
              </w:rPr>
              <w:t>Guidance pages 13-16  ·  8 criteria  ·  EEF: Recommendation 1: Create a positive and supportive environment for all pupils, without exception</w:t>
            </w:r>
          </w:p>
        </w:tc>
      </w:tr>
    </w:tbl>
    <w:p>
      <w:pPr>
        <w:spacing w:after="80" w:before="0" w:line="276" w:lineRule="auto"/>
      </w:pPr>
    </w:p>
    <w:tbl>
      <w:tblPr>
        <w:tblStyle w:val="TableGrid"/>
        <w:tblW w:type="auto" w:w="0"/>
        <w:tblLayout w:type="fixed"/>
        <w:tblLook w:firstColumn="1" w:firstRow="1" w:lastColumn="0" w:lastRow="0" w:noHBand="0" w:noVBand="1" w:val="04A0"/>
      </w:tblPr>
      <w:tblGrid>
        <w:gridCol w:w="3096"/>
        <w:gridCol w:w="3096"/>
        <w:gridCol w:w="3096"/>
        <w:gridCol w:w="3096"/>
        <w:gridCol w:w="3096"/>
      </w:tblGrid>
      <w:tr>
        <w:trPr>
          <w:tblHeader w:val="true"/>
        </w:trPr>
        <w:tc>
          <w:tcPr>
            <w:tcW w:type="dxa" w:w="4082"/>
            <w:shd w:val="clear" w:color="auto" w:fill="D6E9E5"/>
            <w:tcMar>
              <w:top w:w="70" w:type="dxa"/>
              <w:bottom w:w="70" w:type="dxa"/>
              <w:left w:w="90" w:type="dxa"/>
              <w:right w:w="90" w:type="dxa"/>
            </w:tcMar>
            <w:vAlign w:val="top"/>
          </w:tcPr>
          <w:p>
            <w:pPr>
              <w:spacing w:before="0" w:after="40" w:line="259" w:lineRule="auto"/>
            </w:pPr>
            <w:r>
              <w:rPr>
                <w:rFonts w:ascii="Inter" w:hAnsi="Inter" w:cs="Inter" w:eastAsia="Inter"/>
                <w:b/>
                <w:i w:val="0"/>
                <w:color w:val="128770"/>
                <w:sz w:val="17"/>
              </w:rPr>
              <w:t>What good looks like</w:t>
            </w:r>
          </w:p>
        </w:tc>
        <w:tc>
          <w:tcPr>
            <w:tcW w:type="dxa" w:w="3742"/>
            <w:shd w:val="clear" w:color="auto" w:fill="D6E9E5"/>
            <w:tcMar>
              <w:top w:w="70" w:type="dxa"/>
              <w:bottom w:w="70" w:type="dxa"/>
              <w:left w:w="90" w:type="dxa"/>
              <w:right w:w="90" w:type="dxa"/>
            </w:tcMar>
            <w:vAlign w:val="top"/>
          </w:tcPr>
          <w:p>
            <w:pPr>
              <w:spacing w:before="0" w:after="40" w:line="259" w:lineRule="auto"/>
            </w:pPr>
            <w:r>
              <w:rPr>
                <w:rFonts w:ascii="Inter" w:hAnsi="Inter" w:cs="Inter" w:eastAsia="Inter"/>
                <w:b/>
                <w:i w:val="0"/>
                <w:color w:val="128770"/>
                <w:sz w:val="17"/>
              </w:rPr>
              <w:t>Your evidence  (fill this in FIRST)</w:t>
            </w:r>
          </w:p>
        </w:tc>
        <w:tc>
          <w:tcPr>
            <w:tcW w:type="dxa" w:w="964"/>
            <w:shd w:val="clear" w:color="auto" w:fill="FEF6D9"/>
            <w:tcMar>
              <w:top w:w="70" w:type="dxa"/>
              <w:bottom w:w="70" w:type="dxa"/>
              <w:left w:w="90" w:type="dxa"/>
              <w:right w:w="90" w:type="dxa"/>
            </w:tcMar>
            <w:vAlign w:val="top"/>
          </w:tcPr>
          <w:p>
            <w:pPr>
              <w:spacing w:before="0" w:after="40" w:line="259" w:lineRule="auto"/>
            </w:pPr>
            <w:r>
              <w:rPr>
                <w:rFonts w:ascii="Inter" w:hAnsi="Inter" w:cs="Inter" w:eastAsia="Inter"/>
                <w:b/>
                <w:i w:val="0"/>
                <w:color w:val="128770"/>
                <w:sz w:val="17"/>
              </w:rPr>
              <w:t>Rating</w:t>
            </w:r>
          </w:p>
        </w:tc>
        <w:tc>
          <w:tcPr>
            <w:tcW w:type="dxa" w:w="3742"/>
            <w:shd w:val="clear" w:color="auto" w:fill="D6E9E5"/>
            <w:tcMar>
              <w:top w:w="70" w:type="dxa"/>
              <w:bottom w:w="70" w:type="dxa"/>
              <w:left w:w="90" w:type="dxa"/>
              <w:right w:w="90" w:type="dxa"/>
            </w:tcMar>
            <w:vAlign w:val="top"/>
          </w:tcPr>
          <w:p>
            <w:pPr>
              <w:spacing w:before="0" w:after="40" w:line="259" w:lineRule="auto"/>
            </w:pPr>
            <w:r>
              <w:rPr>
                <w:rFonts w:ascii="Inter" w:hAnsi="Inter" w:cs="Inter" w:eastAsia="Inter"/>
                <w:b/>
                <w:i w:val="0"/>
                <w:color w:val="128770"/>
                <w:sz w:val="17"/>
              </w:rPr>
              <w:t>Suggested next step</w:t>
            </w:r>
          </w:p>
        </w:tc>
        <w:tc>
          <w:tcPr>
            <w:tcW w:type="dxa" w:w="2948"/>
            <w:shd w:val="clear" w:color="auto" w:fill="D6E9E5"/>
            <w:tcMar>
              <w:top w:w="70" w:type="dxa"/>
              <w:bottom w:w="70" w:type="dxa"/>
              <w:left w:w="90" w:type="dxa"/>
              <w:right w:w="90" w:type="dxa"/>
            </w:tcMar>
            <w:vAlign w:val="top"/>
          </w:tcPr>
          <w:p>
            <w:pPr>
              <w:spacing w:before="0" w:after="40" w:line="259" w:lineRule="auto"/>
            </w:pPr>
            <w:r>
              <w:rPr>
                <w:rFonts w:ascii="Inter" w:hAnsi="Inter" w:cs="Inter" w:eastAsia="Inter"/>
                <w:b/>
                <w:i w:val="0"/>
                <w:color w:val="128770"/>
                <w:sz w:val="17"/>
              </w:rPr>
              <w:t>Owner / date / review date</w:t>
            </w:r>
          </w:p>
        </w:tc>
      </w:tr>
      <w:tr>
        <w:trPr>
          <w:cantSplit/>
        </w:trPr>
        <w:tc>
          <w:tcPr>
            <w:tcW w:type="dxa" w:w="15478"/>
            <w:gridSpan w:val="5"/>
            <w:shd w:val="clear" w:color="auto" w:fill="F1F7F6"/>
            <w:tcMar>
              <w:top w:w="80" w:type="dxa"/>
              <w:bottom w:w="80" w:type="dxa"/>
              <w:left w:w="90" w:type="dxa"/>
              <w:right w:w="90" w:type="dxa"/>
            </w:tcMar>
            <w:vAlign w:val="top"/>
          </w:tcPr>
          <w:p>
            <w:pPr>
              <w:spacing w:before="0" w:after="40" w:line="259" w:lineRule="auto"/>
              <w:keepNext/>
            </w:pPr>
            <w:r>
              <w:rPr>
                <w:rFonts w:ascii="Inter" w:hAnsi="Inter" w:cs="Inter" w:eastAsia="Inter"/>
                <w:b/>
                <w:i w:val="0"/>
                <w:color w:val="128770"/>
                <w:sz w:val="19"/>
              </w:rPr>
              <w:t xml:space="preserve">P1.1   </w:t>
            </w:r>
            <w:r>
              <w:rPr>
                <w:rFonts w:ascii="Inter" w:hAnsi="Inter" w:cs="Inter" w:eastAsia="Inter"/>
                <w:b/>
                <w:i w:val="0"/>
                <w:color w:val="1A1A1A"/>
                <w:sz w:val="19"/>
              </w:rPr>
              <w:t>You have developed an inclusive, high-quality universal offer across the whole school, and can show it was in place before the base opened or has been strengthened since.</w:t>
            </w:r>
          </w:p>
          <w:p>
            <w:pPr>
              <w:spacing w:before="0" w:after="40" w:line="259" w:lineRule="auto"/>
              <w:keepNext/>
            </w:pPr>
            <w:r>
              <w:rPr>
                <w:rFonts w:ascii="Inter" w:hAnsi="Inter" w:cs="Inter" w:eastAsia="Inter"/>
                <w:b w:val="0"/>
                <w:i/>
                <w:color w:val="666666"/>
                <w:sz w:val="15"/>
              </w:rPr>
              <w:t>Whole school  ·  Guidance: “Schools should focus on developing an inclusive and high-quality universal offer across the whole school before setting up an inclusion base. This is a key pre-requisite for developing an effective base offer that promotes inclusion.”</w:t>
            </w:r>
          </w:p>
        </w:tc>
      </w:tr>
      <w:tr>
        <w:trPr>
          <w:trHeight w:val="1701" w:hRule="atLeast"/>
          <w:cantSplit/>
        </w:trPr>
        <w:tc>
          <w:tcPr>
            <w:tcW w:type="dxa" w:w="4082"/>
            <w:tcMar>
              <w:top w:w="70" w:type="dxa"/>
              <w:bottom w:w="70" w:type="dxa"/>
              <w:left w:w="90" w:type="dxa"/>
              <w:right w:w="90" w:type="dxa"/>
            </w:tcMar>
            <w:vAlign w:val="top"/>
          </w:tcPr>
          <w:p>
            <w:pPr>
              <w:spacing w:before="0" w:after="80" w:line="259" w:lineRule="auto"/>
            </w:pPr>
            <w:r>
              <w:rPr>
                <w:rFonts w:ascii="Inter" w:hAnsi="Inter" w:cs="Inter" w:eastAsia="Inter"/>
                <w:b/>
                <w:i w:val="0"/>
                <w:color w:val="128770"/>
                <w:sz w:val="17"/>
              </w:rPr>
              <w:t xml:space="preserve">1  </w:t>
            </w:r>
            <w:r>
              <w:rPr>
                <w:rFonts w:ascii="Inter" w:hAnsi="Inter" w:cs="Inter" w:eastAsia="Inter"/>
                <w:b w:val="0"/>
                <w:i w:val="0"/>
                <w:color w:val="1A1A1A"/>
                <w:sz w:val="17"/>
              </w:rPr>
              <w:t>The base is the school's inclusion strategy.</w:t>
            </w:r>
          </w:p>
          <w:p>
            <w:pPr>
              <w:spacing w:before="0" w:after="80" w:line="259" w:lineRule="auto"/>
            </w:pPr>
            <w:r>
              <w:rPr>
                <w:rFonts w:ascii="Inter" w:hAnsi="Inter" w:cs="Inter" w:eastAsia="Inter"/>
                <w:b/>
                <w:i w:val="0"/>
                <w:color w:val="128770"/>
                <w:sz w:val="17"/>
              </w:rPr>
              <w:t xml:space="preserve">3  </w:t>
            </w:r>
            <w:r>
              <w:rPr>
                <w:rFonts w:ascii="Inter" w:hAnsi="Inter" w:cs="Inter" w:eastAsia="Inter"/>
                <w:b w:val="0"/>
                <w:i w:val="0"/>
                <w:color w:val="1A1A1A"/>
                <w:sz w:val="17"/>
              </w:rPr>
              <w:t>A universal offer exists but the base is still where most additional need is routed.</w:t>
            </w:r>
          </w:p>
          <w:p>
            <w:pPr>
              <w:spacing w:before="0" w:after="80" w:line="259" w:lineRule="auto"/>
            </w:pPr>
            <w:r>
              <w:rPr>
                <w:rFonts w:ascii="Inter" w:hAnsi="Inter" w:cs="Inter" w:eastAsia="Inter"/>
                <w:b/>
                <w:i w:val="0"/>
                <w:color w:val="128770"/>
                <w:sz w:val="17"/>
              </w:rPr>
              <w:t xml:space="preserve">5  </w:t>
            </w:r>
            <w:r>
              <w:rPr>
                <w:rFonts w:ascii="Inter" w:hAnsi="Inter" w:cs="Inter" w:eastAsia="Inter"/>
                <w:b w:val="0"/>
                <w:i w:val="0"/>
                <w:color w:val="1A1A1A"/>
                <w:sz w:val="17"/>
              </w:rPr>
              <w:t>The universal offer is strong and documented; the base extends it rather than substituting for it.</w:t>
            </w:r>
          </w:p>
        </w:tc>
        <w:tc>
          <w:tcPr>
            <w:tcW w:type="dxa" w:w="3742"/>
            <w:tcMar>
              <w:top w:w="70" w:type="dxa"/>
              <w:bottom w:w="70" w:type="dxa"/>
              <w:left w:w="90" w:type="dxa"/>
              <w:right w:w="90" w:type="dxa"/>
            </w:tcMar>
            <w:vAlign w:val="top"/>
          </w:tcPr>
          <w:p>
            <w:pPr>
              <w:spacing w:before="0" w:after="80" w:line="259" w:lineRule="auto"/>
            </w:pPr>
            <w:r>
              <w:rPr>
                <w:rFonts w:ascii="Inter" w:hAnsi="Inter" w:cs="Inter" w:eastAsia="Inter"/>
                <w:b w:val="0"/>
                <w:i/>
                <w:color w:val="666666"/>
                <w:sz w:val="16"/>
              </w:rPr>
              <w:t>Which whole-school practices changed as a result of the base existing?</w:t>
            </w:r>
          </w:p>
          <w:p>
            <w:pPr>
              <w:spacing w:before="0" w:after="80" w:line="259" w:lineRule="auto"/>
            </w:pPr>
            <w:r>
              <w:rPr>
                <w:rFonts w:ascii="Inter" w:hAnsi="Inter" w:cs="Inter" w:eastAsia="Inter"/>
                <w:b w:val="0"/>
                <w:i w:val="0"/>
                <w:color w:val="1A1A1A"/>
                <w:sz w:val="18"/>
              </w:rPr>
            </w:r>
          </w:p>
        </w:tc>
        <w:tc>
          <w:tcPr>
            <w:tcW w:type="dxa" w:w="964"/>
            <w:tcMar>
              <w:top w:w="70" w:type="dxa"/>
              <w:bottom w:w="70" w:type="dxa"/>
              <w:left w:w="90" w:type="dxa"/>
              <w:right w:w="90" w:type="dxa"/>
            </w:tcMar>
            <w:shd w:val="clear" w:color="auto" w:fill="FEF6D9"/>
            <w:vAlign w:val="center"/>
          </w:tcPr>
          <w:p>
            <w:pPr>
              <w:spacing w:before="0" w:after="40" w:line="259" w:lineRule="auto"/>
            </w:pPr>
            <w:r>
              <w:rPr>
                <w:rFonts w:ascii="Inter" w:hAnsi="Inter" w:cs="Inter" w:eastAsia="Inter"/>
                <w:b w:val="0"/>
                <w:i w:val="0"/>
                <w:color w:val="1A1A1A"/>
                <w:sz w:val="18"/>
              </w:rPr>
            </w:r>
          </w:p>
          <w:p>
            <w:pPr>
              <w:spacing w:before="0" w:after="40" w:line="259" w:lineRule="auto"/>
            </w:pPr>
            <w:r>
              <w:rPr>
                <w:rFonts w:ascii="Inter" w:hAnsi="Inter" w:cs="Inter" w:eastAsia="Inter"/>
                <w:b w:val="0"/>
                <w:i w:val="0"/>
                <w:color w:val="666666"/>
                <w:sz w:val="15"/>
              </w:rPr>
              <w:t>1 to 5</w:t>
            </w:r>
          </w:p>
        </w:tc>
        <w:tc>
          <w:tcPr>
            <w:tcW w:type="dxa" w:w="3742"/>
            <w:tcMar>
              <w:top w:w="70" w:type="dxa"/>
              <w:bottom w:w="70" w:type="dxa"/>
              <w:left w:w="90" w:type="dxa"/>
              <w:right w:w="90" w:type="dxa"/>
            </w:tcMar>
            <w:vAlign w:val="top"/>
          </w:tcPr>
          <w:p>
            <w:pPr>
              <w:spacing w:before="0" w:after="40" w:line="259" w:lineRule="auto"/>
            </w:pPr>
            <w:r>
              <w:rPr>
                <w:rFonts w:ascii="Inter" w:hAnsi="Inter" w:cs="Inter" w:eastAsia="Inter"/>
                <w:b w:val="0"/>
                <w:i w:val="0"/>
                <w:color w:val="1A1A1A"/>
                <w:sz w:val="17"/>
              </w:rPr>
              <w:t>Audit your universal offer against EEF Recommendation 3 before adding base capacity. The guidance is explicit that a strong universal offer is a pre-requisite, not a parallel track.</w:t>
            </w:r>
          </w:p>
        </w:tc>
        <w:tc>
          <w:tcPr>
            <w:tcW w:type="dxa" w:w="2948"/>
            <w:tcMar>
              <w:top w:w="70" w:type="dxa"/>
              <w:bottom w:w="70" w:type="dxa"/>
              <w:left w:w="90" w:type="dxa"/>
              <w:right w:w="90" w:type="dxa"/>
            </w:tcMar>
            <w:vAlign w:val="top"/>
          </w:tcPr>
          <w:p>
            <w:pPr>
              <w:spacing w:before="0" w:after="60" w:line="259" w:lineRule="auto"/>
            </w:pPr>
            <w:r>
              <w:rPr>
                <w:rFonts w:ascii="Inter" w:hAnsi="Inter" w:cs="Inter" w:eastAsia="Inter"/>
                <w:b w:val="0"/>
                <w:i w:val="0"/>
                <w:color w:val="666666"/>
                <w:sz w:val="15"/>
              </w:rPr>
              <w:t>Owner</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Target date</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Review date</w:t>
            </w:r>
          </w:p>
          <w:p>
            <w:pPr>
              <w:spacing w:before="0" w:after="60" w:line="259" w:lineRule="auto"/>
            </w:pPr>
            <w:r>
              <w:rPr>
                <w:rFonts w:ascii="Inter" w:hAnsi="Inter" w:cs="Inter" w:eastAsia="Inter"/>
                <w:b w:val="0"/>
                <w:i w:val="0"/>
                <w:color w:val="1A1A1A"/>
                <w:sz w:val="18"/>
              </w:rPr>
            </w:r>
          </w:p>
        </w:tc>
      </w:tr>
      <w:tr>
        <w:trPr>
          <w:cantSplit/>
        </w:trPr>
        <w:tc>
          <w:tcPr>
            <w:tcW w:type="dxa" w:w="15478"/>
            <w:gridSpan w:val="5"/>
            <w:shd w:val="clear" w:color="auto" w:fill="F1F7F6"/>
            <w:tcMar>
              <w:top w:w="80" w:type="dxa"/>
              <w:bottom w:w="80" w:type="dxa"/>
              <w:left w:w="90" w:type="dxa"/>
              <w:right w:w="90" w:type="dxa"/>
            </w:tcMar>
            <w:vAlign w:val="top"/>
          </w:tcPr>
          <w:p>
            <w:pPr>
              <w:spacing w:before="0" w:after="40" w:line="259" w:lineRule="auto"/>
              <w:keepNext/>
            </w:pPr>
            <w:r>
              <w:rPr>
                <w:rFonts w:ascii="Inter" w:hAnsi="Inter" w:cs="Inter" w:eastAsia="Inter"/>
                <w:b/>
                <w:i w:val="0"/>
                <w:color w:val="128770"/>
                <w:sz w:val="19"/>
              </w:rPr>
              <w:t xml:space="preserve">P1.2   </w:t>
            </w:r>
            <w:r>
              <w:rPr>
                <w:rFonts w:ascii="Inter" w:hAnsi="Inter" w:cs="Inter" w:eastAsia="Inter"/>
                <w:b/>
                <w:i w:val="0"/>
                <w:color w:val="1A1A1A"/>
                <w:sz w:val="19"/>
              </w:rPr>
              <w:t>You actively maximise the time learners in the base spend in mainstream classes and whole-school activities, and you review that time on a set cycle.</w:t>
            </w:r>
          </w:p>
          <w:p>
            <w:pPr>
              <w:spacing w:before="0" w:after="40" w:line="259" w:lineRule="auto"/>
              <w:keepNext/>
            </w:pPr>
            <w:r>
              <w:rPr>
                <w:rFonts w:ascii="Inter" w:hAnsi="Inter" w:cs="Inter" w:eastAsia="Inter"/>
                <w:b w:val="0"/>
                <w:i/>
                <w:color w:val="666666"/>
                <w:sz w:val="15"/>
              </w:rPr>
              <w:t>Base  ·  Guidance: “In line with the continuum model, schools should aim to maximise the time children accessing a base spend in mainstream classes and whole-school activities, regularly reviewing and identifying opportunities for greater inclusion where appropriate.”</w:t>
            </w:r>
          </w:p>
        </w:tc>
      </w:tr>
      <w:tr>
        <w:trPr>
          <w:trHeight w:val="1701" w:hRule="atLeast"/>
          <w:cantSplit/>
        </w:trPr>
        <w:tc>
          <w:tcPr>
            <w:tcW w:type="dxa" w:w="4082"/>
            <w:tcMar>
              <w:top w:w="70" w:type="dxa"/>
              <w:bottom w:w="70" w:type="dxa"/>
              <w:left w:w="90" w:type="dxa"/>
              <w:right w:w="90" w:type="dxa"/>
            </w:tcMar>
            <w:vAlign w:val="top"/>
          </w:tcPr>
          <w:p>
            <w:pPr>
              <w:spacing w:before="0" w:after="80" w:line="259" w:lineRule="auto"/>
            </w:pPr>
            <w:r>
              <w:rPr>
                <w:rFonts w:ascii="Inter" w:hAnsi="Inter" w:cs="Inter" w:eastAsia="Inter"/>
                <w:b/>
                <w:i w:val="0"/>
                <w:color w:val="128770"/>
                <w:sz w:val="17"/>
              </w:rPr>
              <w:t xml:space="preserve">1  </w:t>
            </w:r>
            <w:r>
              <w:rPr>
                <w:rFonts w:ascii="Inter" w:hAnsi="Inter" w:cs="Inter" w:eastAsia="Inter"/>
                <w:b w:val="0"/>
                <w:i w:val="0"/>
                <w:color w:val="1A1A1A"/>
                <w:sz w:val="17"/>
              </w:rPr>
              <w:t>Time in mainstream is whatever the timetable happens to allow.</w:t>
            </w:r>
          </w:p>
          <w:p>
            <w:pPr>
              <w:spacing w:before="0" w:after="80" w:line="259" w:lineRule="auto"/>
            </w:pPr>
            <w:r>
              <w:rPr>
                <w:rFonts w:ascii="Inter" w:hAnsi="Inter" w:cs="Inter" w:eastAsia="Inter"/>
                <w:b/>
                <w:i w:val="0"/>
                <w:color w:val="128770"/>
                <w:sz w:val="17"/>
              </w:rPr>
              <w:t xml:space="preserve">3  </w:t>
            </w:r>
            <w:r>
              <w:rPr>
                <w:rFonts w:ascii="Inter" w:hAnsi="Inter" w:cs="Inter" w:eastAsia="Inter"/>
                <w:b w:val="0"/>
                <w:i w:val="0"/>
                <w:color w:val="1A1A1A"/>
                <w:sz w:val="17"/>
              </w:rPr>
              <w:t>Time in mainstream is planned per learner but reviewed only at annual review.</w:t>
            </w:r>
          </w:p>
          <w:p>
            <w:pPr>
              <w:spacing w:before="0" w:after="80" w:line="259" w:lineRule="auto"/>
            </w:pPr>
            <w:r>
              <w:rPr>
                <w:rFonts w:ascii="Inter" w:hAnsi="Inter" w:cs="Inter" w:eastAsia="Inter"/>
                <w:b/>
                <w:i w:val="0"/>
                <w:color w:val="128770"/>
                <w:sz w:val="17"/>
              </w:rPr>
              <w:t xml:space="preserve">5  </w:t>
            </w:r>
            <w:r>
              <w:rPr>
                <w:rFonts w:ascii="Inter" w:hAnsi="Inter" w:cs="Inter" w:eastAsia="Inter"/>
                <w:b w:val="0"/>
                <w:i w:val="0"/>
                <w:color w:val="1A1A1A"/>
                <w:sz w:val="17"/>
              </w:rPr>
              <w:t>Time in mainstream is planned, tracked as data, and reviewed at least termly with named opportunities to increase it.</w:t>
            </w:r>
          </w:p>
        </w:tc>
        <w:tc>
          <w:tcPr>
            <w:tcW w:type="dxa" w:w="3742"/>
            <w:tcMar>
              <w:top w:w="70" w:type="dxa"/>
              <w:bottom w:w="70" w:type="dxa"/>
              <w:left w:w="90" w:type="dxa"/>
              <w:right w:w="90" w:type="dxa"/>
            </w:tcMar>
            <w:vAlign w:val="top"/>
          </w:tcPr>
          <w:p>
            <w:pPr>
              <w:spacing w:before="0" w:after="80" w:line="259" w:lineRule="auto"/>
            </w:pPr>
            <w:r>
              <w:rPr>
                <w:rFonts w:ascii="Inter" w:hAnsi="Inter" w:cs="Inter" w:eastAsia="Inter"/>
                <w:b w:val="0"/>
                <w:i/>
                <w:color w:val="666666"/>
                <w:sz w:val="16"/>
              </w:rPr>
              <w:t>For each learner, how many hours in mainstream this term compared with last? Who reviewed it and when?</w:t>
            </w:r>
          </w:p>
          <w:p>
            <w:pPr>
              <w:spacing w:before="0" w:after="80" w:line="259" w:lineRule="auto"/>
            </w:pPr>
            <w:r>
              <w:rPr>
                <w:rFonts w:ascii="Inter" w:hAnsi="Inter" w:cs="Inter" w:eastAsia="Inter"/>
                <w:b w:val="0"/>
                <w:i w:val="0"/>
                <w:color w:val="1A1A1A"/>
                <w:sz w:val="18"/>
              </w:rPr>
            </w:r>
          </w:p>
        </w:tc>
        <w:tc>
          <w:tcPr>
            <w:tcW w:type="dxa" w:w="964"/>
            <w:tcMar>
              <w:top w:w="70" w:type="dxa"/>
              <w:bottom w:w="70" w:type="dxa"/>
              <w:left w:w="90" w:type="dxa"/>
              <w:right w:w="90" w:type="dxa"/>
            </w:tcMar>
            <w:shd w:val="clear" w:color="auto" w:fill="FEF6D9"/>
            <w:vAlign w:val="center"/>
          </w:tcPr>
          <w:p>
            <w:pPr>
              <w:spacing w:before="0" w:after="40" w:line="259" w:lineRule="auto"/>
            </w:pPr>
            <w:r>
              <w:rPr>
                <w:rFonts w:ascii="Inter" w:hAnsi="Inter" w:cs="Inter" w:eastAsia="Inter"/>
                <w:b w:val="0"/>
                <w:i w:val="0"/>
                <w:color w:val="1A1A1A"/>
                <w:sz w:val="18"/>
              </w:rPr>
            </w:r>
          </w:p>
          <w:p>
            <w:pPr>
              <w:spacing w:before="0" w:after="40" w:line="259" w:lineRule="auto"/>
            </w:pPr>
            <w:r>
              <w:rPr>
                <w:rFonts w:ascii="Inter" w:hAnsi="Inter" w:cs="Inter" w:eastAsia="Inter"/>
                <w:b w:val="0"/>
                <w:i w:val="0"/>
                <w:color w:val="666666"/>
                <w:sz w:val="15"/>
              </w:rPr>
              <w:t>1 to 5</w:t>
            </w:r>
          </w:p>
        </w:tc>
        <w:tc>
          <w:tcPr>
            <w:tcW w:type="dxa" w:w="3742"/>
            <w:tcMar>
              <w:top w:w="70" w:type="dxa"/>
              <w:bottom w:w="70" w:type="dxa"/>
              <w:left w:w="90" w:type="dxa"/>
              <w:right w:w="90" w:type="dxa"/>
            </w:tcMar>
            <w:vAlign w:val="top"/>
          </w:tcPr>
          <w:p>
            <w:pPr>
              <w:spacing w:before="0" w:after="40" w:line="259" w:lineRule="auto"/>
            </w:pPr>
            <w:r>
              <w:rPr>
                <w:rFonts w:ascii="Inter" w:hAnsi="Inter" w:cs="Inter" w:eastAsia="Inter"/>
                <w:b w:val="0"/>
                <w:i w:val="0"/>
                <w:color w:val="1A1A1A"/>
                <w:sz w:val="17"/>
              </w:rPr>
              <w:t>Track 'time spent in the base' as a headline metric. The guidance names it explicitly as something to track, and it is the single clearest indicator of continuum position.</w:t>
            </w:r>
          </w:p>
        </w:tc>
        <w:tc>
          <w:tcPr>
            <w:tcW w:type="dxa" w:w="2948"/>
            <w:tcMar>
              <w:top w:w="70" w:type="dxa"/>
              <w:bottom w:w="70" w:type="dxa"/>
              <w:left w:w="90" w:type="dxa"/>
              <w:right w:w="90" w:type="dxa"/>
            </w:tcMar>
            <w:vAlign w:val="top"/>
          </w:tcPr>
          <w:p>
            <w:pPr>
              <w:spacing w:before="0" w:after="60" w:line="259" w:lineRule="auto"/>
            </w:pPr>
            <w:r>
              <w:rPr>
                <w:rFonts w:ascii="Inter" w:hAnsi="Inter" w:cs="Inter" w:eastAsia="Inter"/>
                <w:b w:val="0"/>
                <w:i w:val="0"/>
                <w:color w:val="666666"/>
                <w:sz w:val="15"/>
              </w:rPr>
              <w:t>Owner</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Target date</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Review date</w:t>
            </w:r>
          </w:p>
          <w:p>
            <w:pPr>
              <w:spacing w:before="0" w:after="60" w:line="259" w:lineRule="auto"/>
            </w:pPr>
            <w:r>
              <w:rPr>
                <w:rFonts w:ascii="Inter" w:hAnsi="Inter" w:cs="Inter" w:eastAsia="Inter"/>
                <w:b w:val="0"/>
                <w:i w:val="0"/>
                <w:color w:val="1A1A1A"/>
                <w:sz w:val="18"/>
              </w:rPr>
            </w:r>
          </w:p>
        </w:tc>
      </w:tr>
      <w:tr>
        <w:trPr>
          <w:cantSplit/>
        </w:trPr>
        <w:tc>
          <w:tcPr>
            <w:tcW w:type="dxa" w:w="15478"/>
            <w:gridSpan w:val="5"/>
            <w:shd w:val="clear" w:color="auto" w:fill="F1F7F6"/>
            <w:tcMar>
              <w:top w:w="80" w:type="dxa"/>
              <w:bottom w:w="80" w:type="dxa"/>
              <w:left w:w="90" w:type="dxa"/>
              <w:right w:w="90" w:type="dxa"/>
            </w:tcMar>
            <w:vAlign w:val="top"/>
          </w:tcPr>
          <w:p>
            <w:pPr>
              <w:spacing w:before="0" w:after="40" w:line="259" w:lineRule="auto"/>
              <w:keepNext/>
            </w:pPr>
            <w:r>
              <w:rPr>
                <w:rFonts w:ascii="Inter" w:hAnsi="Inter" w:cs="Inter" w:eastAsia="Inter"/>
                <w:b/>
                <w:i w:val="0"/>
                <w:color w:val="128770"/>
                <w:sz w:val="19"/>
              </w:rPr>
              <w:t xml:space="preserve">P1.3   </w:t>
            </w:r>
            <w:r>
              <w:rPr>
                <w:rFonts w:ascii="Inter" w:hAnsi="Inter" w:cs="Inter" w:eastAsia="Inter"/>
                <w:b/>
                <w:i w:val="0"/>
                <w:color w:val="1A1A1A"/>
                <w:sz w:val="19"/>
              </w:rPr>
              <w:t>You actively guard against learners who use the base being seen, or feeling, less valued than their mainstream peers.</w:t>
            </w:r>
          </w:p>
          <w:p>
            <w:pPr>
              <w:spacing w:before="0" w:after="40" w:line="259" w:lineRule="auto"/>
              <w:keepNext/>
            </w:pPr>
            <w:r>
              <w:rPr>
                <w:rFonts w:ascii="Inter" w:hAnsi="Inter" w:cs="Inter" w:eastAsia="Inter"/>
                <w:b w:val="0"/>
                <w:i/>
                <w:color w:val="666666"/>
                <w:sz w:val="15"/>
              </w:rPr>
              <w:t>Whole school  ·  Guidance: “Schools should be aware of the risks of children and young people being educated separately, and guard against making children and young people who use the base feel, or seem as though, they are less valued than their mainstream peers.”</w:t>
            </w:r>
          </w:p>
        </w:tc>
      </w:tr>
      <w:tr>
        <w:trPr>
          <w:trHeight w:val="1701" w:hRule="atLeast"/>
          <w:cantSplit/>
        </w:trPr>
        <w:tc>
          <w:tcPr>
            <w:tcW w:type="dxa" w:w="4082"/>
            <w:tcMar>
              <w:top w:w="70" w:type="dxa"/>
              <w:bottom w:w="70" w:type="dxa"/>
              <w:left w:w="90" w:type="dxa"/>
              <w:right w:w="90" w:type="dxa"/>
            </w:tcMar>
            <w:vAlign w:val="top"/>
          </w:tcPr>
          <w:p>
            <w:pPr>
              <w:spacing w:before="0" w:after="80" w:line="259" w:lineRule="auto"/>
            </w:pPr>
            <w:r>
              <w:rPr>
                <w:rFonts w:ascii="Inter" w:hAnsi="Inter" w:cs="Inter" w:eastAsia="Inter"/>
                <w:b/>
                <w:i w:val="0"/>
                <w:color w:val="128770"/>
                <w:sz w:val="17"/>
              </w:rPr>
              <w:t xml:space="preserve">1  </w:t>
            </w:r>
            <w:r>
              <w:rPr>
                <w:rFonts w:ascii="Inter" w:hAnsi="Inter" w:cs="Inter" w:eastAsia="Inter"/>
                <w:b w:val="0"/>
                <w:i w:val="0"/>
                <w:color w:val="1A1A1A"/>
                <w:sz w:val="17"/>
              </w:rPr>
              <w:t>No one has asked the learners or looked for the signals.</w:t>
            </w:r>
          </w:p>
          <w:p>
            <w:pPr>
              <w:spacing w:before="0" w:after="80" w:line="259" w:lineRule="auto"/>
            </w:pPr>
            <w:r>
              <w:rPr>
                <w:rFonts w:ascii="Inter" w:hAnsi="Inter" w:cs="Inter" w:eastAsia="Inter"/>
                <w:b/>
                <w:i w:val="0"/>
                <w:color w:val="128770"/>
                <w:sz w:val="17"/>
              </w:rPr>
              <w:t xml:space="preserve">3  </w:t>
            </w:r>
            <w:r>
              <w:rPr>
                <w:rFonts w:ascii="Inter" w:hAnsi="Inter" w:cs="Inter" w:eastAsia="Inter"/>
                <w:b w:val="0"/>
                <w:i w:val="0"/>
                <w:color w:val="1A1A1A"/>
                <w:sz w:val="17"/>
              </w:rPr>
              <w:t>Staff are alert to it informally; no structured check exists.</w:t>
            </w:r>
          </w:p>
          <w:p>
            <w:pPr>
              <w:spacing w:before="0" w:after="80" w:line="259" w:lineRule="auto"/>
            </w:pPr>
            <w:r>
              <w:rPr>
                <w:rFonts w:ascii="Inter" w:hAnsi="Inter" w:cs="Inter" w:eastAsia="Inter"/>
                <w:b/>
                <w:i w:val="0"/>
                <w:color w:val="128770"/>
                <w:sz w:val="17"/>
              </w:rPr>
              <w:t xml:space="preserve">5  </w:t>
            </w:r>
            <w:r>
              <w:rPr>
                <w:rFonts w:ascii="Inter" w:hAnsi="Inter" w:cs="Inter" w:eastAsia="Inter"/>
                <w:b w:val="0"/>
                <w:i w:val="0"/>
                <w:color w:val="1A1A1A"/>
                <w:sz w:val="17"/>
              </w:rPr>
              <w:t>You gather learner and peer voice on this specifically, and have acted on what it told you.</w:t>
            </w:r>
          </w:p>
        </w:tc>
        <w:tc>
          <w:tcPr>
            <w:tcW w:type="dxa" w:w="3742"/>
            <w:tcMar>
              <w:top w:w="70" w:type="dxa"/>
              <w:bottom w:w="70" w:type="dxa"/>
              <w:left w:w="90" w:type="dxa"/>
              <w:right w:w="90" w:type="dxa"/>
            </w:tcMar>
            <w:vAlign w:val="top"/>
          </w:tcPr>
          <w:p>
            <w:pPr>
              <w:spacing w:before="0" w:after="80" w:line="259" w:lineRule="auto"/>
            </w:pPr>
            <w:r>
              <w:rPr>
                <w:rFonts w:ascii="Inter" w:hAnsi="Inter" w:cs="Inter" w:eastAsia="Inter"/>
                <w:b w:val="0"/>
                <w:i/>
                <w:color w:val="666666"/>
                <w:sz w:val="16"/>
              </w:rPr>
              <w:t>What have learners in the base actually said about how they are seen by the rest of the school? Quote them.</w:t>
            </w:r>
          </w:p>
          <w:p>
            <w:pPr>
              <w:spacing w:before="0" w:after="80" w:line="259" w:lineRule="auto"/>
            </w:pPr>
            <w:r>
              <w:rPr>
                <w:rFonts w:ascii="Inter" w:hAnsi="Inter" w:cs="Inter" w:eastAsia="Inter"/>
                <w:b w:val="0"/>
                <w:i w:val="0"/>
                <w:color w:val="1A1A1A"/>
                <w:sz w:val="18"/>
              </w:rPr>
            </w:r>
          </w:p>
        </w:tc>
        <w:tc>
          <w:tcPr>
            <w:tcW w:type="dxa" w:w="964"/>
            <w:tcMar>
              <w:top w:w="70" w:type="dxa"/>
              <w:bottom w:w="70" w:type="dxa"/>
              <w:left w:w="90" w:type="dxa"/>
              <w:right w:w="90" w:type="dxa"/>
            </w:tcMar>
            <w:shd w:val="clear" w:color="auto" w:fill="FEF6D9"/>
            <w:vAlign w:val="center"/>
          </w:tcPr>
          <w:p>
            <w:pPr>
              <w:spacing w:before="0" w:after="40" w:line="259" w:lineRule="auto"/>
            </w:pPr>
            <w:r>
              <w:rPr>
                <w:rFonts w:ascii="Inter" w:hAnsi="Inter" w:cs="Inter" w:eastAsia="Inter"/>
                <w:b w:val="0"/>
                <w:i w:val="0"/>
                <w:color w:val="1A1A1A"/>
                <w:sz w:val="18"/>
              </w:rPr>
            </w:r>
          </w:p>
          <w:p>
            <w:pPr>
              <w:spacing w:before="0" w:after="40" w:line="259" w:lineRule="auto"/>
            </w:pPr>
            <w:r>
              <w:rPr>
                <w:rFonts w:ascii="Inter" w:hAnsi="Inter" w:cs="Inter" w:eastAsia="Inter"/>
                <w:b w:val="0"/>
                <w:i w:val="0"/>
                <w:color w:val="666666"/>
                <w:sz w:val="15"/>
              </w:rPr>
              <w:t>1 to 5</w:t>
            </w:r>
          </w:p>
        </w:tc>
        <w:tc>
          <w:tcPr>
            <w:tcW w:type="dxa" w:w="3742"/>
            <w:tcMar>
              <w:top w:w="70" w:type="dxa"/>
              <w:bottom w:w="70" w:type="dxa"/>
              <w:left w:w="90" w:type="dxa"/>
              <w:right w:w="90" w:type="dxa"/>
            </w:tcMar>
            <w:vAlign w:val="top"/>
          </w:tcPr>
          <w:p>
            <w:pPr>
              <w:spacing w:before="0" w:after="40" w:line="259" w:lineRule="auto"/>
            </w:pPr>
            <w:r>
              <w:rPr>
                <w:rFonts w:ascii="Inter" w:hAnsi="Inter" w:cs="Inter" w:eastAsia="Inter"/>
                <w:b w:val="0"/>
                <w:i w:val="0"/>
                <w:color w:val="1A1A1A"/>
                <w:sz w:val="17"/>
              </w:rPr>
              <w:t>Read Lehane (2016): experienced TAs report a mainstream/base divide whether or not the base is physically separate. Physical integration alone will not close it - ask, do not assume.</w:t>
            </w:r>
          </w:p>
        </w:tc>
        <w:tc>
          <w:tcPr>
            <w:tcW w:type="dxa" w:w="2948"/>
            <w:tcMar>
              <w:top w:w="70" w:type="dxa"/>
              <w:bottom w:w="70" w:type="dxa"/>
              <w:left w:w="90" w:type="dxa"/>
              <w:right w:w="90" w:type="dxa"/>
            </w:tcMar>
            <w:vAlign w:val="top"/>
          </w:tcPr>
          <w:p>
            <w:pPr>
              <w:spacing w:before="0" w:after="60" w:line="259" w:lineRule="auto"/>
            </w:pPr>
            <w:r>
              <w:rPr>
                <w:rFonts w:ascii="Inter" w:hAnsi="Inter" w:cs="Inter" w:eastAsia="Inter"/>
                <w:b w:val="0"/>
                <w:i w:val="0"/>
                <w:color w:val="666666"/>
                <w:sz w:val="15"/>
              </w:rPr>
              <w:t>Owner</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Target date</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Review date</w:t>
            </w:r>
          </w:p>
          <w:p>
            <w:pPr>
              <w:spacing w:before="0" w:after="60" w:line="259" w:lineRule="auto"/>
            </w:pPr>
            <w:r>
              <w:rPr>
                <w:rFonts w:ascii="Inter" w:hAnsi="Inter" w:cs="Inter" w:eastAsia="Inter"/>
                <w:b w:val="0"/>
                <w:i w:val="0"/>
                <w:color w:val="1A1A1A"/>
                <w:sz w:val="18"/>
              </w:rPr>
            </w:r>
          </w:p>
        </w:tc>
      </w:tr>
      <w:tr>
        <w:trPr>
          <w:cantSplit/>
        </w:trPr>
        <w:tc>
          <w:tcPr>
            <w:tcW w:type="dxa" w:w="15478"/>
            <w:gridSpan w:val="5"/>
            <w:shd w:val="clear" w:color="auto" w:fill="F1F7F6"/>
            <w:tcMar>
              <w:top w:w="80" w:type="dxa"/>
              <w:bottom w:w="80" w:type="dxa"/>
              <w:left w:w="90" w:type="dxa"/>
              <w:right w:w="90" w:type="dxa"/>
            </w:tcMar>
            <w:vAlign w:val="top"/>
          </w:tcPr>
          <w:p>
            <w:pPr>
              <w:spacing w:before="0" w:after="40" w:line="259" w:lineRule="auto"/>
              <w:keepNext/>
            </w:pPr>
            <w:r>
              <w:rPr>
                <w:rFonts w:ascii="Inter" w:hAnsi="Inter" w:cs="Inter" w:eastAsia="Inter"/>
                <w:b/>
                <w:i w:val="0"/>
                <w:color w:val="128770"/>
                <w:sz w:val="19"/>
              </w:rPr>
              <w:t xml:space="preserve">P1.4   </w:t>
            </w:r>
            <w:r>
              <w:rPr>
                <w:rFonts w:ascii="Inter" w:hAnsi="Inter" w:cs="Inter" w:eastAsia="Inter"/>
                <w:b/>
                <w:i w:val="0"/>
                <w:color w:val="1A1A1A"/>
                <w:sz w:val="19"/>
              </w:rPr>
              <w:t>You celebrate and promote the base and the learners who access it, in the same channels you use for the rest of the school.</w:t>
            </w:r>
          </w:p>
          <w:p>
            <w:pPr>
              <w:spacing w:before="0" w:after="40" w:line="259" w:lineRule="auto"/>
              <w:keepNext/>
            </w:pPr>
            <w:r>
              <w:rPr>
                <w:rFonts w:ascii="Inter" w:hAnsi="Inter" w:cs="Inter" w:eastAsia="Inter"/>
                <w:b w:val="0"/>
                <w:i/>
                <w:color w:val="666666"/>
                <w:sz w:val="15"/>
              </w:rPr>
              <w:t>Whole school  ·  Guidance: “Schools should celebrate and promote the base and the children and young people that access it.”</w:t>
            </w:r>
          </w:p>
        </w:tc>
      </w:tr>
      <w:tr>
        <w:trPr>
          <w:trHeight w:val="1701" w:hRule="atLeast"/>
          <w:cantSplit/>
        </w:trPr>
        <w:tc>
          <w:tcPr>
            <w:tcW w:type="dxa" w:w="4082"/>
            <w:tcMar>
              <w:top w:w="70" w:type="dxa"/>
              <w:bottom w:w="70" w:type="dxa"/>
              <w:left w:w="90" w:type="dxa"/>
              <w:right w:w="90" w:type="dxa"/>
            </w:tcMar>
            <w:vAlign w:val="top"/>
          </w:tcPr>
          <w:p>
            <w:pPr>
              <w:spacing w:before="0" w:after="80" w:line="259" w:lineRule="auto"/>
            </w:pPr>
            <w:r>
              <w:rPr>
                <w:rFonts w:ascii="Inter" w:hAnsi="Inter" w:cs="Inter" w:eastAsia="Inter"/>
                <w:b/>
                <w:i w:val="0"/>
                <w:color w:val="128770"/>
                <w:sz w:val="17"/>
              </w:rPr>
              <w:t xml:space="preserve">1  </w:t>
            </w:r>
            <w:r>
              <w:rPr>
                <w:rFonts w:ascii="Inter" w:hAnsi="Inter" w:cs="Inter" w:eastAsia="Inter"/>
                <w:b w:val="0"/>
                <w:i w:val="0"/>
                <w:color w:val="1A1A1A"/>
                <w:sz w:val="17"/>
              </w:rPr>
              <w:t>The base is not mentioned publicly.</w:t>
            </w:r>
          </w:p>
          <w:p>
            <w:pPr>
              <w:spacing w:before="0" w:after="80" w:line="259" w:lineRule="auto"/>
            </w:pPr>
            <w:r>
              <w:rPr>
                <w:rFonts w:ascii="Inter" w:hAnsi="Inter" w:cs="Inter" w:eastAsia="Inter"/>
                <w:b/>
                <w:i w:val="0"/>
                <w:color w:val="128770"/>
                <w:sz w:val="17"/>
              </w:rPr>
              <w:t xml:space="preserve">3  </w:t>
            </w:r>
            <w:r>
              <w:rPr>
                <w:rFonts w:ascii="Inter" w:hAnsi="Inter" w:cs="Inter" w:eastAsia="Inter"/>
                <w:b w:val="0"/>
                <w:i w:val="0"/>
                <w:color w:val="1A1A1A"/>
                <w:sz w:val="17"/>
              </w:rPr>
              <w:t>The base appears occasionally, usually around events or fundraising.</w:t>
            </w:r>
          </w:p>
          <w:p>
            <w:pPr>
              <w:spacing w:before="0" w:after="80" w:line="259" w:lineRule="auto"/>
            </w:pPr>
            <w:r>
              <w:rPr>
                <w:rFonts w:ascii="Inter" w:hAnsi="Inter" w:cs="Inter" w:eastAsia="Inter"/>
                <w:b/>
                <w:i w:val="0"/>
                <w:color w:val="128770"/>
                <w:sz w:val="17"/>
              </w:rPr>
              <w:t xml:space="preserve">5  </w:t>
            </w:r>
            <w:r>
              <w:rPr>
                <w:rFonts w:ascii="Inter" w:hAnsi="Inter" w:cs="Inter" w:eastAsia="Inter"/>
                <w:b w:val="0"/>
                <w:i w:val="0"/>
                <w:color w:val="1A1A1A"/>
                <w:sz w:val="17"/>
              </w:rPr>
              <w:t>The base features routinely in newsletters, assemblies, the website and celebrations, on the same terms as any other part of the school.</w:t>
            </w:r>
          </w:p>
        </w:tc>
        <w:tc>
          <w:tcPr>
            <w:tcW w:type="dxa" w:w="3742"/>
            <w:tcMar>
              <w:top w:w="70" w:type="dxa"/>
              <w:bottom w:w="70" w:type="dxa"/>
              <w:left w:w="90" w:type="dxa"/>
              <w:right w:w="90" w:type="dxa"/>
            </w:tcMar>
            <w:vAlign w:val="top"/>
          </w:tcPr>
          <w:p>
            <w:pPr>
              <w:spacing w:before="0" w:after="80" w:line="259" w:lineRule="auto"/>
            </w:pPr>
            <w:r>
              <w:rPr>
                <w:rFonts w:ascii="Inter" w:hAnsi="Inter" w:cs="Inter" w:eastAsia="Inter"/>
                <w:b w:val="0"/>
                <w:i/>
                <w:color w:val="666666"/>
                <w:sz w:val="16"/>
              </w:rPr>
              <w:t>Count the mentions of the base across your last term of communications.</w:t>
            </w:r>
          </w:p>
          <w:p>
            <w:pPr>
              <w:spacing w:before="0" w:after="80" w:line="259" w:lineRule="auto"/>
            </w:pPr>
            <w:r>
              <w:rPr>
                <w:rFonts w:ascii="Inter" w:hAnsi="Inter" w:cs="Inter" w:eastAsia="Inter"/>
                <w:b w:val="0"/>
                <w:i w:val="0"/>
                <w:color w:val="1A1A1A"/>
                <w:sz w:val="18"/>
              </w:rPr>
            </w:r>
          </w:p>
        </w:tc>
        <w:tc>
          <w:tcPr>
            <w:tcW w:type="dxa" w:w="964"/>
            <w:tcMar>
              <w:top w:w="70" w:type="dxa"/>
              <w:bottom w:w="70" w:type="dxa"/>
              <w:left w:w="90" w:type="dxa"/>
              <w:right w:w="90" w:type="dxa"/>
            </w:tcMar>
            <w:shd w:val="clear" w:color="auto" w:fill="FEF6D9"/>
            <w:vAlign w:val="center"/>
          </w:tcPr>
          <w:p>
            <w:pPr>
              <w:spacing w:before="0" w:after="40" w:line="259" w:lineRule="auto"/>
            </w:pPr>
            <w:r>
              <w:rPr>
                <w:rFonts w:ascii="Inter" w:hAnsi="Inter" w:cs="Inter" w:eastAsia="Inter"/>
                <w:b w:val="0"/>
                <w:i w:val="0"/>
                <w:color w:val="1A1A1A"/>
                <w:sz w:val="18"/>
              </w:rPr>
            </w:r>
          </w:p>
          <w:p>
            <w:pPr>
              <w:spacing w:before="0" w:after="40" w:line="259" w:lineRule="auto"/>
            </w:pPr>
            <w:r>
              <w:rPr>
                <w:rFonts w:ascii="Inter" w:hAnsi="Inter" w:cs="Inter" w:eastAsia="Inter"/>
                <w:b w:val="0"/>
                <w:i w:val="0"/>
                <w:color w:val="666666"/>
                <w:sz w:val="15"/>
              </w:rPr>
              <w:t>1 to 5</w:t>
            </w:r>
          </w:p>
        </w:tc>
        <w:tc>
          <w:tcPr>
            <w:tcW w:type="dxa" w:w="3742"/>
            <w:tcMar>
              <w:top w:w="70" w:type="dxa"/>
              <w:bottom w:w="70" w:type="dxa"/>
              <w:left w:w="90" w:type="dxa"/>
              <w:right w:w="90" w:type="dxa"/>
            </w:tcMar>
            <w:vAlign w:val="top"/>
          </w:tcPr>
          <w:p>
            <w:pPr>
              <w:spacing w:before="0" w:after="40" w:line="259" w:lineRule="auto"/>
            </w:pPr>
            <w:r>
              <w:rPr>
                <w:rFonts w:ascii="Inter" w:hAnsi="Inter" w:cs="Inter" w:eastAsia="Inter"/>
                <w:b w:val="0"/>
                <w:i w:val="0"/>
                <w:color w:val="1A1A1A"/>
                <w:sz w:val="17"/>
              </w:rPr>
              <w:t>The guidance also expects the base to be publicised on the school website. Treat that as a floor, not the whole answer.</w:t>
            </w:r>
          </w:p>
        </w:tc>
        <w:tc>
          <w:tcPr>
            <w:tcW w:type="dxa" w:w="2948"/>
            <w:tcMar>
              <w:top w:w="70" w:type="dxa"/>
              <w:bottom w:w="70" w:type="dxa"/>
              <w:left w:w="90" w:type="dxa"/>
              <w:right w:w="90" w:type="dxa"/>
            </w:tcMar>
            <w:vAlign w:val="top"/>
          </w:tcPr>
          <w:p>
            <w:pPr>
              <w:spacing w:before="0" w:after="60" w:line="259" w:lineRule="auto"/>
            </w:pPr>
            <w:r>
              <w:rPr>
                <w:rFonts w:ascii="Inter" w:hAnsi="Inter" w:cs="Inter" w:eastAsia="Inter"/>
                <w:b w:val="0"/>
                <w:i w:val="0"/>
                <w:color w:val="666666"/>
                <w:sz w:val="15"/>
              </w:rPr>
              <w:t>Owner</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Target date</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Review date</w:t>
            </w:r>
          </w:p>
          <w:p>
            <w:pPr>
              <w:spacing w:before="0" w:after="60" w:line="259" w:lineRule="auto"/>
            </w:pPr>
            <w:r>
              <w:rPr>
                <w:rFonts w:ascii="Inter" w:hAnsi="Inter" w:cs="Inter" w:eastAsia="Inter"/>
                <w:b w:val="0"/>
                <w:i w:val="0"/>
                <w:color w:val="1A1A1A"/>
                <w:sz w:val="18"/>
              </w:rPr>
            </w:r>
          </w:p>
        </w:tc>
      </w:tr>
      <w:tr>
        <w:trPr>
          <w:cantSplit/>
        </w:trPr>
        <w:tc>
          <w:tcPr>
            <w:tcW w:type="dxa" w:w="15478"/>
            <w:gridSpan w:val="5"/>
            <w:shd w:val="clear" w:color="auto" w:fill="F1F7F6"/>
            <w:tcMar>
              <w:top w:w="80" w:type="dxa"/>
              <w:bottom w:w="80" w:type="dxa"/>
              <w:left w:w="90" w:type="dxa"/>
              <w:right w:w="90" w:type="dxa"/>
            </w:tcMar>
            <w:vAlign w:val="top"/>
          </w:tcPr>
          <w:p>
            <w:pPr>
              <w:spacing w:before="0" w:after="40" w:line="259" w:lineRule="auto"/>
              <w:keepNext/>
            </w:pPr>
            <w:r>
              <w:rPr>
                <w:rFonts w:ascii="Inter" w:hAnsi="Inter" w:cs="Inter" w:eastAsia="Inter"/>
                <w:b/>
                <w:i w:val="0"/>
                <w:color w:val="128770"/>
                <w:sz w:val="19"/>
              </w:rPr>
              <w:t xml:space="preserve">P1.5   </w:t>
            </w:r>
            <w:r>
              <w:rPr>
                <w:rFonts w:ascii="Inter" w:hAnsi="Inter" w:cs="Inter" w:eastAsia="Inter"/>
                <w:b/>
                <w:i w:val="0"/>
                <w:color w:val="1A1A1A"/>
                <w:sz w:val="19"/>
              </w:rPr>
              <w:t>Learners in the base take part in extra-curricular activities, events and trips alongside mainstream peers.</w:t>
            </w:r>
            <w:r>
              <w:rPr>
                <w:rFonts w:ascii="Inter" w:hAnsi="Inter" w:cs="Inter" w:eastAsia="Inter"/>
                <w:b/>
                <w:i w:val="0"/>
                <w:color w:val="D35400"/>
                <w:sz w:val="17"/>
              </w:rPr>
              <w:t xml:space="preserve">   MUST  ·  existing legal duty</w:t>
            </w:r>
          </w:p>
          <w:p>
            <w:pPr>
              <w:spacing w:before="0" w:after="40" w:line="259" w:lineRule="auto"/>
              <w:keepNext/>
            </w:pPr>
            <w:r>
              <w:rPr>
                <w:rFonts w:ascii="Inter" w:hAnsi="Inter" w:cs="Inter" w:eastAsia="Inter"/>
                <w:b w:val="0"/>
                <w:i/>
                <w:color w:val="666666"/>
                <w:sz w:val="15"/>
              </w:rPr>
              <w:t>Individual children and young people  ·  Guidance: “Mainstream schools must ensure they meet relevant statutory duties for all children in a school to engage in activities together and promote participation.”</w:t>
            </w:r>
          </w:p>
        </w:tc>
      </w:tr>
      <w:tr>
        <w:trPr>
          <w:trHeight w:val="1701" w:hRule="atLeast"/>
          <w:cantSplit/>
        </w:trPr>
        <w:tc>
          <w:tcPr>
            <w:tcW w:type="dxa" w:w="4082"/>
            <w:tcMar>
              <w:top w:w="70" w:type="dxa"/>
              <w:bottom w:w="70" w:type="dxa"/>
              <w:left w:w="90" w:type="dxa"/>
              <w:right w:w="90" w:type="dxa"/>
            </w:tcMar>
            <w:vAlign w:val="top"/>
          </w:tcPr>
          <w:p>
            <w:pPr>
              <w:spacing w:before="0" w:after="80" w:line="259" w:lineRule="auto"/>
            </w:pPr>
            <w:r>
              <w:rPr>
                <w:rFonts w:ascii="Inter" w:hAnsi="Inter" w:cs="Inter" w:eastAsia="Inter"/>
                <w:b/>
                <w:i w:val="0"/>
                <w:color w:val="128770"/>
                <w:sz w:val="17"/>
              </w:rPr>
              <w:t xml:space="preserve">1  </w:t>
            </w:r>
            <w:r>
              <w:rPr>
                <w:rFonts w:ascii="Inter" w:hAnsi="Inter" w:cs="Inter" w:eastAsia="Inter"/>
                <w:b w:val="0"/>
                <w:i w:val="0"/>
                <w:color w:val="1A1A1A"/>
                <w:sz w:val="17"/>
              </w:rPr>
              <w:t>Participation is exceptional and depends on individual staff goodwill.</w:t>
            </w:r>
          </w:p>
          <w:p>
            <w:pPr>
              <w:spacing w:before="0" w:after="80" w:line="259" w:lineRule="auto"/>
            </w:pPr>
            <w:r>
              <w:rPr>
                <w:rFonts w:ascii="Inter" w:hAnsi="Inter" w:cs="Inter" w:eastAsia="Inter"/>
                <w:b/>
                <w:i w:val="0"/>
                <w:color w:val="128770"/>
                <w:sz w:val="17"/>
              </w:rPr>
              <w:t xml:space="preserve">3  </w:t>
            </w:r>
            <w:r>
              <w:rPr>
                <w:rFonts w:ascii="Inter" w:hAnsi="Inter" w:cs="Inter" w:eastAsia="Inter"/>
                <w:b w:val="0"/>
                <w:i w:val="0"/>
                <w:color w:val="1A1A1A"/>
                <w:sz w:val="17"/>
              </w:rPr>
              <w:t>Participation happens but is uneven across learners and activities.</w:t>
            </w:r>
          </w:p>
          <w:p>
            <w:pPr>
              <w:spacing w:before="0" w:after="80" w:line="259" w:lineRule="auto"/>
            </w:pPr>
            <w:r>
              <w:rPr>
                <w:rFonts w:ascii="Inter" w:hAnsi="Inter" w:cs="Inter" w:eastAsia="Inter"/>
                <w:b/>
                <w:i w:val="0"/>
                <w:color w:val="128770"/>
                <w:sz w:val="17"/>
              </w:rPr>
              <w:t xml:space="preserve">5  </w:t>
            </w:r>
            <w:r>
              <w:rPr>
                <w:rFonts w:ascii="Inter" w:hAnsi="Inter" w:cs="Inter" w:eastAsia="Inter"/>
                <w:b w:val="0"/>
                <w:i w:val="0"/>
                <w:color w:val="1A1A1A"/>
                <w:sz w:val="17"/>
              </w:rPr>
              <w:t>Participation is planned by default, barriers are anticipated, and any non-participation is a recorded exception with a reason.</w:t>
            </w:r>
          </w:p>
        </w:tc>
        <w:tc>
          <w:tcPr>
            <w:tcW w:type="dxa" w:w="3742"/>
            <w:tcMar>
              <w:top w:w="70" w:type="dxa"/>
              <w:bottom w:w="70" w:type="dxa"/>
              <w:left w:w="90" w:type="dxa"/>
              <w:right w:w="90" w:type="dxa"/>
            </w:tcMar>
            <w:vAlign w:val="top"/>
          </w:tcPr>
          <w:p>
            <w:pPr>
              <w:spacing w:before="0" w:after="80" w:line="259" w:lineRule="auto"/>
            </w:pPr>
            <w:r>
              <w:rPr>
                <w:rFonts w:ascii="Inter" w:hAnsi="Inter" w:cs="Inter" w:eastAsia="Inter"/>
                <w:b w:val="0"/>
                <w:i/>
                <w:color w:val="666666"/>
                <w:sz w:val="16"/>
              </w:rPr>
              <w:t>List this year's trips and clubs. Who from the base attended, and who did not, and why?</w:t>
            </w:r>
          </w:p>
          <w:p>
            <w:pPr>
              <w:spacing w:before="0" w:after="80" w:line="259" w:lineRule="auto"/>
            </w:pPr>
            <w:r>
              <w:rPr>
                <w:rFonts w:ascii="Inter" w:hAnsi="Inter" w:cs="Inter" w:eastAsia="Inter"/>
                <w:b w:val="0"/>
                <w:i w:val="0"/>
                <w:color w:val="1A1A1A"/>
                <w:sz w:val="18"/>
              </w:rPr>
            </w:r>
          </w:p>
        </w:tc>
        <w:tc>
          <w:tcPr>
            <w:tcW w:type="dxa" w:w="964"/>
            <w:tcMar>
              <w:top w:w="70" w:type="dxa"/>
              <w:bottom w:w="70" w:type="dxa"/>
              <w:left w:w="90" w:type="dxa"/>
              <w:right w:w="90" w:type="dxa"/>
            </w:tcMar>
            <w:shd w:val="clear" w:color="auto" w:fill="FEF6D9"/>
            <w:vAlign w:val="center"/>
          </w:tcPr>
          <w:p>
            <w:pPr>
              <w:spacing w:before="0" w:after="40" w:line="259" w:lineRule="auto"/>
            </w:pPr>
            <w:r>
              <w:rPr>
                <w:rFonts w:ascii="Inter" w:hAnsi="Inter" w:cs="Inter" w:eastAsia="Inter"/>
                <w:b w:val="0"/>
                <w:i w:val="0"/>
                <w:color w:val="1A1A1A"/>
                <w:sz w:val="18"/>
              </w:rPr>
            </w:r>
          </w:p>
          <w:p>
            <w:pPr>
              <w:spacing w:before="0" w:after="40" w:line="259" w:lineRule="auto"/>
            </w:pPr>
            <w:r>
              <w:rPr>
                <w:rFonts w:ascii="Inter" w:hAnsi="Inter" w:cs="Inter" w:eastAsia="Inter"/>
                <w:b w:val="0"/>
                <w:i w:val="0"/>
                <w:color w:val="666666"/>
                <w:sz w:val="15"/>
              </w:rPr>
              <w:t>1 to 5</w:t>
            </w:r>
          </w:p>
        </w:tc>
        <w:tc>
          <w:tcPr>
            <w:tcW w:type="dxa" w:w="3742"/>
            <w:tcMar>
              <w:top w:w="70" w:type="dxa"/>
              <w:bottom w:w="70" w:type="dxa"/>
              <w:left w:w="90" w:type="dxa"/>
              <w:right w:w="90" w:type="dxa"/>
            </w:tcMar>
            <w:vAlign w:val="top"/>
          </w:tcPr>
          <w:p>
            <w:pPr>
              <w:spacing w:before="0" w:after="40" w:line="259" w:lineRule="auto"/>
            </w:pPr>
            <w:r>
              <w:rPr>
                <w:rFonts w:ascii="Inter" w:hAnsi="Inter" w:cs="Inter" w:eastAsia="Inter"/>
                <w:b/>
                <w:i w:val="0"/>
                <w:color w:val="D35400"/>
                <w:sz w:val="17"/>
              </w:rPr>
              <w:t>MUST:</w:t>
            </w:r>
            <w:r>
              <w:rPr>
                <w:rFonts w:ascii="Inter" w:hAnsi="Inter" w:cs="Inter" w:eastAsia="Inter"/>
                <w:b w:val="0"/>
                <w:i w:val="0"/>
                <w:color w:val="1A1A1A"/>
                <w:sz w:val="17"/>
              </w:rPr>
              <w:t xml:space="preserve"> mainstream schools have statutory duties for all children in a school to engage in activities together and promote participation (Equality Act 2010 s.149; Children and Families Act 2014 s.35).</w:t>
            </w:r>
          </w:p>
        </w:tc>
        <w:tc>
          <w:tcPr>
            <w:tcW w:type="dxa" w:w="2948"/>
            <w:tcMar>
              <w:top w:w="70" w:type="dxa"/>
              <w:bottom w:w="70" w:type="dxa"/>
              <w:left w:w="90" w:type="dxa"/>
              <w:right w:w="90" w:type="dxa"/>
            </w:tcMar>
            <w:vAlign w:val="top"/>
          </w:tcPr>
          <w:p>
            <w:pPr>
              <w:spacing w:before="0" w:after="60" w:line="259" w:lineRule="auto"/>
            </w:pPr>
            <w:r>
              <w:rPr>
                <w:rFonts w:ascii="Inter" w:hAnsi="Inter" w:cs="Inter" w:eastAsia="Inter"/>
                <w:b w:val="0"/>
                <w:i w:val="0"/>
                <w:color w:val="666666"/>
                <w:sz w:val="15"/>
              </w:rPr>
              <w:t>Owner</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Target date</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Review date</w:t>
            </w:r>
          </w:p>
          <w:p>
            <w:pPr>
              <w:spacing w:before="0" w:after="60" w:line="259" w:lineRule="auto"/>
            </w:pPr>
            <w:r>
              <w:rPr>
                <w:rFonts w:ascii="Inter" w:hAnsi="Inter" w:cs="Inter" w:eastAsia="Inter"/>
                <w:b w:val="0"/>
                <w:i w:val="0"/>
                <w:color w:val="1A1A1A"/>
                <w:sz w:val="18"/>
              </w:rPr>
            </w:r>
          </w:p>
        </w:tc>
      </w:tr>
      <w:tr>
        <w:trPr>
          <w:cantSplit/>
        </w:trPr>
        <w:tc>
          <w:tcPr>
            <w:tcW w:type="dxa" w:w="15478"/>
            <w:gridSpan w:val="5"/>
            <w:shd w:val="clear" w:color="auto" w:fill="F1F7F6"/>
            <w:tcMar>
              <w:top w:w="80" w:type="dxa"/>
              <w:bottom w:w="80" w:type="dxa"/>
              <w:left w:w="90" w:type="dxa"/>
              <w:right w:w="90" w:type="dxa"/>
            </w:tcMar>
            <w:vAlign w:val="top"/>
          </w:tcPr>
          <w:p>
            <w:pPr>
              <w:spacing w:before="0" w:after="40" w:line="259" w:lineRule="auto"/>
              <w:keepNext/>
            </w:pPr>
            <w:r>
              <w:rPr>
                <w:rFonts w:ascii="Inter" w:hAnsi="Inter" w:cs="Inter" w:eastAsia="Inter"/>
                <w:b/>
                <w:i w:val="0"/>
                <w:color w:val="128770"/>
                <w:sz w:val="19"/>
              </w:rPr>
              <w:t xml:space="preserve">P1.6   </w:t>
            </w:r>
            <w:r>
              <w:rPr>
                <w:rFonts w:ascii="Inter" w:hAnsi="Inter" w:cs="Inter" w:eastAsia="Inter"/>
                <w:b/>
                <w:i w:val="0"/>
                <w:color w:val="1A1A1A"/>
                <w:sz w:val="19"/>
              </w:rPr>
              <w:t>You support learners in the base to build friendships across the wider school, not only within the base peer group.</w:t>
            </w:r>
          </w:p>
          <w:p>
            <w:pPr>
              <w:spacing w:before="0" w:after="40" w:line="259" w:lineRule="auto"/>
              <w:keepNext/>
            </w:pPr>
            <w:r>
              <w:rPr>
                <w:rFonts w:ascii="Inter" w:hAnsi="Inter" w:cs="Inter" w:eastAsia="Inter"/>
                <w:b w:val="0"/>
                <w:i/>
                <w:color w:val="666666"/>
                <w:sz w:val="15"/>
              </w:rPr>
              <w:t>Individual children and young people  ·  Guidance: “Schools should consider how they support children and young people accessing the base to develop friendships across the wider school and also as a peer group.”</w:t>
            </w:r>
          </w:p>
        </w:tc>
      </w:tr>
      <w:tr>
        <w:trPr>
          <w:trHeight w:val="1701" w:hRule="atLeast"/>
          <w:cantSplit/>
        </w:trPr>
        <w:tc>
          <w:tcPr>
            <w:tcW w:type="dxa" w:w="4082"/>
            <w:tcMar>
              <w:top w:w="70" w:type="dxa"/>
              <w:bottom w:w="70" w:type="dxa"/>
              <w:left w:w="90" w:type="dxa"/>
              <w:right w:w="90" w:type="dxa"/>
            </w:tcMar>
            <w:vAlign w:val="top"/>
          </w:tcPr>
          <w:p>
            <w:pPr>
              <w:spacing w:before="0" w:after="80" w:line="259" w:lineRule="auto"/>
            </w:pPr>
            <w:r>
              <w:rPr>
                <w:rFonts w:ascii="Inter" w:hAnsi="Inter" w:cs="Inter" w:eastAsia="Inter"/>
                <w:b/>
                <w:i w:val="0"/>
                <w:color w:val="128770"/>
                <w:sz w:val="17"/>
              </w:rPr>
              <w:t xml:space="preserve">1  </w:t>
            </w:r>
            <w:r>
              <w:rPr>
                <w:rFonts w:ascii="Inter" w:hAnsi="Inter" w:cs="Inter" w:eastAsia="Inter"/>
                <w:b w:val="0"/>
                <w:i w:val="0"/>
                <w:color w:val="1A1A1A"/>
                <w:sz w:val="17"/>
              </w:rPr>
              <w:t>Friendships are left to chance.</w:t>
            </w:r>
          </w:p>
          <w:p>
            <w:pPr>
              <w:spacing w:before="0" w:after="80" w:line="259" w:lineRule="auto"/>
            </w:pPr>
            <w:r>
              <w:rPr>
                <w:rFonts w:ascii="Inter" w:hAnsi="Inter" w:cs="Inter" w:eastAsia="Inter"/>
                <w:b/>
                <w:i w:val="0"/>
                <w:color w:val="128770"/>
                <w:sz w:val="17"/>
              </w:rPr>
              <w:t xml:space="preserve">3  </w:t>
            </w:r>
            <w:r>
              <w:rPr>
                <w:rFonts w:ascii="Inter" w:hAnsi="Inter" w:cs="Inter" w:eastAsia="Inter"/>
                <w:b w:val="0"/>
                <w:i w:val="0"/>
                <w:color w:val="1A1A1A"/>
                <w:sz w:val="17"/>
              </w:rPr>
              <w:t>Peer relationships are supported within the base; cross-school friendship is not planned for.</w:t>
            </w:r>
          </w:p>
          <w:p>
            <w:pPr>
              <w:spacing w:before="0" w:after="80" w:line="259" w:lineRule="auto"/>
            </w:pPr>
            <w:r>
              <w:rPr>
                <w:rFonts w:ascii="Inter" w:hAnsi="Inter" w:cs="Inter" w:eastAsia="Inter"/>
                <w:b/>
                <w:i w:val="0"/>
                <w:color w:val="128770"/>
                <w:sz w:val="17"/>
              </w:rPr>
              <w:t xml:space="preserve">5  </w:t>
            </w:r>
            <w:r>
              <w:rPr>
                <w:rFonts w:ascii="Inter" w:hAnsi="Inter" w:cs="Inter" w:eastAsia="Inter"/>
                <w:b w:val="0"/>
                <w:i w:val="0"/>
                <w:color w:val="1A1A1A"/>
                <w:sz w:val="17"/>
              </w:rPr>
              <w:t>Both are planned for deliberately, with named approaches, and you can describe specific cross-school friendships that resulted.</w:t>
            </w:r>
          </w:p>
        </w:tc>
        <w:tc>
          <w:tcPr>
            <w:tcW w:type="dxa" w:w="3742"/>
            <w:tcMar>
              <w:top w:w="70" w:type="dxa"/>
              <w:bottom w:w="70" w:type="dxa"/>
              <w:left w:w="90" w:type="dxa"/>
              <w:right w:w="90" w:type="dxa"/>
            </w:tcMar>
            <w:vAlign w:val="top"/>
          </w:tcPr>
          <w:p>
            <w:pPr>
              <w:spacing w:before="0" w:after="80" w:line="259" w:lineRule="auto"/>
            </w:pPr>
            <w:r>
              <w:rPr>
                <w:rFonts w:ascii="Inter" w:hAnsi="Inter" w:cs="Inter" w:eastAsia="Inter"/>
                <w:b w:val="0"/>
                <w:i/>
                <w:color w:val="666666"/>
                <w:sz w:val="16"/>
              </w:rPr>
              <w:t>Name three learners and describe their friendships outside the base.</w:t>
            </w:r>
          </w:p>
          <w:p>
            <w:pPr>
              <w:spacing w:before="0" w:after="80" w:line="259" w:lineRule="auto"/>
            </w:pPr>
            <w:r>
              <w:rPr>
                <w:rFonts w:ascii="Inter" w:hAnsi="Inter" w:cs="Inter" w:eastAsia="Inter"/>
                <w:b w:val="0"/>
                <w:i w:val="0"/>
                <w:color w:val="1A1A1A"/>
                <w:sz w:val="18"/>
              </w:rPr>
            </w:r>
          </w:p>
        </w:tc>
        <w:tc>
          <w:tcPr>
            <w:tcW w:type="dxa" w:w="964"/>
            <w:tcMar>
              <w:top w:w="70" w:type="dxa"/>
              <w:bottom w:w="70" w:type="dxa"/>
              <w:left w:w="90" w:type="dxa"/>
              <w:right w:w="90" w:type="dxa"/>
            </w:tcMar>
            <w:shd w:val="clear" w:color="auto" w:fill="FEF6D9"/>
            <w:vAlign w:val="center"/>
          </w:tcPr>
          <w:p>
            <w:pPr>
              <w:spacing w:before="0" w:after="40" w:line="259" w:lineRule="auto"/>
            </w:pPr>
            <w:r>
              <w:rPr>
                <w:rFonts w:ascii="Inter" w:hAnsi="Inter" w:cs="Inter" w:eastAsia="Inter"/>
                <w:b w:val="0"/>
                <w:i w:val="0"/>
                <w:color w:val="1A1A1A"/>
                <w:sz w:val="18"/>
              </w:rPr>
            </w:r>
          </w:p>
          <w:p>
            <w:pPr>
              <w:spacing w:before="0" w:after="40" w:line="259" w:lineRule="auto"/>
            </w:pPr>
            <w:r>
              <w:rPr>
                <w:rFonts w:ascii="Inter" w:hAnsi="Inter" w:cs="Inter" w:eastAsia="Inter"/>
                <w:b w:val="0"/>
                <w:i w:val="0"/>
                <w:color w:val="666666"/>
                <w:sz w:val="15"/>
              </w:rPr>
              <w:t>1 to 5</w:t>
            </w:r>
          </w:p>
        </w:tc>
        <w:tc>
          <w:tcPr>
            <w:tcW w:type="dxa" w:w="3742"/>
            <w:tcMar>
              <w:top w:w="70" w:type="dxa"/>
              <w:bottom w:w="70" w:type="dxa"/>
              <w:left w:w="90" w:type="dxa"/>
              <w:right w:w="90" w:type="dxa"/>
            </w:tcMar>
            <w:vAlign w:val="top"/>
          </w:tcPr>
          <w:p>
            <w:pPr>
              <w:spacing w:before="0" w:after="40" w:line="259" w:lineRule="auto"/>
            </w:pPr>
            <w:r>
              <w:rPr>
                <w:rFonts w:ascii="Inter" w:hAnsi="Inter" w:cs="Inter" w:eastAsia="Inter"/>
                <w:b w:val="0"/>
                <w:i w:val="0"/>
                <w:color w:val="1A1A1A"/>
                <w:sz w:val="17"/>
              </w:rPr>
              <w:t>Plan for both directions. The guidance asks for friendships 'across the wider school and also as a peer group' - these need different strategies.</w:t>
            </w:r>
          </w:p>
        </w:tc>
        <w:tc>
          <w:tcPr>
            <w:tcW w:type="dxa" w:w="2948"/>
            <w:tcMar>
              <w:top w:w="70" w:type="dxa"/>
              <w:bottom w:w="70" w:type="dxa"/>
              <w:left w:w="90" w:type="dxa"/>
              <w:right w:w="90" w:type="dxa"/>
            </w:tcMar>
            <w:vAlign w:val="top"/>
          </w:tcPr>
          <w:p>
            <w:pPr>
              <w:spacing w:before="0" w:after="60" w:line="259" w:lineRule="auto"/>
            </w:pPr>
            <w:r>
              <w:rPr>
                <w:rFonts w:ascii="Inter" w:hAnsi="Inter" w:cs="Inter" w:eastAsia="Inter"/>
                <w:b w:val="0"/>
                <w:i w:val="0"/>
                <w:color w:val="666666"/>
                <w:sz w:val="15"/>
              </w:rPr>
              <w:t>Owner</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Target date</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Review date</w:t>
            </w:r>
          </w:p>
          <w:p>
            <w:pPr>
              <w:spacing w:before="0" w:after="60" w:line="259" w:lineRule="auto"/>
            </w:pPr>
            <w:r>
              <w:rPr>
                <w:rFonts w:ascii="Inter" w:hAnsi="Inter" w:cs="Inter" w:eastAsia="Inter"/>
                <w:b w:val="0"/>
                <w:i w:val="0"/>
                <w:color w:val="1A1A1A"/>
                <w:sz w:val="18"/>
              </w:rPr>
            </w:r>
          </w:p>
        </w:tc>
      </w:tr>
      <w:tr>
        <w:trPr>
          <w:cantSplit/>
        </w:trPr>
        <w:tc>
          <w:tcPr>
            <w:tcW w:type="dxa" w:w="15478"/>
            <w:gridSpan w:val="5"/>
            <w:shd w:val="clear" w:color="auto" w:fill="F1F7F6"/>
            <w:tcMar>
              <w:top w:w="80" w:type="dxa"/>
              <w:bottom w:w="80" w:type="dxa"/>
              <w:left w:w="90" w:type="dxa"/>
              <w:right w:w="90" w:type="dxa"/>
            </w:tcMar>
            <w:vAlign w:val="top"/>
          </w:tcPr>
          <w:p>
            <w:pPr>
              <w:spacing w:before="0" w:after="40" w:line="259" w:lineRule="auto"/>
              <w:keepNext/>
            </w:pPr>
            <w:r>
              <w:rPr>
                <w:rFonts w:ascii="Inter" w:hAnsi="Inter" w:cs="Inter" w:eastAsia="Inter"/>
                <w:b/>
                <w:i w:val="0"/>
                <w:color w:val="128770"/>
                <w:sz w:val="19"/>
              </w:rPr>
              <w:t xml:space="preserve">P1.7   </w:t>
            </w:r>
            <w:r>
              <w:rPr>
                <w:rFonts w:ascii="Inter" w:hAnsi="Inter" w:cs="Inter" w:eastAsia="Inter"/>
                <w:b/>
                <w:i w:val="0"/>
                <w:color w:val="1A1A1A"/>
                <w:sz w:val="19"/>
              </w:rPr>
              <w:t>The whole school, including families of learners not in the base, understands what the base is for and the strengths and needs of those who use it.</w:t>
            </w:r>
          </w:p>
          <w:p>
            <w:pPr>
              <w:spacing w:before="0" w:after="40" w:line="259" w:lineRule="auto"/>
              <w:keepNext/>
            </w:pPr>
            <w:r>
              <w:rPr>
                <w:rFonts w:ascii="Inter" w:hAnsi="Inter" w:cs="Inter" w:eastAsia="Inter"/>
                <w:b w:val="0"/>
                <w:i/>
                <w:color w:val="666666"/>
                <w:sz w:val="15"/>
              </w:rPr>
              <w:t>Whole school  ·  Guidance: “Schools should ensure that all the children and young people who attend the school and their families understand the purpose of the base and the strengths and needs of those accessing it.”</w:t>
            </w:r>
          </w:p>
        </w:tc>
      </w:tr>
      <w:tr>
        <w:trPr>
          <w:trHeight w:val="1701" w:hRule="atLeast"/>
          <w:cantSplit/>
        </w:trPr>
        <w:tc>
          <w:tcPr>
            <w:tcW w:type="dxa" w:w="4082"/>
            <w:tcMar>
              <w:top w:w="70" w:type="dxa"/>
              <w:bottom w:w="70" w:type="dxa"/>
              <w:left w:w="90" w:type="dxa"/>
              <w:right w:w="90" w:type="dxa"/>
            </w:tcMar>
            <w:vAlign w:val="top"/>
          </w:tcPr>
          <w:p>
            <w:pPr>
              <w:spacing w:before="0" w:after="80" w:line="259" w:lineRule="auto"/>
            </w:pPr>
            <w:r>
              <w:rPr>
                <w:rFonts w:ascii="Inter" w:hAnsi="Inter" w:cs="Inter" w:eastAsia="Inter"/>
                <w:b/>
                <w:i w:val="0"/>
                <w:color w:val="128770"/>
                <w:sz w:val="17"/>
              </w:rPr>
              <w:t xml:space="preserve">1  </w:t>
            </w:r>
            <w:r>
              <w:rPr>
                <w:rFonts w:ascii="Inter" w:hAnsi="Inter" w:cs="Inter" w:eastAsia="Inter"/>
                <w:b w:val="0"/>
                <w:i w:val="0"/>
                <w:color w:val="1A1A1A"/>
                <w:sz w:val="17"/>
              </w:rPr>
              <w:t>The base is not explained to anyone outside it.</w:t>
            </w:r>
          </w:p>
          <w:p>
            <w:pPr>
              <w:spacing w:before="0" w:after="80" w:line="259" w:lineRule="auto"/>
            </w:pPr>
            <w:r>
              <w:rPr>
                <w:rFonts w:ascii="Inter" w:hAnsi="Inter" w:cs="Inter" w:eastAsia="Inter"/>
                <w:b/>
                <w:i w:val="0"/>
                <w:color w:val="128770"/>
                <w:sz w:val="17"/>
              </w:rPr>
              <w:t xml:space="preserve">3  </w:t>
            </w:r>
            <w:r>
              <w:rPr>
                <w:rFonts w:ascii="Inter" w:hAnsi="Inter" w:cs="Inter" w:eastAsia="Inter"/>
                <w:b w:val="0"/>
                <w:i w:val="0"/>
                <w:color w:val="1A1A1A"/>
                <w:sz w:val="17"/>
              </w:rPr>
              <w:t>Staff understand; the wider school community does not.</w:t>
            </w:r>
          </w:p>
          <w:p>
            <w:pPr>
              <w:spacing w:before="0" w:after="80" w:line="259" w:lineRule="auto"/>
            </w:pPr>
            <w:r>
              <w:rPr>
                <w:rFonts w:ascii="Inter" w:hAnsi="Inter" w:cs="Inter" w:eastAsia="Inter"/>
                <w:b/>
                <w:i w:val="0"/>
                <w:color w:val="128770"/>
                <w:sz w:val="17"/>
              </w:rPr>
              <w:t xml:space="preserve">5  </w:t>
            </w:r>
            <w:r>
              <w:rPr>
                <w:rFonts w:ascii="Inter" w:hAnsi="Inter" w:cs="Inter" w:eastAsia="Inter"/>
                <w:b w:val="0"/>
                <w:i w:val="0"/>
                <w:color w:val="1A1A1A"/>
                <w:sz w:val="17"/>
              </w:rPr>
              <w:t>Purpose and approach are explained to staff, learners and families, and relevant skills are taught across the school.</w:t>
            </w:r>
          </w:p>
        </w:tc>
        <w:tc>
          <w:tcPr>
            <w:tcW w:type="dxa" w:w="3742"/>
            <w:tcMar>
              <w:top w:w="70" w:type="dxa"/>
              <w:bottom w:w="70" w:type="dxa"/>
              <w:left w:w="90" w:type="dxa"/>
              <w:right w:w="90" w:type="dxa"/>
            </w:tcMar>
            <w:vAlign w:val="top"/>
          </w:tcPr>
          <w:p>
            <w:pPr>
              <w:spacing w:before="0" w:after="80" w:line="259" w:lineRule="auto"/>
            </w:pPr>
            <w:r>
              <w:rPr>
                <w:rFonts w:ascii="Inter" w:hAnsi="Inter" w:cs="Inter" w:eastAsia="Inter"/>
                <w:b w:val="0"/>
                <w:i/>
                <w:color w:val="666666"/>
                <w:sz w:val="16"/>
              </w:rPr>
              <w:t>How was this communicated, to whom, and when last?</w:t>
            </w:r>
          </w:p>
          <w:p>
            <w:pPr>
              <w:spacing w:before="0" w:after="80" w:line="259" w:lineRule="auto"/>
            </w:pPr>
            <w:r>
              <w:rPr>
                <w:rFonts w:ascii="Inter" w:hAnsi="Inter" w:cs="Inter" w:eastAsia="Inter"/>
                <w:b w:val="0"/>
                <w:i w:val="0"/>
                <w:color w:val="1A1A1A"/>
                <w:sz w:val="18"/>
              </w:rPr>
            </w:r>
          </w:p>
        </w:tc>
        <w:tc>
          <w:tcPr>
            <w:tcW w:type="dxa" w:w="964"/>
            <w:tcMar>
              <w:top w:w="70" w:type="dxa"/>
              <w:bottom w:w="70" w:type="dxa"/>
              <w:left w:w="90" w:type="dxa"/>
              <w:right w:w="90" w:type="dxa"/>
            </w:tcMar>
            <w:shd w:val="clear" w:color="auto" w:fill="FEF6D9"/>
            <w:vAlign w:val="center"/>
          </w:tcPr>
          <w:p>
            <w:pPr>
              <w:spacing w:before="0" w:after="40" w:line="259" w:lineRule="auto"/>
            </w:pPr>
            <w:r>
              <w:rPr>
                <w:rFonts w:ascii="Inter" w:hAnsi="Inter" w:cs="Inter" w:eastAsia="Inter"/>
                <w:b w:val="0"/>
                <w:i w:val="0"/>
                <w:color w:val="1A1A1A"/>
                <w:sz w:val="18"/>
              </w:rPr>
            </w:r>
          </w:p>
          <w:p>
            <w:pPr>
              <w:spacing w:before="0" w:after="40" w:line="259" w:lineRule="auto"/>
            </w:pPr>
            <w:r>
              <w:rPr>
                <w:rFonts w:ascii="Inter" w:hAnsi="Inter" w:cs="Inter" w:eastAsia="Inter"/>
                <w:b w:val="0"/>
                <w:i w:val="0"/>
                <w:color w:val="666666"/>
                <w:sz w:val="15"/>
              </w:rPr>
              <w:t>1 to 5</w:t>
            </w:r>
          </w:p>
        </w:tc>
        <w:tc>
          <w:tcPr>
            <w:tcW w:type="dxa" w:w="3742"/>
            <w:tcMar>
              <w:top w:w="70" w:type="dxa"/>
              <w:bottom w:w="70" w:type="dxa"/>
              <w:left w:w="90" w:type="dxa"/>
              <w:right w:w="90" w:type="dxa"/>
            </w:tcMar>
            <w:vAlign w:val="top"/>
          </w:tcPr>
          <w:p>
            <w:pPr>
              <w:spacing w:before="0" w:after="40" w:line="259" w:lineRule="auto"/>
            </w:pPr>
            <w:r>
              <w:rPr>
                <w:rFonts w:ascii="Inter" w:hAnsi="Inter" w:cs="Inter" w:eastAsia="Inter"/>
                <w:b w:val="0"/>
                <w:i w:val="0"/>
                <w:color w:val="1A1A1A"/>
                <w:sz w:val="17"/>
              </w:rPr>
              <w:t>The guidance gives a concrete model: where a base supports learners using a specific communication strategy, teach that strategy across the whole school.</w:t>
            </w:r>
          </w:p>
        </w:tc>
        <w:tc>
          <w:tcPr>
            <w:tcW w:type="dxa" w:w="2948"/>
            <w:tcMar>
              <w:top w:w="70" w:type="dxa"/>
              <w:bottom w:w="70" w:type="dxa"/>
              <w:left w:w="90" w:type="dxa"/>
              <w:right w:w="90" w:type="dxa"/>
            </w:tcMar>
            <w:vAlign w:val="top"/>
          </w:tcPr>
          <w:p>
            <w:pPr>
              <w:spacing w:before="0" w:after="60" w:line="259" w:lineRule="auto"/>
            </w:pPr>
            <w:r>
              <w:rPr>
                <w:rFonts w:ascii="Inter" w:hAnsi="Inter" w:cs="Inter" w:eastAsia="Inter"/>
                <w:b w:val="0"/>
                <w:i w:val="0"/>
                <w:color w:val="666666"/>
                <w:sz w:val="15"/>
              </w:rPr>
              <w:t>Owner</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Target date</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Review date</w:t>
            </w:r>
          </w:p>
          <w:p>
            <w:pPr>
              <w:spacing w:before="0" w:after="60" w:line="259" w:lineRule="auto"/>
            </w:pPr>
            <w:r>
              <w:rPr>
                <w:rFonts w:ascii="Inter" w:hAnsi="Inter" w:cs="Inter" w:eastAsia="Inter"/>
                <w:b w:val="0"/>
                <w:i w:val="0"/>
                <w:color w:val="1A1A1A"/>
                <w:sz w:val="18"/>
              </w:rPr>
            </w:r>
          </w:p>
        </w:tc>
      </w:tr>
      <w:tr>
        <w:trPr>
          <w:cantSplit/>
        </w:trPr>
        <w:tc>
          <w:tcPr>
            <w:tcW w:type="dxa" w:w="15478"/>
            <w:gridSpan w:val="5"/>
            <w:shd w:val="clear" w:color="auto" w:fill="F1F7F6"/>
            <w:tcMar>
              <w:top w:w="80" w:type="dxa"/>
              <w:bottom w:w="80" w:type="dxa"/>
              <w:left w:w="90" w:type="dxa"/>
              <w:right w:w="90" w:type="dxa"/>
            </w:tcMar>
            <w:vAlign w:val="top"/>
          </w:tcPr>
          <w:p>
            <w:pPr>
              <w:spacing w:before="0" w:after="40" w:line="259" w:lineRule="auto"/>
              <w:keepNext/>
            </w:pPr>
            <w:r>
              <w:rPr>
                <w:rFonts w:ascii="Inter" w:hAnsi="Inter" w:cs="Inter" w:eastAsia="Inter"/>
                <w:b/>
                <w:i w:val="0"/>
                <w:color w:val="128770"/>
                <w:sz w:val="19"/>
              </w:rPr>
              <w:t xml:space="preserve">P1.8   </w:t>
            </w:r>
            <w:r>
              <w:rPr>
                <w:rFonts w:ascii="Inter" w:hAnsi="Inter" w:cs="Inter" w:eastAsia="Inter"/>
                <w:b/>
                <w:i w:val="0"/>
                <w:color w:val="1A1A1A"/>
                <w:sz w:val="19"/>
              </w:rPr>
              <w:t>You always engage families before a learner accesses the base, and never place a learner there without involving parents or carers in the decision.</w:t>
            </w:r>
            <w:r>
              <w:rPr>
                <w:rFonts w:ascii="Inter" w:hAnsi="Inter" w:cs="Inter" w:eastAsia="Inter"/>
                <w:b/>
                <w:i w:val="0"/>
                <w:color w:val="D35400"/>
                <w:sz w:val="17"/>
              </w:rPr>
              <w:t xml:space="preserve">   MUST  ·  existing legal duty</w:t>
            </w:r>
          </w:p>
          <w:p>
            <w:pPr>
              <w:spacing w:before="0" w:after="40" w:line="259" w:lineRule="auto"/>
              <w:keepNext/>
            </w:pPr>
            <w:r>
              <w:rPr>
                <w:rFonts w:ascii="Inter" w:hAnsi="Inter" w:cs="Inter" w:eastAsia="Inter"/>
                <w:b w:val="0"/>
                <w:i/>
                <w:color w:val="666666"/>
                <w:sz w:val="15"/>
              </w:rPr>
              <w:t>Individual children and young people  ·  Guidance: “Schools should always engage with families when considering whether a child or young person accesses a base. Schools should not place children in a base without involving their parents or carers in this decision.”</w:t>
            </w:r>
          </w:p>
        </w:tc>
      </w:tr>
      <w:tr>
        <w:trPr>
          <w:trHeight w:val="1701" w:hRule="atLeast"/>
          <w:cantSplit/>
        </w:trPr>
        <w:tc>
          <w:tcPr>
            <w:tcW w:type="dxa" w:w="4082"/>
            <w:tcMar>
              <w:top w:w="70" w:type="dxa"/>
              <w:bottom w:w="70" w:type="dxa"/>
              <w:left w:w="90" w:type="dxa"/>
              <w:right w:w="90" w:type="dxa"/>
            </w:tcMar>
            <w:vAlign w:val="top"/>
          </w:tcPr>
          <w:p>
            <w:pPr>
              <w:spacing w:before="0" w:after="80" w:line="259" w:lineRule="auto"/>
            </w:pPr>
            <w:r>
              <w:rPr>
                <w:rFonts w:ascii="Inter" w:hAnsi="Inter" w:cs="Inter" w:eastAsia="Inter"/>
                <w:b/>
                <w:i w:val="0"/>
                <w:color w:val="128770"/>
                <w:sz w:val="17"/>
              </w:rPr>
              <w:t xml:space="preserve">1  </w:t>
            </w:r>
            <w:r>
              <w:rPr>
                <w:rFonts w:ascii="Inter" w:hAnsi="Inter" w:cs="Inter" w:eastAsia="Inter"/>
                <w:b w:val="0"/>
                <w:i w:val="0"/>
                <w:color w:val="1A1A1A"/>
                <w:sz w:val="17"/>
              </w:rPr>
              <w:t>Placement decisions are communicated to families after the fact.</w:t>
            </w:r>
          </w:p>
          <w:p>
            <w:pPr>
              <w:spacing w:before="0" w:after="80" w:line="259" w:lineRule="auto"/>
            </w:pPr>
            <w:r>
              <w:rPr>
                <w:rFonts w:ascii="Inter" w:hAnsi="Inter" w:cs="Inter" w:eastAsia="Inter"/>
                <w:b/>
                <w:i w:val="0"/>
                <w:color w:val="128770"/>
                <w:sz w:val="17"/>
              </w:rPr>
              <w:t xml:space="preserve">3  </w:t>
            </w:r>
            <w:r>
              <w:rPr>
                <w:rFonts w:ascii="Inter" w:hAnsi="Inter" w:cs="Inter" w:eastAsia="Inter"/>
                <w:b w:val="0"/>
                <w:i w:val="0"/>
                <w:color w:val="1A1A1A"/>
                <w:sz w:val="17"/>
              </w:rPr>
              <w:t>Families are consulted, but late and without real options.</w:t>
            </w:r>
          </w:p>
          <w:p>
            <w:pPr>
              <w:spacing w:before="0" w:after="80" w:line="259" w:lineRule="auto"/>
            </w:pPr>
            <w:r>
              <w:rPr>
                <w:rFonts w:ascii="Inter" w:hAnsi="Inter" w:cs="Inter" w:eastAsia="Inter"/>
                <w:b/>
                <w:i w:val="0"/>
                <w:color w:val="128770"/>
                <w:sz w:val="17"/>
              </w:rPr>
              <w:t xml:space="preserve">5  </w:t>
            </w:r>
            <w:r>
              <w:rPr>
                <w:rFonts w:ascii="Inter" w:hAnsi="Inter" w:cs="Inter" w:eastAsia="Inter"/>
                <w:b w:val="0"/>
                <w:i w:val="0"/>
                <w:color w:val="1A1A1A"/>
                <w:sz w:val="17"/>
              </w:rPr>
              <w:t>Families are part of the decision from the outset, with the decision, the options and their view recorded.</w:t>
            </w:r>
          </w:p>
        </w:tc>
        <w:tc>
          <w:tcPr>
            <w:tcW w:type="dxa" w:w="3742"/>
            <w:tcMar>
              <w:top w:w="70" w:type="dxa"/>
              <w:bottom w:w="70" w:type="dxa"/>
              <w:left w:w="90" w:type="dxa"/>
              <w:right w:w="90" w:type="dxa"/>
            </w:tcMar>
            <w:vAlign w:val="top"/>
          </w:tcPr>
          <w:p>
            <w:pPr>
              <w:spacing w:before="0" w:after="80" w:line="259" w:lineRule="auto"/>
            </w:pPr>
            <w:r>
              <w:rPr>
                <w:rFonts w:ascii="Inter" w:hAnsi="Inter" w:cs="Inter" w:eastAsia="Inter"/>
                <w:b w:val="0"/>
                <w:i/>
                <w:color w:val="666666"/>
                <w:sz w:val="16"/>
              </w:rPr>
              <w:t>Show the record of family involvement for your three most recent placements.</w:t>
            </w:r>
          </w:p>
          <w:p>
            <w:pPr>
              <w:spacing w:before="0" w:after="80" w:line="259" w:lineRule="auto"/>
            </w:pPr>
            <w:r>
              <w:rPr>
                <w:rFonts w:ascii="Inter" w:hAnsi="Inter" w:cs="Inter" w:eastAsia="Inter"/>
                <w:b w:val="0"/>
                <w:i w:val="0"/>
                <w:color w:val="1A1A1A"/>
                <w:sz w:val="18"/>
              </w:rPr>
            </w:r>
          </w:p>
        </w:tc>
        <w:tc>
          <w:tcPr>
            <w:tcW w:type="dxa" w:w="964"/>
            <w:tcMar>
              <w:top w:w="70" w:type="dxa"/>
              <w:bottom w:w="70" w:type="dxa"/>
              <w:left w:w="90" w:type="dxa"/>
              <w:right w:w="90" w:type="dxa"/>
            </w:tcMar>
            <w:shd w:val="clear" w:color="auto" w:fill="FEF6D9"/>
            <w:vAlign w:val="center"/>
          </w:tcPr>
          <w:p>
            <w:pPr>
              <w:spacing w:before="0" w:after="40" w:line="259" w:lineRule="auto"/>
            </w:pPr>
            <w:r>
              <w:rPr>
                <w:rFonts w:ascii="Inter" w:hAnsi="Inter" w:cs="Inter" w:eastAsia="Inter"/>
                <w:b w:val="0"/>
                <w:i w:val="0"/>
                <w:color w:val="1A1A1A"/>
                <w:sz w:val="18"/>
              </w:rPr>
            </w:r>
          </w:p>
          <w:p>
            <w:pPr>
              <w:spacing w:before="0" w:after="40" w:line="259" w:lineRule="auto"/>
            </w:pPr>
            <w:r>
              <w:rPr>
                <w:rFonts w:ascii="Inter" w:hAnsi="Inter" w:cs="Inter" w:eastAsia="Inter"/>
                <w:b w:val="0"/>
                <w:i w:val="0"/>
                <w:color w:val="666666"/>
                <w:sz w:val="15"/>
              </w:rPr>
              <w:t>1 to 5</w:t>
            </w:r>
          </w:p>
        </w:tc>
        <w:tc>
          <w:tcPr>
            <w:tcW w:type="dxa" w:w="3742"/>
            <w:tcMar>
              <w:top w:w="70" w:type="dxa"/>
              <w:bottom w:w="70" w:type="dxa"/>
              <w:left w:w="90" w:type="dxa"/>
              <w:right w:w="90" w:type="dxa"/>
            </w:tcMar>
            <w:vAlign w:val="top"/>
          </w:tcPr>
          <w:p>
            <w:pPr>
              <w:spacing w:before="0" w:after="40" w:line="259" w:lineRule="auto"/>
            </w:pPr>
            <w:r>
              <w:rPr>
                <w:rFonts w:ascii="Inter" w:hAnsi="Inter" w:cs="Inter" w:eastAsia="Inter"/>
                <w:b w:val="0"/>
                <w:i w:val="0"/>
                <w:color w:val="1A1A1A"/>
                <w:sz w:val="17"/>
              </w:rPr>
              <w:t>Where learners are directed offsite to improve behaviour by accessing base support, the governing board MUST notify parents in writing. Read this alongside the guidance's own rule that access to a base is never a form of sanction.</w:t>
            </w:r>
          </w:p>
        </w:tc>
        <w:tc>
          <w:tcPr>
            <w:tcW w:type="dxa" w:w="2948"/>
            <w:tcMar>
              <w:top w:w="70" w:type="dxa"/>
              <w:bottom w:w="70" w:type="dxa"/>
              <w:left w:w="90" w:type="dxa"/>
              <w:right w:w="90" w:type="dxa"/>
            </w:tcMar>
            <w:vAlign w:val="top"/>
          </w:tcPr>
          <w:p>
            <w:pPr>
              <w:spacing w:before="0" w:after="60" w:line="259" w:lineRule="auto"/>
            </w:pPr>
            <w:r>
              <w:rPr>
                <w:rFonts w:ascii="Inter" w:hAnsi="Inter" w:cs="Inter" w:eastAsia="Inter"/>
                <w:b w:val="0"/>
                <w:i w:val="0"/>
                <w:color w:val="666666"/>
                <w:sz w:val="15"/>
              </w:rPr>
              <w:t>Owner</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Target date</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Review date</w:t>
            </w:r>
          </w:p>
          <w:p>
            <w:pPr>
              <w:spacing w:before="0" w:after="60" w:line="259" w:lineRule="auto"/>
            </w:pPr>
            <w:r>
              <w:rPr>
                <w:rFonts w:ascii="Inter" w:hAnsi="Inter" w:cs="Inter" w:eastAsia="Inter"/>
                <w:b w:val="0"/>
                <w:i w:val="0"/>
                <w:color w:val="1A1A1A"/>
                <w:sz w:val="18"/>
              </w:rPr>
            </w:r>
          </w:p>
        </w:tc>
      </w:tr>
    </w:tbl>
    <w:p>
      <w:pPr>
        <w:spacing w:after="0" w:before="0" w:line="240" w:lineRule="auto"/>
        <w:pageBreakBefore/>
      </w:pPr>
      <w:r>
        <w:rPr>
          <w:rFonts w:ascii="Inter" w:hAnsi="Inter" w:cs="Inter" w:eastAsia="Inter"/>
          <w:b w:val="0"/>
          <w:i w:val="0"/>
          <w:color w:val="1A1A1A"/>
          <w:sz w:val="2"/>
        </w:rPr>
      </w:r>
    </w:p>
    <w:tbl>
      <w:tblPr>
        <w:tblW w:type="auto" w:w="0"/>
        <w:tblLayout w:type="fixed"/>
        <w:tblLook w:firstColumn="1" w:firstRow="1" w:lastColumn="0" w:lastRow="0" w:noHBand="0" w:noVBand="1" w:val="04A0"/>
      </w:tblPr>
      <w:tblGrid>
        <w:gridCol w:w="15478"/>
      </w:tblGrid>
      <w:tr>
        <w:tc>
          <w:tcPr>
            <w:tcW w:type="dxa" w:w="15477"/>
            <w:shd w:val="clear" w:color="auto" w:fill="128770"/>
            <w:tcMar>
              <w:top w:w="130" w:type="dxa"/>
              <w:bottom w:w="130" w:type="dxa"/>
              <w:left w:w="160" w:type="dxa"/>
              <w:right w:w="160" w:type="dxa"/>
            </w:tcMar>
            <w:vAlign w:val="top"/>
          </w:tcPr>
          <w:p>
            <w:pPr>
              <w:spacing w:before="0" w:after="40" w:line="259" w:lineRule="auto"/>
            </w:pPr>
            <w:r>
              <w:rPr>
                <w:rFonts w:ascii="Lexend" w:hAnsi="Lexend" w:cs="Lexend" w:eastAsia="Lexend"/>
                <w:b/>
                <w:i w:val="0"/>
                <w:color w:val="FFFFFF"/>
                <w:sz w:val="30"/>
              </w:rPr>
              <w:t xml:space="preserve">P2   </w:t>
            </w:r>
            <w:r>
              <w:rPr>
                <w:rFonts w:ascii="Lexend" w:hAnsi="Lexend" w:cs="Lexend" w:eastAsia="Lexend"/>
                <w:b/>
                <w:i w:val="0"/>
                <w:color w:val="FFFFFF"/>
                <w:sz w:val="30"/>
              </w:rPr>
              <w:t>High-quality curriculum design</w:t>
            </w:r>
          </w:p>
          <w:p>
            <w:pPr>
              <w:spacing w:before="0" w:after="40" w:line="259" w:lineRule="auto"/>
            </w:pPr>
            <w:r>
              <w:rPr>
                <w:rFonts w:ascii="Inter" w:hAnsi="Inter" w:cs="Inter" w:eastAsia="Inter"/>
                <w:b w:val="0"/>
                <w:i w:val="0"/>
                <w:color w:val="FFFFFF"/>
                <w:sz w:val="17"/>
              </w:rPr>
              <w:t>Guidance pages 17-20  ·  7 criteria  ·  EEF: Recommendation 3: Ensure all pupils have access to high quality teaching</w:t>
            </w:r>
          </w:p>
        </w:tc>
      </w:tr>
    </w:tbl>
    <w:p>
      <w:pPr>
        <w:spacing w:after="80" w:before="0" w:line="276" w:lineRule="auto"/>
      </w:pPr>
    </w:p>
    <w:tbl>
      <w:tblPr>
        <w:tblStyle w:val="TableGrid"/>
        <w:tblW w:type="auto" w:w="0"/>
        <w:tblLayout w:type="fixed"/>
        <w:tblLook w:firstColumn="1" w:firstRow="1" w:lastColumn="0" w:lastRow="0" w:noHBand="0" w:noVBand="1" w:val="04A0"/>
      </w:tblPr>
      <w:tblGrid>
        <w:gridCol w:w="3096"/>
        <w:gridCol w:w="3096"/>
        <w:gridCol w:w="3096"/>
        <w:gridCol w:w="3096"/>
        <w:gridCol w:w="3096"/>
      </w:tblGrid>
      <w:tr>
        <w:trPr>
          <w:tblHeader w:val="true"/>
        </w:trPr>
        <w:tc>
          <w:tcPr>
            <w:tcW w:type="dxa" w:w="4082"/>
            <w:shd w:val="clear" w:color="auto" w:fill="D6E9E5"/>
            <w:tcMar>
              <w:top w:w="70" w:type="dxa"/>
              <w:bottom w:w="70" w:type="dxa"/>
              <w:left w:w="90" w:type="dxa"/>
              <w:right w:w="90" w:type="dxa"/>
            </w:tcMar>
            <w:vAlign w:val="top"/>
          </w:tcPr>
          <w:p>
            <w:pPr>
              <w:spacing w:before="0" w:after="40" w:line="259" w:lineRule="auto"/>
            </w:pPr>
            <w:r>
              <w:rPr>
                <w:rFonts w:ascii="Inter" w:hAnsi="Inter" w:cs="Inter" w:eastAsia="Inter"/>
                <w:b/>
                <w:i w:val="0"/>
                <w:color w:val="128770"/>
                <w:sz w:val="17"/>
              </w:rPr>
              <w:t>What good looks like</w:t>
            </w:r>
          </w:p>
        </w:tc>
        <w:tc>
          <w:tcPr>
            <w:tcW w:type="dxa" w:w="3742"/>
            <w:shd w:val="clear" w:color="auto" w:fill="D6E9E5"/>
            <w:tcMar>
              <w:top w:w="70" w:type="dxa"/>
              <w:bottom w:w="70" w:type="dxa"/>
              <w:left w:w="90" w:type="dxa"/>
              <w:right w:w="90" w:type="dxa"/>
            </w:tcMar>
            <w:vAlign w:val="top"/>
          </w:tcPr>
          <w:p>
            <w:pPr>
              <w:spacing w:before="0" w:after="40" w:line="259" w:lineRule="auto"/>
            </w:pPr>
            <w:r>
              <w:rPr>
                <w:rFonts w:ascii="Inter" w:hAnsi="Inter" w:cs="Inter" w:eastAsia="Inter"/>
                <w:b/>
                <w:i w:val="0"/>
                <w:color w:val="128770"/>
                <w:sz w:val="17"/>
              </w:rPr>
              <w:t>Your evidence  (fill this in FIRST)</w:t>
            </w:r>
          </w:p>
        </w:tc>
        <w:tc>
          <w:tcPr>
            <w:tcW w:type="dxa" w:w="964"/>
            <w:shd w:val="clear" w:color="auto" w:fill="FEF6D9"/>
            <w:tcMar>
              <w:top w:w="70" w:type="dxa"/>
              <w:bottom w:w="70" w:type="dxa"/>
              <w:left w:w="90" w:type="dxa"/>
              <w:right w:w="90" w:type="dxa"/>
            </w:tcMar>
            <w:vAlign w:val="top"/>
          </w:tcPr>
          <w:p>
            <w:pPr>
              <w:spacing w:before="0" w:after="40" w:line="259" w:lineRule="auto"/>
            </w:pPr>
            <w:r>
              <w:rPr>
                <w:rFonts w:ascii="Inter" w:hAnsi="Inter" w:cs="Inter" w:eastAsia="Inter"/>
                <w:b/>
                <w:i w:val="0"/>
                <w:color w:val="128770"/>
                <w:sz w:val="17"/>
              </w:rPr>
              <w:t>Rating</w:t>
            </w:r>
          </w:p>
        </w:tc>
        <w:tc>
          <w:tcPr>
            <w:tcW w:type="dxa" w:w="3742"/>
            <w:shd w:val="clear" w:color="auto" w:fill="D6E9E5"/>
            <w:tcMar>
              <w:top w:w="70" w:type="dxa"/>
              <w:bottom w:w="70" w:type="dxa"/>
              <w:left w:w="90" w:type="dxa"/>
              <w:right w:w="90" w:type="dxa"/>
            </w:tcMar>
            <w:vAlign w:val="top"/>
          </w:tcPr>
          <w:p>
            <w:pPr>
              <w:spacing w:before="0" w:after="40" w:line="259" w:lineRule="auto"/>
            </w:pPr>
            <w:r>
              <w:rPr>
                <w:rFonts w:ascii="Inter" w:hAnsi="Inter" w:cs="Inter" w:eastAsia="Inter"/>
                <w:b/>
                <w:i w:val="0"/>
                <w:color w:val="128770"/>
                <w:sz w:val="17"/>
              </w:rPr>
              <w:t>Suggested next step</w:t>
            </w:r>
          </w:p>
        </w:tc>
        <w:tc>
          <w:tcPr>
            <w:tcW w:type="dxa" w:w="2948"/>
            <w:shd w:val="clear" w:color="auto" w:fill="D6E9E5"/>
            <w:tcMar>
              <w:top w:w="70" w:type="dxa"/>
              <w:bottom w:w="70" w:type="dxa"/>
              <w:left w:w="90" w:type="dxa"/>
              <w:right w:w="90" w:type="dxa"/>
            </w:tcMar>
            <w:vAlign w:val="top"/>
          </w:tcPr>
          <w:p>
            <w:pPr>
              <w:spacing w:before="0" w:after="40" w:line="259" w:lineRule="auto"/>
            </w:pPr>
            <w:r>
              <w:rPr>
                <w:rFonts w:ascii="Inter" w:hAnsi="Inter" w:cs="Inter" w:eastAsia="Inter"/>
                <w:b/>
                <w:i w:val="0"/>
                <w:color w:val="128770"/>
                <w:sz w:val="17"/>
              </w:rPr>
              <w:t>Owner / date / review date</w:t>
            </w:r>
          </w:p>
        </w:tc>
      </w:tr>
      <w:tr>
        <w:trPr>
          <w:cantSplit/>
        </w:trPr>
        <w:tc>
          <w:tcPr>
            <w:tcW w:type="dxa" w:w="15478"/>
            <w:gridSpan w:val="5"/>
            <w:shd w:val="clear" w:color="auto" w:fill="F1F7F6"/>
            <w:tcMar>
              <w:top w:w="80" w:type="dxa"/>
              <w:bottom w:w="80" w:type="dxa"/>
              <w:left w:w="90" w:type="dxa"/>
              <w:right w:w="90" w:type="dxa"/>
            </w:tcMar>
            <w:vAlign w:val="top"/>
          </w:tcPr>
          <w:p>
            <w:pPr>
              <w:spacing w:before="0" w:after="40" w:line="259" w:lineRule="auto"/>
              <w:keepNext/>
            </w:pPr>
            <w:r>
              <w:rPr>
                <w:rFonts w:ascii="Inter" w:hAnsi="Inter" w:cs="Inter" w:eastAsia="Inter"/>
                <w:b/>
                <w:i w:val="0"/>
                <w:color w:val="128770"/>
                <w:sz w:val="19"/>
              </w:rPr>
              <w:t xml:space="preserve">P2.1   </w:t>
            </w:r>
            <w:r>
              <w:rPr>
                <w:rFonts w:ascii="Inter" w:hAnsi="Inter" w:cs="Inter" w:eastAsia="Inter"/>
                <w:b/>
                <w:i w:val="0"/>
                <w:color w:val="1A1A1A"/>
                <w:sz w:val="19"/>
              </w:rPr>
              <w:t>The base has clear curriculum intent and purposeful teaching, not simply a supportive space.</w:t>
            </w:r>
          </w:p>
          <w:p>
            <w:pPr>
              <w:spacing w:before="0" w:after="40" w:line="259" w:lineRule="auto"/>
              <w:keepNext/>
            </w:pPr>
            <w:r>
              <w:rPr>
                <w:rFonts w:ascii="Inter" w:hAnsi="Inter" w:cs="Inter" w:eastAsia="Inter"/>
                <w:b w:val="0"/>
                <w:i/>
                <w:color w:val="666666"/>
                <w:sz w:val="15"/>
              </w:rPr>
              <w:t>Base  ·  Guidance: “Bases should not be areas that lack clear curriculum intent and purposeful teaching and learning.”</w:t>
            </w:r>
          </w:p>
        </w:tc>
      </w:tr>
      <w:tr>
        <w:trPr>
          <w:trHeight w:val="1701" w:hRule="atLeast"/>
          <w:cantSplit/>
        </w:trPr>
        <w:tc>
          <w:tcPr>
            <w:tcW w:type="dxa" w:w="4082"/>
            <w:tcMar>
              <w:top w:w="70" w:type="dxa"/>
              <w:bottom w:w="70" w:type="dxa"/>
              <w:left w:w="90" w:type="dxa"/>
              <w:right w:w="90" w:type="dxa"/>
            </w:tcMar>
            <w:vAlign w:val="top"/>
          </w:tcPr>
          <w:p>
            <w:pPr>
              <w:spacing w:before="0" w:after="80" w:line="259" w:lineRule="auto"/>
            </w:pPr>
            <w:r>
              <w:rPr>
                <w:rFonts w:ascii="Inter" w:hAnsi="Inter" w:cs="Inter" w:eastAsia="Inter"/>
                <w:b/>
                <w:i w:val="0"/>
                <w:color w:val="128770"/>
                <w:sz w:val="17"/>
              </w:rPr>
              <w:t xml:space="preserve">1  </w:t>
            </w:r>
            <w:r>
              <w:rPr>
                <w:rFonts w:ascii="Inter" w:hAnsi="Inter" w:cs="Inter" w:eastAsia="Inter"/>
                <w:b w:val="0"/>
                <w:i w:val="0"/>
                <w:color w:val="1A1A1A"/>
                <w:sz w:val="17"/>
              </w:rPr>
              <w:t>The base is primarily a place to be, with activities rather than curriculum.</w:t>
            </w:r>
          </w:p>
          <w:p>
            <w:pPr>
              <w:spacing w:before="0" w:after="80" w:line="259" w:lineRule="auto"/>
            </w:pPr>
            <w:r>
              <w:rPr>
                <w:rFonts w:ascii="Inter" w:hAnsi="Inter" w:cs="Inter" w:eastAsia="Inter"/>
                <w:b/>
                <w:i w:val="0"/>
                <w:color w:val="128770"/>
                <w:sz w:val="17"/>
              </w:rPr>
              <w:t xml:space="preserve">3  </w:t>
            </w:r>
            <w:r>
              <w:rPr>
                <w:rFonts w:ascii="Inter" w:hAnsi="Inter" w:cs="Inter" w:eastAsia="Inter"/>
                <w:b w:val="0"/>
                <w:i w:val="0"/>
                <w:color w:val="1A1A1A"/>
                <w:sz w:val="17"/>
              </w:rPr>
              <w:t>Curriculum intent exists on paper but varies by staff member and day.</w:t>
            </w:r>
          </w:p>
          <w:p>
            <w:pPr>
              <w:spacing w:before="0" w:after="80" w:line="259" w:lineRule="auto"/>
            </w:pPr>
            <w:r>
              <w:rPr>
                <w:rFonts w:ascii="Inter" w:hAnsi="Inter" w:cs="Inter" w:eastAsia="Inter"/>
                <w:b/>
                <w:i w:val="0"/>
                <w:color w:val="128770"/>
                <w:sz w:val="17"/>
              </w:rPr>
              <w:t xml:space="preserve">5  </w:t>
            </w:r>
            <w:r>
              <w:rPr>
                <w:rFonts w:ascii="Inter" w:hAnsi="Inter" w:cs="Inter" w:eastAsia="Inter"/>
                <w:b w:val="0"/>
                <w:i w:val="0"/>
                <w:color w:val="1A1A1A"/>
                <w:sz w:val="17"/>
              </w:rPr>
              <w:t>Intent is explicit, sequenced, understood by all base staff, and visible in what learners are actually doing.</w:t>
            </w:r>
          </w:p>
        </w:tc>
        <w:tc>
          <w:tcPr>
            <w:tcW w:type="dxa" w:w="3742"/>
            <w:tcMar>
              <w:top w:w="70" w:type="dxa"/>
              <w:bottom w:w="70" w:type="dxa"/>
              <w:left w:w="90" w:type="dxa"/>
              <w:right w:w="90" w:type="dxa"/>
            </w:tcMar>
            <w:vAlign w:val="top"/>
          </w:tcPr>
          <w:p>
            <w:pPr>
              <w:spacing w:before="0" w:after="80" w:line="259" w:lineRule="auto"/>
            </w:pPr>
            <w:r>
              <w:rPr>
                <w:rFonts w:ascii="Inter" w:hAnsi="Inter" w:cs="Inter" w:eastAsia="Inter"/>
                <w:b w:val="0"/>
                <w:i/>
                <w:color w:val="666666"/>
                <w:sz w:val="16"/>
              </w:rPr>
              <w:t>What is being taught in the base this week, and why that, now?</w:t>
            </w:r>
          </w:p>
          <w:p>
            <w:pPr>
              <w:spacing w:before="0" w:after="80" w:line="259" w:lineRule="auto"/>
            </w:pPr>
            <w:r>
              <w:rPr>
                <w:rFonts w:ascii="Inter" w:hAnsi="Inter" w:cs="Inter" w:eastAsia="Inter"/>
                <w:b w:val="0"/>
                <w:i w:val="0"/>
                <w:color w:val="1A1A1A"/>
                <w:sz w:val="18"/>
              </w:rPr>
            </w:r>
          </w:p>
        </w:tc>
        <w:tc>
          <w:tcPr>
            <w:tcW w:type="dxa" w:w="964"/>
            <w:tcMar>
              <w:top w:w="70" w:type="dxa"/>
              <w:bottom w:w="70" w:type="dxa"/>
              <w:left w:w="90" w:type="dxa"/>
              <w:right w:w="90" w:type="dxa"/>
            </w:tcMar>
            <w:shd w:val="clear" w:color="auto" w:fill="FEF6D9"/>
            <w:vAlign w:val="center"/>
          </w:tcPr>
          <w:p>
            <w:pPr>
              <w:spacing w:before="0" w:after="40" w:line="259" w:lineRule="auto"/>
            </w:pPr>
            <w:r>
              <w:rPr>
                <w:rFonts w:ascii="Inter" w:hAnsi="Inter" w:cs="Inter" w:eastAsia="Inter"/>
                <w:b w:val="0"/>
                <w:i w:val="0"/>
                <w:color w:val="1A1A1A"/>
                <w:sz w:val="18"/>
              </w:rPr>
            </w:r>
          </w:p>
          <w:p>
            <w:pPr>
              <w:spacing w:before="0" w:after="40" w:line="259" w:lineRule="auto"/>
            </w:pPr>
            <w:r>
              <w:rPr>
                <w:rFonts w:ascii="Inter" w:hAnsi="Inter" w:cs="Inter" w:eastAsia="Inter"/>
                <w:b w:val="0"/>
                <w:i w:val="0"/>
                <w:color w:val="666666"/>
                <w:sz w:val="15"/>
              </w:rPr>
              <w:t>1 to 5</w:t>
            </w:r>
          </w:p>
        </w:tc>
        <w:tc>
          <w:tcPr>
            <w:tcW w:type="dxa" w:w="3742"/>
            <w:tcMar>
              <w:top w:w="70" w:type="dxa"/>
              <w:bottom w:w="70" w:type="dxa"/>
              <w:left w:w="90" w:type="dxa"/>
              <w:right w:w="90" w:type="dxa"/>
            </w:tcMar>
            <w:vAlign w:val="top"/>
          </w:tcPr>
          <w:p>
            <w:pPr>
              <w:spacing w:before="0" w:after="40" w:line="259" w:lineRule="auto"/>
            </w:pPr>
            <w:r>
              <w:rPr>
                <w:rFonts w:ascii="Inter" w:hAnsi="Inter" w:cs="Inter" w:eastAsia="Inter"/>
                <w:b w:val="0"/>
                <w:i w:val="0"/>
                <w:color w:val="1A1A1A"/>
                <w:sz w:val="17"/>
              </w:rPr>
              <w:t>This is the guidance's bluntest sentence. If you cannot answer the evidence prompt in one line per group, start here before anything else in this tool.</w:t>
            </w:r>
          </w:p>
        </w:tc>
        <w:tc>
          <w:tcPr>
            <w:tcW w:type="dxa" w:w="2948"/>
            <w:tcMar>
              <w:top w:w="70" w:type="dxa"/>
              <w:bottom w:w="70" w:type="dxa"/>
              <w:left w:w="90" w:type="dxa"/>
              <w:right w:w="90" w:type="dxa"/>
            </w:tcMar>
            <w:vAlign w:val="top"/>
          </w:tcPr>
          <w:p>
            <w:pPr>
              <w:spacing w:before="0" w:after="60" w:line="259" w:lineRule="auto"/>
            </w:pPr>
            <w:r>
              <w:rPr>
                <w:rFonts w:ascii="Inter" w:hAnsi="Inter" w:cs="Inter" w:eastAsia="Inter"/>
                <w:b w:val="0"/>
                <w:i w:val="0"/>
                <w:color w:val="666666"/>
                <w:sz w:val="15"/>
              </w:rPr>
              <w:t>Owner</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Target date</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Review date</w:t>
            </w:r>
          </w:p>
          <w:p>
            <w:pPr>
              <w:spacing w:before="0" w:after="60" w:line="259" w:lineRule="auto"/>
            </w:pPr>
            <w:r>
              <w:rPr>
                <w:rFonts w:ascii="Inter" w:hAnsi="Inter" w:cs="Inter" w:eastAsia="Inter"/>
                <w:b w:val="0"/>
                <w:i w:val="0"/>
                <w:color w:val="1A1A1A"/>
                <w:sz w:val="18"/>
              </w:rPr>
            </w:r>
          </w:p>
        </w:tc>
      </w:tr>
      <w:tr>
        <w:trPr>
          <w:cantSplit/>
        </w:trPr>
        <w:tc>
          <w:tcPr>
            <w:tcW w:type="dxa" w:w="15478"/>
            <w:gridSpan w:val="5"/>
            <w:shd w:val="clear" w:color="auto" w:fill="F1F7F6"/>
            <w:tcMar>
              <w:top w:w="80" w:type="dxa"/>
              <w:bottom w:w="80" w:type="dxa"/>
              <w:left w:w="90" w:type="dxa"/>
              <w:right w:w="90" w:type="dxa"/>
            </w:tcMar>
            <w:vAlign w:val="top"/>
          </w:tcPr>
          <w:p>
            <w:pPr>
              <w:spacing w:before="0" w:after="40" w:line="259" w:lineRule="auto"/>
              <w:keepNext/>
            </w:pPr>
            <w:r>
              <w:rPr>
                <w:rFonts w:ascii="Inter" w:hAnsi="Inter" w:cs="Inter" w:eastAsia="Inter"/>
                <w:b/>
                <w:i w:val="0"/>
                <w:color w:val="128770"/>
                <w:sz w:val="19"/>
              </w:rPr>
              <w:t xml:space="preserve">P2.2   </w:t>
            </w:r>
            <w:r>
              <w:rPr>
                <w:rFonts w:ascii="Inter" w:hAnsi="Inter" w:cs="Inter" w:eastAsia="Inter"/>
                <w:b/>
                <w:i w:val="0"/>
                <w:color w:val="1A1A1A"/>
                <w:sz w:val="19"/>
              </w:rPr>
              <w:t>Learners in the base access a broad and balanced curriculum, with adaptations that remove barriers rather than reduce expectations.</w:t>
            </w:r>
          </w:p>
          <w:p>
            <w:pPr>
              <w:spacing w:before="0" w:after="40" w:line="259" w:lineRule="auto"/>
              <w:keepNext/>
            </w:pPr>
            <w:r>
              <w:rPr>
                <w:rFonts w:ascii="Inter" w:hAnsi="Inter" w:cs="Inter" w:eastAsia="Inter"/>
                <w:b w:val="0"/>
                <w:i/>
                <w:color w:val="666666"/>
                <w:sz w:val="15"/>
              </w:rPr>
              <w:t>Individual children and young people  ·  Guidance: “All children and young people, including those accessing a base, should have access to a broad and balanced curriculum and teachers should set high expectations for every child or young person, whatever their prior attainment.”</w:t>
            </w:r>
          </w:p>
        </w:tc>
      </w:tr>
      <w:tr>
        <w:trPr>
          <w:trHeight w:val="1701" w:hRule="atLeast"/>
          <w:cantSplit/>
        </w:trPr>
        <w:tc>
          <w:tcPr>
            <w:tcW w:type="dxa" w:w="4082"/>
            <w:tcMar>
              <w:top w:w="70" w:type="dxa"/>
              <w:bottom w:w="70" w:type="dxa"/>
              <w:left w:w="90" w:type="dxa"/>
              <w:right w:w="90" w:type="dxa"/>
            </w:tcMar>
            <w:vAlign w:val="top"/>
          </w:tcPr>
          <w:p>
            <w:pPr>
              <w:spacing w:before="0" w:after="80" w:line="259" w:lineRule="auto"/>
            </w:pPr>
            <w:r>
              <w:rPr>
                <w:rFonts w:ascii="Inter" w:hAnsi="Inter" w:cs="Inter" w:eastAsia="Inter"/>
                <w:b/>
                <w:i w:val="0"/>
                <w:color w:val="128770"/>
                <w:sz w:val="17"/>
              </w:rPr>
              <w:t xml:space="preserve">1  </w:t>
            </w:r>
            <w:r>
              <w:rPr>
                <w:rFonts w:ascii="Inter" w:hAnsi="Inter" w:cs="Inter" w:eastAsia="Inter"/>
                <w:b w:val="0"/>
                <w:i w:val="0"/>
                <w:color w:val="1A1A1A"/>
                <w:sz w:val="17"/>
              </w:rPr>
              <w:t>The curriculum is narrowed by default for anyone in the base.</w:t>
            </w:r>
          </w:p>
          <w:p>
            <w:pPr>
              <w:spacing w:before="0" w:after="80" w:line="259" w:lineRule="auto"/>
            </w:pPr>
            <w:r>
              <w:rPr>
                <w:rFonts w:ascii="Inter" w:hAnsi="Inter" w:cs="Inter" w:eastAsia="Inter"/>
                <w:b/>
                <w:i w:val="0"/>
                <w:color w:val="128770"/>
                <w:sz w:val="17"/>
              </w:rPr>
              <w:t xml:space="preserve">3  </w:t>
            </w:r>
            <w:r>
              <w:rPr>
                <w:rFonts w:ascii="Inter" w:hAnsi="Inter" w:cs="Inter" w:eastAsia="Inter"/>
                <w:b w:val="0"/>
                <w:i w:val="0"/>
                <w:color w:val="1A1A1A"/>
                <w:sz w:val="17"/>
              </w:rPr>
              <w:t>Breadth is protected for some subjects or some learners.</w:t>
            </w:r>
          </w:p>
          <w:p>
            <w:pPr>
              <w:spacing w:before="0" w:after="80" w:line="259" w:lineRule="auto"/>
            </w:pPr>
            <w:r>
              <w:rPr>
                <w:rFonts w:ascii="Inter" w:hAnsi="Inter" w:cs="Inter" w:eastAsia="Inter"/>
                <w:b/>
                <w:i w:val="0"/>
                <w:color w:val="128770"/>
                <w:sz w:val="17"/>
              </w:rPr>
              <w:t xml:space="preserve">5  </w:t>
            </w:r>
            <w:r>
              <w:rPr>
                <w:rFonts w:ascii="Inter" w:hAnsi="Inter" w:cs="Inter" w:eastAsia="Inter"/>
                <w:b w:val="0"/>
                <w:i w:val="0"/>
                <w:color w:val="1A1A1A"/>
                <w:sz w:val="17"/>
              </w:rPr>
              <w:t>Breadth is the default; every narrowing is a documented, reviewed decision with a reintegration intent.</w:t>
            </w:r>
          </w:p>
        </w:tc>
        <w:tc>
          <w:tcPr>
            <w:tcW w:type="dxa" w:w="3742"/>
            <w:tcMar>
              <w:top w:w="70" w:type="dxa"/>
              <w:bottom w:w="70" w:type="dxa"/>
              <w:left w:w="90" w:type="dxa"/>
              <w:right w:w="90" w:type="dxa"/>
            </w:tcMar>
            <w:vAlign w:val="top"/>
          </w:tcPr>
          <w:p>
            <w:pPr>
              <w:spacing w:before="0" w:after="80" w:line="259" w:lineRule="auto"/>
            </w:pPr>
            <w:r>
              <w:rPr>
                <w:rFonts w:ascii="Inter" w:hAnsi="Inter" w:cs="Inter" w:eastAsia="Inter"/>
                <w:b w:val="0"/>
                <w:i/>
                <w:color w:val="666666"/>
                <w:sz w:val="16"/>
              </w:rPr>
              <w:t>Which subjects has each learner lost access to, and what was the reasoning?</w:t>
            </w:r>
          </w:p>
          <w:p>
            <w:pPr>
              <w:spacing w:before="0" w:after="80" w:line="259" w:lineRule="auto"/>
            </w:pPr>
            <w:r>
              <w:rPr>
                <w:rFonts w:ascii="Inter" w:hAnsi="Inter" w:cs="Inter" w:eastAsia="Inter"/>
                <w:b w:val="0"/>
                <w:i w:val="0"/>
                <w:color w:val="1A1A1A"/>
                <w:sz w:val="18"/>
              </w:rPr>
            </w:r>
          </w:p>
        </w:tc>
        <w:tc>
          <w:tcPr>
            <w:tcW w:type="dxa" w:w="964"/>
            <w:tcMar>
              <w:top w:w="70" w:type="dxa"/>
              <w:bottom w:w="70" w:type="dxa"/>
              <w:left w:w="90" w:type="dxa"/>
              <w:right w:w="90" w:type="dxa"/>
            </w:tcMar>
            <w:shd w:val="clear" w:color="auto" w:fill="FEF6D9"/>
            <w:vAlign w:val="center"/>
          </w:tcPr>
          <w:p>
            <w:pPr>
              <w:spacing w:before="0" w:after="40" w:line="259" w:lineRule="auto"/>
            </w:pPr>
            <w:r>
              <w:rPr>
                <w:rFonts w:ascii="Inter" w:hAnsi="Inter" w:cs="Inter" w:eastAsia="Inter"/>
                <w:b w:val="0"/>
                <w:i w:val="0"/>
                <w:color w:val="1A1A1A"/>
                <w:sz w:val="18"/>
              </w:rPr>
            </w:r>
          </w:p>
          <w:p>
            <w:pPr>
              <w:spacing w:before="0" w:after="40" w:line="259" w:lineRule="auto"/>
            </w:pPr>
            <w:r>
              <w:rPr>
                <w:rFonts w:ascii="Inter" w:hAnsi="Inter" w:cs="Inter" w:eastAsia="Inter"/>
                <w:b w:val="0"/>
                <w:i w:val="0"/>
                <w:color w:val="666666"/>
                <w:sz w:val="15"/>
              </w:rPr>
              <w:t>1 to 5</w:t>
            </w:r>
          </w:p>
        </w:tc>
        <w:tc>
          <w:tcPr>
            <w:tcW w:type="dxa" w:w="3742"/>
            <w:tcMar>
              <w:top w:w="70" w:type="dxa"/>
              <w:bottom w:w="70" w:type="dxa"/>
              <w:left w:w="90" w:type="dxa"/>
              <w:right w:w="90" w:type="dxa"/>
            </w:tcMar>
            <w:vAlign w:val="top"/>
          </w:tcPr>
          <w:p>
            <w:pPr>
              <w:spacing w:before="0" w:after="40" w:line="259" w:lineRule="auto"/>
            </w:pPr>
            <w:r>
              <w:rPr>
                <w:rFonts w:ascii="Inter" w:hAnsi="Inter" w:cs="Inter" w:eastAsia="Inter"/>
                <w:b w:val="0"/>
                <w:i w:val="0"/>
                <w:color w:val="1A1A1A"/>
                <w:sz w:val="17"/>
              </w:rPr>
              <w:t>Adaptive teaching, not differentiation by task. EEF Recommendation 3 rejects rewriting lessons into separate simplified tasks; keep one ambitious curriculum with scaffolded access.</w:t>
            </w:r>
          </w:p>
        </w:tc>
        <w:tc>
          <w:tcPr>
            <w:tcW w:type="dxa" w:w="2948"/>
            <w:tcMar>
              <w:top w:w="70" w:type="dxa"/>
              <w:bottom w:w="70" w:type="dxa"/>
              <w:left w:w="90" w:type="dxa"/>
              <w:right w:w="90" w:type="dxa"/>
            </w:tcMar>
            <w:vAlign w:val="top"/>
          </w:tcPr>
          <w:p>
            <w:pPr>
              <w:spacing w:before="0" w:after="60" w:line="259" w:lineRule="auto"/>
            </w:pPr>
            <w:r>
              <w:rPr>
                <w:rFonts w:ascii="Inter" w:hAnsi="Inter" w:cs="Inter" w:eastAsia="Inter"/>
                <w:b w:val="0"/>
                <w:i w:val="0"/>
                <w:color w:val="666666"/>
                <w:sz w:val="15"/>
              </w:rPr>
              <w:t>Owner</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Target date</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Review date</w:t>
            </w:r>
          </w:p>
          <w:p>
            <w:pPr>
              <w:spacing w:before="0" w:after="60" w:line="259" w:lineRule="auto"/>
            </w:pPr>
            <w:r>
              <w:rPr>
                <w:rFonts w:ascii="Inter" w:hAnsi="Inter" w:cs="Inter" w:eastAsia="Inter"/>
                <w:b w:val="0"/>
                <w:i w:val="0"/>
                <w:color w:val="1A1A1A"/>
                <w:sz w:val="18"/>
              </w:rPr>
            </w:r>
          </w:p>
        </w:tc>
      </w:tr>
      <w:tr>
        <w:trPr>
          <w:cantSplit/>
        </w:trPr>
        <w:tc>
          <w:tcPr>
            <w:tcW w:type="dxa" w:w="15478"/>
            <w:gridSpan w:val="5"/>
            <w:shd w:val="clear" w:color="auto" w:fill="F1F7F6"/>
            <w:tcMar>
              <w:top w:w="80" w:type="dxa"/>
              <w:bottom w:w="80" w:type="dxa"/>
              <w:left w:w="90" w:type="dxa"/>
              <w:right w:w="90" w:type="dxa"/>
            </w:tcMar>
            <w:vAlign w:val="top"/>
          </w:tcPr>
          <w:p>
            <w:pPr>
              <w:spacing w:before="0" w:after="40" w:line="259" w:lineRule="auto"/>
              <w:keepNext/>
            </w:pPr>
            <w:r>
              <w:rPr>
                <w:rFonts w:ascii="Inter" w:hAnsi="Inter" w:cs="Inter" w:eastAsia="Inter"/>
                <w:b/>
                <w:i w:val="0"/>
                <w:color w:val="128770"/>
                <w:sz w:val="19"/>
              </w:rPr>
              <w:t xml:space="preserve">P2.3   </w:t>
            </w:r>
            <w:r>
              <w:rPr>
                <w:rFonts w:ascii="Inter" w:hAnsi="Inter" w:cs="Inter" w:eastAsia="Inter"/>
                <w:b/>
                <w:i w:val="0"/>
                <w:color w:val="1A1A1A"/>
                <w:sz w:val="19"/>
              </w:rPr>
              <w:t>Base and mainstream timetables are aligned so learners can move between them without losing curriculum content.</w:t>
            </w:r>
          </w:p>
          <w:p>
            <w:pPr>
              <w:spacing w:before="0" w:after="40" w:line="259" w:lineRule="auto"/>
              <w:keepNext/>
            </w:pPr>
            <w:r>
              <w:rPr>
                <w:rFonts w:ascii="Inter" w:hAnsi="Inter" w:cs="Inter" w:eastAsia="Inter"/>
                <w:b w:val="0"/>
                <w:i/>
                <w:color w:val="666666"/>
                <w:sz w:val="15"/>
              </w:rPr>
              <w:t>Base  ·  Guidance: “Where children and young people still access some classes in the base, schools should aim to ensure the base and mainstream class timetables align as much as possible.”</w:t>
            </w:r>
          </w:p>
        </w:tc>
      </w:tr>
      <w:tr>
        <w:trPr>
          <w:trHeight w:val="1701" w:hRule="atLeast"/>
          <w:cantSplit/>
        </w:trPr>
        <w:tc>
          <w:tcPr>
            <w:tcW w:type="dxa" w:w="4082"/>
            <w:tcMar>
              <w:top w:w="70" w:type="dxa"/>
              <w:bottom w:w="70" w:type="dxa"/>
              <w:left w:w="90" w:type="dxa"/>
              <w:right w:w="90" w:type="dxa"/>
            </w:tcMar>
            <w:vAlign w:val="top"/>
          </w:tcPr>
          <w:p>
            <w:pPr>
              <w:spacing w:before="0" w:after="80" w:line="259" w:lineRule="auto"/>
            </w:pPr>
            <w:r>
              <w:rPr>
                <w:rFonts w:ascii="Inter" w:hAnsi="Inter" w:cs="Inter" w:eastAsia="Inter"/>
                <w:b/>
                <w:i w:val="0"/>
                <w:color w:val="128770"/>
                <w:sz w:val="17"/>
              </w:rPr>
              <w:t xml:space="preserve">1  </w:t>
            </w:r>
            <w:r>
              <w:rPr>
                <w:rFonts w:ascii="Inter" w:hAnsi="Inter" w:cs="Inter" w:eastAsia="Inter"/>
                <w:b w:val="0"/>
                <w:i w:val="0"/>
                <w:color w:val="1A1A1A"/>
                <w:sz w:val="17"/>
              </w:rPr>
              <w:t>Timetables are set independently; clashes are discovered later.</w:t>
            </w:r>
          </w:p>
          <w:p>
            <w:pPr>
              <w:spacing w:before="0" w:after="80" w:line="259" w:lineRule="auto"/>
            </w:pPr>
            <w:r>
              <w:rPr>
                <w:rFonts w:ascii="Inter" w:hAnsi="Inter" w:cs="Inter" w:eastAsia="Inter"/>
                <w:b/>
                <w:i w:val="0"/>
                <w:color w:val="128770"/>
                <w:sz w:val="17"/>
              </w:rPr>
              <w:t xml:space="preserve">3  </w:t>
            </w:r>
            <w:r>
              <w:rPr>
                <w:rFonts w:ascii="Inter" w:hAnsi="Inter" w:cs="Inter" w:eastAsia="Inter"/>
                <w:b w:val="0"/>
                <w:i w:val="0"/>
                <w:color w:val="1A1A1A"/>
                <w:sz w:val="17"/>
              </w:rPr>
              <w:t>Alignment is attempted for core subjects only.</w:t>
            </w:r>
          </w:p>
          <w:p>
            <w:pPr>
              <w:spacing w:before="0" w:after="80" w:line="259" w:lineRule="auto"/>
            </w:pPr>
            <w:r>
              <w:rPr>
                <w:rFonts w:ascii="Inter" w:hAnsi="Inter" w:cs="Inter" w:eastAsia="Inter"/>
                <w:b/>
                <w:i w:val="0"/>
                <w:color w:val="128770"/>
                <w:sz w:val="17"/>
              </w:rPr>
              <w:t xml:space="preserve">5  </w:t>
            </w:r>
            <w:r>
              <w:rPr>
                <w:rFonts w:ascii="Inter" w:hAnsi="Inter" w:cs="Inter" w:eastAsia="Inter"/>
                <w:b w:val="0"/>
                <w:i w:val="0"/>
                <w:color w:val="1A1A1A"/>
                <w:sz w:val="17"/>
              </w:rPr>
              <w:t>Alignment is a deliberate constraint in timetable construction, reviewed each cycle.</w:t>
            </w:r>
          </w:p>
        </w:tc>
        <w:tc>
          <w:tcPr>
            <w:tcW w:type="dxa" w:w="3742"/>
            <w:tcMar>
              <w:top w:w="70" w:type="dxa"/>
              <w:bottom w:w="70" w:type="dxa"/>
              <w:left w:w="90" w:type="dxa"/>
              <w:right w:w="90" w:type="dxa"/>
            </w:tcMar>
            <w:vAlign w:val="top"/>
          </w:tcPr>
          <w:p>
            <w:pPr>
              <w:spacing w:before="0" w:after="80" w:line="259" w:lineRule="auto"/>
            </w:pPr>
            <w:r>
              <w:rPr>
                <w:rFonts w:ascii="Inter" w:hAnsi="Inter" w:cs="Inter" w:eastAsia="Inter"/>
                <w:b w:val="0"/>
                <w:i/>
                <w:color w:val="666666"/>
                <w:sz w:val="16"/>
              </w:rPr>
              <w:t>Where do the timetables currently clash, and who owns fixing it?</w:t>
            </w:r>
          </w:p>
          <w:p>
            <w:pPr>
              <w:spacing w:before="0" w:after="80" w:line="259" w:lineRule="auto"/>
            </w:pPr>
            <w:r>
              <w:rPr>
                <w:rFonts w:ascii="Inter" w:hAnsi="Inter" w:cs="Inter" w:eastAsia="Inter"/>
                <w:b w:val="0"/>
                <w:i w:val="0"/>
                <w:color w:val="1A1A1A"/>
                <w:sz w:val="18"/>
              </w:rPr>
            </w:r>
          </w:p>
        </w:tc>
        <w:tc>
          <w:tcPr>
            <w:tcW w:type="dxa" w:w="964"/>
            <w:tcMar>
              <w:top w:w="70" w:type="dxa"/>
              <w:bottom w:w="70" w:type="dxa"/>
              <w:left w:w="90" w:type="dxa"/>
              <w:right w:w="90" w:type="dxa"/>
            </w:tcMar>
            <w:shd w:val="clear" w:color="auto" w:fill="FEF6D9"/>
            <w:vAlign w:val="center"/>
          </w:tcPr>
          <w:p>
            <w:pPr>
              <w:spacing w:before="0" w:after="40" w:line="259" w:lineRule="auto"/>
            </w:pPr>
            <w:r>
              <w:rPr>
                <w:rFonts w:ascii="Inter" w:hAnsi="Inter" w:cs="Inter" w:eastAsia="Inter"/>
                <w:b w:val="0"/>
                <w:i w:val="0"/>
                <w:color w:val="1A1A1A"/>
                <w:sz w:val="18"/>
              </w:rPr>
            </w:r>
          </w:p>
          <w:p>
            <w:pPr>
              <w:spacing w:before="0" w:after="40" w:line="259" w:lineRule="auto"/>
            </w:pPr>
            <w:r>
              <w:rPr>
                <w:rFonts w:ascii="Inter" w:hAnsi="Inter" w:cs="Inter" w:eastAsia="Inter"/>
                <w:b w:val="0"/>
                <w:i w:val="0"/>
                <w:color w:val="666666"/>
                <w:sz w:val="15"/>
              </w:rPr>
              <w:t>1 to 5</w:t>
            </w:r>
          </w:p>
        </w:tc>
        <w:tc>
          <w:tcPr>
            <w:tcW w:type="dxa" w:w="3742"/>
            <w:tcMar>
              <w:top w:w="70" w:type="dxa"/>
              <w:bottom w:w="70" w:type="dxa"/>
              <w:left w:w="90" w:type="dxa"/>
              <w:right w:w="90" w:type="dxa"/>
            </w:tcMar>
            <w:vAlign w:val="top"/>
          </w:tcPr>
          <w:p>
            <w:pPr>
              <w:spacing w:before="0" w:after="40" w:line="259" w:lineRule="auto"/>
            </w:pPr>
            <w:r>
              <w:rPr>
                <w:rFonts w:ascii="Inter" w:hAnsi="Inter" w:cs="Inter" w:eastAsia="Inter"/>
                <w:b w:val="0"/>
                <w:i w:val="0"/>
                <w:color w:val="1A1A1A"/>
                <w:sz w:val="17"/>
              </w:rPr>
              <w:t>Timetable alignment is the most common structural blocker to increasing mainstream time. Fix it before setting participation targets.</w:t>
            </w:r>
          </w:p>
        </w:tc>
        <w:tc>
          <w:tcPr>
            <w:tcW w:type="dxa" w:w="2948"/>
            <w:tcMar>
              <w:top w:w="70" w:type="dxa"/>
              <w:bottom w:w="70" w:type="dxa"/>
              <w:left w:w="90" w:type="dxa"/>
              <w:right w:w="90" w:type="dxa"/>
            </w:tcMar>
            <w:vAlign w:val="top"/>
          </w:tcPr>
          <w:p>
            <w:pPr>
              <w:spacing w:before="0" w:after="60" w:line="259" w:lineRule="auto"/>
            </w:pPr>
            <w:r>
              <w:rPr>
                <w:rFonts w:ascii="Inter" w:hAnsi="Inter" w:cs="Inter" w:eastAsia="Inter"/>
                <w:b w:val="0"/>
                <w:i w:val="0"/>
                <w:color w:val="666666"/>
                <w:sz w:val="15"/>
              </w:rPr>
              <w:t>Owner</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Target date</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Review date</w:t>
            </w:r>
          </w:p>
          <w:p>
            <w:pPr>
              <w:spacing w:before="0" w:after="60" w:line="259" w:lineRule="auto"/>
            </w:pPr>
            <w:r>
              <w:rPr>
                <w:rFonts w:ascii="Inter" w:hAnsi="Inter" w:cs="Inter" w:eastAsia="Inter"/>
                <w:b w:val="0"/>
                <w:i w:val="0"/>
                <w:color w:val="1A1A1A"/>
                <w:sz w:val="18"/>
              </w:rPr>
            </w:r>
          </w:p>
        </w:tc>
      </w:tr>
      <w:tr>
        <w:trPr>
          <w:cantSplit/>
        </w:trPr>
        <w:tc>
          <w:tcPr>
            <w:tcW w:type="dxa" w:w="15478"/>
            <w:gridSpan w:val="5"/>
            <w:shd w:val="clear" w:color="auto" w:fill="F1F7F6"/>
            <w:tcMar>
              <w:top w:w="80" w:type="dxa"/>
              <w:bottom w:w="80" w:type="dxa"/>
              <w:left w:w="90" w:type="dxa"/>
              <w:right w:w="90" w:type="dxa"/>
            </w:tcMar>
            <w:vAlign w:val="top"/>
          </w:tcPr>
          <w:p>
            <w:pPr>
              <w:spacing w:before="0" w:after="40" w:line="259" w:lineRule="auto"/>
              <w:keepNext/>
            </w:pPr>
            <w:r>
              <w:rPr>
                <w:rFonts w:ascii="Inter" w:hAnsi="Inter" w:cs="Inter" w:eastAsia="Inter"/>
                <w:b/>
                <w:i w:val="0"/>
                <w:color w:val="128770"/>
                <w:sz w:val="19"/>
              </w:rPr>
              <w:t xml:space="preserve">P2.4   </w:t>
            </w:r>
            <w:r>
              <w:rPr>
                <w:rFonts w:ascii="Inter" w:hAnsi="Inter" w:cs="Inter" w:eastAsia="Inter"/>
                <w:b/>
                <w:i w:val="0"/>
                <w:color w:val="1A1A1A"/>
                <w:sz w:val="19"/>
              </w:rPr>
              <w:t>The curriculum offer in the base is evidence-informed and reviewed on a set cycle, with specialist advice sought where the evidence base is thin.</w:t>
            </w:r>
          </w:p>
          <w:p>
            <w:pPr>
              <w:spacing w:before="0" w:after="40" w:line="259" w:lineRule="auto"/>
              <w:keepNext/>
            </w:pPr>
            <w:r>
              <w:rPr>
                <w:rFonts w:ascii="Inter" w:hAnsi="Inter" w:cs="Inter" w:eastAsia="Inter"/>
                <w:b w:val="0"/>
                <w:i/>
                <w:color w:val="666666"/>
                <w:sz w:val="15"/>
              </w:rPr>
              <w:t>Base  ·  Guidance: “The curriculum offer in the base should be evidence-informed and regularly reviewed. For some groups the evidence base may be limited, and expert or specialist advice should be sought.”</w:t>
            </w:r>
          </w:p>
        </w:tc>
      </w:tr>
      <w:tr>
        <w:trPr>
          <w:trHeight w:val="1701" w:hRule="atLeast"/>
          <w:cantSplit/>
        </w:trPr>
        <w:tc>
          <w:tcPr>
            <w:tcW w:type="dxa" w:w="4082"/>
            <w:tcMar>
              <w:top w:w="70" w:type="dxa"/>
              <w:bottom w:w="70" w:type="dxa"/>
              <w:left w:w="90" w:type="dxa"/>
              <w:right w:w="90" w:type="dxa"/>
            </w:tcMar>
            <w:vAlign w:val="top"/>
          </w:tcPr>
          <w:p>
            <w:pPr>
              <w:spacing w:before="0" w:after="80" w:line="259" w:lineRule="auto"/>
            </w:pPr>
            <w:r>
              <w:rPr>
                <w:rFonts w:ascii="Inter" w:hAnsi="Inter" w:cs="Inter" w:eastAsia="Inter"/>
                <w:b/>
                <w:i w:val="0"/>
                <w:color w:val="128770"/>
                <w:sz w:val="17"/>
              </w:rPr>
              <w:t xml:space="preserve">1  </w:t>
            </w:r>
            <w:r>
              <w:rPr>
                <w:rFonts w:ascii="Inter" w:hAnsi="Inter" w:cs="Inter" w:eastAsia="Inter"/>
                <w:b w:val="0"/>
                <w:i w:val="0"/>
                <w:color w:val="1A1A1A"/>
                <w:sz w:val="17"/>
              </w:rPr>
              <w:t>The offer reflects the experience and preferences of current staff.</w:t>
            </w:r>
          </w:p>
          <w:p>
            <w:pPr>
              <w:spacing w:before="0" w:after="80" w:line="259" w:lineRule="auto"/>
            </w:pPr>
            <w:r>
              <w:rPr>
                <w:rFonts w:ascii="Inter" w:hAnsi="Inter" w:cs="Inter" w:eastAsia="Inter"/>
                <w:b/>
                <w:i w:val="0"/>
                <w:color w:val="128770"/>
                <w:sz w:val="17"/>
              </w:rPr>
              <w:t xml:space="preserve">3  </w:t>
            </w:r>
            <w:r>
              <w:rPr>
                <w:rFonts w:ascii="Inter" w:hAnsi="Inter" w:cs="Inter" w:eastAsia="Inter"/>
                <w:b w:val="0"/>
                <w:i w:val="0"/>
                <w:color w:val="1A1A1A"/>
                <w:sz w:val="17"/>
              </w:rPr>
              <w:t>Some elements are evidence-informed; the review is ad hoc.</w:t>
            </w:r>
          </w:p>
          <w:p>
            <w:pPr>
              <w:spacing w:before="0" w:after="80" w:line="259" w:lineRule="auto"/>
            </w:pPr>
            <w:r>
              <w:rPr>
                <w:rFonts w:ascii="Inter" w:hAnsi="Inter" w:cs="Inter" w:eastAsia="Inter"/>
                <w:b/>
                <w:i w:val="0"/>
                <w:color w:val="128770"/>
                <w:sz w:val="17"/>
              </w:rPr>
              <w:t xml:space="preserve">5  </w:t>
            </w:r>
            <w:r>
              <w:rPr>
                <w:rFonts w:ascii="Inter" w:hAnsi="Inter" w:cs="Inter" w:eastAsia="Inter"/>
                <w:b w:val="0"/>
                <w:i w:val="0"/>
                <w:color w:val="1A1A1A"/>
                <w:sz w:val="17"/>
              </w:rPr>
              <w:t>The offer is explicitly evidence-linked, reviewed on a named cycle, and specialist advice is sought and recorded where evidence is limited.</w:t>
            </w:r>
          </w:p>
        </w:tc>
        <w:tc>
          <w:tcPr>
            <w:tcW w:type="dxa" w:w="3742"/>
            <w:tcMar>
              <w:top w:w="70" w:type="dxa"/>
              <w:bottom w:w="70" w:type="dxa"/>
              <w:left w:w="90" w:type="dxa"/>
              <w:right w:w="90" w:type="dxa"/>
            </w:tcMar>
            <w:vAlign w:val="top"/>
          </w:tcPr>
          <w:p>
            <w:pPr>
              <w:spacing w:before="0" w:after="80" w:line="259" w:lineRule="auto"/>
            </w:pPr>
            <w:r>
              <w:rPr>
                <w:rFonts w:ascii="Inter" w:hAnsi="Inter" w:cs="Inter" w:eastAsia="Inter"/>
                <w:b w:val="0"/>
                <w:i/>
                <w:color w:val="666666"/>
                <w:sz w:val="16"/>
              </w:rPr>
              <w:t>For your three main interventions, what is the evidence and when did you last check it?</w:t>
            </w:r>
          </w:p>
          <w:p>
            <w:pPr>
              <w:spacing w:before="0" w:after="80" w:line="259" w:lineRule="auto"/>
            </w:pPr>
            <w:r>
              <w:rPr>
                <w:rFonts w:ascii="Inter" w:hAnsi="Inter" w:cs="Inter" w:eastAsia="Inter"/>
                <w:b w:val="0"/>
                <w:i w:val="0"/>
                <w:color w:val="1A1A1A"/>
                <w:sz w:val="18"/>
              </w:rPr>
            </w:r>
          </w:p>
        </w:tc>
        <w:tc>
          <w:tcPr>
            <w:tcW w:type="dxa" w:w="964"/>
            <w:tcMar>
              <w:top w:w="70" w:type="dxa"/>
              <w:bottom w:w="70" w:type="dxa"/>
              <w:left w:w="90" w:type="dxa"/>
              <w:right w:w="90" w:type="dxa"/>
            </w:tcMar>
            <w:shd w:val="clear" w:color="auto" w:fill="FEF6D9"/>
            <w:vAlign w:val="center"/>
          </w:tcPr>
          <w:p>
            <w:pPr>
              <w:spacing w:before="0" w:after="40" w:line="259" w:lineRule="auto"/>
            </w:pPr>
            <w:r>
              <w:rPr>
                <w:rFonts w:ascii="Inter" w:hAnsi="Inter" w:cs="Inter" w:eastAsia="Inter"/>
                <w:b w:val="0"/>
                <w:i w:val="0"/>
                <w:color w:val="1A1A1A"/>
                <w:sz w:val="18"/>
              </w:rPr>
            </w:r>
          </w:p>
          <w:p>
            <w:pPr>
              <w:spacing w:before="0" w:after="40" w:line="259" w:lineRule="auto"/>
            </w:pPr>
            <w:r>
              <w:rPr>
                <w:rFonts w:ascii="Inter" w:hAnsi="Inter" w:cs="Inter" w:eastAsia="Inter"/>
                <w:b w:val="0"/>
                <w:i w:val="0"/>
                <w:color w:val="666666"/>
                <w:sz w:val="15"/>
              </w:rPr>
              <w:t>1 to 5</w:t>
            </w:r>
          </w:p>
        </w:tc>
        <w:tc>
          <w:tcPr>
            <w:tcW w:type="dxa" w:w="3742"/>
            <w:tcMar>
              <w:top w:w="70" w:type="dxa"/>
              <w:bottom w:w="70" w:type="dxa"/>
              <w:left w:w="90" w:type="dxa"/>
              <w:right w:w="90" w:type="dxa"/>
            </w:tcMar>
            <w:vAlign w:val="top"/>
          </w:tcPr>
          <w:p>
            <w:pPr>
              <w:spacing w:before="0" w:after="40" w:line="259" w:lineRule="auto"/>
            </w:pPr>
            <w:r>
              <w:rPr>
                <w:rFonts w:ascii="Inter" w:hAnsi="Inter" w:cs="Inter" w:eastAsia="Inter"/>
                <w:b w:val="0"/>
                <w:i w:val="0"/>
                <w:color w:val="1A1A1A"/>
                <w:sz w:val="17"/>
              </w:rPr>
              <w:t>Use the EEF Teaching and Learning Toolkit and 'Identifying and supporting the needs of children with SEND in mainstream settings'. Where the evidence is genuinely limited, record that you sought expert advice instead - the guidance asks for this explicitly.</w:t>
            </w:r>
          </w:p>
        </w:tc>
        <w:tc>
          <w:tcPr>
            <w:tcW w:type="dxa" w:w="2948"/>
            <w:tcMar>
              <w:top w:w="70" w:type="dxa"/>
              <w:bottom w:w="70" w:type="dxa"/>
              <w:left w:w="90" w:type="dxa"/>
              <w:right w:w="90" w:type="dxa"/>
            </w:tcMar>
            <w:vAlign w:val="top"/>
          </w:tcPr>
          <w:p>
            <w:pPr>
              <w:spacing w:before="0" w:after="60" w:line="259" w:lineRule="auto"/>
            </w:pPr>
            <w:r>
              <w:rPr>
                <w:rFonts w:ascii="Inter" w:hAnsi="Inter" w:cs="Inter" w:eastAsia="Inter"/>
                <w:b w:val="0"/>
                <w:i w:val="0"/>
                <w:color w:val="666666"/>
                <w:sz w:val="15"/>
              </w:rPr>
              <w:t>Owner</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Target date</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Review date</w:t>
            </w:r>
          </w:p>
          <w:p>
            <w:pPr>
              <w:spacing w:before="0" w:after="60" w:line="259" w:lineRule="auto"/>
            </w:pPr>
            <w:r>
              <w:rPr>
                <w:rFonts w:ascii="Inter" w:hAnsi="Inter" w:cs="Inter" w:eastAsia="Inter"/>
                <w:b w:val="0"/>
                <w:i w:val="0"/>
                <w:color w:val="1A1A1A"/>
                <w:sz w:val="18"/>
              </w:rPr>
            </w:r>
          </w:p>
        </w:tc>
      </w:tr>
      <w:tr>
        <w:trPr>
          <w:cantSplit/>
        </w:trPr>
        <w:tc>
          <w:tcPr>
            <w:tcW w:type="dxa" w:w="15478"/>
            <w:gridSpan w:val="5"/>
            <w:shd w:val="clear" w:color="auto" w:fill="F1F7F6"/>
            <w:tcMar>
              <w:top w:w="80" w:type="dxa"/>
              <w:bottom w:w="80" w:type="dxa"/>
              <w:left w:w="90" w:type="dxa"/>
              <w:right w:w="90" w:type="dxa"/>
            </w:tcMar>
            <w:vAlign w:val="top"/>
          </w:tcPr>
          <w:p>
            <w:pPr>
              <w:spacing w:before="0" w:after="40" w:line="259" w:lineRule="auto"/>
              <w:keepNext/>
            </w:pPr>
            <w:r>
              <w:rPr>
                <w:rFonts w:ascii="Inter" w:hAnsi="Inter" w:cs="Inter" w:eastAsia="Inter"/>
                <w:b/>
                <w:i w:val="0"/>
                <w:color w:val="128770"/>
                <w:sz w:val="19"/>
              </w:rPr>
              <w:t xml:space="preserve">P2.5   </w:t>
            </w:r>
            <w:r>
              <w:rPr>
                <w:rFonts w:ascii="Inter" w:hAnsi="Inter" w:cs="Inter" w:eastAsia="Inter"/>
                <w:b/>
                <w:i w:val="0"/>
                <w:color w:val="1A1A1A"/>
                <w:sz w:val="19"/>
              </w:rPr>
              <w:t>Curriculum adaptation is planned to create the maximum possible opportunity for inclusion with mainstream peers.</w:t>
            </w:r>
          </w:p>
          <w:p>
            <w:pPr>
              <w:spacing w:before="0" w:after="40" w:line="259" w:lineRule="auto"/>
              <w:keepNext/>
            </w:pPr>
            <w:r>
              <w:rPr>
                <w:rFonts w:ascii="Inter" w:hAnsi="Inter" w:cs="Inter" w:eastAsia="Inter"/>
                <w:b w:val="0"/>
                <w:i/>
                <w:color w:val="666666"/>
                <w:sz w:val="15"/>
              </w:rPr>
              <w:t>Base  ·  Guidance: “Where curriculum adaptation is required, this should be planned to create as many opportunities as possible for inclusion with mainstream peers.”</w:t>
            </w:r>
          </w:p>
        </w:tc>
      </w:tr>
      <w:tr>
        <w:trPr>
          <w:trHeight w:val="1701" w:hRule="atLeast"/>
          <w:cantSplit/>
        </w:trPr>
        <w:tc>
          <w:tcPr>
            <w:tcW w:type="dxa" w:w="4082"/>
            <w:tcMar>
              <w:top w:w="70" w:type="dxa"/>
              <w:bottom w:w="70" w:type="dxa"/>
              <w:left w:w="90" w:type="dxa"/>
              <w:right w:w="90" w:type="dxa"/>
            </w:tcMar>
            <w:vAlign w:val="top"/>
          </w:tcPr>
          <w:p>
            <w:pPr>
              <w:spacing w:before="0" w:after="80" w:line="259" w:lineRule="auto"/>
            </w:pPr>
            <w:r>
              <w:rPr>
                <w:rFonts w:ascii="Inter" w:hAnsi="Inter" w:cs="Inter" w:eastAsia="Inter"/>
                <w:b/>
                <w:i w:val="0"/>
                <w:color w:val="128770"/>
                <w:sz w:val="17"/>
              </w:rPr>
              <w:t xml:space="preserve">1  </w:t>
            </w:r>
            <w:r>
              <w:rPr>
                <w:rFonts w:ascii="Inter" w:hAnsi="Inter" w:cs="Inter" w:eastAsia="Inter"/>
                <w:b w:val="0"/>
                <w:i w:val="0"/>
                <w:color w:val="1A1A1A"/>
                <w:sz w:val="17"/>
              </w:rPr>
              <w:t>Adaptation is designed around base delivery only.</w:t>
            </w:r>
          </w:p>
          <w:p>
            <w:pPr>
              <w:spacing w:before="0" w:after="80" w:line="259" w:lineRule="auto"/>
            </w:pPr>
            <w:r>
              <w:rPr>
                <w:rFonts w:ascii="Inter" w:hAnsi="Inter" w:cs="Inter" w:eastAsia="Inter"/>
                <w:b/>
                <w:i w:val="0"/>
                <w:color w:val="128770"/>
                <w:sz w:val="17"/>
              </w:rPr>
              <w:t xml:space="preserve">3  </w:t>
            </w:r>
            <w:r>
              <w:rPr>
                <w:rFonts w:ascii="Inter" w:hAnsi="Inter" w:cs="Inter" w:eastAsia="Inter"/>
                <w:b w:val="0"/>
                <w:i w:val="0"/>
                <w:color w:val="1A1A1A"/>
                <w:sz w:val="17"/>
              </w:rPr>
              <w:t>Inclusion opportunities are considered after the adaptation is designed.</w:t>
            </w:r>
          </w:p>
          <w:p>
            <w:pPr>
              <w:spacing w:before="0" w:after="80" w:line="259" w:lineRule="auto"/>
            </w:pPr>
            <w:r>
              <w:rPr>
                <w:rFonts w:ascii="Inter" w:hAnsi="Inter" w:cs="Inter" w:eastAsia="Inter"/>
                <w:b/>
                <w:i w:val="0"/>
                <w:color w:val="128770"/>
                <w:sz w:val="17"/>
              </w:rPr>
              <w:t xml:space="preserve">5  </w:t>
            </w:r>
            <w:r>
              <w:rPr>
                <w:rFonts w:ascii="Inter" w:hAnsi="Inter" w:cs="Inter" w:eastAsia="Inter"/>
                <w:b w:val="0"/>
                <w:i w:val="0"/>
                <w:color w:val="1A1A1A"/>
                <w:sz w:val="17"/>
              </w:rPr>
              <w:t>Inclusion opportunity is a design input, and each adaptation names where the learner joins peers.</w:t>
            </w:r>
          </w:p>
        </w:tc>
        <w:tc>
          <w:tcPr>
            <w:tcW w:type="dxa" w:w="3742"/>
            <w:tcMar>
              <w:top w:w="70" w:type="dxa"/>
              <w:bottom w:w="70" w:type="dxa"/>
              <w:left w:w="90" w:type="dxa"/>
              <w:right w:w="90" w:type="dxa"/>
            </w:tcMar>
            <w:vAlign w:val="top"/>
          </w:tcPr>
          <w:p>
            <w:pPr>
              <w:spacing w:before="0" w:after="80" w:line="259" w:lineRule="auto"/>
            </w:pPr>
            <w:r>
              <w:rPr>
                <w:rFonts w:ascii="Inter" w:hAnsi="Inter" w:cs="Inter" w:eastAsia="Inter"/>
                <w:b w:val="0"/>
                <w:i/>
                <w:color w:val="666666"/>
                <w:sz w:val="16"/>
              </w:rPr>
              <w:t>For one adapted scheme of work, where does it deliberately create shared ground with mainstream peers?</w:t>
            </w:r>
          </w:p>
          <w:p>
            <w:pPr>
              <w:spacing w:before="0" w:after="80" w:line="259" w:lineRule="auto"/>
            </w:pPr>
            <w:r>
              <w:rPr>
                <w:rFonts w:ascii="Inter" w:hAnsi="Inter" w:cs="Inter" w:eastAsia="Inter"/>
                <w:b w:val="0"/>
                <w:i w:val="0"/>
                <w:color w:val="1A1A1A"/>
                <w:sz w:val="18"/>
              </w:rPr>
            </w:r>
          </w:p>
        </w:tc>
        <w:tc>
          <w:tcPr>
            <w:tcW w:type="dxa" w:w="964"/>
            <w:tcMar>
              <w:top w:w="70" w:type="dxa"/>
              <w:bottom w:w="70" w:type="dxa"/>
              <w:left w:w="90" w:type="dxa"/>
              <w:right w:w="90" w:type="dxa"/>
            </w:tcMar>
            <w:shd w:val="clear" w:color="auto" w:fill="FEF6D9"/>
            <w:vAlign w:val="center"/>
          </w:tcPr>
          <w:p>
            <w:pPr>
              <w:spacing w:before="0" w:after="40" w:line="259" w:lineRule="auto"/>
            </w:pPr>
            <w:r>
              <w:rPr>
                <w:rFonts w:ascii="Inter" w:hAnsi="Inter" w:cs="Inter" w:eastAsia="Inter"/>
                <w:b w:val="0"/>
                <w:i w:val="0"/>
                <w:color w:val="1A1A1A"/>
                <w:sz w:val="18"/>
              </w:rPr>
            </w:r>
          </w:p>
          <w:p>
            <w:pPr>
              <w:spacing w:before="0" w:after="40" w:line="259" w:lineRule="auto"/>
            </w:pPr>
            <w:r>
              <w:rPr>
                <w:rFonts w:ascii="Inter" w:hAnsi="Inter" w:cs="Inter" w:eastAsia="Inter"/>
                <w:b w:val="0"/>
                <w:i w:val="0"/>
                <w:color w:val="666666"/>
                <w:sz w:val="15"/>
              </w:rPr>
              <w:t>1 to 5</w:t>
            </w:r>
          </w:p>
        </w:tc>
        <w:tc>
          <w:tcPr>
            <w:tcW w:type="dxa" w:w="3742"/>
            <w:tcMar>
              <w:top w:w="70" w:type="dxa"/>
              <w:bottom w:w="70" w:type="dxa"/>
              <w:left w:w="90" w:type="dxa"/>
              <w:right w:w="90" w:type="dxa"/>
            </w:tcMar>
            <w:vAlign w:val="top"/>
          </w:tcPr>
          <w:p>
            <w:pPr>
              <w:spacing w:before="0" w:after="40" w:line="259" w:lineRule="auto"/>
            </w:pPr>
            <w:r>
              <w:rPr>
                <w:rFonts w:ascii="Inter" w:hAnsi="Inter" w:cs="Inter" w:eastAsia="Inter"/>
                <w:b w:val="0"/>
                <w:i w:val="0"/>
                <w:color w:val="1A1A1A"/>
                <w:sz w:val="17"/>
              </w:rPr>
              <w:t>Reverse the usual order: design the shared moments first, then adapt around them.</w:t>
            </w:r>
          </w:p>
        </w:tc>
        <w:tc>
          <w:tcPr>
            <w:tcW w:type="dxa" w:w="2948"/>
            <w:tcMar>
              <w:top w:w="70" w:type="dxa"/>
              <w:bottom w:w="70" w:type="dxa"/>
              <w:left w:w="90" w:type="dxa"/>
              <w:right w:w="90" w:type="dxa"/>
            </w:tcMar>
            <w:vAlign w:val="top"/>
          </w:tcPr>
          <w:p>
            <w:pPr>
              <w:spacing w:before="0" w:after="60" w:line="259" w:lineRule="auto"/>
            </w:pPr>
            <w:r>
              <w:rPr>
                <w:rFonts w:ascii="Inter" w:hAnsi="Inter" w:cs="Inter" w:eastAsia="Inter"/>
                <w:b w:val="0"/>
                <w:i w:val="0"/>
                <w:color w:val="666666"/>
                <w:sz w:val="15"/>
              </w:rPr>
              <w:t>Owner</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Target date</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Review date</w:t>
            </w:r>
          </w:p>
          <w:p>
            <w:pPr>
              <w:spacing w:before="0" w:after="60" w:line="259" w:lineRule="auto"/>
            </w:pPr>
            <w:r>
              <w:rPr>
                <w:rFonts w:ascii="Inter" w:hAnsi="Inter" w:cs="Inter" w:eastAsia="Inter"/>
                <w:b w:val="0"/>
                <w:i w:val="0"/>
                <w:color w:val="1A1A1A"/>
                <w:sz w:val="18"/>
              </w:rPr>
            </w:r>
          </w:p>
        </w:tc>
      </w:tr>
      <w:tr>
        <w:trPr>
          <w:cantSplit/>
        </w:trPr>
        <w:tc>
          <w:tcPr>
            <w:tcW w:type="dxa" w:w="15478"/>
            <w:gridSpan w:val="5"/>
            <w:shd w:val="clear" w:color="auto" w:fill="F1F7F6"/>
            <w:tcMar>
              <w:top w:w="80" w:type="dxa"/>
              <w:bottom w:w="80" w:type="dxa"/>
              <w:left w:w="90" w:type="dxa"/>
              <w:right w:w="90" w:type="dxa"/>
            </w:tcMar>
            <w:vAlign w:val="top"/>
          </w:tcPr>
          <w:p>
            <w:pPr>
              <w:spacing w:before="0" w:after="40" w:line="259" w:lineRule="auto"/>
              <w:keepNext/>
            </w:pPr>
            <w:r>
              <w:rPr>
                <w:rFonts w:ascii="Inter" w:hAnsi="Inter" w:cs="Inter" w:eastAsia="Inter"/>
                <w:b/>
                <w:i w:val="0"/>
                <w:color w:val="128770"/>
                <w:sz w:val="19"/>
              </w:rPr>
              <w:t xml:space="preserve">P2.6   </w:t>
            </w:r>
            <w:r>
              <w:rPr>
                <w:rFonts w:ascii="Inter" w:hAnsi="Inter" w:cs="Inter" w:eastAsia="Inter"/>
                <w:b/>
                <w:i w:val="0"/>
                <w:color w:val="1A1A1A"/>
                <w:sz w:val="19"/>
              </w:rPr>
              <w:t>Where a learner has an EHC plan, the base curriculum is informed by their targets and outcomes and is designed to progress them.</w:t>
            </w:r>
          </w:p>
          <w:p>
            <w:pPr>
              <w:spacing w:before="0" w:after="40" w:line="259" w:lineRule="auto"/>
              <w:keepNext/>
            </w:pPr>
            <w:r>
              <w:rPr>
                <w:rFonts w:ascii="Inter" w:hAnsi="Inter" w:cs="Inter" w:eastAsia="Inter"/>
                <w:b w:val="0"/>
                <w:i/>
                <w:color w:val="666666"/>
                <w:sz w:val="15"/>
              </w:rPr>
              <w:t>Individual children and young people  ·  Guidance: “Where the child or young person has an Education, Health and Care (EHC) plan, the curriculum in the base should be informed by their targets and outcomes, and designed to support progress towards them.”</w:t>
            </w:r>
          </w:p>
        </w:tc>
      </w:tr>
      <w:tr>
        <w:trPr>
          <w:trHeight w:val="1701" w:hRule="atLeast"/>
          <w:cantSplit/>
        </w:trPr>
        <w:tc>
          <w:tcPr>
            <w:tcW w:type="dxa" w:w="4082"/>
            <w:tcMar>
              <w:top w:w="70" w:type="dxa"/>
              <w:bottom w:w="70" w:type="dxa"/>
              <w:left w:w="90" w:type="dxa"/>
              <w:right w:w="90" w:type="dxa"/>
            </w:tcMar>
            <w:vAlign w:val="top"/>
          </w:tcPr>
          <w:p>
            <w:pPr>
              <w:spacing w:before="0" w:after="80" w:line="259" w:lineRule="auto"/>
            </w:pPr>
            <w:r>
              <w:rPr>
                <w:rFonts w:ascii="Inter" w:hAnsi="Inter" w:cs="Inter" w:eastAsia="Inter"/>
                <w:b/>
                <w:i w:val="0"/>
                <w:color w:val="128770"/>
                <w:sz w:val="17"/>
              </w:rPr>
              <w:t xml:space="preserve">1  </w:t>
            </w:r>
            <w:r>
              <w:rPr>
                <w:rFonts w:ascii="Inter" w:hAnsi="Inter" w:cs="Inter" w:eastAsia="Inter"/>
                <w:b w:val="0"/>
                <w:i w:val="0"/>
                <w:color w:val="1A1A1A"/>
                <w:sz w:val="17"/>
              </w:rPr>
              <w:t>The EHC plan and the taught curriculum are separate documents.</w:t>
            </w:r>
          </w:p>
          <w:p>
            <w:pPr>
              <w:spacing w:before="0" w:after="80" w:line="259" w:lineRule="auto"/>
            </w:pPr>
            <w:r>
              <w:rPr>
                <w:rFonts w:ascii="Inter" w:hAnsi="Inter" w:cs="Inter" w:eastAsia="Inter"/>
                <w:b/>
                <w:i w:val="0"/>
                <w:color w:val="128770"/>
                <w:sz w:val="17"/>
              </w:rPr>
              <w:t xml:space="preserve">3  </w:t>
            </w:r>
            <w:r>
              <w:rPr>
                <w:rFonts w:ascii="Inter" w:hAnsi="Inter" w:cs="Inter" w:eastAsia="Inter"/>
                <w:b w:val="0"/>
                <w:i w:val="0"/>
                <w:color w:val="1A1A1A"/>
                <w:sz w:val="17"/>
              </w:rPr>
              <w:t>Plan outcomes are referenced at review points but do not shape weekly teaching.</w:t>
            </w:r>
          </w:p>
          <w:p>
            <w:pPr>
              <w:spacing w:before="0" w:after="80" w:line="259" w:lineRule="auto"/>
            </w:pPr>
            <w:r>
              <w:rPr>
                <w:rFonts w:ascii="Inter" w:hAnsi="Inter" w:cs="Inter" w:eastAsia="Inter"/>
                <w:b/>
                <w:i w:val="0"/>
                <w:color w:val="128770"/>
                <w:sz w:val="17"/>
              </w:rPr>
              <w:t xml:space="preserve">5  </w:t>
            </w:r>
            <w:r>
              <w:rPr>
                <w:rFonts w:ascii="Inter" w:hAnsi="Inter" w:cs="Inter" w:eastAsia="Inter"/>
                <w:b w:val="0"/>
                <w:i w:val="0"/>
                <w:color w:val="1A1A1A"/>
                <w:sz w:val="17"/>
              </w:rPr>
              <w:t>Plan outcomes are visible in planning and you can trace a lesson back to an outcome.</w:t>
            </w:r>
          </w:p>
        </w:tc>
        <w:tc>
          <w:tcPr>
            <w:tcW w:type="dxa" w:w="3742"/>
            <w:tcMar>
              <w:top w:w="70" w:type="dxa"/>
              <w:bottom w:w="70" w:type="dxa"/>
              <w:left w:w="90" w:type="dxa"/>
              <w:right w:w="90" w:type="dxa"/>
            </w:tcMar>
            <w:vAlign w:val="top"/>
          </w:tcPr>
          <w:p>
            <w:pPr>
              <w:spacing w:before="0" w:after="80" w:line="259" w:lineRule="auto"/>
            </w:pPr>
            <w:r>
              <w:rPr>
                <w:rFonts w:ascii="Inter" w:hAnsi="Inter" w:cs="Inter" w:eastAsia="Inter"/>
                <w:b w:val="0"/>
                <w:i/>
                <w:color w:val="666666"/>
                <w:sz w:val="16"/>
              </w:rPr>
              <w:t>Pick one learner. Show the line from an EHC plan outcome to something taught this week.</w:t>
            </w:r>
          </w:p>
          <w:p>
            <w:pPr>
              <w:spacing w:before="0" w:after="80" w:line="259" w:lineRule="auto"/>
            </w:pPr>
            <w:r>
              <w:rPr>
                <w:rFonts w:ascii="Inter" w:hAnsi="Inter" w:cs="Inter" w:eastAsia="Inter"/>
                <w:b w:val="0"/>
                <w:i w:val="0"/>
                <w:color w:val="1A1A1A"/>
                <w:sz w:val="18"/>
              </w:rPr>
            </w:r>
          </w:p>
        </w:tc>
        <w:tc>
          <w:tcPr>
            <w:tcW w:type="dxa" w:w="964"/>
            <w:tcMar>
              <w:top w:w="70" w:type="dxa"/>
              <w:bottom w:w="70" w:type="dxa"/>
              <w:left w:w="90" w:type="dxa"/>
              <w:right w:w="90" w:type="dxa"/>
            </w:tcMar>
            <w:shd w:val="clear" w:color="auto" w:fill="FEF6D9"/>
            <w:vAlign w:val="center"/>
          </w:tcPr>
          <w:p>
            <w:pPr>
              <w:spacing w:before="0" w:after="40" w:line="259" w:lineRule="auto"/>
            </w:pPr>
            <w:r>
              <w:rPr>
                <w:rFonts w:ascii="Inter" w:hAnsi="Inter" w:cs="Inter" w:eastAsia="Inter"/>
                <w:b w:val="0"/>
                <w:i w:val="0"/>
                <w:color w:val="1A1A1A"/>
                <w:sz w:val="18"/>
              </w:rPr>
            </w:r>
          </w:p>
          <w:p>
            <w:pPr>
              <w:spacing w:before="0" w:after="40" w:line="259" w:lineRule="auto"/>
            </w:pPr>
            <w:r>
              <w:rPr>
                <w:rFonts w:ascii="Inter" w:hAnsi="Inter" w:cs="Inter" w:eastAsia="Inter"/>
                <w:b w:val="0"/>
                <w:i w:val="0"/>
                <w:color w:val="666666"/>
                <w:sz w:val="15"/>
              </w:rPr>
              <w:t>1 to 5</w:t>
            </w:r>
          </w:p>
        </w:tc>
        <w:tc>
          <w:tcPr>
            <w:tcW w:type="dxa" w:w="3742"/>
            <w:tcMar>
              <w:top w:w="70" w:type="dxa"/>
              <w:bottom w:w="70" w:type="dxa"/>
              <w:left w:w="90" w:type="dxa"/>
              <w:right w:w="90" w:type="dxa"/>
            </w:tcMar>
            <w:vAlign w:val="top"/>
          </w:tcPr>
          <w:p>
            <w:pPr>
              <w:spacing w:before="0" w:after="40" w:line="259" w:lineRule="auto"/>
            </w:pPr>
            <w:r>
              <w:rPr>
                <w:rFonts w:ascii="Inter" w:hAnsi="Inter" w:cs="Inter" w:eastAsia="Inter"/>
                <w:b w:val="0"/>
                <w:i w:val="0"/>
                <w:color w:val="1A1A1A"/>
                <w:sz w:val="17"/>
              </w:rPr>
              <w:t>If this link is weak, the fastest fix is to have base planning reference outcome codes directly rather than restating them in prose.</w:t>
            </w:r>
          </w:p>
        </w:tc>
        <w:tc>
          <w:tcPr>
            <w:tcW w:type="dxa" w:w="2948"/>
            <w:tcMar>
              <w:top w:w="70" w:type="dxa"/>
              <w:bottom w:w="70" w:type="dxa"/>
              <w:left w:w="90" w:type="dxa"/>
              <w:right w:w="90" w:type="dxa"/>
            </w:tcMar>
            <w:vAlign w:val="top"/>
          </w:tcPr>
          <w:p>
            <w:pPr>
              <w:spacing w:before="0" w:after="60" w:line="259" w:lineRule="auto"/>
            </w:pPr>
            <w:r>
              <w:rPr>
                <w:rFonts w:ascii="Inter" w:hAnsi="Inter" w:cs="Inter" w:eastAsia="Inter"/>
                <w:b w:val="0"/>
                <w:i w:val="0"/>
                <w:color w:val="666666"/>
                <w:sz w:val="15"/>
              </w:rPr>
              <w:t>Owner</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Target date</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Review date</w:t>
            </w:r>
          </w:p>
          <w:p>
            <w:pPr>
              <w:spacing w:before="0" w:after="60" w:line="259" w:lineRule="auto"/>
            </w:pPr>
            <w:r>
              <w:rPr>
                <w:rFonts w:ascii="Inter" w:hAnsi="Inter" w:cs="Inter" w:eastAsia="Inter"/>
                <w:b w:val="0"/>
                <w:i w:val="0"/>
                <w:color w:val="1A1A1A"/>
                <w:sz w:val="18"/>
              </w:rPr>
            </w:r>
          </w:p>
        </w:tc>
      </w:tr>
      <w:tr>
        <w:trPr>
          <w:cantSplit/>
        </w:trPr>
        <w:tc>
          <w:tcPr>
            <w:tcW w:type="dxa" w:w="15478"/>
            <w:gridSpan w:val="5"/>
            <w:shd w:val="clear" w:color="auto" w:fill="F1F7F6"/>
            <w:tcMar>
              <w:top w:w="80" w:type="dxa"/>
              <w:bottom w:w="80" w:type="dxa"/>
              <w:left w:w="90" w:type="dxa"/>
              <w:right w:w="90" w:type="dxa"/>
            </w:tcMar>
            <w:vAlign w:val="top"/>
          </w:tcPr>
          <w:p>
            <w:pPr>
              <w:spacing w:before="0" w:after="40" w:line="259" w:lineRule="auto"/>
              <w:keepNext/>
            </w:pPr>
            <w:r>
              <w:rPr>
                <w:rFonts w:ascii="Inter" w:hAnsi="Inter" w:cs="Inter" w:eastAsia="Inter"/>
                <w:b/>
                <w:i w:val="0"/>
                <w:color w:val="128770"/>
                <w:sz w:val="19"/>
              </w:rPr>
              <w:t xml:space="preserve">P2.7   </w:t>
            </w:r>
            <w:r>
              <w:rPr>
                <w:rFonts w:ascii="Inter" w:hAnsi="Inter" w:cs="Inter" w:eastAsia="Inter"/>
                <w:b/>
                <w:i w:val="0"/>
                <w:color w:val="1A1A1A"/>
                <w:sz w:val="19"/>
              </w:rPr>
              <w:t>The curriculum builds wellbeing, confidence, independence, belonging and broader life skills, with preparation for adulthood embedded from the earliest stages.</w:t>
            </w:r>
          </w:p>
          <w:p>
            <w:pPr>
              <w:spacing w:before="0" w:after="40" w:line="259" w:lineRule="auto"/>
              <w:keepNext/>
            </w:pPr>
            <w:r>
              <w:rPr>
                <w:rFonts w:ascii="Inter" w:hAnsi="Inter" w:cs="Inter" w:eastAsia="Inter"/>
                <w:b w:val="0"/>
                <w:i/>
                <w:color w:val="666666"/>
                <w:sz w:val="15"/>
              </w:rPr>
              <w:t>Base  ·  Guidance: “Preparation for adulthood should be embedded from the earliest stages of children and young people's education.”</w:t>
            </w:r>
          </w:p>
        </w:tc>
      </w:tr>
      <w:tr>
        <w:trPr>
          <w:trHeight w:val="1701" w:hRule="atLeast"/>
          <w:cantSplit/>
        </w:trPr>
        <w:tc>
          <w:tcPr>
            <w:tcW w:type="dxa" w:w="4082"/>
            <w:tcMar>
              <w:top w:w="70" w:type="dxa"/>
              <w:bottom w:w="70" w:type="dxa"/>
              <w:left w:w="90" w:type="dxa"/>
              <w:right w:w="90" w:type="dxa"/>
            </w:tcMar>
            <w:vAlign w:val="top"/>
          </w:tcPr>
          <w:p>
            <w:pPr>
              <w:spacing w:before="0" w:after="80" w:line="259" w:lineRule="auto"/>
            </w:pPr>
            <w:r>
              <w:rPr>
                <w:rFonts w:ascii="Inter" w:hAnsi="Inter" w:cs="Inter" w:eastAsia="Inter"/>
                <w:b/>
                <w:i w:val="0"/>
                <w:color w:val="128770"/>
                <w:sz w:val="17"/>
              </w:rPr>
              <w:t xml:space="preserve">1  </w:t>
            </w:r>
            <w:r>
              <w:rPr>
                <w:rFonts w:ascii="Inter" w:hAnsi="Inter" w:cs="Inter" w:eastAsia="Inter"/>
                <w:b w:val="0"/>
                <w:i w:val="0"/>
                <w:color w:val="1A1A1A"/>
                <w:sz w:val="17"/>
              </w:rPr>
              <w:t>Preparation for adulthood begins in key stage 4 or not at all.</w:t>
            </w:r>
          </w:p>
          <w:p>
            <w:pPr>
              <w:spacing w:before="0" w:after="80" w:line="259" w:lineRule="auto"/>
            </w:pPr>
            <w:r>
              <w:rPr>
                <w:rFonts w:ascii="Inter" w:hAnsi="Inter" w:cs="Inter" w:eastAsia="Inter"/>
                <w:b/>
                <w:i w:val="0"/>
                <w:color w:val="128770"/>
                <w:sz w:val="17"/>
              </w:rPr>
              <w:t xml:space="preserve">3  </w:t>
            </w:r>
            <w:r>
              <w:rPr>
                <w:rFonts w:ascii="Inter" w:hAnsi="Inter" w:cs="Inter" w:eastAsia="Inter"/>
                <w:b w:val="0"/>
                <w:i w:val="0"/>
                <w:color w:val="1A1A1A"/>
                <w:sz w:val="17"/>
              </w:rPr>
              <w:t>Life skills are taught but are not sequenced or tracked.</w:t>
            </w:r>
          </w:p>
          <w:p>
            <w:pPr>
              <w:spacing w:before="0" w:after="80" w:line="259" w:lineRule="auto"/>
            </w:pPr>
            <w:r>
              <w:rPr>
                <w:rFonts w:ascii="Inter" w:hAnsi="Inter" w:cs="Inter" w:eastAsia="Inter"/>
                <w:b/>
                <w:i w:val="0"/>
                <w:color w:val="128770"/>
                <w:sz w:val="17"/>
              </w:rPr>
              <w:t xml:space="preserve">5  </w:t>
            </w:r>
            <w:r>
              <w:rPr>
                <w:rFonts w:ascii="Inter" w:hAnsi="Inter" w:cs="Inter" w:eastAsia="Inter"/>
                <w:b w:val="0"/>
                <w:i w:val="0"/>
                <w:color w:val="1A1A1A"/>
                <w:sz w:val="17"/>
              </w:rPr>
              <w:t>Preparation for adulthood is sequenced from the earliest stage and progress in it is tracked like any other outcome.</w:t>
            </w:r>
          </w:p>
        </w:tc>
        <w:tc>
          <w:tcPr>
            <w:tcW w:type="dxa" w:w="3742"/>
            <w:tcMar>
              <w:top w:w="70" w:type="dxa"/>
              <w:bottom w:w="70" w:type="dxa"/>
              <w:left w:w="90" w:type="dxa"/>
              <w:right w:w="90" w:type="dxa"/>
            </w:tcMar>
            <w:vAlign w:val="top"/>
          </w:tcPr>
          <w:p>
            <w:pPr>
              <w:spacing w:before="0" w:after="80" w:line="259" w:lineRule="auto"/>
            </w:pPr>
            <w:r>
              <w:rPr>
                <w:rFonts w:ascii="Inter" w:hAnsi="Inter" w:cs="Inter" w:eastAsia="Inter"/>
                <w:b w:val="0"/>
                <w:i/>
                <w:color w:val="666666"/>
                <w:sz w:val="16"/>
              </w:rPr>
              <w:t>What does preparation for adulthood look like for your youngest cohort?</w:t>
            </w:r>
          </w:p>
          <w:p>
            <w:pPr>
              <w:spacing w:before="0" w:after="80" w:line="259" w:lineRule="auto"/>
            </w:pPr>
            <w:r>
              <w:rPr>
                <w:rFonts w:ascii="Inter" w:hAnsi="Inter" w:cs="Inter" w:eastAsia="Inter"/>
                <w:b w:val="0"/>
                <w:i w:val="0"/>
                <w:color w:val="1A1A1A"/>
                <w:sz w:val="18"/>
              </w:rPr>
            </w:r>
          </w:p>
        </w:tc>
        <w:tc>
          <w:tcPr>
            <w:tcW w:type="dxa" w:w="964"/>
            <w:tcMar>
              <w:top w:w="70" w:type="dxa"/>
              <w:bottom w:w="70" w:type="dxa"/>
              <w:left w:w="90" w:type="dxa"/>
              <w:right w:w="90" w:type="dxa"/>
            </w:tcMar>
            <w:shd w:val="clear" w:color="auto" w:fill="FEF6D9"/>
            <w:vAlign w:val="center"/>
          </w:tcPr>
          <w:p>
            <w:pPr>
              <w:spacing w:before="0" w:after="40" w:line="259" w:lineRule="auto"/>
            </w:pPr>
            <w:r>
              <w:rPr>
                <w:rFonts w:ascii="Inter" w:hAnsi="Inter" w:cs="Inter" w:eastAsia="Inter"/>
                <w:b w:val="0"/>
                <w:i w:val="0"/>
                <w:color w:val="1A1A1A"/>
                <w:sz w:val="18"/>
              </w:rPr>
            </w:r>
          </w:p>
          <w:p>
            <w:pPr>
              <w:spacing w:before="0" w:after="40" w:line="259" w:lineRule="auto"/>
            </w:pPr>
            <w:r>
              <w:rPr>
                <w:rFonts w:ascii="Inter" w:hAnsi="Inter" w:cs="Inter" w:eastAsia="Inter"/>
                <w:b w:val="0"/>
                <w:i w:val="0"/>
                <w:color w:val="666666"/>
                <w:sz w:val="15"/>
              </w:rPr>
              <w:t>1 to 5</w:t>
            </w:r>
          </w:p>
        </w:tc>
        <w:tc>
          <w:tcPr>
            <w:tcW w:type="dxa" w:w="3742"/>
            <w:tcMar>
              <w:top w:w="70" w:type="dxa"/>
              <w:bottom w:w="70" w:type="dxa"/>
              <w:left w:w="90" w:type="dxa"/>
              <w:right w:w="90" w:type="dxa"/>
            </w:tcMar>
            <w:vAlign w:val="top"/>
          </w:tcPr>
          <w:p>
            <w:pPr>
              <w:spacing w:before="0" w:after="40" w:line="259" w:lineRule="auto"/>
            </w:pPr>
            <w:r>
              <w:rPr>
                <w:rFonts w:ascii="Inter" w:hAnsi="Inter" w:cs="Inter" w:eastAsia="Inter"/>
                <w:b w:val="0"/>
                <w:i w:val="0"/>
                <w:color w:val="1A1A1A"/>
                <w:sz w:val="17"/>
              </w:rPr>
              <w:t>The guidance is explicit that this starts early. Whole School SEND publishes a 'Preparing for Adulthood from the Earliest Years' review guide that maps to this directly.</w:t>
            </w:r>
          </w:p>
        </w:tc>
        <w:tc>
          <w:tcPr>
            <w:tcW w:type="dxa" w:w="2948"/>
            <w:tcMar>
              <w:top w:w="70" w:type="dxa"/>
              <w:bottom w:w="70" w:type="dxa"/>
              <w:left w:w="90" w:type="dxa"/>
              <w:right w:w="90" w:type="dxa"/>
            </w:tcMar>
            <w:vAlign w:val="top"/>
          </w:tcPr>
          <w:p>
            <w:pPr>
              <w:spacing w:before="0" w:after="60" w:line="259" w:lineRule="auto"/>
            </w:pPr>
            <w:r>
              <w:rPr>
                <w:rFonts w:ascii="Inter" w:hAnsi="Inter" w:cs="Inter" w:eastAsia="Inter"/>
                <w:b w:val="0"/>
                <w:i w:val="0"/>
                <w:color w:val="666666"/>
                <w:sz w:val="15"/>
              </w:rPr>
              <w:t>Owner</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Target date</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Review date</w:t>
            </w:r>
          </w:p>
          <w:p>
            <w:pPr>
              <w:spacing w:before="0" w:after="60" w:line="259" w:lineRule="auto"/>
            </w:pPr>
            <w:r>
              <w:rPr>
                <w:rFonts w:ascii="Inter" w:hAnsi="Inter" w:cs="Inter" w:eastAsia="Inter"/>
                <w:b w:val="0"/>
                <w:i w:val="0"/>
                <w:color w:val="1A1A1A"/>
                <w:sz w:val="18"/>
              </w:rPr>
            </w:r>
          </w:p>
        </w:tc>
      </w:tr>
    </w:tbl>
    <w:p>
      <w:pPr>
        <w:spacing w:after="0" w:before="0" w:line="240" w:lineRule="auto"/>
        <w:pageBreakBefore/>
      </w:pPr>
      <w:r>
        <w:rPr>
          <w:rFonts w:ascii="Inter" w:hAnsi="Inter" w:cs="Inter" w:eastAsia="Inter"/>
          <w:b w:val="0"/>
          <w:i w:val="0"/>
          <w:color w:val="1A1A1A"/>
          <w:sz w:val="2"/>
        </w:rPr>
      </w:r>
    </w:p>
    <w:tbl>
      <w:tblPr>
        <w:tblW w:type="auto" w:w="0"/>
        <w:tblLayout w:type="fixed"/>
        <w:tblLook w:firstColumn="1" w:firstRow="1" w:lastColumn="0" w:lastRow="0" w:noHBand="0" w:noVBand="1" w:val="04A0"/>
      </w:tblPr>
      <w:tblGrid>
        <w:gridCol w:w="15478"/>
      </w:tblGrid>
      <w:tr>
        <w:tc>
          <w:tcPr>
            <w:tcW w:type="dxa" w:w="15477"/>
            <w:shd w:val="clear" w:color="auto" w:fill="128770"/>
            <w:tcMar>
              <w:top w:w="130" w:type="dxa"/>
              <w:bottom w:w="130" w:type="dxa"/>
              <w:left w:w="160" w:type="dxa"/>
              <w:right w:w="160" w:type="dxa"/>
            </w:tcMar>
            <w:vAlign w:val="top"/>
          </w:tcPr>
          <w:p>
            <w:pPr>
              <w:spacing w:before="0" w:after="40" w:line="259" w:lineRule="auto"/>
            </w:pPr>
            <w:r>
              <w:rPr>
                <w:rFonts w:ascii="Lexend" w:hAnsi="Lexend" w:cs="Lexend" w:eastAsia="Lexend"/>
                <w:b/>
                <w:i w:val="0"/>
                <w:color w:val="FFFFFF"/>
                <w:sz w:val="30"/>
              </w:rPr>
              <w:t xml:space="preserve">P3   </w:t>
            </w:r>
            <w:r>
              <w:rPr>
                <w:rFonts w:ascii="Lexend" w:hAnsi="Lexend" w:cs="Lexend" w:eastAsia="Lexend"/>
                <w:b/>
                <w:i w:val="0"/>
                <w:color w:val="FFFFFF"/>
                <w:sz w:val="30"/>
              </w:rPr>
              <w:t>Effective data, assessment and outcomes</w:t>
            </w:r>
          </w:p>
          <w:p>
            <w:pPr>
              <w:spacing w:before="0" w:after="40" w:line="259" w:lineRule="auto"/>
            </w:pPr>
            <w:r>
              <w:rPr>
                <w:rFonts w:ascii="Inter" w:hAnsi="Inter" w:cs="Inter" w:eastAsia="Inter"/>
                <w:b w:val="0"/>
                <w:i w:val="0"/>
                <w:color w:val="FFFFFF"/>
                <w:sz w:val="17"/>
              </w:rPr>
              <w:t>Guidance pages 21-24  ·  7 criteria  ·  EEF: Recommendation 2: Build an ongoing, holistic understanding of your pupils and their needs</w:t>
            </w:r>
          </w:p>
        </w:tc>
      </w:tr>
    </w:tbl>
    <w:p>
      <w:pPr>
        <w:spacing w:after="80" w:before="0" w:line="276" w:lineRule="auto"/>
      </w:pPr>
    </w:p>
    <w:tbl>
      <w:tblPr>
        <w:tblStyle w:val="TableGrid"/>
        <w:tblW w:type="auto" w:w="0"/>
        <w:tblLayout w:type="fixed"/>
        <w:tblLook w:firstColumn="1" w:firstRow="1" w:lastColumn="0" w:lastRow="0" w:noHBand="0" w:noVBand="1" w:val="04A0"/>
      </w:tblPr>
      <w:tblGrid>
        <w:gridCol w:w="3096"/>
        <w:gridCol w:w="3096"/>
        <w:gridCol w:w="3096"/>
        <w:gridCol w:w="3096"/>
        <w:gridCol w:w="3096"/>
      </w:tblGrid>
      <w:tr>
        <w:trPr>
          <w:tblHeader w:val="true"/>
        </w:trPr>
        <w:tc>
          <w:tcPr>
            <w:tcW w:type="dxa" w:w="4082"/>
            <w:shd w:val="clear" w:color="auto" w:fill="D6E9E5"/>
            <w:tcMar>
              <w:top w:w="70" w:type="dxa"/>
              <w:bottom w:w="70" w:type="dxa"/>
              <w:left w:w="90" w:type="dxa"/>
              <w:right w:w="90" w:type="dxa"/>
            </w:tcMar>
            <w:vAlign w:val="top"/>
          </w:tcPr>
          <w:p>
            <w:pPr>
              <w:spacing w:before="0" w:after="40" w:line="259" w:lineRule="auto"/>
            </w:pPr>
            <w:r>
              <w:rPr>
                <w:rFonts w:ascii="Inter" w:hAnsi="Inter" w:cs="Inter" w:eastAsia="Inter"/>
                <w:b/>
                <w:i w:val="0"/>
                <w:color w:val="128770"/>
                <w:sz w:val="17"/>
              </w:rPr>
              <w:t>What good looks like</w:t>
            </w:r>
          </w:p>
        </w:tc>
        <w:tc>
          <w:tcPr>
            <w:tcW w:type="dxa" w:w="3742"/>
            <w:shd w:val="clear" w:color="auto" w:fill="D6E9E5"/>
            <w:tcMar>
              <w:top w:w="70" w:type="dxa"/>
              <w:bottom w:w="70" w:type="dxa"/>
              <w:left w:w="90" w:type="dxa"/>
              <w:right w:w="90" w:type="dxa"/>
            </w:tcMar>
            <w:vAlign w:val="top"/>
          </w:tcPr>
          <w:p>
            <w:pPr>
              <w:spacing w:before="0" w:after="40" w:line="259" w:lineRule="auto"/>
            </w:pPr>
            <w:r>
              <w:rPr>
                <w:rFonts w:ascii="Inter" w:hAnsi="Inter" w:cs="Inter" w:eastAsia="Inter"/>
                <w:b/>
                <w:i w:val="0"/>
                <w:color w:val="128770"/>
                <w:sz w:val="17"/>
              </w:rPr>
              <w:t>Your evidence  (fill this in FIRST)</w:t>
            </w:r>
          </w:p>
        </w:tc>
        <w:tc>
          <w:tcPr>
            <w:tcW w:type="dxa" w:w="964"/>
            <w:shd w:val="clear" w:color="auto" w:fill="FEF6D9"/>
            <w:tcMar>
              <w:top w:w="70" w:type="dxa"/>
              <w:bottom w:w="70" w:type="dxa"/>
              <w:left w:w="90" w:type="dxa"/>
              <w:right w:w="90" w:type="dxa"/>
            </w:tcMar>
            <w:vAlign w:val="top"/>
          </w:tcPr>
          <w:p>
            <w:pPr>
              <w:spacing w:before="0" w:after="40" w:line="259" w:lineRule="auto"/>
            </w:pPr>
            <w:r>
              <w:rPr>
                <w:rFonts w:ascii="Inter" w:hAnsi="Inter" w:cs="Inter" w:eastAsia="Inter"/>
                <w:b/>
                <w:i w:val="0"/>
                <w:color w:val="128770"/>
                <w:sz w:val="17"/>
              </w:rPr>
              <w:t>Rating</w:t>
            </w:r>
          </w:p>
        </w:tc>
        <w:tc>
          <w:tcPr>
            <w:tcW w:type="dxa" w:w="3742"/>
            <w:shd w:val="clear" w:color="auto" w:fill="D6E9E5"/>
            <w:tcMar>
              <w:top w:w="70" w:type="dxa"/>
              <w:bottom w:w="70" w:type="dxa"/>
              <w:left w:w="90" w:type="dxa"/>
              <w:right w:w="90" w:type="dxa"/>
            </w:tcMar>
            <w:vAlign w:val="top"/>
          </w:tcPr>
          <w:p>
            <w:pPr>
              <w:spacing w:before="0" w:after="40" w:line="259" w:lineRule="auto"/>
            </w:pPr>
            <w:r>
              <w:rPr>
                <w:rFonts w:ascii="Inter" w:hAnsi="Inter" w:cs="Inter" w:eastAsia="Inter"/>
                <w:b/>
                <w:i w:val="0"/>
                <w:color w:val="128770"/>
                <w:sz w:val="17"/>
              </w:rPr>
              <w:t>Suggested next step</w:t>
            </w:r>
          </w:p>
        </w:tc>
        <w:tc>
          <w:tcPr>
            <w:tcW w:type="dxa" w:w="2948"/>
            <w:shd w:val="clear" w:color="auto" w:fill="D6E9E5"/>
            <w:tcMar>
              <w:top w:w="70" w:type="dxa"/>
              <w:bottom w:w="70" w:type="dxa"/>
              <w:left w:w="90" w:type="dxa"/>
              <w:right w:w="90" w:type="dxa"/>
            </w:tcMar>
            <w:vAlign w:val="top"/>
          </w:tcPr>
          <w:p>
            <w:pPr>
              <w:spacing w:before="0" w:after="40" w:line="259" w:lineRule="auto"/>
            </w:pPr>
            <w:r>
              <w:rPr>
                <w:rFonts w:ascii="Inter" w:hAnsi="Inter" w:cs="Inter" w:eastAsia="Inter"/>
                <w:b/>
                <w:i w:val="0"/>
                <w:color w:val="128770"/>
                <w:sz w:val="17"/>
              </w:rPr>
              <w:t>Owner / date / review date</w:t>
            </w:r>
          </w:p>
        </w:tc>
      </w:tr>
      <w:tr>
        <w:trPr>
          <w:cantSplit/>
        </w:trPr>
        <w:tc>
          <w:tcPr>
            <w:tcW w:type="dxa" w:w="15478"/>
            <w:gridSpan w:val="5"/>
            <w:shd w:val="clear" w:color="auto" w:fill="F1F7F6"/>
            <w:tcMar>
              <w:top w:w="80" w:type="dxa"/>
              <w:bottom w:w="80" w:type="dxa"/>
              <w:left w:w="90" w:type="dxa"/>
              <w:right w:w="90" w:type="dxa"/>
            </w:tcMar>
            <w:vAlign w:val="top"/>
          </w:tcPr>
          <w:p>
            <w:pPr>
              <w:spacing w:before="0" w:after="40" w:line="259" w:lineRule="auto"/>
              <w:keepNext/>
            </w:pPr>
            <w:r>
              <w:rPr>
                <w:rFonts w:ascii="Inter" w:hAnsi="Inter" w:cs="Inter" w:eastAsia="Inter"/>
                <w:b/>
                <w:i w:val="0"/>
                <w:color w:val="128770"/>
                <w:sz w:val="19"/>
              </w:rPr>
              <w:t xml:space="preserve">P3.1   </w:t>
            </w:r>
            <w:r>
              <w:rPr>
                <w:rFonts w:ascii="Inter" w:hAnsi="Inter" w:cs="Inter" w:eastAsia="Inter"/>
                <w:b/>
                <w:i w:val="0"/>
                <w:color w:val="1A1A1A"/>
                <w:sz w:val="19"/>
              </w:rPr>
              <w:t>You maintain deliberately ambitious targets for learners in the base, set using appropriate assessment alongside whole-school approaches.</w:t>
            </w:r>
          </w:p>
          <w:p>
            <w:pPr>
              <w:spacing w:before="0" w:after="40" w:line="259" w:lineRule="auto"/>
              <w:keepNext/>
            </w:pPr>
            <w:r>
              <w:rPr>
                <w:rFonts w:ascii="Inter" w:hAnsi="Inter" w:cs="Inter" w:eastAsia="Inter"/>
                <w:b w:val="0"/>
                <w:i/>
                <w:color w:val="666666"/>
                <w:sz w:val="15"/>
              </w:rPr>
              <w:t>Individual children and young people  ·  Guidance: “Schools should maintain high expectations for children and young people accessing the base. Teachers should use appropriate assessments, alongside their whole school approaches, to set targets which are deliberately ambitious.”</w:t>
            </w:r>
          </w:p>
        </w:tc>
      </w:tr>
      <w:tr>
        <w:trPr>
          <w:trHeight w:val="1701" w:hRule="atLeast"/>
          <w:cantSplit/>
        </w:trPr>
        <w:tc>
          <w:tcPr>
            <w:tcW w:type="dxa" w:w="4082"/>
            <w:tcMar>
              <w:top w:w="70" w:type="dxa"/>
              <w:bottom w:w="70" w:type="dxa"/>
              <w:left w:w="90" w:type="dxa"/>
              <w:right w:w="90" w:type="dxa"/>
            </w:tcMar>
            <w:vAlign w:val="top"/>
          </w:tcPr>
          <w:p>
            <w:pPr>
              <w:spacing w:before="0" w:after="80" w:line="259" w:lineRule="auto"/>
            </w:pPr>
            <w:r>
              <w:rPr>
                <w:rFonts w:ascii="Inter" w:hAnsi="Inter" w:cs="Inter" w:eastAsia="Inter"/>
                <w:b/>
                <w:i w:val="0"/>
                <w:color w:val="128770"/>
                <w:sz w:val="17"/>
              </w:rPr>
              <w:t xml:space="preserve">1  </w:t>
            </w:r>
            <w:r>
              <w:rPr>
                <w:rFonts w:ascii="Inter" w:hAnsi="Inter" w:cs="Inter" w:eastAsia="Inter"/>
                <w:b w:val="0"/>
                <w:i w:val="0"/>
                <w:color w:val="1A1A1A"/>
                <w:sz w:val="17"/>
              </w:rPr>
              <w:t>Targets are set low to be achievable.</w:t>
            </w:r>
          </w:p>
          <w:p>
            <w:pPr>
              <w:spacing w:before="0" w:after="80" w:line="259" w:lineRule="auto"/>
            </w:pPr>
            <w:r>
              <w:rPr>
                <w:rFonts w:ascii="Inter" w:hAnsi="Inter" w:cs="Inter" w:eastAsia="Inter"/>
                <w:b/>
                <w:i w:val="0"/>
                <w:color w:val="128770"/>
                <w:sz w:val="17"/>
              </w:rPr>
              <w:t xml:space="preserve">3  </w:t>
            </w:r>
            <w:r>
              <w:rPr>
                <w:rFonts w:ascii="Inter" w:hAnsi="Inter" w:cs="Inter" w:eastAsia="Inter"/>
                <w:b w:val="0"/>
                <w:i w:val="0"/>
                <w:color w:val="1A1A1A"/>
                <w:sz w:val="17"/>
              </w:rPr>
              <w:t>Targets are appropriate but not consciously ambitious.</w:t>
            </w:r>
          </w:p>
          <w:p>
            <w:pPr>
              <w:spacing w:before="0" w:after="80" w:line="259" w:lineRule="auto"/>
            </w:pPr>
            <w:r>
              <w:rPr>
                <w:rFonts w:ascii="Inter" w:hAnsi="Inter" w:cs="Inter" w:eastAsia="Inter"/>
                <w:b/>
                <w:i w:val="0"/>
                <w:color w:val="128770"/>
                <w:sz w:val="17"/>
              </w:rPr>
              <w:t xml:space="preserve">5  </w:t>
            </w:r>
            <w:r>
              <w:rPr>
                <w:rFonts w:ascii="Inter" w:hAnsi="Inter" w:cs="Inter" w:eastAsia="Inter"/>
                <w:b w:val="0"/>
                <w:i w:val="0"/>
                <w:color w:val="1A1A1A"/>
                <w:sz w:val="17"/>
              </w:rPr>
              <w:t>Ambition is explicit, tested against comparable learners, and challenged by someone outside the base.</w:t>
            </w:r>
          </w:p>
        </w:tc>
        <w:tc>
          <w:tcPr>
            <w:tcW w:type="dxa" w:w="3742"/>
            <w:tcMar>
              <w:top w:w="70" w:type="dxa"/>
              <w:bottom w:w="70" w:type="dxa"/>
              <w:left w:w="90" w:type="dxa"/>
              <w:right w:w="90" w:type="dxa"/>
            </w:tcMar>
            <w:vAlign w:val="top"/>
          </w:tcPr>
          <w:p>
            <w:pPr>
              <w:spacing w:before="0" w:after="80" w:line="259" w:lineRule="auto"/>
            </w:pPr>
            <w:r>
              <w:rPr>
                <w:rFonts w:ascii="Inter" w:hAnsi="Inter" w:cs="Inter" w:eastAsia="Inter"/>
                <w:b w:val="0"/>
                <w:i/>
                <w:color w:val="666666"/>
                <w:sz w:val="16"/>
              </w:rPr>
              <w:t>Who last challenged you that a target was not ambitious enough, and what happened?</w:t>
            </w:r>
          </w:p>
          <w:p>
            <w:pPr>
              <w:spacing w:before="0" w:after="80" w:line="259" w:lineRule="auto"/>
            </w:pPr>
            <w:r>
              <w:rPr>
                <w:rFonts w:ascii="Inter" w:hAnsi="Inter" w:cs="Inter" w:eastAsia="Inter"/>
                <w:b w:val="0"/>
                <w:i w:val="0"/>
                <w:color w:val="1A1A1A"/>
                <w:sz w:val="18"/>
              </w:rPr>
            </w:r>
          </w:p>
        </w:tc>
        <w:tc>
          <w:tcPr>
            <w:tcW w:type="dxa" w:w="964"/>
            <w:tcMar>
              <w:top w:w="70" w:type="dxa"/>
              <w:bottom w:w="70" w:type="dxa"/>
              <w:left w:w="90" w:type="dxa"/>
              <w:right w:w="90" w:type="dxa"/>
            </w:tcMar>
            <w:shd w:val="clear" w:color="auto" w:fill="FEF6D9"/>
            <w:vAlign w:val="center"/>
          </w:tcPr>
          <w:p>
            <w:pPr>
              <w:spacing w:before="0" w:after="40" w:line="259" w:lineRule="auto"/>
            </w:pPr>
            <w:r>
              <w:rPr>
                <w:rFonts w:ascii="Inter" w:hAnsi="Inter" w:cs="Inter" w:eastAsia="Inter"/>
                <w:b w:val="0"/>
                <w:i w:val="0"/>
                <w:color w:val="1A1A1A"/>
                <w:sz w:val="18"/>
              </w:rPr>
            </w:r>
          </w:p>
          <w:p>
            <w:pPr>
              <w:spacing w:before="0" w:after="40" w:line="259" w:lineRule="auto"/>
            </w:pPr>
            <w:r>
              <w:rPr>
                <w:rFonts w:ascii="Inter" w:hAnsi="Inter" w:cs="Inter" w:eastAsia="Inter"/>
                <w:b w:val="0"/>
                <w:i w:val="0"/>
                <w:color w:val="666666"/>
                <w:sz w:val="15"/>
              </w:rPr>
              <w:t>1 to 5</w:t>
            </w:r>
          </w:p>
        </w:tc>
        <w:tc>
          <w:tcPr>
            <w:tcW w:type="dxa" w:w="3742"/>
            <w:tcMar>
              <w:top w:w="70" w:type="dxa"/>
              <w:bottom w:w="70" w:type="dxa"/>
              <w:left w:w="90" w:type="dxa"/>
              <w:right w:w="90" w:type="dxa"/>
            </w:tcMar>
            <w:vAlign w:val="top"/>
          </w:tcPr>
          <w:p>
            <w:pPr>
              <w:spacing w:before="0" w:after="40" w:line="259" w:lineRule="auto"/>
            </w:pPr>
            <w:r>
              <w:rPr>
                <w:rFonts w:ascii="Inter" w:hAnsi="Inter" w:cs="Inter" w:eastAsia="Inter"/>
                <w:b w:val="0"/>
                <w:i w:val="0"/>
                <w:color w:val="1A1A1A"/>
                <w:sz w:val="17"/>
              </w:rPr>
              <w:t>Ask your moderator to review target-setting specifically. Low expectations are the failure mode this principle exists to catch.</w:t>
            </w:r>
          </w:p>
        </w:tc>
        <w:tc>
          <w:tcPr>
            <w:tcW w:type="dxa" w:w="2948"/>
            <w:tcMar>
              <w:top w:w="70" w:type="dxa"/>
              <w:bottom w:w="70" w:type="dxa"/>
              <w:left w:w="90" w:type="dxa"/>
              <w:right w:w="90" w:type="dxa"/>
            </w:tcMar>
            <w:vAlign w:val="top"/>
          </w:tcPr>
          <w:p>
            <w:pPr>
              <w:spacing w:before="0" w:after="60" w:line="259" w:lineRule="auto"/>
            </w:pPr>
            <w:r>
              <w:rPr>
                <w:rFonts w:ascii="Inter" w:hAnsi="Inter" w:cs="Inter" w:eastAsia="Inter"/>
                <w:b w:val="0"/>
                <w:i w:val="0"/>
                <w:color w:val="666666"/>
                <w:sz w:val="15"/>
              </w:rPr>
              <w:t>Owner</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Target date</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Review date</w:t>
            </w:r>
          </w:p>
          <w:p>
            <w:pPr>
              <w:spacing w:before="0" w:after="60" w:line="259" w:lineRule="auto"/>
            </w:pPr>
            <w:r>
              <w:rPr>
                <w:rFonts w:ascii="Inter" w:hAnsi="Inter" w:cs="Inter" w:eastAsia="Inter"/>
                <w:b w:val="0"/>
                <w:i w:val="0"/>
                <w:color w:val="1A1A1A"/>
                <w:sz w:val="18"/>
              </w:rPr>
            </w:r>
          </w:p>
        </w:tc>
      </w:tr>
      <w:tr>
        <w:trPr>
          <w:cantSplit/>
        </w:trPr>
        <w:tc>
          <w:tcPr>
            <w:tcW w:type="dxa" w:w="15478"/>
            <w:gridSpan w:val="5"/>
            <w:shd w:val="clear" w:color="auto" w:fill="F1F7F6"/>
            <w:tcMar>
              <w:top w:w="80" w:type="dxa"/>
              <w:bottom w:w="80" w:type="dxa"/>
              <w:left w:w="90" w:type="dxa"/>
              <w:right w:w="90" w:type="dxa"/>
            </w:tcMar>
            <w:vAlign w:val="top"/>
          </w:tcPr>
          <w:p>
            <w:pPr>
              <w:spacing w:before="0" w:after="40" w:line="259" w:lineRule="auto"/>
              <w:keepNext/>
            </w:pPr>
            <w:r>
              <w:rPr>
                <w:rFonts w:ascii="Inter" w:hAnsi="Inter" w:cs="Inter" w:eastAsia="Inter"/>
                <w:b/>
                <w:i w:val="0"/>
                <w:color w:val="128770"/>
                <w:sz w:val="19"/>
              </w:rPr>
              <w:t xml:space="preserve">P3.2   </w:t>
            </w:r>
            <w:r>
              <w:rPr>
                <w:rFonts w:ascii="Inter" w:hAnsi="Inter" w:cs="Inter" w:eastAsia="Inter"/>
                <w:b/>
                <w:i w:val="0"/>
                <w:color w:val="1A1A1A"/>
                <w:sz w:val="19"/>
              </w:rPr>
              <w:t>The base has clear written entry and exit criteria, and individual progress is reviewed against them.</w:t>
            </w:r>
          </w:p>
          <w:p>
            <w:pPr>
              <w:spacing w:before="0" w:after="40" w:line="259" w:lineRule="auto"/>
              <w:keepNext/>
            </w:pPr>
            <w:r>
              <w:rPr>
                <w:rFonts w:ascii="Inter" w:hAnsi="Inter" w:cs="Inter" w:eastAsia="Inter"/>
                <w:b w:val="0"/>
                <w:i/>
                <w:color w:val="666666"/>
                <w:sz w:val="15"/>
              </w:rPr>
              <w:t>Base  ·  Guidance: “Bases should maintain clear entry and exit criteria, supported by information on expected starting points, needs and progress.”</w:t>
            </w:r>
          </w:p>
        </w:tc>
      </w:tr>
      <w:tr>
        <w:trPr>
          <w:trHeight w:val="1701" w:hRule="atLeast"/>
          <w:cantSplit/>
        </w:trPr>
        <w:tc>
          <w:tcPr>
            <w:tcW w:type="dxa" w:w="4082"/>
            <w:tcMar>
              <w:top w:w="70" w:type="dxa"/>
              <w:bottom w:w="70" w:type="dxa"/>
              <w:left w:w="90" w:type="dxa"/>
              <w:right w:w="90" w:type="dxa"/>
            </w:tcMar>
            <w:vAlign w:val="top"/>
          </w:tcPr>
          <w:p>
            <w:pPr>
              <w:spacing w:before="0" w:after="80" w:line="259" w:lineRule="auto"/>
            </w:pPr>
            <w:r>
              <w:rPr>
                <w:rFonts w:ascii="Inter" w:hAnsi="Inter" w:cs="Inter" w:eastAsia="Inter"/>
                <w:b/>
                <w:i w:val="0"/>
                <w:color w:val="128770"/>
                <w:sz w:val="17"/>
              </w:rPr>
              <w:t xml:space="preserve">1  </w:t>
            </w:r>
            <w:r>
              <w:rPr>
                <w:rFonts w:ascii="Inter" w:hAnsi="Inter" w:cs="Inter" w:eastAsia="Inter"/>
                <w:b w:val="0"/>
                <w:i w:val="0"/>
                <w:color w:val="1A1A1A"/>
                <w:sz w:val="17"/>
              </w:rPr>
              <w:t>No written criteria; placement is by professional judgement alone.</w:t>
            </w:r>
          </w:p>
          <w:p>
            <w:pPr>
              <w:spacing w:before="0" w:after="80" w:line="259" w:lineRule="auto"/>
            </w:pPr>
            <w:r>
              <w:rPr>
                <w:rFonts w:ascii="Inter" w:hAnsi="Inter" w:cs="Inter" w:eastAsia="Inter"/>
                <w:b/>
                <w:i w:val="0"/>
                <w:color w:val="128770"/>
                <w:sz w:val="17"/>
              </w:rPr>
              <w:t xml:space="preserve">3  </w:t>
            </w:r>
            <w:r>
              <w:rPr>
                <w:rFonts w:ascii="Inter" w:hAnsi="Inter" w:cs="Inter" w:eastAsia="Inter"/>
                <w:b w:val="0"/>
                <w:i w:val="0"/>
                <w:color w:val="1A1A1A"/>
                <w:sz w:val="17"/>
              </w:rPr>
              <w:t>Entry criteria exist; exit criteria are vague or unused.</w:t>
            </w:r>
          </w:p>
          <w:p>
            <w:pPr>
              <w:spacing w:before="0" w:after="80" w:line="259" w:lineRule="auto"/>
            </w:pPr>
            <w:r>
              <w:rPr>
                <w:rFonts w:ascii="Inter" w:hAnsi="Inter" w:cs="Inter" w:eastAsia="Inter"/>
                <w:b/>
                <w:i w:val="0"/>
                <w:color w:val="128770"/>
                <w:sz w:val="17"/>
              </w:rPr>
              <w:t xml:space="preserve">5  </w:t>
            </w:r>
            <w:r>
              <w:rPr>
                <w:rFonts w:ascii="Inter" w:hAnsi="Inter" w:cs="Inter" w:eastAsia="Inter"/>
                <w:b w:val="0"/>
                <w:i w:val="0"/>
                <w:color w:val="1A1A1A"/>
                <w:sz w:val="17"/>
              </w:rPr>
              <w:t>Both exist, are shared with families, and every learner's progress is reviewed against them on a cycle.</w:t>
            </w:r>
          </w:p>
        </w:tc>
        <w:tc>
          <w:tcPr>
            <w:tcW w:type="dxa" w:w="3742"/>
            <w:tcMar>
              <w:top w:w="70" w:type="dxa"/>
              <w:bottom w:w="70" w:type="dxa"/>
              <w:left w:w="90" w:type="dxa"/>
              <w:right w:w="90" w:type="dxa"/>
            </w:tcMar>
            <w:vAlign w:val="top"/>
          </w:tcPr>
          <w:p>
            <w:pPr>
              <w:spacing w:before="0" w:after="80" w:line="259" w:lineRule="auto"/>
            </w:pPr>
            <w:r>
              <w:rPr>
                <w:rFonts w:ascii="Inter" w:hAnsi="Inter" w:cs="Inter" w:eastAsia="Inter"/>
                <w:b w:val="0"/>
                <w:i/>
                <w:color w:val="666666"/>
                <w:sz w:val="16"/>
              </w:rPr>
              <w:t>Show the criteria. When did a learner last exit, and against which criterion?</w:t>
            </w:r>
          </w:p>
          <w:p>
            <w:pPr>
              <w:spacing w:before="0" w:after="80" w:line="259" w:lineRule="auto"/>
            </w:pPr>
            <w:r>
              <w:rPr>
                <w:rFonts w:ascii="Inter" w:hAnsi="Inter" w:cs="Inter" w:eastAsia="Inter"/>
                <w:b w:val="0"/>
                <w:i w:val="0"/>
                <w:color w:val="1A1A1A"/>
                <w:sz w:val="18"/>
              </w:rPr>
            </w:r>
          </w:p>
        </w:tc>
        <w:tc>
          <w:tcPr>
            <w:tcW w:type="dxa" w:w="964"/>
            <w:tcMar>
              <w:top w:w="70" w:type="dxa"/>
              <w:bottom w:w="70" w:type="dxa"/>
              <w:left w:w="90" w:type="dxa"/>
              <w:right w:w="90" w:type="dxa"/>
            </w:tcMar>
            <w:shd w:val="clear" w:color="auto" w:fill="FEF6D9"/>
            <w:vAlign w:val="center"/>
          </w:tcPr>
          <w:p>
            <w:pPr>
              <w:spacing w:before="0" w:after="40" w:line="259" w:lineRule="auto"/>
            </w:pPr>
            <w:r>
              <w:rPr>
                <w:rFonts w:ascii="Inter" w:hAnsi="Inter" w:cs="Inter" w:eastAsia="Inter"/>
                <w:b w:val="0"/>
                <w:i w:val="0"/>
                <w:color w:val="1A1A1A"/>
                <w:sz w:val="18"/>
              </w:rPr>
            </w:r>
          </w:p>
          <w:p>
            <w:pPr>
              <w:spacing w:before="0" w:after="40" w:line="259" w:lineRule="auto"/>
            </w:pPr>
            <w:r>
              <w:rPr>
                <w:rFonts w:ascii="Inter" w:hAnsi="Inter" w:cs="Inter" w:eastAsia="Inter"/>
                <w:b w:val="0"/>
                <w:i w:val="0"/>
                <w:color w:val="666666"/>
                <w:sz w:val="15"/>
              </w:rPr>
              <w:t>1 to 5</w:t>
            </w:r>
          </w:p>
        </w:tc>
        <w:tc>
          <w:tcPr>
            <w:tcW w:type="dxa" w:w="3742"/>
            <w:tcMar>
              <w:top w:w="70" w:type="dxa"/>
              <w:bottom w:w="70" w:type="dxa"/>
              <w:left w:w="90" w:type="dxa"/>
              <w:right w:w="90" w:type="dxa"/>
            </w:tcMar>
            <w:vAlign w:val="top"/>
          </w:tcPr>
          <w:p>
            <w:pPr>
              <w:spacing w:before="0" w:after="40" w:line="259" w:lineRule="auto"/>
            </w:pPr>
            <w:r>
              <w:rPr>
                <w:rFonts w:ascii="Inter" w:hAnsi="Inter" w:cs="Inter" w:eastAsia="Inter"/>
                <w:b w:val="0"/>
                <w:i w:val="0"/>
                <w:color w:val="1A1A1A"/>
                <w:sz w:val="17"/>
              </w:rPr>
              <w:t>Exit criteria are the most commonly missing element. Without them the base has no defined success condition and reintegration has no trigger.</w:t>
            </w:r>
          </w:p>
        </w:tc>
        <w:tc>
          <w:tcPr>
            <w:tcW w:type="dxa" w:w="2948"/>
            <w:tcMar>
              <w:top w:w="70" w:type="dxa"/>
              <w:bottom w:w="70" w:type="dxa"/>
              <w:left w:w="90" w:type="dxa"/>
              <w:right w:w="90" w:type="dxa"/>
            </w:tcMar>
            <w:vAlign w:val="top"/>
          </w:tcPr>
          <w:p>
            <w:pPr>
              <w:spacing w:before="0" w:after="60" w:line="259" w:lineRule="auto"/>
            </w:pPr>
            <w:r>
              <w:rPr>
                <w:rFonts w:ascii="Inter" w:hAnsi="Inter" w:cs="Inter" w:eastAsia="Inter"/>
                <w:b w:val="0"/>
                <w:i w:val="0"/>
                <w:color w:val="666666"/>
                <w:sz w:val="15"/>
              </w:rPr>
              <w:t>Owner</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Target date</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Review date</w:t>
            </w:r>
          </w:p>
          <w:p>
            <w:pPr>
              <w:spacing w:before="0" w:after="60" w:line="259" w:lineRule="auto"/>
            </w:pPr>
            <w:r>
              <w:rPr>
                <w:rFonts w:ascii="Inter" w:hAnsi="Inter" w:cs="Inter" w:eastAsia="Inter"/>
                <w:b w:val="0"/>
                <w:i w:val="0"/>
                <w:color w:val="1A1A1A"/>
                <w:sz w:val="18"/>
              </w:rPr>
            </w:r>
          </w:p>
        </w:tc>
      </w:tr>
      <w:tr>
        <w:trPr>
          <w:cantSplit/>
        </w:trPr>
        <w:tc>
          <w:tcPr>
            <w:tcW w:type="dxa" w:w="15478"/>
            <w:gridSpan w:val="5"/>
            <w:shd w:val="clear" w:color="auto" w:fill="F1F7F6"/>
            <w:tcMar>
              <w:top w:w="80" w:type="dxa"/>
              <w:bottom w:w="80" w:type="dxa"/>
              <w:left w:w="90" w:type="dxa"/>
              <w:right w:w="90" w:type="dxa"/>
            </w:tcMar>
            <w:vAlign w:val="top"/>
          </w:tcPr>
          <w:p>
            <w:pPr>
              <w:spacing w:before="0" w:after="40" w:line="259" w:lineRule="auto"/>
              <w:keepNext/>
            </w:pPr>
            <w:r>
              <w:rPr>
                <w:rFonts w:ascii="Inter" w:hAnsi="Inter" w:cs="Inter" w:eastAsia="Inter"/>
                <w:b/>
                <w:i w:val="0"/>
                <w:color w:val="128770"/>
                <w:sz w:val="19"/>
              </w:rPr>
              <w:t xml:space="preserve">P3.3   </w:t>
            </w:r>
            <w:r>
              <w:rPr>
                <w:rFonts w:ascii="Inter" w:hAnsi="Inter" w:cs="Inter" w:eastAsia="Inter"/>
                <w:b/>
                <w:i w:val="0"/>
                <w:color w:val="1A1A1A"/>
                <w:sz w:val="19"/>
              </w:rPr>
              <w:t>Assessment approaches in the base align with those entry and exit criteria, so progress can be demonstrated and can support exit decisions.</w:t>
            </w:r>
          </w:p>
          <w:p>
            <w:pPr>
              <w:spacing w:before="0" w:after="40" w:line="259" w:lineRule="auto"/>
              <w:keepNext/>
            </w:pPr>
            <w:r>
              <w:rPr>
                <w:rFonts w:ascii="Inter" w:hAnsi="Inter" w:cs="Inter" w:eastAsia="Inter"/>
                <w:b w:val="0"/>
                <w:i/>
                <w:color w:val="666666"/>
                <w:sz w:val="15"/>
              </w:rPr>
              <w:t>Base  ·  Guidance: “Assessment approaches in the base should align with the entry and exit criteria for the base, so that progress against entry criteria can be demonstrated and evidence can support decisions to exit the base.”</w:t>
            </w:r>
          </w:p>
        </w:tc>
      </w:tr>
      <w:tr>
        <w:trPr>
          <w:trHeight w:val="1701" w:hRule="atLeast"/>
          <w:cantSplit/>
        </w:trPr>
        <w:tc>
          <w:tcPr>
            <w:tcW w:type="dxa" w:w="4082"/>
            <w:tcMar>
              <w:top w:w="70" w:type="dxa"/>
              <w:bottom w:w="70" w:type="dxa"/>
              <w:left w:w="90" w:type="dxa"/>
              <w:right w:w="90" w:type="dxa"/>
            </w:tcMar>
            <w:vAlign w:val="top"/>
          </w:tcPr>
          <w:p>
            <w:pPr>
              <w:spacing w:before="0" w:after="80" w:line="259" w:lineRule="auto"/>
            </w:pPr>
            <w:r>
              <w:rPr>
                <w:rFonts w:ascii="Inter" w:hAnsi="Inter" w:cs="Inter" w:eastAsia="Inter"/>
                <w:b/>
                <w:i w:val="0"/>
                <w:color w:val="128770"/>
                <w:sz w:val="17"/>
              </w:rPr>
              <w:t xml:space="preserve">1  </w:t>
            </w:r>
            <w:r>
              <w:rPr>
                <w:rFonts w:ascii="Inter" w:hAnsi="Inter" w:cs="Inter" w:eastAsia="Inter"/>
                <w:b w:val="0"/>
                <w:i w:val="0"/>
                <w:color w:val="1A1A1A"/>
                <w:sz w:val="17"/>
              </w:rPr>
              <w:t>Assessment and criteria are unrelated.</w:t>
            </w:r>
          </w:p>
          <w:p>
            <w:pPr>
              <w:spacing w:before="0" w:after="80" w:line="259" w:lineRule="auto"/>
            </w:pPr>
            <w:r>
              <w:rPr>
                <w:rFonts w:ascii="Inter" w:hAnsi="Inter" w:cs="Inter" w:eastAsia="Inter"/>
                <w:b/>
                <w:i w:val="0"/>
                <w:color w:val="128770"/>
                <w:sz w:val="17"/>
              </w:rPr>
              <w:t xml:space="preserve">3  </w:t>
            </w:r>
            <w:r>
              <w:rPr>
                <w:rFonts w:ascii="Inter" w:hAnsi="Inter" w:cs="Inter" w:eastAsia="Inter"/>
                <w:b w:val="0"/>
                <w:i w:val="0"/>
                <w:color w:val="1A1A1A"/>
                <w:sz w:val="17"/>
              </w:rPr>
              <w:t>Assessment shows progress but does not map to the criteria.</w:t>
            </w:r>
          </w:p>
          <w:p>
            <w:pPr>
              <w:spacing w:before="0" w:after="80" w:line="259" w:lineRule="auto"/>
            </w:pPr>
            <w:r>
              <w:rPr>
                <w:rFonts w:ascii="Inter" w:hAnsi="Inter" w:cs="Inter" w:eastAsia="Inter"/>
                <w:b/>
                <w:i w:val="0"/>
                <w:color w:val="128770"/>
                <w:sz w:val="17"/>
              </w:rPr>
              <w:t xml:space="preserve">5  </w:t>
            </w:r>
            <w:r>
              <w:rPr>
                <w:rFonts w:ascii="Inter" w:hAnsi="Inter" w:cs="Inter" w:eastAsia="Inter"/>
                <w:b w:val="0"/>
                <w:i w:val="0"/>
                <w:color w:val="1A1A1A"/>
                <w:sz w:val="17"/>
              </w:rPr>
              <w:t>Assessment output maps directly onto criteria, so an exit decision is evidenced rather than argued.</w:t>
            </w:r>
          </w:p>
        </w:tc>
        <w:tc>
          <w:tcPr>
            <w:tcW w:type="dxa" w:w="3742"/>
            <w:tcMar>
              <w:top w:w="70" w:type="dxa"/>
              <w:bottom w:w="70" w:type="dxa"/>
              <w:left w:w="90" w:type="dxa"/>
              <w:right w:w="90" w:type="dxa"/>
            </w:tcMar>
            <w:vAlign w:val="top"/>
          </w:tcPr>
          <w:p>
            <w:pPr>
              <w:spacing w:before="0" w:after="80" w:line="259" w:lineRule="auto"/>
            </w:pPr>
            <w:r>
              <w:rPr>
                <w:rFonts w:ascii="Inter" w:hAnsi="Inter" w:cs="Inter" w:eastAsia="Inter"/>
                <w:b w:val="0"/>
                <w:i/>
                <w:color w:val="666666"/>
                <w:sz w:val="16"/>
              </w:rPr>
              <w:t>Could you evidence an exit decision to a sceptical parent using assessment data alone?</w:t>
            </w:r>
          </w:p>
          <w:p>
            <w:pPr>
              <w:spacing w:before="0" w:after="80" w:line="259" w:lineRule="auto"/>
            </w:pPr>
            <w:r>
              <w:rPr>
                <w:rFonts w:ascii="Inter" w:hAnsi="Inter" w:cs="Inter" w:eastAsia="Inter"/>
                <w:b w:val="0"/>
                <w:i w:val="0"/>
                <w:color w:val="1A1A1A"/>
                <w:sz w:val="18"/>
              </w:rPr>
            </w:r>
          </w:p>
        </w:tc>
        <w:tc>
          <w:tcPr>
            <w:tcW w:type="dxa" w:w="964"/>
            <w:tcMar>
              <w:top w:w="70" w:type="dxa"/>
              <w:bottom w:w="70" w:type="dxa"/>
              <w:left w:w="90" w:type="dxa"/>
              <w:right w:w="90" w:type="dxa"/>
            </w:tcMar>
            <w:shd w:val="clear" w:color="auto" w:fill="FEF6D9"/>
            <w:vAlign w:val="center"/>
          </w:tcPr>
          <w:p>
            <w:pPr>
              <w:spacing w:before="0" w:after="40" w:line="259" w:lineRule="auto"/>
            </w:pPr>
            <w:r>
              <w:rPr>
                <w:rFonts w:ascii="Inter" w:hAnsi="Inter" w:cs="Inter" w:eastAsia="Inter"/>
                <w:b w:val="0"/>
                <w:i w:val="0"/>
                <w:color w:val="1A1A1A"/>
                <w:sz w:val="18"/>
              </w:rPr>
            </w:r>
          </w:p>
          <w:p>
            <w:pPr>
              <w:spacing w:before="0" w:after="40" w:line="259" w:lineRule="auto"/>
            </w:pPr>
            <w:r>
              <w:rPr>
                <w:rFonts w:ascii="Inter" w:hAnsi="Inter" w:cs="Inter" w:eastAsia="Inter"/>
                <w:b w:val="0"/>
                <w:i w:val="0"/>
                <w:color w:val="666666"/>
                <w:sz w:val="15"/>
              </w:rPr>
              <w:t>1 to 5</w:t>
            </w:r>
          </w:p>
        </w:tc>
        <w:tc>
          <w:tcPr>
            <w:tcW w:type="dxa" w:w="3742"/>
            <w:tcMar>
              <w:top w:w="70" w:type="dxa"/>
              <w:bottom w:w="70" w:type="dxa"/>
              <w:left w:w="90" w:type="dxa"/>
              <w:right w:w="90" w:type="dxa"/>
            </w:tcMar>
            <w:vAlign w:val="top"/>
          </w:tcPr>
          <w:p>
            <w:pPr>
              <w:spacing w:before="0" w:after="40" w:line="259" w:lineRule="auto"/>
            </w:pPr>
            <w:r>
              <w:rPr>
                <w:rFonts w:ascii="Inter" w:hAnsi="Inter" w:cs="Inter" w:eastAsia="Inter"/>
                <w:b w:val="0"/>
                <w:i w:val="0"/>
                <w:color w:val="1A1A1A"/>
                <w:sz w:val="17"/>
              </w:rPr>
              <w:t>Align the two documents in one sitting. This is usually a formatting problem, not a practice problem.</w:t>
            </w:r>
          </w:p>
        </w:tc>
        <w:tc>
          <w:tcPr>
            <w:tcW w:type="dxa" w:w="2948"/>
            <w:tcMar>
              <w:top w:w="70" w:type="dxa"/>
              <w:bottom w:w="70" w:type="dxa"/>
              <w:left w:w="90" w:type="dxa"/>
              <w:right w:w="90" w:type="dxa"/>
            </w:tcMar>
            <w:vAlign w:val="top"/>
          </w:tcPr>
          <w:p>
            <w:pPr>
              <w:spacing w:before="0" w:after="60" w:line="259" w:lineRule="auto"/>
            </w:pPr>
            <w:r>
              <w:rPr>
                <w:rFonts w:ascii="Inter" w:hAnsi="Inter" w:cs="Inter" w:eastAsia="Inter"/>
                <w:b w:val="0"/>
                <w:i w:val="0"/>
                <w:color w:val="666666"/>
                <w:sz w:val="15"/>
              </w:rPr>
              <w:t>Owner</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Target date</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Review date</w:t>
            </w:r>
          </w:p>
          <w:p>
            <w:pPr>
              <w:spacing w:before="0" w:after="60" w:line="259" w:lineRule="auto"/>
            </w:pPr>
            <w:r>
              <w:rPr>
                <w:rFonts w:ascii="Inter" w:hAnsi="Inter" w:cs="Inter" w:eastAsia="Inter"/>
                <w:b w:val="0"/>
                <w:i w:val="0"/>
                <w:color w:val="1A1A1A"/>
                <w:sz w:val="18"/>
              </w:rPr>
            </w:r>
          </w:p>
        </w:tc>
      </w:tr>
      <w:tr>
        <w:trPr>
          <w:cantSplit/>
        </w:trPr>
        <w:tc>
          <w:tcPr>
            <w:tcW w:type="dxa" w:w="15478"/>
            <w:gridSpan w:val="5"/>
            <w:shd w:val="clear" w:color="auto" w:fill="F1F7F6"/>
            <w:tcMar>
              <w:top w:w="80" w:type="dxa"/>
              <w:bottom w:w="80" w:type="dxa"/>
              <w:left w:w="90" w:type="dxa"/>
              <w:right w:w="90" w:type="dxa"/>
            </w:tcMar>
            <w:vAlign w:val="top"/>
          </w:tcPr>
          <w:p>
            <w:pPr>
              <w:spacing w:before="0" w:after="40" w:line="259" w:lineRule="auto"/>
              <w:keepNext/>
            </w:pPr>
            <w:r>
              <w:rPr>
                <w:rFonts w:ascii="Inter" w:hAnsi="Inter" w:cs="Inter" w:eastAsia="Inter"/>
                <w:b/>
                <w:i w:val="0"/>
                <w:color w:val="128770"/>
                <w:sz w:val="19"/>
              </w:rPr>
              <w:t xml:space="preserve">P3.4   </w:t>
            </w:r>
            <w:r>
              <w:rPr>
                <w:rFonts w:ascii="Inter" w:hAnsi="Inter" w:cs="Inter" w:eastAsia="Inter"/>
                <w:b/>
                <w:i w:val="0"/>
                <w:color w:val="1A1A1A"/>
                <w:sz w:val="19"/>
              </w:rPr>
              <w:t>You track progress across the domains the guidance names, not only academic attainment.</w:t>
            </w:r>
          </w:p>
          <w:p>
            <w:pPr>
              <w:spacing w:before="0" w:after="40" w:line="259" w:lineRule="auto"/>
              <w:keepNext/>
            </w:pPr>
            <w:r>
              <w:rPr>
                <w:rFonts w:ascii="Inter" w:hAnsi="Inter" w:cs="Inter" w:eastAsia="Inter"/>
                <w:b w:val="0"/>
                <w:i/>
                <w:color w:val="666666"/>
                <w:sz w:val="15"/>
              </w:rPr>
              <w:t>Individual children and young people  ·  Guidance: “Where appropriate they should track progress across areas including EHC plan outcomes, academic outcomes and attainment, attendance and extracurricular participation... engagement, wellbeing, confidence, social relationships, sense of belonging, and behaviour... independence, life skills and preparation for adulthood... time spent in the base.”</w:t>
            </w:r>
          </w:p>
        </w:tc>
      </w:tr>
      <w:tr>
        <w:trPr>
          <w:trHeight w:val="1701" w:hRule="atLeast"/>
          <w:cantSplit/>
        </w:trPr>
        <w:tc>
          <w:tcPr>
            <w:tcW w:type="dxa" w:w="4082"/>
            <w:tcMar>
              <w:top w:w="70" w:type="dxa"/>
              <w:bottom w:w="70" w:type="dxa"/>
              <w:left w:w="90" w:type="dxa"/>
              <w:right w:w="90" w:type="dxa"/>
            </w:tcMar>
            <w:vAlign w:val="top"/>
          </w:tcPr>
          <w:p>
            <w:pPr>
              <w:spacing w:before="0" w:after="80" w:line="259" w:lineRule="auto"/>
            </w:pPr>
            <w:r>
              <w:rPr>
                <w:rFonts w:ascii="Inter" w:hAnsi="Inter" w:cs="Inter" w:eastAsia="Inter"/>
                <w:b/>
                <w:i w:val="0"/>
                <w:color w:val="128770"/>
                <w:sz w:val="17"/>
              </w:rPr>
              <w:t xml:space="preserve">1  </w:t>
            </w:r>
            <w:r>
              <w:rPr>
                <w:rFonts w:ascii="Inter" w:hAnsi="Inter" w:cs="Inter" w:eastAsia="Inter"/>
                <w:b w:val="0"/>
                <w:i w:val="0"/>
                <w:color w:val="1A1A1A"/>
                <w:sz w:val="17"/>
              </w:rPr>
              <w:t>Academic attainment only.</w:t>
            </w:r>
          </w:p>
          <w:p>
            <w:pPr>
              <w:spacing w:before="0" w:after="80" w:line="259" w:lineRule="auto"/>
            </w:pPr>
            <w:r>
              <w:rPr>
                <w:rFonts w:ascii="Inter" w:hAnsi="Inter" w:cs="Inter" w:eastAsia="Inter"/>
                <w:b/>
                <w:i w:val="0"/>
                <w:color w:val="128770"/>
                <w:sz w:val="17"/>
              </w:rPr>
              <w:t xml:space="preserve">3  </w:t>
            </w:r>
            <w:r>
              <w:rPr>
                <w:rFonts w:ascii="Inter" w:hAnsi="Inter" w:cs="Inter" w:eastAsia="Inter"/>
                <w:b w:val="0"/>
                <w:i w:val="0"/>
                <w:color w:val="1A1A1A"/>
                <w:sz w:val="17"/>
              </w:rPr>
              <w:t>Academic plus attendance.</w:t>
            </w:r>
          </w:p>
          <w:p>
            <w:pPr>
              <w:spacing w:before="0" w:after="80" w:line="259" w:lineRule="auto"/>
            </w:pPr>
            <w:r>
              <w:rPr>
                <w:rFonts w:ascii="Inter" w:hAnsi="Inter" w:cs="Inter" w:eastAsia="Inter"/>
                <w:b/>
                <w:i w:val="0"/>
                <w:color w:val="128770"/>
                <w:sz w:val="17"/>
              </w:rPr>
              <w:t xml:space="preserve">5  </w:t>
            </w:r>
            <w:r>
              <w:rPr>
                <w:rFonts w:ascii="Inter" w:hAnsi="Inter" w:cs="Inter" w:eastAsia="Inter"/>
                <w:b w:val="0"/>
                <w:i w:val="0"/>
                <w:color w:val="1A1A1A"/>
                <w:sz w:val="17"/>
              </w:rPr>
              <w:t>EHC plan outcomes, attainment, attendance and extracurricular participation, plus engagement, wellbeing, confidence, social relationships, belonging, behaviour, communication, independence, life skills and time spent in the base.</w:t>
            </w:r>
          </w:p>
        </w:tc>
        <w:tc>
          <w:tcPr>
            <w:tcW w:type="dxa" w:w="3742"/>
            <w:tcMar>
              <w:top w:w="70" w:type="dxa"/>
              <w:bottom w:w="70" w:type="dxa"/>
              <w:left w:w="90" w:type="dxa"/>
              <w:right w:w="90" w:type="dxa"/>
            </w:tcMar>
            <w:vAlign w:val="top"/>
          </w:tcPr>
          <w:p>
            <w:pPr>
              <w:spacing w:before="0" w:after="80" w:line="259" w:lineRule="auto"/>
            </w:pPr>
            <w:r>
              <w:rPr>
                <w:rFonts w:ascii="Inter" w:hAnsi="Inter" w:cs="Inter" w:eastAsia="Inter"/>
                <w:b w:val="0"/>
                <w:i/>
                <w:color w:val="666666"/>
                <w:sz w:val="16"/>
              </w:rPr>
              <w:t>Which of those domains do you currently have no data for?</w:t>
            </w:r>
          </w:p>
          <w:p>
            <w:pPr>
              <w:spacing w:before="0" w:after="80" w:line="259" w:lineRule="auto"/>
            </w:pPr>
            <w:r>
              <w:rPr>
                <w:rFonts w:ascii="Inter" w:hAnsi="Inter" w:cs="Inter" w:eastAsia="Inter"/>
                <w:b w:val="0"/>
                <w:i w:val="0"/>
                <w:color w:val="1A1A1A"/>
                <w:sz w:val="18"/>
              </w:rPr>
            </w:r>
          </w:p>
        </w:tc>
        <w:tc>
          <w:tcPr>
            <w:tcW w:type="dxa" w:w="964"/>
            <w:tcMar>
              <w:top w:w="70" w:type="dxa"/>
              <w:bottom w:w="70" w:type="dxa"/>
              <w:left w:w="90" w:type="dxa"/>
              <w:right w:w="90" w:type="dxa"/>
            </w:tcMar>
            <w:shd w:val="clear" w:color="auto" w:fill="FEF6D9"/>
            <w:vAlign w:val="center"/>
          </w:tcPr>
          <w:p>
            <w:pPr>
              <w:spacing w:before="0" w:after="40" w:line="259" w:lineRule="auto"/>
            </w:pPr>
            <w:r>
              <w:rPr>
                <w:rFonts w:ascii="Inter" w:hAnsi="Inter" w:cs="Inter" w:eastAsia="Inter"/>
                <w:b w:val="0"/>
                <w:i w:val="0"/>
                <w:color w:val="1A1A1A"/>
                <w:sz w:val="18"/>
              </w:rPr>
            </w:r>
          </w:p>
          <w:p>
            <w:pPr>
              <w:spacing w:before="0" w:after="40" w:line="259" w:lineRule="auto"/>
            </w:pPr>
            <w:r>
              <w:rPr>
                <w:rFonts w:ascii="Inter" w:hAnsi="Inter" w:cs="Inter" w:eastAsia="Inter"/>
                <w:b w:val="0"/>
                <w:i w:val="0"/>
                <w:color w:val="666666"/>
                <w:sz w:val="15"/>
              </w:rPr>
              <w:t>1 to 5</w:t>
            </w:r>
          </w:p>
        </w:tc>
        <w:tc>
          <w:tcPr>
            <w:tcW w:type="dxa" w:w="3742"/>
            <w:tcMar>
              <w:top w:w="70" w:type="dxa"/>
              <w:bottom w:w="70" w:type="dxa"/>
              <w:left w:w="90" w:type="dxa"/>
              <w:right w:w="90" w:type="dxa"/>
            </w:tcMar>
            <w:vAlign w:val="top"/>
          </w:tcPr>
          <w:p>
            <w:pPr>
              <w:spacing w:before="0" w:after="40" w:line="259" w:lineRule="auto"/>
            </w:pPr>
            <w:r>
              <w:rPr>
                <w:rFonts w:ascii="Inter" w:hAnsi="Inter" w:cs="Inter" w:eastAsia="Inter"/>
                <w:b w:val="0"/>
                <w:i w:val="0"/>
                <w:color w:val="1A1A1A"/>
                <w:sz w:val="17"/>
              </w:rPr>
              <w:t>Start with 'time spent in the base' and 'sense of belonging'. They are the two that connect this principle to Principle 1, and neither needs a new system.</w:t>
            </w:r>
          </w:p>
        </w:tc>
        <w:tc>
          <w:tcPr>
            <w:tcW w:type="dxa" w:w="2948"/>
            <w:tcMar>
              <w:top w:w="70" w:type="dxa"/>
              <w:bottom w:w="70" w:type="dxa"/>
              <w:left w:w="90" w:type="dxa"/>
              <w:right w:w="90" w:type="dxa"/>
            </w:tcMar>
            <w:vAlign w:val="top"/>
          </w:tcPr>
          <w:p>
            <w:pPr>
              <w:spacing w:before="0" w:after="60" w:line="259" w:lineRule="auto"/>
            </w:pPr>
            <w:r>
              <w:rPr>
                <w:rFonts w:ascii="Inter" w:hAnsi="Inter" w:cs="Inter" w:eastAsia="Inter"/>
                <w:b w:val="0"/>
                <w:i w:val="0"/>
                <w:color w:val="666666"/>
                <w:sz w:val="15"/>
              </w:rPr>
              <w:t>Owner</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Target date</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Review date</w:t>
            </w:r>
          </w:p>
          <w:p>
            <w:pPr>
              <w:spacing w:before="0" w:after="60" w:line="259" w:lineRule="auto"/>
            </w:pPr>
            <w:r>
              <w:rPr>
                <w:rFonts w:ascii="Inter" w:hAnsi="Inter" w:cs="Inter" w:eastAsia="Inter"/>
                <w:b w:val="0"/>
                <w:i w:val="0"/>
                <w:color w:val="1A1A1A"/>
                <w:sz w:val="18"/>
              </w:rPr>
            </w:r>
          </w:p>
        </w:tc>
      </w:tr>
      <w:tr>
        <w:trPr>
          <w:cantSplit/>
        </w:trPr>
        <w:tc>
          <w:tcPr>
            <w:tcW w:type="dxa" w:w="15478"/>
            <w:gridSpan w:val="5"/>
            <w:shd w:val="clear" w:color="auto" w:fill="F1F7F6"/>
            <w:tcMar>
              <w:top w:w="80" w:type="dxa"/>
              <w:bottom w:w="80" w:type="dxa"/>
              <w:left w:w="90" w:type="dxa"/>
              <w:right w:w="90" w:type="dxa"/>
            </w:tcMar>
            <w:vAlign w:val="top"/>
          </w:tcPr>
          <w:p>
            <w:pPr>
              <w:spacing w:before="0" w:after="40" w:line="259" w:lineRule="auto"/>
              <w:keepNext/>
            </w:pPr>
            <w:r>
              <w:rPr>
                <w:rFonts w:ascii="Inter" w:hAnsi="Inter" w:cs="Inter" w:eastAsia="Inter"/>
                <w:b/>
                <w:i w:val="0"/>
                <w:color w:val="128770"/>
                <w:sz w:val="19"/>
              </w:rPr>
              <w:t xml:space="preserve">P3.5   </w:t>
            </w:r>
            <w:r>
              <w:rPr>
                <w:rFonts w:ascii="Inter" w:hAnsi="Inter" w:cs="Inter" w:eastAsia="Inter"/>
                <w:b/>
                <w:i w:val="0"/>
                <w:color w:val="1A1A1A"/>
                <w:sz w:val="19"/>
              </w:rPr>
              <w:t>You have clear, evidence-informed criteria for increasing mainstream time and decreasing base support, and you look for reintegration opportunities.</w:t>
            </w:r>
          </w:p>
          <w:p>
            <w:pPr>
              <w:spacing w:before="0" w:after="40" w:line="259" w:lineRule="auto"/>
              <w:keepNext/>
            </w:pPr>
            <w:r>
              <w:rPr>
                <w:rFonts w:ascii="Inter" w:hAnsi="Inter" w:cs="Inter" w:eastAsia="Inter"/>
                <w:b w:val="0"/>
                <w:i/>
                <w:color w:val="666666"/>
                <w:sz w:val="15"/>
              </w:rPr>
              <w:t>Base  ·  Guidance: “The school should consider opportunities for reintegration into mainstream where appropriate, with clear, evidence-informed criteria for increasing time in mainstream schools and decreasing support from base staff.”</w:t>
            </w:r>
          </w:p>
        </w:tc>
      </w:tr>
      <w:tr>
        <w:trPr>
          <w:trHeight w:val="1701" w:hRule="atLeast"/>
          <w:cantSplit/>
        </w:trPr>
        <w:tc>
          <w:tcPr>
            <w:tcW w:type="dxa" w:w="4082"/>
            <w:tcMar>
              <w:top w:w="70" w:type="dxa"/>
              <w:bottom w:w="70" w:type="dxa"/>
              <w:left w:w="90" w:type="dxa"/>
              <w:right w:w="90" w:type="dxa"/>
            </w:tcMar>
            <w:vAlign w:val="top"/>
          </w:tcPr>
          <w:p>
            <w:pPr>
              <w:spacing w:before="0" w:after="80" w:line="259" w:lineRule="auto"/>
            </w:pPr>
            <w:r>
              <w:rPr>
                <w:rFonts w:ascii="Inter" w:hAnsi="Inter" w:cs="Inter" w:eastAsia="Inter"/>
                <w:b/>
                <w:i w:val="0"/>
                <w:color w:val="128770"/>
                <w:sz w:val="17"/>
              </w:rPr>
              <w:t xml:space="preserve">1  </w:t>
            </w:r>
            <w:r>
              <w:rPr>
                <w:rFonts w:ascii="Inter" w:hAnsi="Inter" w:cs="Inter" w:eastAsia="Inter"/>
                <w:b w:val="0"/>
                <w:i w:val="0"/>
                <w:color w:val="1A1A1A"/>
                <w:sz w:val="17"/>
              </w:rPr>
              <w:t>Reintegration happens when someone notices it might work.</w:t>
            </w:r>
          </w:p>
          <w:p>
            <w:pPr>
              <w:spacing w:before="0" w:after="80" w:line="259" w:lineRule="auto"/>
            </w:pPr>
            <w:r>
              <w:rPr>
                <w:rFonts w:ascii="Inter" w:hAnsi="Inter" w:cs="Inter" w:eastAsia="Inter"/>
                <w:b/>
                <w:i w:val="0"/>
                <w:color w:val="128770"/>
                <w:sz w:val="17"/>
              </w:rPr>
              <w:t xml:space="preserve">3  </w:t>
            </w:r>
            <w:r>
              <w:rPr>
                <w:rFonts w:ascii="Inter" w:hAnsi="Inter" w:cs="Inter" w:eastAsia="Inter"/>
                <w:b w:val="0"/>
                <w:i w:val="0"/>
                <w:color w:val="1A1A1A"/>
                <w:sz w:val="17"/>
              </w:rPr>
              <w:t>Reintegration is considered at review points only.</w:t>
            </w:r>
          </w:p>
          <w:p>
            <w:pPr>
              <w:spacing w:before="0" w:after="80" w:line="259" w:lineRule="auto"/>
            </w:pPr>
            <w:r>
              <w:rPr>
                <w:rFonts w:ascii="Inter" w:hAnsi="Inter" w:cs="Inter" w:eastAsia="Inter"/>
                <w:b/>
                <w:i w:val="0"/>
                <w:color w:val="128770"/>
                <w:sz w:val="17"/>
              </w:rPr>
              <w:t xml:space="preserve">5  </w:t>
            </w:r>
            <w:r>
              <w:rPr>
                <w:rFonts w:ascii="Inter" w:hAnsi="Inter" w:cs="Inter" w:eastAsia="Inter"/>
                <w:b w:val="0"/>
                <w:i w:val="0"/>
                <w:color w:val="1A1A1A"/>
                <w:sz w:val="17"/>
              </w:rPr>
              <w:t>Criteria are written, applied on a cycle, and staged reintegration is planned with the learner and family.</w:t>
            </w:r>
          </w:p>
        </w:tc>
        <w:tc>
          <w:tcPr>
            <w:tcW w:type="dxa" w:w="3742"/>
            <w:tcMar>
              <w:top w:w="70" w:type="dxa"/>
              <w:bottom w:w="70" w:type="dxa"/>
              <w:left w:w="90" w:type="dxa"/>
              <w:right w:w="90" w:type="dxa"/>
            </w:tcMar>
            <w:vAlign w:val="top"/>
          </w:tcPr>
          <w:p>
            <w:pPr>
              <w:spacing w:before="0" w:after="80" w:line="259" w:lineRule="auto"/>
            </w:pPr>
            <w:r>
              <w:rPr>
                <w:rFonts w:ascii="Inter" w:hAnsi="Inter" w:cs="Inter" w:eastAsia="Inter"/>
                <w:b w:val="0"/>
                <w:i/>
                <w:color w:val="666666"/>
                <w:sz w:val="16"/>
              </w:rPr>
              <w:t>Who is closest to increased mainstream time right now, and what is the next step?</w:t>
            </w:r>
          </w:p>
          <w:p>
            <w:pPr>
              <w:spacing w:before="0" w:after="80" w:line="259" w:lineRule="auto"/>
            </w:pPr>
            <w:r>
              <w:rPr>
                <w:rFonts w:ascii="Inter" w:hAnsi="Inter" w:cs="Inter" w:eastAsia="Inter"/>
                <w:b w:val="0"/>
                <w:i w:val="0"/>
                <w:color w:val="1A1A1A"/>
                <w:sz w:val="18"/>
              </w:rPr>
            </w:r>
          </w:p>
        </w:tc>
        <w:tc>
          <w:tcPr>
            <w:tcW w:type="dxa" w:w="964"/>
            <w:tcMar>
              <w:top w:w="70" w:type="dxa"/>
              <w:bottom w:w="70" w:type="dxa"/>
              <w:left w:w="90" w:type="dxa"/>
              <w:right w:w="90" w:type="dxa"/>
            </w:tcMar>
            <w:shd w:val="clear" w:color="auto" w:fill="FEF6D9"/>
            <w:vAlign w:val="center"/>
          </w:tcPr>
          <w:p>
            <w:pPr>
              <w:spacing w:before="0" w:after="40" w:line="259" w:lineRule="auto"/>
            </w:pPr>
            <w:r>
              <w:rPr>
                <w:rFonts w:ascii="Inter" w:hAnsi="Inter" w:cs="Inter" w:eastAsia="Inter"/>
                <w:b w:val="0"/>
                <w:i w:val="0"/>
                <w:color w:val="1A1A1A"/>
                <w:sz w:val="18"/>
              </w:rPr>
            </w:r>
          </w:p>
          <w:p>
            <w:pPr>
              <w:spacing w:before="0" w:after="40" w:line="259" w:lineRule="auto"/>
            </w:pPr>
            <w:r>
              <w:rPr>
                <w:rFonts w:ascii="Inter" w:hAnsi="Inter" w:cs="Inter" w:eastAsia="Inter"/>
                <w:b w:val="0"/>
                <w:i w:val="0"/>
                <w:color w:val="666666"/>
                <w:sz w:val="15"/>
              </w:rPr>
              <w:t>1 to 5</w:t>
            </w:r>
          </w:p>
        </w:tc>
        <w:tc>
          <w:tcPr>
            <w:tcW w:type="dxa" w:w="3742"/>
            <w:tcMar>
              <w:top w:w="70" w:type="dxa"/>
              <w:bottom w:w="70" w:type="dxa"/>
              <w:left w:w="90" w:type="dxa"/>
              <w:right w:w="90" w:type="dxa"/>
            </w:tcMar>
            <w:vAlign w:val="top"/>
          </w:tcPr>
          <w:p>
            <w:pPr>
              <w:spacing w:before="0" w:after="40" w:line="259" w:lineRule="auto"/>
            </w:pPr>
            <w:r>
              <w:rPr>
                <w:rFonts w:ascii="Inter" w:hAnsi="Inter" w:cs="Inter" w:eastAsia="Inter"/>
                <w:b w:val="0"/>
                <w:i w:val="0"/>
                <w:color w:val="1A1A1A"/>
                <w:sz w:val="17"/>
              </w:rPr>
              <w:t>Pair this with P1.2. Tracking mainstream hours without reintegration criteria produces a number nobody acts on.</w:t>
            </w:r>
          </w:p>
        </w:tc>
        <w:tc>
          <w:tcPr>
            <w:tcW w:type="dxa" w:w="2948"/>
            <w:tcMar>
              <w:top w:w="70" w:type="dxa"/>
              <w:bottom w:w="70" w:type="dxa"/>
              <w:left w:w="90" w:type="dxa"/>
              <w:right w:w="90" w:type="dxa"/>
            </w:tcMar>
            <w:vAlign w:val="top"/>
          </w:tcPr>
          <w:p>
            <w:pPr>
              <w:spacing w:before="0" w:after="60" w:line="259" w:lineRule="auto"/>
            </w:pPr>
            <w:r>
              <w:rPr>
                <w:rFonts w:ascii="Inter" w:hAnsi="Inter" w:cs="Inter" w:eastAsia="Inter"/>
                <w:b w:val="0"/>
                <w:i w:val="0"/>
                <w:color w:val="666666"/>
                <w:sz w:val="15"/>
              </w:rPr>
              <w:t>Owner</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Target date</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Review date</w:t>
            </w:r>
          </w:p>
          <w:p>
            <w:pPr>
              <w:spacing w:before="0" w:after="60" w:line="259" w:lineRule="auto"/>
            </w:pPr>
            <w:r>
              <w:rPr>
                <w:rFonts w:ascii="Inter" w:hAnsi="Inter" w:cs="Inter" w:eastAsia="Inter"/>
                <w:b w:val="0"/>
                <w:i w:val="0"/>
                <w:color w:val="1A1A1A"/>
                <w:sz w:val="18"/>
              </w:rPr>
            </w:r>
          </w:p>
        </w:tc>
      </w:tr>
      <w:tr>
        <w:trPr>
          <w:cantSplit/>
        </w:trPr>
        <w:tc>
          <w:tcPr>
            <w:tcW w:type="dxa" w:w="15478"/>
            <w:gridSpan w:val="5"/>
            <w:shd w:val="clear" w:color="auto" w:fill="F1F7F6"/>
            <w:tcMar>
              <w:top w:w="80" w:type="dxa"/>
              <w:bottom w:w="80" w:type="dxa"/>
              <w:left w:w="90" w:type="dxa"/>
              <w:right w:w="90" w:type="dxa"/>
            </w:tcMar>
            <w:vAlign w:val="top"/>
          </w:tcPr>
          <w:p>
            <w:pPr>
              <w:spacing w:before="0" w:after="40" w:line="259" w:lineRule="auto"/>
              <w:keepNext/>
            </w:pPr>
            <w:r>
              <w:rPr>
                <w:rFonts w:ascii="Inter" w:hAnsi="Inter" w:cs="Inter" w:eastAsia="Inter"/>
                <w:b/>
                <w:i w:val="0"/>
                <w:color w:val="128770"/>
                <w:sz w:val="19"/>
              </w:rPr>
              <w:t xml:space="preserve">P3.6   </w:t>
            </w:r>
            <w:r>
              <w:rPr>
                <w:rFonts w:ascii="Inter" w:hAnsi="Inter" w:cs="Inter" w:eastAsia="Inter"/>
                <w:b/>
                <w:i w:val="0"/>
                <w:color w:val="1A1A1A"/>
                <w:sz w:val="19"/>
              </w:rPr>
              <w:t>Quality assurance of the base is as rigorous as for mainstream classes, and builds on existing whole-school arrangements.</w:t>
            </w:r>
          </w:p>
          <w:p>
            <w:pPr>
              <w:spacing w:before="0" w:after="40" w:line="259" w:lineRule="auto"/>
              <w:keepNext/>
            </w:pPr>
            <w:r>
              <w:rPr>
                <w:rFonts w:ascii="Inter" w:hAnsi="Inter" w:cs="Inter" w:eastAsia="Inter"/>
                <w:b w:val="0"/>
                <w:i/>
                <w:color w:val="666666"/>
                <w:sz w:val="15"/>
              </w:rPr>
              <w:t>Whole school  ·  Guidance: “The arrangements for monitoring the quality of education in an inclusion base should be as rigorous as those used for mainstream classes. Schools, commissioners, and responsible bodies should ensure that timely and rigorous quality assurance processes are in place.”</w:t>
            </w:r>
          </w:p>
        </w:tc>
      </w:tr>
      <w:tr>
        <w:trPr>
          <w:trHeight w:val="1701" w:hRule="atLeast"/>
          <w:cantSplit/>
        </w:trPr>
        <w:tc>
          <w:tcPr>
            <w:tcW w:type="dxa" w:w="4082"/>
            <w:tcMar>
              <w:top w:w="70" w:type="dxa"/>
              <w:bottom w:w="70" w:type="dxa"/>
              <w:left w:w="90" w:type="dxa"/>
              <w:right w:w="90" w:type="dxa"/>
            </w:tcMar>
            <w:vAlign w:val="top"/>
          </w:tcPr>
          <w:p>
            <w:pPr>
              <w:spacing w:before="0" w:after="80" w:line="259" w:lineRule="auto"/>
            </w:pPr>
            <w:r>
              <w:rPr>
                <w:rFonts w:ascii="Inter" w:hAnsi="Inter" w:cs="Inter" w:eastAsia="Inter"/>
                <w:b/>
                <w:i w:val="0"/>
                <w:color w:val="128770"/>
                <w:sz w:val="17"/>
              </w:rPr>
              <w:t xml:space="preserve">1  </w:t>
            </w:r>
            <w:r>
              <w:rPr>
                <w:rFonts w:ascii="Inter" w:hAnsi="Inter" w:cs="Inter" w:eastAsia="Inter"/>
                <w:b w:val="0"/>
                <w:i w:val="0"/>
                <w:color w:val="1A1A1A"/>
                <w:sz w:val="17"/>
              </w:rPr>
              <w:t>The base is not included in whole-school monitoring.</w:t>
            </w:r>
          </w:p>
          <w:p>
            <w:pPr>
              <w:spacing w:before="0" w:after="80" w:line="259" w:lineRule="auto"/>
            </w:pPr>
            <w:r>
              <w:rPr>
                <w:rFonts w:ascii="Inter" w:hAnsi="Inter" w:cs="Inter" w:eastAsia="Inter"/>
                <w:b/>
                <w:i w:val="0"/>
                <w:color w:val="128770"/>
                <w:sz w:val="17"/>
              </w:rPr>
              <w:t xml:space="preserve">3  </w:t>
            </w:r>
            <w:r>
              <w:rPr>
                <w:rFonts w:ascii="Inter" w:hAnsi="Inter" w:cs="Inter" w:eastAsia="Inter"/>
                <w:b w:val="0"/>
                <w:i w:val="0"/>
                <w:color w:val="1A1A1A"/>
                <w:sz w:val="17"/>
              </w:rPr>
              <w:t>The base is monitored, but by a lighter or different process.</w:t>
            </w:r>
          </w:p>
          <w:p>
            <w:pPr>
              <w:spacing w:before="0" w:after="80" w:line="259" w:lineRule="auto"/>
            </w:pPr>
            <w:r>
              <w:rPr>
                <w:rFonts w:ascii="Inter" w:hAnsi="Inter" w:cs="Inter" w:eastAsia="Inter"/>
                <w:b/>
                <w:i w:val="0"/>
                <w:color w:val="128770"/>
                <w:sz w:val="17"/>
              </w:rPr>
              <w:t xml:space="preserve">5  </w:t>
            </w:r>
            <w:r>
              <w:rPr>
                <w:rFonts w:ascii="Inter" w:hAnsi="Inter" w:cs="Inter" w:eastAsia="Inter"/>
                <w:b w:val="0"/>
                <w:i w:val="0"/>
                <w:color w:val="1A1A1A"/>
                <w:sz w:val="17"/>
              </w:rPr>
              <w:t>The base sits inside the standard monitoring cycle, with the same rigour and the same consequences.</w:t>
            </w:r>
          </w:p>
        </w:tc>
        <w:tc>
          <w:tcPr>
            <w:tcW w:type="dxa" w:w="3742"/>
            <w:tcMar>
              <w:top w:w="70" w:type="dxa"/>
              <w:bottom w:w="70" w:type="dxa"/>
              <w:left w:w="90" w:type="dxa"/>
              <w:right w:w="90" w:type="dxa"/>
            </w:tcMar>
            <w:vAlign w:val="top"/>
          </w:tcPr>
          <w:p>
            <w:pPr>
              <w:spacing w:before="0" w:after="80" w:line="259" w:lineRule="auto"/>
            </w:pPr>
            <w:r>
              <w:rPr>
                <w:rFonts w:ascii="Inter" w:hAnsi="Inter" w:cs="Inter" w:eastAsia="Inter"/>
                <w:b w:val="0"/>
                <w:i/>
                <w:color w:val="666666"/>
                <w:sz w:val="16"/>
              </w:rPr>
              <w:t>When was teaching in the base last observed, by whom, and against which standard?</w:t>
            </w:r>
          </w:p>
          <w:p>
            <w:pPr>
              <w:spacing w:before="0" w:after="80" w:line="259" w:lineRule="auto"/>
            </w:pPr>
            <w:r>
              <w:rPr>
                <w:rFonts w:ascii="Inter" w:hAnsi="Inter" w:cs="Inter" w:eastAsia="Inter"/>
                <w:b w:val="0"/>
                <w:i w:val="0"/>
                <w:color w:val="1A1A1A"/>
                <w:sz w:val="18"/>
              </w:rPr>
            </w:r>
          </w:p>
        </w:tc>
        <w:tc>
          <w:tcPr>
            <w:tcW w:type="dxa" w:w="964"/>
            <w:tcMar>
              <w:top w:w="70" w:type="dxa"/>
              <w:bottom w:w="70" w:type="dxa"/>
              <w:left w:w="90" w:type="dxa"/>
              <w:right w:w="90" w:type="dxa"/>
            </w:tcMar>
            <w:shd w:val="clear" w:color="auto" w:fill="FEF6D9"/>
            <w:vAlign w:val="center"/>
          </w:tcPr>
          <w:p>
            <w:pPr>
              <w:spacing w:before="0" w:after="40" w:line="259" w:lineRule="auto"/>
            </w:pPr>
            <w:r>
              <w:rPr>
                <w:rFonts w:ascii="Inter" w:hAnsi="Inter" w:cs="Inter" w:eastAsia="Inter"/>
                <w:b w:val="0"/>
                <w:i w:val="0"/>
                <w:color w:val="1A1A1A"/>
                <w:sz w:val="18"/>
              </w:rPr>
            </w:r>
          </w:p>
          <w:p>
            <w:pPr>
              <w:spacing w:before="0" w:after="40" w:line="259" w:lineRule="auto"/>
            </w:pPr>
            <w:r>
              <w:rPr>
                <w:rFonts w:ascii="Inter" w:hAnsi="Inter" w:cs="Inter" w:eastAsia="Inter"/>
                <w:b w:val="0"/>
                <w:i w:val="0"/>
                <w:color w:val="666666"/>
                <w:sz w:val="15"/>
              </w:rPr>
              <w:t>1 to 5</w:t>
            </w:r>
          </w:p>
        </w:tc>
        <w:tc>
          <w:tcPr>
            <w:tcW w:type="dxa" w:w="3742"/>
            <w:tcMar>
              <w:top w:w="70" w:type="dxa"/>
              <w:bottom w:w="70" w:type="dxa"/>
              <w:left w:w="90" w:type="dxa"/>
              <w:right w:w="90" w:type="dxa"/>
            </w:tcMar>
            <w:vAlign w:val="top"/>
          </w:tcPr>
          <w:p>
            <w:pPr>
              <w:spacing w:before="0" w:after="40" w:line="259" w:lineRule="auto"/>
            </w:pPr>
            <w:r>
              <w:rPr>
                <w:rFonts w:ascii="Inter" w:hAnsi="Inter" w:cs="Inter" w:eastAsia="Inter"/>
                <w:b w:val="0"/>
                <w:i w:val="0"/>
                <w:color w:val="1A1A1A"/>
                <w:sz w:val="17"/>
              </w:rPr>
              <w:t>Where a school has an inclusion base, Ofsted inspects it as part of the school. Monitoring it more lightly than mainstream is both an inspection risk and a signal to staff about its status.</w:t>
            </w:r>
          </w:p>
        </w:tc>
        <w:tc>
          <w:tcPr>
            <w:tcW w:type="dxa" w:w="2948"/>
            <w:tcMar>
              <w:top w:w="70" w:type="dxa"/>
              <w:bottom w:w="70" w:type="dxa"/>
              <w:left w:w="90" w:type="dxa"/>
              <w:right w:w="90" w:type="dxa"/>
            </w:tcMar>
            <w:vAlign w:val="top"/>
          </w:tcPr>
          <w:p>
            <w:pPr>
              <w:spacing w:before="0" w:after="60" w:line="259" w:lineRule="auto"/>
            </w:pPr>
            <w:r>
              <w:rPr>
                <w:rFonts w:ascii="Inter" w:hAnsi="Inter" w:cs="Inter" w:eastAsia="Inter"/>
                <w:b w:val="0"/>
                <w:i w:val="0"/>
                <w:color w:val="666666"/>
                <w:sz w:val="15"/>
              </w:rPr>
              <w:t>Owner</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Target date</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Review date</w:t>
            </w:r>
          </w:p>
          <w:p>
            <w:pPr>
              <w:spacing w:before="0" w:after="60" w:line="259" w:lineRule="auto"/>
            </w:pPr>
            <w:r>
              <w:rPr>
                <w:rFonts w:ascii="Inter" w:hAnsi="Inter" w:cs="Inter" w:eastAsia="Inter"/>
                <w:b w:val="0"/>
                <w:i w:val="0"/>
                <w:color w:val="1A1A1A"/>
                <w:sz w:val="18"/>
              </w:rPr>
            </w:r>
          </w:p>
        </w:tc>
      </w:tr>
      <w:tr>
        <w:trPr>
          <w:cantSplit/>
        </w:trPr>
        <w:tc>
          <w:tcPr>
            <w:tcW w:type="dxa" w:w="15478"/>
            <w:gridSpan w:val="5"/>
            <w:shd w:val="clear" w:color="auto" w:fill="F1F7F6"/>
            <w:tcMar>
              <w:top w:w="80" w:type="dxa"/>
              <w:bottom w:w="80" w:type="dxa"/>
              <w:left w:w="90" w:type="dxa"/>
              <w:right w:w="90" w:type="dxa"/>
            </w:tcMar>
            <w:vAlign w:val="top"/>
          </w:tcPr>
          <w:p>
            <w:pPr>
              <w:spacing w:before="0" w:after="40" w:line="259" w:lineRule="auto"/>
              <w:keepNext/>
            </w:pPr>
            <w:r>
              <w:rPr>
                <w:rFonts w:ascii="Inter" w:hAnsi="Inter" w:cs="Inter" w:eastAsia="Inter"/>
                <w:b/>
                <w:i w:val="0"/>
                <w:color w:val="128770"/>
                <w:sz w:val="19"/>
              </w:rPr>
              <w:t xml:space="preserve">P3.7   </w:t>
            </w:r>
            <w:r>
              <w:rPr>
                <w:rFonts w:ascii="Inter" w:hAnsi="Inter" w:cs="Inter" w:eastAsia="Inter"/>
                <w:b/>
                <w:i w:val="0"/>
                <w:color w:val="1A1A1A"/>
                <w:sz w:val="19"/>
              </w:rPr>
              <w:t>You regularly review the profile of learners accessing the base to identify trends, including how overlapping characteristics shape experience.</w:t>
            </w:r>
            <w:r>
              <w:rPr>
                <w:rFonts w:ascii="Inter" w:hAnsi="Inter" w:cs="Inter" w:eastAsia="Inter"/>
                <w:b/>
                <w:i w:val="0"/>
                <w:color w:val="D35400"/>
                <w:sz w:val="17"/>
              </w:rPr>
              <w:t xml:space="preserve">   MUST  ·  existing legal duty</w:t>
            </w:r>
          </w:p>
          <w:p>
            <w:pPr>
              <w:spacing w:before="0" w:after="40" w:line="259" w:lineRule="auto"/>
              <w:keepNext/>
            </w:pPr>
            <w:r>
              <w:rPr>
                <w:rFonts w:ascii="Inter" w:hAnsi="Inter" w:cs="Inter" w:eastAsia="Inter"/>
                <w:b w:val="0"/>
                <w:i/>
                <w:color w:val="666666"/>
                <w:sz w:val="15"/>
              </w:rPr>
              <w:t>Whole school  ·  Guidance: “They should regularly review the profile of children and young people accessing the base to identify any potential trends, and consider how the interconnected nature of social categorisations shape children and young people's and families' experiences of education. All practice must be consistent with the duties set out in the Equality Act 2010.”</w:t>
            </w:r>
          </w:p>
        </w:tc>
      </w:tr>
      <w:tr>
        <w:trPr>
          <w:trHeight w:val="1701" w:hRule="atLeast"/>
          <w:cantSplit/>
        </w:trPr>
        <w:tc>
          <w:tcPr>
            <w:tcW w:type="dxa" w:w="4082"/>
            <w:tcMar>
              <w:top w:w="70" w:type="dxa"/>
              <w:bottom w:w="70" w:type="dxa"/>
              <w:left w:w="90" w:type="dxa"/>
              <w:right w:w="90" w:type="dxa"/>
            </w:tcMar>
            <w:vAlign w:val="top"/>
          </w:tcPr>
          <w:p>
            <w:pPr>
              <w:spacing w:before="0" w:after="80" w:line="259" w:lineRule="auto"/>
            </w:pPr>
            <w:r>
              <w:rPr>
                <w:rFonts w:ascii="Inter" w:hAnsi="Inter" w:cs="Inter" w:eastAsia="Inter"/>
                <w:b/>
                <w:i w:val="0"/>
                <w:color w:val="128770"/>
                <w:sz w:val="17"/>
              </w:rPr>
              <w:t xml:space="preserve">1  </w:t>
            </w:r>
            <w:r>
              <w:rPr>
                <w:rFonts w:ascii="Inter" w:hAnsi="Inter" w:cs="Inter" w:eastAsia="Inter"/>
                <w:b w:val="0"/>
                <w:i w:val="0"/>
                <w:color w:val="1A1A1A"/>
                <w:sz w:val="17"/>
              </w:rPr>
              <w:t>No profile review takes place.</w:t>
            </w:r>
          </w:p>
          <w:p>
            <w:pPr>
              <w:spacing w:before="0" w:after="80" w:line="259" w:lineRule="auto"/>
            </w:pPr>
            <w:r>
              <w:rPr>
                <w:rFonts w:ascii="Inter" w:hAnsi="Inter" w:cs="Inter" w:eastAsia="Inter"/>
                <w:b/>
                <w:i w:val="0"/>
                <w:color w:val="128770"/>
                <w:sz w:val="17"/>
              </w:rPr>
              <w:t xml:space="preserve">3  </w:t>
            </w:r>
            <w:r>
              <w:rPr>
                <w:rFonts w:ascii="Inter" w:hAnsi="Inter" w:cs="Inter" w:eastAsia="Inter"/>
                <w:b w:val="0"/>
                <w:i w:val="0"/>
                <w:color w:val="1A1A1A"/>
                <w:sz w:val="17"/>
              </w:rPr>
              <w:t>Numbers are reviewed; patterns by characteristic are not examined.</w:t>
            </w:r>
          </w:p>
          <w:p>
            <w:pPr>
              <w:spacing w:before="0" w:after="80" w:line="259" w:lineRule="auto"/>
            </w:pPr>
            <w:r>
              <w:rPr>
                <w:rFonts w:ascii="Inter" w:hAnsi="Inter" w:cs="Inter" w:eastAsia="Inter"/>
                <w:b/>
                <w:i w:val="0"/>
                <w:color w:val="128770"/>
                <w:sz w:val="17"/>
              </w:rPr>
              <w:t xml:space="preserve">5  </w:t>
            </w:r>
            <w:r>
              <w:rPr>
                <w:rFonts w:ascii="Inter" w:hAnsi="Inter" w:cs="Inter" w:eastAsia="Inter"/>
                <w:b w:val="0"/>
                <w:i w:val="0"/>
                <w:color w:val="1A1A1A"/>
                <w:sz w:val="17"/>
              </w:rPr>
              <w:t>The profile is reviewed on a cycle, disproportionality is examined explicitly, and findings change practice.</w:t>
            </w:r>
          </w:p>
        </w:tc>
        <w:tc>
          <w:tcPr>
            <w:tcW w:type="dxa" w:w="3742"/>
            <w:tcMar>
              <w:top w:w="70" w:type="dxa"/>
              <w:bottom w:w="70" w:type="dxa"/>
              <w:left w:w="90" w:type="dxa"/>
              <w:right w:w="90" w:type="dxa"/>
            </w:tcMar>
            <w:vAlign w:val="top"/>
          </w:tcPr>
          <w:p>
            <w:pPr>
              <w:spacing w:before="0" w:after="80" w:line="259" w:lineRule="auto"/>
            </w:pPr>
            <w:r>
              <w:rPr>
                <w:rFonts w:ascii="Inter" w:hAnsi="Inter" w:cs="Inter" w:eastAsia="Inter"/>
                <w:b w:val="0"/>
                <w:i/>
                <w:color w:val="666666"/>
                <w:sz w:val="16"/>
              </w:rPr>
              <w:t>Is any group over-represented in your base relative to your school population?</w:t>
            </w:r>
          </w:p>
          <w:p>
            <w:pPr>
              <w:spacing w:before="0" w:after="80" w:line="259" w:lineRule="auto"/>
            </w:pPr>
            <w:r>
              <w:rPr>
                <w:rFonts w:ascii="Inter" w:hAnsi="Inter" w:cs="Inter" w:eastAsia="Inter"/>
                <w:b w:val="0"/>
                <w:i w:val="0"/>
                <w:color w:val="1A1A1A"/>
                <w:sz w:val="18"/>
              </w:rPr>
            </w:r>
          </w:p>
        </w:tc>
        <w:tc>
          <w:tcPr>
            <w:tcW w:type="dxa" w:w="964"/>
            <w:tcMar>
              <w:top w:w="70" w:type="dxa"/>
              <w:bottom w:w="70" w:type="dxa"/>
              <w:left w:w="90" w:type="dxa"/>
              <w:right w:w="90" w:type="dxa"/>
            </w:tcMar>
            <w:shd w:val="clear" w:color="auto" w:fill="FEF6D9"/>
            <w:vAlign w:val="center"/>
          </w:tcPr>
          <w:p>
            <w:pPr>
              <w:spacing w:before="0" w:after="40" w:line="259" w:lineRule="auto"/>
            </w:pPr>
            <w:r>
              <w:rPr>
                <w:rFonts w:ascii="Inter" w:hAnsi="Inter" w:cs="Inter" w:eastAsia="Inter"/>
                <w:b w:val="0"/>
                <w:i w:val="0"/>
                <w:color w:val="1A1A1A"/>
                <w:sz w:val="18"/>
              </w:rPr>
            </w:r>
          </w:p>
          <w:p>
            <w:pPr>
              <w:spacing w:before="0" w:after="40" w:line="259" w:lineRule="auto"/>
            </w:pPr>
            <w:r>
              <w:rPr>
                <w:rFonts w:ascii="Inter" w:hAnsi="Inter" w:cs="Inter" w:eastAsia="Inter"/>
                <w:b w:val="0"/>
                <w:i w:val="0"/>
                <w:color w:val="666666"/>
                <w:sz w:val="15"/>
              </w:rPr>
              <w:t>1 to 5</w:t>
            </w:r>
          </w:p>
        </w:tc>
        <w:tc>
          <w:tcPr>
            <w:tcW w:type="dxa" w:w="3742"/>
            <w:tcMar>
              <w:top w:w="70" w:type="dxa"/>
              <w:bottom w:w="70" w:type="dxa"/>
              <w:left w:w="90" w:type="dxa"/>
              <w:right w:w="90" w:type="dxa"/>
            </w:tcMar>
            <w:vAlign w:val="top"/>
          </w:tcPr>
          <w:p>
            <w:pPr>
              <w:spacing w:before="0" w:after="40" w:line="259" w:lineRule="auto"/>
            </w:pPr>
            <w:r>
              <w:rPr>
                <w:rFonts w:ascii="Inter" w:hAnsi="Inter" w:cs="Inter" w:eastAsia="Inter"/>
                <w:b/>
                <w:i w:val="0"/>
                <w:color w:val="D35400"/>
                <w:sz w:val="17"/>
              </w:rPr>
              <w:t>MUST:</w:t>
            </w:r>
            <w:r>
              <w:rPr>
                <w:rFonts w:ascii="Inter" w:hAnsi="Inter" w:cs="Inter" w:eastAsia="Inter"/>
                <w:b w:val="0"/>
                <w:i w:val="0"/>
                <w:color w:val="1A1A1A"/>
                <w:sz w:val="17"/>
              </w:rPr>
              <w:t xml:space="preserve"> all practice must be consistent with the Equality Act 2010. Sutton Trust research indicates SEND identification varies by school attended rather than clinical profile - your base profile is partly a product of your own thresholds.</w:t>
            </w:r>
          </w:p>
        </w:tc>
        <w:tc>
          <w:tcPr>
            <w:tcW w:type="dxa" w:w="2948"/>
            <w:tcMar>
              <w:top w:w="70" w:type="dxa"/>
              <w:bottom w:w="70" w:type="dxa"/>
              <w:left w:w="90" w:type="dxa"/>
              <w:right w:w="90" w:type="dxa"/>
            </w:tcMar>
            <w:vAlign w:val="top"/>
          </w:tcPr>
          <w:p>
            <w:pPr>
              <w:spacing w:before="0" w:after="60" w:line="259" w:lineRule="auto"/>
            </w:pPr>
            <w:r>
              <w:rPr>
                <w:rFonts w:ascii="Inter" w:hAnsi="Inter" w:cs="Inter" w:eastAsia="Inter"/>
                <w:b w:val="0"/>
                <w:i w:val="0"/>
                <w:color w:val="666666"/>
                <w:sz w:val="15"/>
              </w:rPr>
              <w:t>Owner</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Target date</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Review date</w:t>
            </w:r>
          </w:p>
          <w:p>
            <w:pPr>
              <w:spacing w:before="0" w:after="60" w:line="259" w:lineRule="auto"/>
            </w:pPr>
            <w:r>
              <w:rPr>
                <w:rFonts w:ascii="Inter" w:hAnsi="Inter" w:cs="Inter" w:eastAsia="Inter"/>
                <w:b w:val="0"/>
                <w:i w:val="0"/>
                <w:color w:val="1A1A1A"/>
                <w:sz w:val="18"/>
              </w:rPr>
            </w:r>
          </w:p>
        </w:tc>
      </w:tr>
    </w:tbl>
    <w:p>
      <w:pPr>
        <w:spacing w:after="0" w:before="0" w:line="240" w:lineRule="auto"/>
        <w:pageBreakBefore/>
      </w:pPr>
      <w:r>
        <w:rPr>
          <w:rFonts w:ascii="Inter" w:hAnsi="Inter" w:cs="Inter" w:eastAsia="Inter"/>
          <w:b w:val="0"/>
          <w:i w:val="0"/>
          <w:color w:val="1A1A1A"/>
          <w:sz w:val="2"/>
        </w:rPr>
      </w:r>
    </w:p>
    <w:tbl>
      <w:tblPr>
        <w:tblW w:type="auto" w:w="0"/>
        <w:tblLayout w:type="fixed"/>
        <w:tblLook w:firstColumn="1" w:firstRow="1" w:lastColumn="0" w:lastRow="0" w:noHBand="0" w:noVBand="1" w:val="04A0"/>
      </w:tblPr>
      <w:tblGrid>
        <w:gridCol w:w="15478"/>
      </w:tblGrid>
      <w:tr>
        <w:tc>
          <w:tcPr>
            <w:tcW w:type="dxa" w:w="15477"/>
            <w:shd w:val="clear" w:color="auto" w:fill="128770"/>
            <w:tcMar>
              <w:top w:w="130" w:type="dxa"/>
              <w:bottom w:w="130" w:type="dxa"/>
              <w:left w:w="160" w:type="dxa"/>
              <w:right w:w="160" w:type="dxa"/>
            </w:tcMar>
            <w:vAlign w:val="top"/>
          </w:tcPr>
          <w:p>
            <w:pPr>
              <w:spacing w:before="0" w:after="40" w:line="259" w:lineRule="auto"/>
            </w:pPr>
            <w:r>
              <w:rPr>
                <w:rFonts w:ascii="Lexend" w:hAnsi="Lexend" w:cs="Lexend" w:eastAsia="Lexend"/>
                <w:b/>
                <w:i w:val="0"/>
                <w:color w:val="FFFFFF"/>
                <w:sz w:val="30"/>
              </w:rPr>
              <w:t xml:space="preserve">P4   </w:t>
            </w:r>
            <w:r>
              <w:rPr>
                <w:rFonts w:ascii="Lexend" w:hAnsi="Lexend" w:cs="Lexend" w:eastAsia="Lexend"/>
                <w:b/>
                <w:i w:val="0"/>
                <w:color w:val="FFFFFF"/>
                <w:sz w:val="30"/>
              </w:rPr>
              <w:t>Effective workforce and leadership</w:t>
            </w:r>
          </w:p>
          <w:p>
            <w:pPr>
              <w:spacing w:before="0" w:after="40" w:line="259" w:lineRule="auto"/>
            </w:pPr>
            <w:r>
              <w:rPr>
                <w:rFonts w:ascii="Inter" w:hAnsi="Inter" w:cs="Inter" w:eastAsia="Inter"/>
                <w:b w:val="0"/>
                <w:i w:val="0"/>
                <w:color w:val="FFFFFF"/>
                <w:sz w:val="17"/>
              </w:rPr>
              <w:t>Guidance pages 25-28  ·  8 criteria  ·  EEF: Recommendation 5: Work effectively with teaching assistants; Recommendation 4: Complement high quality teaching with carefully selected interventions</w:t>
            </w:r>
          </w:p>
        </w:tc>
      </w:tr>
    </w:tbl>
    <w:p>
      <w:pPr>
        <w:spacing w:after="80" w:before="0" w:line="276" w:lineRule="auto"/>
      </w:pPr>
    </w:p>
    <w:tbl>
      <w:tblPr>
        <w:tblStyle w:val="TableGrid"/>
        <w:tblW w:type="auto" w:w="0"/>
        <w:tblLayout w:type="fixed"/>
        <w:tblLook w:firstColumn="1" w:firstRow="1" w:lastColumn="0" w:lastRow="0" w:noHBand="0" w:noVBand="1" w:val="04A0"/>
      </w:tblPr>
      <w:tblGrid>
        <w:gridCol w:w="3096"/>
        <w:gridCol w:w="3096"/>
        <w:gridCol w:w="3096"/>
        <w:gridCol w:w="3096"/>
        <w:gridCol w:w="3096"/>
      </w:tblGrid>
      <w:tr>
        <w:trPr>
          <w:tblHeader w:val="true"/>
        </w:trPr>
        <w:tc>
          <w:tcPr>
            <w:tcW w:type="dxa" w:w="4082"/>
            <w:shd w:val="clear" w:color="auto" w:fill="D6E9E5"/>
            <w:tcMar>
              <w:top w:w="70" w:type="dxa"/>
              <w:bottom w:w="70" w:type="dxa"/>
              <w:left w:w="90" w:type="dxa"/>
              <w:right w:w="90" w:type="dxa"/>
            </w:tcMar>
            <w:vAlign w:val="top"/>
          </w:tcPr>
          <w:p>
            <w:pPr>
              <w:spacing w:before="0" w:after="40" w:line="259" w:lineRule="auto"/>
            </w:pPr>
            <w:r>
              <w:rPr>
                <w:rFonts w:ascii="Inter" w:hAnsi="Inter" w:cs="Inter" w:eastAsia="Inter"/>
                <w:b/>
                <w:i w:val="0"/>
                <w:color w:val="128770"/>
                <w:sz w:val="17"/>
              </w:rPr>
              <w:t>What good looks like</w:t>
            </w:r>
          </w:p>
        </w:tc>
        <w:tc>
          <w:tcPr>
            <w:tcW w:type="dxa" w:w="3742"/>
            <w:shd w:val="clear" w:color="auto" w:fill="D6E9E5"/>
            <w:tcMar>
              <w:top w:w="70" w:type="dxa"/>
              <w:bottom w:w="70" w:type="dxa"/>
              <w:left w:w="90" w:type="dxa"/>
              <w:right w:w="90" w:type="dxa"/>
            </w:tcMar>
            <w:vAlign w:val="top"/>
          </w:tcPr>
          <w:p>
            <w:pPr>
              <w:spacing w:before="0" w:after="40" w:line="259" w:lineRule="auto"/>
            </w:pPr>
            <w:r>
              <w:rPr>
                <w:rFonts w:ascii="Inter" w:hAnsi="Inter" w:cs="Inter" w:eastAsia="Inter"/>
                <w:b/>
                <w:i w:val="0"/>
                <w:color w:val="128770"/>
                <w:sz w:val="17"/>
              </w:rPr>
              <w:t>Your evidence  (fill this in FIRST)</w:t>
            </w:r>
          </w:p>
        </w:tc>
        <w:tc>
          <w:tcPr>
            <w:tcW w:type="dxa" w:w="964"/>
            <w:shd w:val="clear" w:color="auto" w:fill="FEF6D9"/>
            <w:tcMar>
              <w:top w:w="70" w:type="dxa"/>
              <w:bottom w:w="70" w:type="dxa"/>
              <w:left w:w="90" w:type="dxa"/>
              <w:right w:w="90" w:type="dxa"/>
            </w:tcMar>
            <w:vAlign w:val="top"/>
          </w:tcPr>
          <w:p>
            <w:pPr>
              <w:spacing w:before="0" w:after="40" w:line="259" w:lineRule="auto"/>
            </w:pPr>
            <w:r>
              <w:rPr>
                <w:rFonts w:ascii="Inter" w:hAnsi="Inter" w:cs="Inter" w:eastAsia="Inter"/>
                <w:b/>
                <w:i w:val="0"/>
                <w:color w:val="128770"/>
                <w:sz w:val="17"/>
              </w:rPr>
              <w:t>Rating</w:t>
            </w:r>
          </w:p>
        </w:tc>
        <w:tc>
          <w:tcPr>
            <w:tcW w:type="dxa" w:w="3742"/>
            <w:shd w:val="clear" w:color="auto" w:fill="D6E9E5"/>
            <w:tcMar>
              <w:top w:w="70" w:type="dxa"/>
              <w:bottom w:w="70" w:type="dxa"/>
              <w:left w:w="90" w:type="dxa"/>
              <w:right w:w="90" w:type="dxa"/>
            </w:tcMar>
            <w:vAlign w:val="top"/>
          </w:tcPr>
          <w:p>
            <w:pPr>
              <w:spacing w:before="0" w:after="40" w:line="259" w:lineRule="auto"/>
            </w:pPr>
            <w:r>
              <w:rPr>
                <w:rFonts w:ascii="Inter" w:hAnsi="Inter" w:cs="Inter" w:eastAsia="Inter"/>
                <w:b/>
                <w:i w:val="0"/>
                <w:color w:val="128770"/>
                <w:sz w:val="17"/>
              </w:rPr>
              <w:t>Suggested next step</w:t>
            </w:r>
          </w:p>
        </w:tc>
        <w:tc>
          <w:tcPr>
            <w:tcW w:type="dxa" w:w="2948"/>
            <w:shd w:val="clear" w:color="auto" w:fill="D6E9E5"/>
            <w:tcMar>
              <w:top w:w="70" w:type="dxa"/>
              <w:bottom w:w="70" w:type="dxa"/>
              <w:left w:w="90" w:type="dxa"/>
              <w:right w:w="90" w:type="dxa"/>
            </w:tcMar>
            <w:vAlign w:val="top"/>
          </w:tcPr>
          <w:p>
            <w:pPr>
              <w:spacing w:before="0" w:after="40" w:line="259" w:lineRule="auto"/>
            </w:pPr>
            <w:r>
              <w:rPr>
                <w:rFonts w:ascii="Inter" w:hAnsi="Inter" w:cs="Inter" w:eastAsia="Inter"/>
                <w:b/>
                <w:i w:val="0"/>
                <w:color w:val="128770"/>
                <w:sz w:val="17"/>
              </w:rPr>
              <w:t>Owner / date / review date</w:t>
            </w:r>
          </w:p>
        </w:tc>
      </w:tr>
      <w:tr>
        <w:trPr>
          <w:cantSplit/>
        </w:trPr>
        <w:tc>
          <w:tcPr>
            <w:tcW w:type="dxa" w:w="15478"/>
            <w:gridSpan w:val="5"/>
            <w:shd w:val="clear" w:color="auto" w:fill="F1F7F6"/>
            <w:tcMar>
              <w:top w:w="80" w:type="dxa"/>
              <w:bottom w:w="80" w:type="dxa"/>
              <w:left w:w="90" w:type="dxa"/>
              <w:right w:w="90" w:type="dxa"/>
            </w:tcMar>
            <w:vAlign w:val="top"/>
          </w:tcPr>
          <w:p>
            <w:pPr>
              <w:spacing w:before="0" w:after="40" w:line="259" w:lineRule="auto"/>
              <w:keepNext/>
            </w:pPr>
            <w:r>
              <w:rPr>
                <w:rFonts w:ascii="Inter" w:hAnsi="Inter" w:cs="Inter" w:eastAsia="Inter"/>
                <w:b/>
                <w:i w:val="0"/>
                <w:color w:val="128770"/>
                <w:sz w:val="19"/>
              </w:rPr>
              <w:t xml:space="preserve">P4.1   </w:t>
            </w:r>
            <w:r>
              <w:rPr>
                <w:rFonts w:ascii="Inter" w:hAnsi="Inter" w:cs="Inter" w:eastAsia="Inter"/>
                <w:b/>
                <w:i w:val="0"/>
                <w:color w:val="1A1A1A"/>
                <w:sz w:val="19"/>
              </w:rPr>
              <w:t>Day-to-day operational responsibility for the base lies with a teacher.</w:t>
            </w:r>
          </w:p>
          <w:p>
            <w:pPr>
              <w:spacing w:before="0" w:after="40" w:line="259" w:lineRule="auto"/>
              <w:keepNext/>
            </w:pPr>
            <w:r>
              <w:rPr>
                <w:rFonts w:ascii="Inter" w:hAnsi="Inter" w:cs="Inter" w:eastAsia="Inter"/>
                <w:b w:val="0"/>
                <w:i/>
                <w:color w:val="666666"/>
                <w:sz w:val="15"/>
              </w:rPr>
              <w:t>Base  ·  Guidance: “Operational (day to day) responsibility for the base should lie with a teacher.”</w:t>
            </w:r>
          </w:p>
        </w:tc>
      </w:tr>
      <w:tr>
        <w:trPr>
          <w:trHeight w:val="1701" w:hRule="atLeast"/>
          <w:cantSplit/>
        </w:trPr>
        <w:tc>
          <w:tcPr>
            <w:tcW w:type="dxa" w:w="4082"/>
            <w:tcMar>
              <w:top w:w="70" w:type="dxa"/>
              <w:bottom w:w="70" w:type="dxa"/>
              <w:left w:w="90" w:type="dxa"/>
              <w:right w:w="90" w:type="dxa"/>
            </w:tcMar>
            <w:vAlign w:val="top"/>
          </w:tcPr>
          <w:p>
            <w:pPr>
              <w:spacing w:before="0" w:after="80" w:line="259" w:lineRule="auto"/>
            </w:pPr>
            <w:r>
              <w:rPr>
                <w:rFonts w:ascii="Inter" w:hAnsi="Inter" w:cs="Inter" w:eastAsia="Inter"/>
                <w:b/>
                <w:i w:val="0"/>
                <w:color w:val="128770"/>
                <w:sz w:val="17"/>
              </w:rPr>
              <w:t xml:space="preserve">1  </w:t>
            </w:r>
            <w:r>
              <w:rPr>
                <w:rFonts w:ascii="Inter" w:hAnsi="Inter" w:cs="Inter" w:eastAsia="Inter"/>
                <w:b w:val="0"/>
                <w:i w:val="0"/>
                <w:color w:val="1A1A1A"/>
                <w:sz w:val="17"/>
              </w:rPr>
              <w:t>The base is run day to day by support staff.</w:t>
            </w:r>
          </w:p>
          <w:p>
            <w:pPr>
              <w:spacing w:before="0" w:after="80" w:line="259" w:lineRule="auto"/>
            </w:pPr>
            <w:r>
              <w:rPr>
                <w:rFonts w:ascii="Inter" w:hAnsi="Inter" w:cs="Inter" w:eastAsia="Inter"/>
                <w:b/>
                <w:i w:val="0"/>
                <w:color w:val="128770"/>
                <w:sz w:val="17"/>
              </w:rPr>
              <w:t xml:space="preserve">3  </w:t>
            </w:r>
            <w:r>
              <w:rPr>
                <w:rFonts w:ascii="Inter" w:hAnsi="Inter" w:cs="Inter" w:eastAsia="Inter"/>
                <w:b w:val="0"/>
                <w:i w:val="0"/>
                <w:color w:val="1A1A1A"/>
                <w:sz w:val="17"/>
              </w:rPr>
              <w:t>A teacher is nominally responsible but is not present or is stretched across other duties.</w:t>
            </w:r>
          </w:p>
          <w:p>
            <w:pPr>
              <w:spacing w:before="0" w:after="80" w:line="259" w:lineRule="auto"/>
            </w:pPr>
            <w:r>
              <w:rPr>
                <w:rFonts w:ascii="Inter" w:hAnsi="Inter" w:cs="Inter" w:eastAsia="Inter"/>
                <w:b/>
                <w:i w:val="0"/>
                <w:color w:val="128770"/>
                <w:sz w:val="17"/>
              </w:rPr>
              <w:t xml:space="preserve">5  </w:t>
            </w:r>
            <w:r>
              <w:rPr>
                <w:rFonts w:ascii="Inter" w:hAnsi="Inter" w:cs="Inter" w:eastAsia="Inter"/>
                <w:b w:val="0"/>
                <w:i w:val="0"/>
                <w:color w:val="1A1A1A"/>
                <w:sz w:val="17"/>
              </w:rPr>
              <w:t>A named teacher holds operational responsibility, is present, and has the time to exercise it.</w:t>
            </w:r>
          </w:p>
        </w:tc>
        <w:tc>
          <w:tcPr>
            <w:tcW w:type="dxa" w:w="3742"/>
            <w:tcMar>
              <w:top w:w="70" w:type="dxa"/>
              <w:bottom w:w="70" w:type="dxa"/>
              <w:left w:w="90" w:type="dxa"/>
              <w:right w:w="90" w:type="dxa"/>
            </w:tcMar>
            <w:vAlign w:val="top"/>
          </w:tcPr>
          <w:p>
            <w:pPr>
              <w:spacing w:before="0" w:after="80" w:line="259" w:lineRule="auto"/>
            </w:pPr>
            <w:r>
              <w:rPr>
                <w:rFonts w:ascii="Inter" w:hAnsi="Inter" w:cs="Inter" w:eastAsia="Inter"/>
                <w:b w:val="0"/>
                <w:i/>
                <w:color w:val="666666"/>
                <w:sz w:val="16"/>
              </w:rPr>
              <w:t>Name the teacher and the protected time attached to the role.</w:t>
            </w:r>
          </w:p>
          <w:p>
            <w:pPr>
              <w:spacing w:before="0" w:after="80" w:line="259" w:lineRule="auto"/>
            </w:pPr>
            <w:r>
              <w:rPr>
                <w:rFonts w:ascii="Inter" w:hAnsi="Inter" w:cs="Inter" w:eastAsia="Inter"/>
                <w:b w:val="0"/>
                <w:i w:val="0"/>
                <w:color w:val="1A1A1A"/>
                <w:sz w:val="18"/>
              </w:rPr>
            </w:r>
          </w:p>
        </w:tc>
        <w:tc>
          <w:tcPr>
            <w:tcW w:type="dxa" w:w="964"/>
            <w:tcMar>
              <w:top w:w="70" w:type="dxa"/>
              <w:bottom w:w="70" w:type="dxa"/>
              <w:left w:w="90" w:type="dxa"/>
              <w:right w:w="90" w:type="dxa"/>
            </w:tcMar>
            <w:shd w:val="clear" w:color="auto" w:fill="FEF6D9"/>
            <w:vAlign w:val="center"/>
          </w:tcPr>
          <w:p>
            <w:pPr>
              <w:spacing w:before="0" w:after="40" w:line="259" w:lineRule="auto"/>
            </w:pPr>
            <w:r>
              <w:rPr>
                <w:rFonts w:ascii="Inter" w:hAnsi="Inter" w:cs="Inter" w:eastAsia="Inter"/>
                <w:b w:val="0"/>
                <w:i w:val="0"/>
                <w:color w:val="1A1A1A"/>
                <w:sz w:val="18"/>
              </w:rPr>
            </w:r>
          </w:p>
          <w:p>
            <w:pPr>
              <w:spacing w:before="0" w:after="40" w:line="259" w:lineRule="auto"/>
            </w:pPr>
            <w:r>
              <w:rPr>
                <w:rFonts w:ascii="Inter" w:hAnsi="Inter" w:cs="Inter" w:eastAsia="Inter"/>
                <w:b w:val="0"/>
                <w:i w:val="0"/>
                <w:color w:val="666666"/>
                <w:sz w:val="15"/>
              </w:rPr>
              <w:t>1 to 5</w:t>
            </w:r>
          </w:p>
        </w:tc>
        <w:tc>
          <w:tcPr>
            <w:tcW w:type="dxa" w:w="3742"/>
            <w:tcMar>
              <w:top w:w="70" w:type="dxa"/>
              <w:bottom w:w="70" w:type="dxa"/>
              <w:left w:w="90" w:type="dxa"/>
              <w:right w:w="90" w:type="dxa"/>
            </w:tcMar>
            <w:vAlign w:val="top"/>
          </w:tcPr>
          <w:p>
            <w:pPr>
              <w:spacing w:before="0" w:after="40" w:line="259" w:lineRule="auto"/>
            </w:pPr>
            <w:r>
              <w:rPr>
                <w:rFonts w:ascii="Inter" w:hAnsi="Inter" w:cs="Inter" w:eastAsia="Inter"/>
                <w:b w:val="0"/>
                <w:i w:val="0"/>
                <w:color w:val="1A1A1A"/>
                <w:sz w:val="17"/>
              </w:rPr>
              <w:t>This is the guidance's clearest workforce expectation and the one most often missed where a base grew out of an informal provision.</w:t>
            </w:r>
          </w:p>
        </w:tc>
        <w:tc>
          <w:tcPr>
            <w:tcW w:type="dxa" w:w="2948"/>
            <w:tcMar>
              <w:top w:w="70" w:type="dxa"/>
              <w:bottom w:w="70" w:type="dxa"/>
              <w:left w:w="90" w:type="dxa"/>
              <w:right w:w="90" w:type="dxa"/>
            </w:tcMar>
            <w:vAlign w:val="top"/>
          </w:tcPr>
          <w:p>
            <w:pPr>
              <w:spacing w:before="0" w:after="60" w:line="259" w:lineRule="auto"/>
            </w:pPr>
            <w:r>
              <w:rPr>
                <w:rFonts w:ascii="Inter" w:hAnsi="Inter" w:cs="Inter" w:eastAsia="Inter"/>
                <w:b w:val="0"/>
                <w:i w:val="0"/>
                <w:color w:val="666666"/>
                <w:sz w:val="15"/>
              </w:rPr>
              <w:t>Owner</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Target date</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Review date</w:t>
            </w:r>
          </w:p>
          <w:p>
            <w:pPr>
              <w:spacing w:before="0" w:after="60" w:line="259" w:lineRule="auto"/>
            </w:pPr>
            <w:r>
              <w:rPr>
                <w:rFonts w:ascii="Inter" w:hAnsi="Inter" w:cs="Inter" w:eastAsia="Inter"/>
                <w:b w:val="0"/>
                <w:i w:val="0"/>
                <w:color w:val="1A1A1A"/>
                <w:sz w:val="18"/>
              </w:rPr>
            </w:r>
          </w:p>
        </w:tc>
      </w:tr>
      <w:tr>
        <w:trPr>
          <w:cantSplit/>
        </w:trPr>
        <w:tc>
          <w:tcPr>
            <w:tcW w:type="dxa" w:w="15478"/>
            <w:gridSpan w:val="5"/>
            <w:shd w:val="clear" w:color="auto" w:fill="F1F7F6"/>
            <w:tcMar>
              <w:top w:w="80" w:type="dxa"/>
              <w:bottom w:w="80" w:type="dxa"/>
              <w:left w:w="90" w:type="dxa"/>
              <w:right w:w="90" w:type="dxa"/>
            </w:tcMar>
            <w:vAlign w:val="top"/>
          </w:tcPr>
          <w:p>
            <w:pPr>
              <w:spacing w:before="0" w:after="40" w:line="259" w:lineRule="auto"/>
              <w:keepNext/>
            </w:pPr>
            <w:r>
              <w:rPr>
                <w:rFonts w:ascii="Inter" w:hAnsi="Inter" w:cs="Inter" w:eastAsia="Inter"/>
                <w:b/>
                <w:i w:val="0"/>
                <w:color w:val="128770"/>
                <w:sz w:val="19"/>
              </w:rPr>
              <w:t xml:space="preserve">P4.2   </w:t>
            </w:r>
            <w:r>
              <w:rPr>
                <w:rFonts w:ascii="Inter" w:hAnsi="Inter" w:cs="Inter" w:eastAsia="Inter"/>
                <w:b/>
                <w:i w:val="0"/>
                <w:color w:val="1A1A1A"/>
                <w:sz w:val="19"/>
              </w:rPr>
              <w:t>Learners in the base do not have less access to a qualified teacher than their mainstream peers.</w:t>
            </w:r>
          </w:p>
          <w:p>
            <w:pPr>
              <w:spacing w:before="0" w:after="40" w:line="259" w:lineRule="auto"/>
              <w:keepNext/>
            </w:pPr>
            <w:r>
              <w:rPr>
                <w:rFonts w:ascii="Inter" w:hAnsi="Inter" w:cs="Inter" w:eastAsia="Inter"/>
                <w:b w:val="0"/>
                <w:i/>
                <w:color w:val="666666"/>
                <w:sz w:val="15"/>
              </w:rPr>
              <w:t>Individual children and young people  ·  Guidance: “Children and young people accessing a base should not have less access to a qualified teacher than peers in mainstream classes.”</w:t>
            </w:r>
          </w:p>
        </w:tc>
      </w:tr>
      <w:tr>
        <w:trPr>
          <w:trHeight w:val="1701" w:hRule="atLeast"/>
          <w:cantSplit/>
        </w:trPr>
        <w:tc>
          <w:tcPr>
            <w:tcW w:type="dxa" w:w="4082"/>
            <w:tcMar>
              <w:top w:w="70" w:type="dxa"/>
              <w:bottom w:w="70" w:type="dxa"/>
              <w:left w:w="90" w:type="dxa"/>
              <w:right w:w="90" w:type="dxa"/>
            </w:tcMar>
            <w:vAlign w:val="top"/>
          </w:tcPr>
          <w:p>
            <w:pPr>
              <w:spacing w:before="0" w:after="80" w:line="259" w:lineRule="auto"/>
            </w:pPr>
            <w:r>
              <w:rPr>
                <w:rFonts w:ascii="Inter" w:hAnsi="Inter" w:cs="Inter" w:eastAsia="Inter"/>
                <w:b/>
                <w:i w:val="0"/>
                <w:color w:val="128770"/>
                <w:sz w:val="17"/>
              </w:rPr>
              <w:t xml:space="preserve">1  </w:t>
            </w:r>
            <w:r>
              <w:rPr>
                <w:rFonts w:ascii="Inter" w:hAnsi="Inter" w:cs="Inter" w:eastAsia="Inter"/>
                <w:b w:val="0"/>
                <w:i w:val="0"/>
                <w:color w:val="1A1A1A"/>
                <w:sz w:val="17"/>
              </w:rPr>
              <w:t>Base learners are taught mainly by unqualified staff.</w:t>
            </w:r>
          </w:p>
          <w:p>
            <w:pPr>
              <w:spacing w:before="0" w:after="80" w:line="259" w:lineRule="auto"/>
            </w:pPr>
            <w:r>
              <w:rPr>
                <w:rFonts w:ascii="Inter" w:hAnsi="Inter" w:cs="Inter" w:eastAsia="Inter"/>
                <w:b/>
                <w:i w:val="0"/>
                <w:color w:val="128770"/>
                <w:sz w:val="17"/>
              </w:rPr>
              <w:t xml:space="preserve">3  </w:t>
            </w:r>
            <w:r>
              <w:rPr>
                <w:rFonts w:ascii="Inter" w:hAnsi="Inter" w:cs="Inter" w:eastAsia="Inter"/>
                <w:b w:val="0"/>
                <w:i w:val="0"/>
                <w:color w:val="1A1A1A"/>
                <w:sz w:val="17"/>
              </w:rPr>
              <w:t>Teacher access is comparable for some subjects or parts of the week.</w:t>
            </w:r>
          </w:p>
          <w:p>
            <w:pPr>
              <w:spacing w:before="0" w:after="80" w:line="259" w:lineRule="auto"/>
            </w:pPr>
            <w:r>
              <w:rPr>
                <w:rFonts w:ascii="Inter" w:hAnsi="Inter" w:cs="Inter" w:eastAsia="Inter"/>
                <w:b/>
                <w:i w:val="0"/>
                <w:color w:val="128770"/>
                <w:sz w:val="17"/>
              </w:rPr>
              <w:t xml:space="preserve">5  </w:t>
            </w:r>
            <w:r>
              <w:rPr>
                <w:rFonts w:ascii="Inter" w:hAnsi="Inter" w:cs="Inter" w:eastAsia="Inter"/>
                <w:b w:val="0"/>
                <w:i w:val="0"/>
                <w:color w:val="1A1A1A"/>
                <w:sz w:val="17"/>
              </w:rPr>
              <w:t>Teacher contact time is measured and is at least equivalent to mainstream peers.</w:t>
            </w:r>
          </w:p>
        </w:tc>
        <w:tc>
          <w:tcPr>
            <w:tcW w:type="dxa" w:w="3742"/>
            <w:tcMar>
              <w:top w:w="70" w:type="dxa"/>
              <w:bottom w:w="70" w:type="dxa"/>
              <w:left w:w="90" w:type="dxa"/>
              <w:right w:w="90" w:type="dxa"/>
            </w:tcMar>
            <w:vAlign w:val="top"/>
          </w:tcPr>
          <w:p>
            <w:pPr>
              <w:spacing w:before="0" w:after="80" w:line="259" w:lineRule="auto"/>
            </w:pPr>
            <w:r>
              <w:rPr>
                <w:rFonts w:ascii="Inter" w:hAnsi="Inter" w:cs="Inter" w:eastAsia="Inter"/>
                <w:b w:val="0"/>
                <w:i/>
                <w:color w:val="666666"/>
                <w:sz w:val="16"/>
              </w:rPr>
              <w:t>Measure it. Hours of qualified-teacher contact per week, base versus mainstream.</w:t>
            </w:r>
          </w:p>
          <w:p>
            <w:pPr>
              <w:spacing w:before="0" w:after="80" w:line="259" w:lineRule="auto"/>
            </w:pPr>
            <w:r>
              <w:rPr>
                <w:rFonts w:ascii="Inter" w:hAnsi="Inter" w:cs="Inter" w:eastAsia="Inter"/>
                <w:b w:val="0"/>
                <w:i w:val="0"/>
                <w:color w:val="1A1A1A"/>
                <w:sz w:val="18"/>
              </w:rPr>
            </w:r>
          </w:p>
        </w:tc>
        <w:tc>
          <w:tcPr>
            <w:tcW w:type="dxa" w:w="964"/>
            <w:tcMar>
              <w:top w:w="70" w:type="dxa"/>
              <w:bottom w:w="70" w:type="dxa"/>
              <w:left w:w="90" w:type="dxa"/>
              <w:right w:w="90" w:type="dxa"/>
            </w:tcMar>
            <w:shd w:val="clear" w:color="auto" w:fill="FEF6D9"/>
            <w:vAlign w:val="center"/>
          </w:tcPr>
          <w:p>
            <w:pPr>
              <w:spacing w:before="0" w:after="40" w:line="259" w:lineRule="auto"/>
            </w:pPr>
            <w:r>
              <w:rPr>
                <w:rFonts w:ascii="Inter" w:hAnsi="Inter" w:cs="Inter" w:eastAsia="Inter"/>
                <w:b w:val="0"/>
                <w:i w:val="0"/>
                <w:color w:val="1A1A1A"/>
                <w:sz w:val="18"/>
              </w:rPr>
            </w:r>
          </w:p>
          <w:p>
            <w:pPr>
              <w:spacing w:before="0" w:after="40" w:line="259" w:lineRule="auto"/>
            </w:pPr>
            <w:r>
              <w:rPr>
                <w:rFonts w:ascii="Inter" w:hAnsi="Inter" w:cs="Inter" w:eastAsia="Inter"/>
                <w:b w:val="0"/>
                <w:i w:val="0"/>
                <w:color w:val="666666"/>
                <w:sz w:val="15"/>
              </w:rPr>
              <w:t>1 to 5</w:t>
            </w:r>
          </w:p>
        </w:tc>
        <w:tc>
          <w:tcPr>
            <w:tcW w:type="dxa" w:w="3742"/>
            <w:tcMar>
              <w:top w:w="70" w:type="dxa"/>
              <w:bottom w:w="70" w:type="dxa"/>
              <w:left w:w="90" w:type="dxa"/>
              <w:right w:w="90" w:type="dxa"/>
            </w:tcMar>
            <w:vAlign w:val="top"/>
          </w:tcPr>
          <w:p>
            <w:pPr>
              <w:spacing w:before="0" w:after="40" w:line="259" w:lineRule="auto"/>
            </w:pPr>
            <w:r>
              <w:rPr>
                <w:rFonts w:ascii="Inter" w:hAnsi="Inter" w:cs="Inter" w:eastAsia="Inter"/>
                <w:b w:val="0"/>
                <w:i w:val="0"/>
                <w:color w:val="1A1A1A"/>
                <w:sz w:val="17"/>
              </w:rPr>
              <w:t>Butt (2016) found models where SEND learners received instruction from staff with no qualifications, no role in planning and limited supervision - while their peers were taught by teachers. Measuring this is the only way to know which model you have.</w:t>
            </w:r>
          </w:p>
        </w:tc>
        <w:tc>
          <w:tcPr>
            <w:tcW w:type="dxa" w:w="2948"/>
            <w:tcMar>
              <w:top w:w="70" w:type="dxa"/>
              <w:bottom w:w="70" w:type="dxa"/>
              <w:left w:w="90" w:type="dxa"/>
              <w:right w:w="90" w:type="dxa"/>
            </w:tcMar>
            <w:vAlign w:val="top"/>
          </w:tcPr>
          <w:p>
            <w:pPr>
              <w:spacing w:before="0" w:after="60" w:line="259" w:lineRule="auto"/>
            </w:pPr>
            <w:r>
              <w:rPr>
                <w:rFonts w:ascii="Inter" w:hAnsi="Inter" w:cs="Inter" w:eastAsia="Inter"/>
                <w:b w:val="0"/>
                <w:i w:val="0"/>
                <w:color w:val="666666"/>
                <w:sz w:val="15"/>
              </w:rPr>
              <w:t>Owner</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Target date</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Review date</w:t>
            </w:r>
          </w:p>
          <w:p>
            <w:pPr>
              <w:spacing w:before="0" w:after="60" w:line="259" w:lineRule="auto"/>
            </w:pPr>
            <w:r>
              <w:rPr>
                <w:rFonts w:ascii="Inter" w:hAnsi="Inter" w:cs="Inter" w:eastAsia="Inter"/>
                <w:b w:val="0"/>
                <w:i w:val="0"/>
                <w:color w:val="1A1A1A"/>
                <w:sz w:val="18"/>
              </w:rPr>
            </w:r>
          </w:p>
        </w:tc>
      </w:tr>
      <w:tr>
        <w:trPr>
          <w:cantSplit/>
        </w:trPr>
        <w:tc>
          <w:tcPr>
            <w:tcW w:type="dxa" w:w="15478"/>
            <w:gridSpan w:val="5"/>
            <w:shd w:val="clear" w:color="auto" w:fill="F1F7F6"/>
            <w:tcMar>
              <w:top w:w="80" w:type="dxa"/>
              <w:bottom w:w="80" w:type="dxa"/>
              <w:left w:w="90" w:type="dxa"/>
              <w:right w:w="90" w:type="dxa"/>
            </w:tcMar>
            <w:vAlign w:val="top"/>
          </w:tcPr>
          <w:p>
            <w:pPr>
              <w:spacing w:before="0" w:after="40" w:line="259" w:lineRule="auto"/>
              <w:keepNext/>
            </w:pPr>
            <w:r>
              <w:rPr>
                <w:rFonts w:ascii="Inter" w:hAnsi="Inter" w:cs="Inter" w:eastAsia="Inter"/>
                <w:b/>
                <w:i w:val="0"/>
                <w:color w:val="128770"/>
                <w:sz w:val="19"/>
              </w:rPr>
              <w:t xml:space="preserve">P4.3   </w:t>
            </w:r>
            <w:r>
              <w:rPr>
                <w:rFonts w:ascii="Inter" w:hAnsi="Inter" w:cs="Inter" w:eastAsia="Inter"/>
                <w:b/>
                <w:i w:val="0"/>
                <w:color w:val="1A1A1A"/>
                <w:sz w:val="19"/>
              </w:rPr>
              <w:t>A member of the senior leadership team holds overall strategic responsibility for the base, and senior leaders are visibly present in it.</w:t>
            </w:r>
          </w:p>
          <w:p>
            <w:pPr>
              <w:spacing w:before="0" w:after="40" w:line="259" w:lineRule="auto"/>
              <w:keepNext/>
            </w:pPr>
            <w:r>
              <w:rPr>
                <w:rFonts w:ascii="Inter" w:hAnsi="Inter" w:cs="Inter" w:eastAsia="Inter"/>
                <w:b w:val="0"/>
                <w:i/>
                <w:color w:val="666666"/>
                <w:sz w:val="15"/>
              </w:rPr>
              <w:t>Whole school  ·  Guidance: “A member of the senior leadership team should have overall strategic responsibility for the base. Senior leaders should maintain a positive, visible presence in the base.”</w:t>
            </w:r>
          </w:p>
        </w:tc>
      </w:tr>
      <w:tr>
        <w:trPr>
          <w:trHeight w:val="1701" w:hRule="atLeast"/>
          <w:cantSplit/>
        </w:trPr>
        <w:tc>
          <w:tcPr>
            <w:tcW w:type="dxa" w:w="4082"/>
            <w:tcMar>
              <w:top w:w="70" w:type="dxa"/>
              <w:bottom w:w="70" w:type="dxa"/>
              <w:left w:w="90" w:type="dxa"/>
              <w:right w:w="90" w:type="dxa"/>
            </w:tcMar>
            <w:vAlign w:val="top"/>
          </w:tcPr>
          <w:p>
            <w:pPr>
              <w:spacing w:before="0" w:after="80" w:line="259" w:lineRule="auto"/>
            </w:pPr>
            <w:r>
              <w:rPr>
                <w:rFonts w:ascii="Inter" w:hAnsi="Inter" w:cs="Inter" w:eastAsia="Inter"/>
                <w:b/>
                <w:i w:val="0"/>
                <w:color w:val="128770"/>
                <w:sz w:val="17"/>
              </w:rPr>
              <w:t xml:space="preserve">1  </w:t>
            </w:r>
            <w:r>
              <w:rPr>
                <w:rFonts w:ascii="Inter" w:hAnsi="Inter" w:cs="Inter" w:eastAsia="Inter"/>
                <w:b w:val="0"/>
                <w:i w:val="0"/>
                <w:color w:val="1A1A1A"/>
                <w:sz w:val="17"/>
              </w:rPr>
              <w:t>No SLT member owns the base; senior leaders rarely enter it.</w:t>
            </w:r>
          </w:p>
          <w:p>
            <w:pPr>
              <w:spacing w:before="0" w:after="80" w:line="259" w:lineRule="auto"/>
            </w:pPr>
            <w:r>
              <w:rPr>
                <w:rFonts w:ascii="Inter" w:hAnsi="Inter" w:cs="Inter" w:eastAsia="Inter"/>
                <w:b/>
                <w:i w:val="0"/>
                <w:color w:val="128770"/>
                <w:sz w:val="17"/>
              </w:rPr>
              <w:t xml:space="preserve">3  </w:t>
            </w:r>
            <w:r>
              <w:rPr>
                <w:rFonts w:ascii="Inter" w:hAnsi="Inter" w:cs="Inter" w:eastAsia="Inter"/>
                <w:b w:val="0"/>
                <w:i w:val="0"/>
                <w:color w:val="1A1A1A"/>
                <w:sz w:val="17"/>
              </w:rPr>
              <w:t>An SLT member owns it on paper; visible presence is occasional.</w:t>
            </w:r>
          </w:p>
          <w:p>
            <w:pPr>
              <w:spacing w:before="0" w:after="80" w:line="259" w:lineRule="auto"/>
            </w:pPr>
            <w:r>
              <w:rPr>
                <w:rFonts w:ascii="Inter" w:hAnsi="Inter" w:cs="Inter" w:eastAsia="Inter"/>
                <w:b/>
                <w:i w:val="0"/>
                <w:color w:val="128770"/>
                <w:sz w:val="17"/>
              </w:rPr>
              <w:t xml:space="preserve">5  </w:t>
            </w:r>
            <w:r>
              <w:rPr>
                <w:rFonts w:ascii="Inter" w:hAnsi="Inter" w:cs="Inter" w:eastAsia="Inter"/>
                <w:b w:val="0"/>
                <w:i w:val="0"/>
                <w:color w:val="1A1A1A"/>
                <w:sz w:val="17"/>
              </w:rPr>
              <w:t>Named SLT ownership, regular visible presence, and the base features in SLT agendas.</w:t>
            </w:r>
          </w:p>
        </w:tc>
        <w:tc>
          <w:tcPr>
            <w:tcW w:type="dxa" w:w="3742"/>
            <w:tcMar>
              <w:top w:w="70" w:type="dxa"/>
              <w:bottom w:w="70" w:type="dxa"/>
              <w:left w:w="90" w:type="dxa"/>
              <w:right w:w="90" w:type="dxa"/>
            </w:tcMar>
            <w:vAlign w:val="top"/>
          </w:tcPr>
          <w:p>
            <w:pPr>
              <w:spacing w:before="0" w:after="80" w:line="259" w:lineRule="auto"/>
            </w:pPr>
            <w:r>
              <w:rPr>
                <w:rFonts w:ascii="Inter" w:hAnsi="Inter" w:cs="Inter" w:eastAsia="Inter"/>
                <w:b w:val="0"/>
                <w:i/>
                <w:color w:val="666666"/>
                <w:sz w:val="16"/>
              </w:rPr>
              <w:t>When did a member of SLT last spend time in the base, and why?</w:t>
            </w:r>
          </w:p>
          <w:p>
            <w:pPr>
              <w:spacing w:before="0" w:after="80" w:line="259" w:lineRule="auto"/>
            </w:pPr>
            <w:r>
              <w:rPr>
                <w:rFonts w:ascii="Inter" w:hAnsi="Inter" w:cs="Inter" w:eastAsia="Inter"/>
                <w:b w:val="0"/>
                <w:i w:val="0"/>
                <w:color w:val="1A1A1A"/>
                <w:sz w:val="18"/>
              </w:rPr>
            </w:r>
          </w:p>
        </w:tc>
        <w:tc>
          <w:tcPr>
            <w:tcW w:type="dxa" w:w="964"/>
            <w:tcMar>
              <w:top w:w="70" w:type="dxa"/>
              <w:bottom w:w="70" w:type="dxa"/>
              <w:left w:w="90" w:type="dxa"/>
              <w:right w:w="90" w:type="dxa"/>
            </w:tcMar>
            <w:shd w:val="clear" w:color="auto" w:fill="FEF6D9"/>
            <w:vAlign w:val="center"/>
          </w:tcPr>
          <w:p>
            <w:pPr>
              <w:spacing w:before="0" w:after="40" w:line="259" w:lineRule="auto"/>
            </w:pPr>
            <w:r>
              <w:rPr>
                <w:rFonts w:ascii="Inter" w:hAnsi="Inter" w:cs="Inter" w:eastAsia="Inter"/>
                <w:b w:val="0"/>
                <w:i w:val="0"/>
                <w:color w:val="1A1A1A"/>
                <w:sz w:val="18"/>
              </w:rPr>
            </w:r>
          </w:p>
          <w:p>
            <w:pPr>
              <w:spacing w:before="0" w:after="40" w:line="259" w:lineRule="auto"/>
            </w:pPr>
            <w:r>
              <w:rPr>
                <w:rFonts w:ascii="Inter" w:hAnsi="Inter" w:cs="Inter" w:eastAsia="Inter"/>
                <w:b w:val="0"/>
                <w:i w:val="0"/>
                <w:color w:val="666666"/>
                <w:sz w:val="15"/>
              </w:rPr>
              <w:t>1 to 5</w:t>
            </w:r>
          </w:p>
        </w:tc>
        <w:tc>
          <w:tcPr>
            <w:tcW w:type="dxa" w:w="3742"/>
            <w:tcMar>
              <w:top w:w="70" w:type="dxa"/>
              <w:bottom w:w="70" w:type="dxa"/>
              <w:left w:w="90" w:type="dxa"/>
              <w:right w:w="90" w:type="dxa"/>
            </w:tcMar>
            <w:vAlign w:val="top"/>
          </w:tcPr>
          <w:p>
            <w:pPr>
              <w:spacing w:before="0" w:after="40" w:line="259" w:lineRule="auto"/>
            </w:pPr>
            <w:r>
              <w:rPr>
                <w:rFonts w:ascii="Inter" w:hAnsi="Inter" w:cs="Inter" w:eastAsia="Inter"/>
                <w:b w:val="0"/>
                <w:i w:val="0"/>
                <w:color w:val="1A1A1A"/>
                <w:sz w:val="17"/>
              </w:rPr>
              <w:t>Where the responsible SLT member is not the SENCO and the base supports learners with SEN, the SENCO should also be involved in strategic oversight of planning, teaching and assessment.</w:t>
            </w:r>
          </w:p>
        </w:tc>
        <w:tc>
          <w:tcPr>
            <w:tcW w:type="dxa" w:w="2948"/>
            <w:tcMar>
              <w:top w:w="70" w:type="dxa"/>
              <w:bottom w:w="70" w:type="dxa"/>
              <w:left w:w="90" w:type="dxa"/>
              <w:right w:w="90" w:type="dxa"/>
            </w:tcMar>
            <w:vAlign w:val="top"/>
          </w:tcPr>
          <w:p>
            <w:pPr>
              <w:spacing w:before="0" w:after="60" w:line="259" w:lineRule="auto"/>
            </w:pPr>
            <w:r>
              <w:rPr>
                <w:rFonts w:ascii="Inter" w:hAnsi="Inter" w:cs="Inter" w:eastAsia="Inter"/>
                <w:b w:val="0"/>
                <w:i w:val="0"/>
                <w:color w:val="666666"/>
                <w:sz w:val="15"/>
              </w:rPr>
              <w:t>Owner</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Target date</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Review date</w:t>
            </w:r>
          </w:p>
          <w:p>
            <w:pPr>
              <w:spacing w:before="0" w:after="60" w:line="259" w:lineRule="auto"/>
            </w:pPr>
            <w:r>
              <w:rPr>
                <w:rFonts w:ascii="Inter" w:hAnsi="Inter" w:cs="Inter" w:eastAsia="Inter"/>
                <w:b w:val="0"/>
                <w:i w:val="0"/>
                <w:color w:val="1A1A1A"/>
                <w:sz w:val="18"/>
              </w:rPr>
            </w:r>
          </w:p>
        </w:tc>
      </w:tr>
      <w:tr>
        <w:trPr>
          <w:cantSplit/>
        </w:trPr>
        <w:tc>
          <w:tcPr>
            <w:tcW w:type="dxa" w:w="15478"/>
            <w:gridSpan w:val="5"/>
            <w:shd w:val="clear" w:color="auto" w:fill="F1F7F6"/>
            <w:tcMar>
              <w:top w:w="80" w:type="dxa"/>
              <w:bottom w:w="80" w:type="dxa"/>
              <w:left w:w="90" w:type="dxa"/>
              <w:right w:w="90" w:type="dxa"/>
            </w:tcMar>
            <w:vAlign w:val="top"/>
          </w:tcPr>
          <w:p>
            <w:pPr>
              <w:spacing w:before="0" w:after="40" w:line="259" w:lineRule="auto"/>
              <w:keepNext/>
            </w:pPr>
            <w:r>
              <w:rPr>
                <w:rFonts w:ascii="Inter" w:hAnsi="Inter" w:cs="Inter" w:eastAsia="Inter"/>
                <w:b/>
                <w:i w:val="0"/>
                <w:color w:val="128770"/>
                <w:sz w:val="19"/>
              </w:rPr>
              <w:t xml:space="preserve">P4.4   </w:t>
            </w:r>
            <w:r>
              <w:rPr>
                <w:rFonts w:ascii="Inter" w:hAnsi="Inter" w:cs="Inter" w:eastAsia="Inter"/>
                <w:b/>
                <w:i w:val="0"/>
                <w:color w:val="1A1A1A"/>
                <w:sz w:val="19"/>
              </w:rPr>
              <w:t>Responsibilities are clearly delineated between support staff and teachers, with support staff given clear role expectations and protected time for planning and liaison.</w:t>
            </w:r>
          </w:p>
          <w:p>
            <w:pPr>
              <w:spacing w:before="0" w:after="40" w:line="259" w:lineRule="auto"/>
              <w:keepNext/>
            </w:pPr>
            <w:r>
              <w:rPr>
                <w:rFonts w:ascii="Inter" w:hAnsi="Inter" w:cs="Inter" w:eastAsia="Inter"/>
                <w:b w:val="0"/>
                <w:i/>
                <w:color w:val="666666"/>
                <w:sz w:val="15"/>
              </w:rPr>
              <w:t>Base  ·  Guidance: “Areas of responsibility should be clearly delineated between support staff and teachers, with support staff given clear role expectations and protected time for planning and liaison with teachers.”</w:t>
            </w:r>
          </w:p>
        </w:tc>
      </w:tr>
      <w:tr>
        <w:trPr>
          <w:trHeight w:val="1701" w:hRule="atLeast"/>
          <w:cantSplit/>
        </w:trPr>
        <w:tc>
          <w:tcPr>
            <w:tcW w:type="dxa" w:w="4082"/>
            <w:tcMar>
              <w:top w:w="70" w:type="dxa"/>
              <w:bottom w:w="70" w:type="dxa"/>
              <w:left w:w="90" w:type="dxa"/>
              <w:right w:w="90" w:type="dxa"/>
            </w:tcMar>
            <w:vAlign w:val="top"/>
          </w:tcPr>
          <w:p>
            <w:pPr>
              <w:spacing w:before="0" w:after="80" w:line="259" w:lineRule="auto"/>
            </w:pPr>
            <w:r>
              <w:rPr>
                <w:rFonts w:ascii="Inter" w:hAnsi="Inter" w:cs="Inter" w:eastAsia="Inter"/>
                <w:b/>
                <w:i w:val="0"/>
                <w:color w:val="128770"/>
                <w:sz w:val="17"/>
              </w:rPr>
              <w:t xml:space="preserve">1  </w:t>
            </w:r>
            <w:r>
              <w:rPr>
                <w:rFonts w:ascii="Inter" w:hAnsi="Inter" w:cs="Inter" w:eastAsia="Inter"/>
                <w:b w:val="0"/>
                <w:i w:val="0"/>
                <w:color w:val="1A1A1A"/>
                <w:sz w:val="17"/>
              </w:rPr>
              <w:t>Roles blur; support staff plan and deliver without teacher input.</w:t>
            </w:r>
          </w:p>
          <w:p>
            <w:pPr>
              <w:spacing w:before="0" w:after="80" w:line="259" w:lineRule="auto"/>
            </w:pPr>
            <w:r>
              <w:rPr>
                <w:rFonts w:ascii="Inter" w:hAnsi="Inter" w:cs="Inter" w:eastAsia="Inter"/>
                <w:b/>
                <w:i w:val="0"/>
                <w:color w:val="128770"/>
                <w:sz w:val="17"/>
              </w:rPr>
              <w:t xml:space="preserve">3  </w:t>
            </w:r>
            <w:r>
              <w:rPr>
                <w:rFonts w:ascii="Inter" w:hAnsi="Inter" w:cs="Inter" w:eastAsia="Inter"/>
                <w:b w:val="0"/>
                <w:i w:val="0"/>
                <w:color w:val="1A1A1A"/>
                <w:sz w:val="17"/>
              </w:rPr>
              <w:t>Roles are understood informally; no protected liaison time exists.</w:t>
            </w:r>
          </w:p>
          <w:p>
            <w:pPr>
              <w:spacing w:before="0" w:after="80" w:line="259" w:lineRule="auto"/>
            </w:pPr>
            <w:r>
              <w:rPr>
                <w:rFonts w:ascii="Inter" w:hAnsi="Inter" w:cs="Inter" w:eastAsia="Inter"/>
                <w:b/>
                <w:i w:val="0"/>
                <w:color w:val="128770"/>
                <w:sz w:val="17"/>
              </w:rPr>
              <w:t xml:space="preserve">5  </w:t>
            </w:r>
            <w:r>
              <w:rPr>
                <w:rFonts w:ascii="Inter" w:hAnsi="Inter" w:cs="Inter" w:eastAsia="Inter"/>
                <w:b w:val="0"/>
                <w:i w:val="0"/>
                <w:color w:val="1A1A1A"/>
                <w:sz w:val="17"/>
              </w:rPr>
              <w:t>Roles are documented, and planning and liaison time is timetabled and protected.</w:t>
            </w:r>
          </w:p>
        </w:tc>
        <w:tc>
          <w:tcPr>
            <w:tcW w:type="dxa" w:w="3742"/>
            <w:tcMar>
              <w:top w:w="70" w:type="dxa"/>
              <w:bottom w:w="70" w:type="dxa"/>
              <w:left w:w="90" w:type="dxa"/>
              <w:right w:w="90" w:type="dxa"/>
            </w:tcMar>
            <w:vAlign w:val="top"/>
          </w:tcPr>
          <w:p>
            <w:pPr>
              <w:spacing w:before="0" w:after="80" w:line="259" w:lineRule="auto"/>
            </w:pPr>
            <w:r>
              <w:rPr>
                <w:rFonts w:ascii="Inter" w:hAnsi="Inter" w:cs="Inter" w:eastAsia="Inter"/>
                <w:b w:val="0"/>
                <w:i/>
                <w:color w:val="666666"/>
                <w:sz w:val="16"/>
              </w:rPr>
              <w:t>Where in the timetable is support staff planning and liaison time?</w:t>
            </w:r>
          </w:p>
          <w:p>
            <w:pPr>
              <w:spacing w:before="0" w:after="80" w:line="259" w:lineRule="auto"/>
            </w:pPr>
            <w:r>
              <w:rPr>
                <w:rFonts w:ascii="Inter" w:hAnsi="Inter" w:cs="Inter" w:eastAsia="Inter"/>
                <w:b w:val="0"/>
                <w:i w:val="0"/>
                <w:color w:val="1A1A1A"/>
                <w:sz w:val="18"/>
              </w:rPr>
            </w:r>
          </w:p>
        </w:tc>
        <w:tc>
          <w:tcPr>
            <w:tcW w:type="dxa" w:w="964"/>
            <w:tcMar>
              <w:top w:w="70" w:type="dxa"/>
              <w:bottom w:w="70" w:type="dxa"/>
              <w:left w:w="90" w:type="dxa"/>
              <w:right w:w="90" w:type="dxa"/>
            </w:tcMar>
            <w:shd w:val="clear" w:color="auto" w:fill="FEF6D9"/>
            <w:vAlign w:val="center"/>
          </w:tcPr>
          <w:p>
            <w:pPr>
              <w:spacing w:before="0" w:after="40" w:line="259" w:lineRule="auto"/>
            </w:pPr>
            <w:r>
              <w:rPr>
                <w:rFonts w:ascii="Inter" w:hAnsi="Inter" w:cs="Inter" w:eastAsia="Inter"/>
                <w:b w:val="0"/>
                <w:i w:val="0"/>
                <w:color w:val="1A1A1A"/>
                <w:sz w:val="18"/>
              </w:rPr>
            </w:r>
          </w:p>
          <w:p>
            <w:pPr>
              <w:spacing w:before="0" w:after="40" w:line="259" w:lineRule="auto"/>
            </w:pPr>
            <w:r>
              <w:rPr>
                <w:rFonts w:ascii="Inter" w:hAnsi="Inter" w:cs="Inter" w:eastAsia="Inter"/>
                <w:b w:val="0"/>
                <w:i w:val="0"/>
                <w:color w:val="666666"/>
                <w:sz w:val="15"/>
              </w:rPr>
              <w:t>1 to 5</w:t>
            </w:r>
          </w:p>
        </w:tc>
        <w:tc>
          <w:tcPr>
            <w:tcW w:type="dxa" w:w="3742"/>
            <w:tcMar>
              <w:top w:w="70" w:type="dxa"/>
              <w:bottom w:w="70" w:type="dxa"/>
              <w:left w:w="90" w:type="dxa"/>
              <w:right w:w="90" w:type="dxa"/>
            </w:tcMar>
            <w:vAlign w:val="top"/>
          </w:tcPr>
          <w:p>
            <w:pPr>
              <w:spacing w:before="0" w:after="40" w:line="259" w:lineRule="auto"/>
            </w:pPr>
            <w:r>
              <w:rPr>
                <w:rFonts w:ascii="Inter" w:hAnsi="Inter" w:cs="Inter" w:eastAsia="Inter"/>
                <w:b w:val="0"/>
                <w:i w:val="0"/>
                <w:color w:val="1A1A1A"/>
                <w:sz w:val="17"/>
              </w:rPr>
              <w:t>EEF Recommendation 5 and the MITA work are directly on point. Protected liaison time is the single most valuable change most schools can make here.</w:t>
            </w:r>
          </w:p>
        </w:tc>
        <w:tc>
          <w:tcPr>
            <w:tcW w:type="dxa" w:w="2948"/>
            <w:tcMar>
              <w:top w:w="70" w:type="dxa"/>
              <w:bottom w:w="70" w:type="dxa"/>
              <w:left w:w="90" w:type="dxa"/>
              <w:right w:w="90" w:type="dxa"/>
            </w:tcMar>
            <w:vAlign w:val="top"/>
          </w:tcPr>
          <w:p>
            <w:pPr>
              <w:spacing w:before="0" w:after="60" w:line="259" w:lineRule="auto"/>
            </w:pPr>
            <w:r>
              <w:rPr>
                <w:rFonts w:ascii="Inter" w:hAnsi="Inter" w:cs="Inter" w:eastAsia="Inter"/>
                <w:b w:val="0"/>
                <w:i w:val="0"/>
                <w:color w:val="666666"/>
                <w:sz w:val="15"/>
              </w:rPr>
              <w:t>Owner</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Target date</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Review date</w:t>
            </w:r>
          </w:p>
          <w:p>
            <w:pPr>
              <w:spacing w:before="0" w:after="60" w:line="259" w:lineRule="auto"/>
            </w:pPr>
            <w:r>
              <w:rPr>
                <w:rFonts w:ascii="Inter" w:hAnsi="Inter" w:cs="Inter" w:eastAsia="Inter"/>
                <w:b w:val="0"/>
                <w:i w:val="0"/>
                <w:color w:val="1A1A1A"/>
                <w:sz w:val="18"/>
              </w:rPr>
            </w:r>
          </w:p>
        </w:tc>
      </w:tr>
      <w:tr>
        <w:trPr>
          <w:cantSplit/>
        </w:trPr>
        <w:tc>
          <w:tcPr>
            <w:tcW w:type="dxa" w:w="15478"/>
            <w:gridSpan w:val="5"/>
            <w:shd w:val="clear" w:color="auto" w:fill="F1F7F6"/>
            <w:tcMar>
              <w:top w:w="80" w:type="dxa"/>
              <w:bottom w:w="80" w:type="dxa"/>
              <w:left w:w="90" w:type="dxa"/>
              <w:right w:w="90" w:type="dxa"/>
            </w:tcMar>
            <w:vAlign w:val="top"/>
          </w:tcPr>
          <w:p>
            <w:pPr>
              <w:spacing w:before="0" w:after="40" w:line="259" w:lineRule="auto"/>
              <w:keepNext/>
            </w:pPr>
            <w:r>
              <w:rPr>
                <w:rFonts w:ascii="Inter" w:hAnsi="Inter" w:cs="Inter" w:eastAsia="Inter"/>
                <w:b/>
                <w:i w:val="0"/>
                <w:color w:val="128770"/>
                <w:sz w:val="19"/>
              </w:rPr>
              <w:t xml:space="preserve">P4.5   </w:t>
            </w:r>
            <w:r>
              <w:rPr>
                <w:rFonts w:ascii="Inter" w:hAnsi="Inter" w:cs="Inter" w:eastAsia="Inter"/>
                <w:b/>
                <w:i w:val="0"/>
                <w:color w:val="1A1A1A"/>
                <w:sz w:val="19"/>
              </w:rPr>
              <w:t>The graduated approach (assess, plan, do, review) is implemented for all learners receiving targeted support.</w:t>
            </w:r>
            <w:r>
              <w:rPr>
                <w:rFonts w:ascii="Inter" w:hAnsi="Inter" w:cs="Inter" w:eastAsia="Inter"/>
                <w:b/>
                <w:i w:val="0"/>
                <w:color w:val="D35400"/>
                <w:sz w:val="17"/>
              </w:rPr>
              <w:t xml:space="preserve">   MUST  ·  existing legal duty</w:t>
            </w:r>
          </w:p>
          <w:p>
            <w:pPr>
              <w:spacing w:before="0" w:after="40" w:line="259" w:lineRule="auto"/>
              <w:keepNext/>
            </w:pPr>
            <w:r>
              <w:rPr>
                <w:rFonts w:ascii="Inter" w:hAnsi="Inter" w:cs="Inter" w:eastAsia="Inter"/>
                <w:b w:val="0"/>
                <w:i/>
                <w:color w:val="666666"/>
                <w:sz w:val="15"/>
              </w:rPr>
              <w:t>Base  ·  Guidance: “For all children receiving targeted support, the graduated approach ('assess, plan, do, review') should be implemented, as set out in the SEND Code of Practice.”</w:t>
            </w:r>
          </w:p>
        </w:tc>
      </w:tr>
      <w:tr>
        <w:trPr>
          <w:trHeight w:val="1701" w:hRule="atLeast"/>
          <w:cantSplit/>
        </w:trPr>
        <w:tc>
          <w:tcPr>
            <w:tcW w:type="dxa" w:w="4082"/>
            <w:tcMar>
              <w:top w:w="70" w:type="dxa"/>
              <w:bottom w:w="70" w:type="dxa"/>
              <w:left w:w="90" w:type="dxa"/>
              <w:right w:w="90" w:type="dxa"/>
            </w:tcMar>
            <w:vAlign w:val="top"/>
          </w:tcPr>
          <w:p>
            <w:pPr>
              <w:spacing w:before="0" w:after="80" w:line="259" w:lineRule="auto"/>
            </w:pPr>
            <w:r>
              <w:rPr>
                <w:rFonts w:ascii="Inter" w:hAnsi="Inter" w:cs="Inter" w:eastAsia="Inter"/>
                <w:b/>
                <w:i w:val="0"/>
                <w:color w:val="128770"/>
                <w:sz w:val="17"/>
              </w:rPr>
              <w:t xml:space="preserve">1  </w:t>
            </w:r>
            <w:r>
              <w:rPr>
                <w:rFonts w:ascii="Inter" w:hAnsi="Inter" w:cs="Inter" w:eastAsia="Inter"/>
                <w:b w:val="0"/>
                <w:i w:val="0"/>
                <w:color w:val="1A1A1A"/>
                <w:sz w:val="17"/>
              </w:rPr>
              <w:t>No consistent cycle; support continues without review.</w:t>
            </w:r>
          </w:p>
          <w:p>
            <w:pPr>
              <w:spacing w:before="0" w:after="80" w:line="259" w:lineRule="auto"/>
            </w:pPr>
            <w:r>
              <w:rPr>
                <w:rFonts w:ascii="Inter" w:hAnsi="Inter" w:cs="Inter" w:eastAsia="Inter"/>
                <w:b/>
                <w:i w:val="0"/>
                <w:color w:val="128770"/>
                <w:sz w:val="17"/>
              </w:rPr>
              <w:t xml:space="preserve">3  </w:t>
            </w:r>
            <w:r>
              <w:rPr>
                <w:rFonts w:ascii="Inter" w:hAnsi="Inter" w:cs="Inter" w:eastAsia="Inter"/>
                <w:b w:val="0"/>
                <w:i w:val="0"/>
                <w:color w:val="1A1A1A"/>
                <w:sz w:val="17"/>
              </w:rPr>
              <w:t>The cycle runs for some learners or at annual review only.</w:t>
            </w:r>
          </w:p>
          <w:p>
            <w:pPr>
              <w:spacing w:before="0" w:after="80" w:line="259" w:lineRule="auto"/>
            </w:pPr>
            <w:r>
              <w:rPr>
                <w:rFonts w:ascii="Inter" w:hAnsi="Inter" w:cs="Inter" w:eastAsia="Inter"/>
                <w:b/>
                <w:i w:val="0"/>
                <w:color w:val="128770"/>
                <w:sz w:val="17"/>
              </w:rPr>
              <w:t xml:space="preserve">5  </w:t>
            </w:r>
            <w:r>
              <w:rPr>
                <w:rFonts w:ascii="Inter" w:hAnsi="Inter" w:cs="Inter" w:eastAsia="Inter"/>
                <w:b w:val="0"/>
                <w:i w:val="0"/>
                <w:color w:val="1A1A1A"/>
                <w:sz w:val="17"/>
              </w:rPr>
              <w:t>The cycle runs for every learner on a known frequency, and 'review' regularly changes what happens next.</w:t>
            </w:r>
          </w:p>
        </w:tc>
        <w:tc>
          <w:tcPr>
            <w:tcW w:type="dxa" w:w="3742"/>
            <w:tcMar>
              <w:top w:w="70" w:type="dxa"/>
              <w:bottom w:w="70" w:type="dxa"/>
              <w:left w:w="90" w:type="dxa"/>
              <w:right w:w="90" w:type="dxa"/>
            </w:tcMar>
            <w:vAlign w:val="top"/>
          </w:tcPr>
          <w:p>
            <w:pPr>
              <w:spacing w:before="0" w:after="80" w:line="259" w:lineRule="auto"/>
            </w:pPr>
            <w:r>
              <w:rPr>
                <w:rFonts w:ascii="Inter" w:hAnsi="Inter" w:cs="Inter" w:eastAsia="Inter"/>
                <w:b w:val="0"/>
                <w:i/>
                <w:color w:val="666666"/>
                <w:sz w:val="16"/>
              </w:rPr>
              <w:t>Show the last completed cycle for one learner, including what changed at 'review'.</w:t>
            </w:r>
          </w:p>
          <w:p>
            <w:pPr>
              <w:spacing w:before="0" w:after="80" w:line="259" w:lineRule="auto"/>
            </w:pPr>
            <w:r>
              <w:rPr>
                <w:rFonts w:ascii="Inter" w:hAnsi="Inter" w:cs="Inter" w:eastAsia="Inter"/>
                <w:b w:val="0"/>
                <w:i w:val="0"/>
                <w:color w:val="1A1A1A"/>
                <w:sz w:val="18"/>
              </w:rPr>
            </w:r>
          </w:p>
        </w:tc>
        <w:tc>
          <w:tcPr>
            <w:tcW w:type="dxa" w:w="964"/>
            <w:tcMar>
              <w:top w:w="70" w:type="dxa"/>
              <w:bottom w:w="70" w:type="dxa"/>
              <w:left w:w="90" w:type="dxa"/>
              <w:right w:w="90" w:type="dxa"/>
            </w:tcMar>
            <w:shd w:val="clear" w:color="auto" w:fill="FEF6D9"/>
            <w:vAlign w:val="center"/>
          </w:tcPr>
          <w:p>
            <w:pPr>
              <w:spacing w:before="0" w:after="40" w:line="259" w:lineRule="auto"/>
            </w:pPr>
            <w:r>
              <w:rPr>
                <w:rFonts w:ascii="Inter" w:hAnsi="Inter" w:cs="Inter" w:eastAsia="Inter"/>
                <w:b w:val="0"/>
                <w:i w:val="0"/>
                <w:color w:val="1A1A1A"/>
                <w:sz w:val="18"/>
              </w:rPr>
            </w:r>
          </w:p>
          <w:p>
            <w:pPr>
              <w:spacing w:before="0" w:after="40" w:line="259" w:lineRule="auto"/>
            </w:pPr>
            <w:r>
              <w:rPr>
                <w:rFonts w:ascii="Inter" w:hAnsi="Inter" w:cs="Inter" w:eastAsia="Inter"/>
                <w:b w:val="0"/>
                <w:i w:val="0"/>
                <w:color w:val="666666"/>
                <w:sz w:val="15"/>
              </w:rPr>
              <w:t>1 to 5</w:t>
            </w:r>
          </w:p>
        </w:tc>
        <w:tc>
          <w:tcPr>
            <w:tcW w:type="dxa" w:w="3742"/>
            <w:tcMar>
              <w:top w:w="70" w:type="dxa"/>
              <w:bottom w:w="70" w:type="dxa"/>
              <w:left w:w="90" w:type="dxa"/>
              <w:right w:w="90" w:type="dxa"/>
            </w:tcMar>
            <w:vAlign w:val="top"/>
          </w:tcPr>
          <w:p>
            <w:pPr>
              <w:spacing w:before="0" w:after="40" w:line="259" w:lineRule="auto"/>
            </w:pPr>
            <w:r>
              <w:rPr>
                <w:rFonts w:ascii="Inter" w:hAnsi="Inter" w:cs="Inter" w:eastAsia="Inter"/>
                <w:b w:val="0"/>
                <w:i w:val="0"/>
                <w:color w:val="1A1A1A"/>
                <w:sz w:val="17"/>
              </w:rPr>
              <w:t>MUST have regard to the SEND Code of Practice. If 'review' rarely changes provision, the cycle is documentation rather than practice.</w:t>
            </w:r>
          </w:p>
        </w:tc>
        <w:tc>
          <w:tcPr>
            <w:tcW w:type="dxa" w:w="2948"/>
            <w:tcMar>
              <w:top w:w="70" w:type="dxa"/>
              <w:bottom w:w="70" w:type="dxa"/>
              <w:left w:w="90" w:type="dxa"/>
              <w:right w:w="90" w:type="dxa"/>
            </w:tcMar>
            <w:vAlign w:val="top"/>
          </w:tcPr>
          <w:p>
            <w:pPr>
              <w:spacing w:before="0" w:after="60" w:line="259" w:lineRule="auto"/>
            </w:pPr>
            <w:r>
              <w:rPr>
                <w:rFonts w:ascii="Inter" w:hAnsi="Inter" w:cs="Inter" w:eastAsia="Inter"/>
                <w:b w:val="0"/>
                <w:i w:val="0"/>
                <w:color w:val="666666"/>
                <w:sz w:val="15"/>
              </w:rPr>
              <w:t>Owner</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Target date</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Review date</w:t>
            </w:r>
          </w:p>
          <w:p>
            <w:pPr>
              <w:spacing w:before="0" w:after="60" w:line="259" w:lineRule="auto"/>
            </w:pPr>
            <w:r>
              <w:rPr>
                <w:rFonts w:ascii="Inter" w:hAnsi="Inter" w:cs="Inter" w:eastAsia="Inter"/>
                <w:b w:val="0"/>
                <w:i w:val="0"/>
                <w:color w:val="1A1A1A"/>
                <w:sz w:val="18"/>
              </w:rPr>
            </w:r>
          </w:p>
        </w:tc>
      </w:tr>
      <w:tr>
        <w:trPr>
          <w:cantSplit/>
        </w:trPr>
        <w:tc>
          <w:tcPr>
            <w:tcW w:type="dxa" w:w="15478"/>
            <w:gridSpan w:val="5"/>
            <w:shd w:val="clear" w:color="auto" w:fill="F1F7F6"/>
            <w:tcMar>
              <w:top w:w="80" w:type="dxa"/>
              <w:bottom w:w="80" w:type="dxa"/>
              <w:left w:w="90" w:type="dxa"/>
              <w:right w:w="90" w:type="dxa"/>
            </w:tcMar>
            <w:vAlign w:val="top"/>
          </w:tcPr>
          <w:p>
            <w:pPr>
              <w:spacing w:before="0" w:after="40" w:line="259" w:lineRule="auto"/>
              <w:keepNext/>
            </w:pPr>
            <w:r>
              <w:rPr>
                <w:rFonts w:ascii="Inter" w:hAnsi="Inter" w:cs="Inter" w:eastAsia="Inter"/>
                <w:b/>
                <w:i w:val="0"/>
                <w:color w:val="128770"/>
                <w:sz w:val="19"/>
              </w:rPr>
              <w:t xml:space="preserve">P4.6   </w:t>
            </w:r>
            <w:r>
              <w:rPr>
                <w:rFonts w:ascii="Inter" w:hAnsi="Inter" w:cs="Inter" w:eastAsia="Inter"/>
                <w:b/>
                <w:i w:val="0"/>
                <w:color w:val="1A1A1A"/>
                <w:sz w:val="19"/>
              </w:rPr>
              <w:t>All staff including leaders receive ongoing high-quality professional development, and the impact of training is evaluated over time.</w:t>
            </w:r>
          </w:p>
          <w:p>
            <w:pPr>
              <w:spacing w:before="0" w:after="40" w:line="259" w:lineRule="auto"/>
              <w:keepNext/>
            </w:pPr>
            <w:r>
              <w:rPr>
                <w:rFonts w:ascii="Inter" w:hAnsi="Inter" w:cs="Inter" w:eastAsia="Inter"/>
                <w:b w:val="0"/>
                <w:i/>
                <w:color w:val="666666"/>
                <w:sz w:val="15"/>
              </w:rPr>
              <w:t>Whole school  ·  Guidance: “All staff, including those in leadership roles, should receive ongoing high-quality professional development. The impact of training over time should be evaluated.”</w:t>
            </w:r>
          </w:p>
        </w:tc>
      </w:tr>
      <w:tr>
        <w:trPr>
          <w:trHeight w:val="1701" w:hRule="atLeast"/>
          <w:cantSplit/>
        </w:trPr>
        <w:tc>
          <w:tcPr>
            <w:tcW w:type="dxa" w:w="4082"/>
            <w:tcMar>
              <w:top w:w="70" w:type="dxa"/>
              <w:bottom w:w="70" w:type="dxa"/>
              <w:left w:w="90" w:type="dxa"/>
              <w:right w:w="90" w:type="dxa"/>
            </w:tcMar>
            <w:vAlign w:val="top"/>
          </w:tcPr>
          <w:p>
            <w:pPr>
              <w:spacing w:before="0" w:after="80" w:line="259" w:lineRule="auto"/>
            </w:pPr>
            <w:r>
              <w:rPr>
                <w:rFonts w:ascii="Inter" w:hAnsi="Inter" w:cs="Inter" w:eastAsia="Inter"/>
                <w:b/>
                <w:i w:val="0"/>
                <w:color w:val="128770"/>
                <w:sz w:val="17"/>
              </w:rPr>
              <w:t xml:space="preserve">1  </w:t>
            </w:r>
            <w:r>
              <w:rPr>
                <w:rFonts w:ascii="Inter" w:hAnsi="Inter" w:cs="Inter" w:eastAsia="Inter"/>
                <w:b w:val="0"/>
                <w:i w:val="0"/>
                <w:color w:val="1A1A1A"/>
                <w:sz w:val="17"/>
              </w:rPr>
              <w:t>Training is one-off and unevaluated.</w:t>
            </w:r>
          </w:p>
          <w:p>
            <w:pPr>
              <w:spacing w:before="0" w:after="80" w:line="259" w:lineRule="auto"/>
            </w:pPr>
            <w:r>
              <w:rPr>
                <w:rFonts w:ascii="Inter" w:hAnsi="Inter" w:cs="Inter" w:eastAsia="Inter"/>
                <w:b/>
                <w:i w:val="0"/>
                <w:color w:val="128770"/>
                <w:sz w:val="17"/>
              </w:rPr>
              <w:t xml:space="preserve">3  </w:t>
            </w:r>
            <w:r>
              <w:rPr>
                <w:rFonts w:ascii="Inter" w:hAnsi="Inter" w:cs="Inter" w:eastAsia="Inter"/>
                <w:b w:val="0"/>
                <w:i w:val="0"/>
                <w:color w:val="1A1A1A"/>
                <w:sz w:val="17"/>
              </w:rPr>
              <w:t>Regular training happens; impact is not assessed.</w:t>
            </w:r>
          </w:p>
          <w:p>
            <w:pPr>
              <w:spacing w:before="0" w:after="80" w:line="259" w:lineRule="auto"/>
            </w:pPr>
            <w:r>
              <w:rPr>
                <w:rFonts w:ascii="Inter" w:hAnsi="Inter" w:cs="Inter" w:eastAsia="Inter"/>
                <w:b/>
                <w:i w:val="0"/>
                <w:color w:val="128770"/>
                <w:sz w:val="17"/>
              </w:rPr>
              <w:t xml:space="preserve">5  </w:t>
            </w:r>
            <w:r>
              <w:rPr>
                <w:rFonts w:ascii="Inter" w:hAnsi="Inter" w:cs="Inter" w:eastAsia="Inter"/>
                <w:b w:val="0"/>
                <w:i w:val="0"/>
                <w:color w:val="1A1A1A"/>
                <w:sz w:val="17"/>
              </w:rPr>
              <w:t>CPD is sustained, matched to cohort need, and its impact on practice is evaluated and acted on.</w:t>
            </w:r>
          </w:p>
        </w:tc>
        <w:tc>
          <w:tcPr>
            <w:tcW w:type="dxa" w:w="3742"/>
            <w:tcMar>
              <w:top w:w="70" w:type="dxa"/>
              <w:bottom w:w="70" w:type="dxa"/>
              <w:left w:w="90" w:type="dxa"/>
              <w:right w:w="90" w:type="dxa"/>
            </w:tcMar>
            <w:vAlign w:val="top"/>
          </w:tcPr>
          <w:p>
            <w:pPr>
              <w:spacing w:before="0" w:after="80" w:line="259" w:lineRule="auto"/>
            </w:pPr>
            <w:r>
              <w:rPr>
                <w:rFonts w:ascii="Inter" w:hAnsi="Inter" w:cs="Inter" w:eastAsia="Inter"/>
                <w:b w:val="0"/>
                <w:i/>
                <w:color w:val="666666"/>
                <w:sz w:val="16"/>
              </w:rPr>
              <w:t>What changed in classroom practice as a result of your last CPD cycle?</w:t>
            </w:r>
          </w:p>
          <w:p>
            <w:pPr>
              <w:spacing w:before="0" w:after="80" w:line="259" w:lineRule="auto"/>
            </w:pPr>
            <w:r>
              <w:rPr>
                <w:rFonts w:ascii="Inter" w:hAnsi="Inter" w:cs="Inter" w:eastAsia="Inter"/>
                <w:b w:val="0"/>
                <w:i w:val="0"/>
                <w:color w:val="1A1A1A"/>
                <w:sz w:val="18"/>
              </w:rPr>
            </w:r>
          </w:p>
        </w:tc>
        <w:tc>
          <w:tcPr>
            <w:tcW w:type="dxa" w:w="964"/>
            <w:tcMar>
              <w:top w:w="70" w:type="dxa"/>
              <w:bottom w:w="70" w:type="dxa"/>
              <w:left w:w="90" w:type="dxa"/>
              <w:right w:w="90" w:type="dxa"/>
            </w:tcMar>
            <w:shd w:val="clear" w:color="auto" w:fill="FEF6D9"/>
            <w:vAlign w:val="center"/>
          </w:tcPr>
          <w:p>
            <w:pPr>
              <w:spacing w:before="0" w:after="40" w:line="259" w:lineRule="auto"/>
            </w:pPr>
            <w:r>
              <w:rPr>
                <w:rFonts w:ascii="Inter" w:hAnsi="Inter" w:cs="Inter" w:eastAsia="Inter"/>
                <w:b w:val="0"/>
                <w:i w:val="0"/>
                <w:color w:val="1A1A1A"/>
                <w:sz w:val="18"/>
              </w:rPr>
            </w:r>
          </w:p>
          <w:p>
            <w:pPr>
              <w:spacing w:before="0" w:after="40" w:line="259" w:lineRule="auto"/>
            </w:pPr>
            <w:r>
              <w:rPr>
                <w:rFonts w:ascii="Inter" w:hAnsi="Inter" w:cs="Inter" w:eastAsia="Inter"/>
                <w:b w:val="0"/>
                <w:i w:val="0"/>
                <w:color w:val="666666"/>
                <w:sz w:val="15"/>
              </w:rPr>
              <w:t>1 to 5</w:t>
            </w:r>
          </w:p>
        </w:tc>
        <w:tc>
          <w:tcPr>
            <w:tcW w:type="dxa" w:w="3742"/>
            <w:tcMar>
              <w:top w:w="70" w:type="dxa"/>
              <w:bottom w:w="70" w:type="dxa"/>
              <w:left w:w="90" w:type="dxa"/>
              <w:right w:w="90" w:type="dxa"/>
            </w:tcMar>
            <w:vAlign w:val="top"/>
          </w:tcPr>
          <w:p>
            <w:pPr>
              <w:spacing w:before="0" w:after="40" w:line="259" w:lineRule="auto"/>
            </w:pPr>
            <w:r>
              <w:rPr>
                <w:rFonts w:ascii="Inter" w:hAnsi="Inter" w:cs="Inter" w:eastAsia="Inter"/>
                <w:b w:val="0"/>
                <w:i w:val="0"/>
                <w:color w:val="1A1A1A"/>
                <w:sz w:val="17"/>
              </w:rPr>
              <w:t>Where possible, support staff towards specialist qualifications matching the needs of your cohort. Note the mandatory qualification requirement below.</w:t>
            </w:r>
          </w:p>
        </w:tc>
        <w:tc>
          <w:tcPr>
            <w:tcW w:type="dxa" w:w="2948"/>
            <w:tcMar>
              <w:top w:w="70" w:type="dxa"/>
              <w:bottom w:w="70" w:type="dxa"/>
              <w:left w:w="90" w:type="dxa"/>
              <w:right w:w="90" w:type="dxa"/>
            </w:tcMar>
            <w:vAlign w:val="top"/>
          </w:tcPr>
          <w:p>
            <w:pPr>
              <w:spacing w:before="0" w:after="60" w:line="259" w:lineRule="auto"/>
            </w:pPr>
            <w:r>
              <w:rPr>
                <w:rFonts w:ascii="Inter" w:hAnsi="Inter" w:cs="Inter" w:eastAsia="Inter"/>
                <w:b w:val="0"/>
                <w:i w:val="0"/>
                <w:color w:val="666666"/>
                <w:sz w:val="15"/>
              </w:rPr>
              <w:t>Owner</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Target date</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Review date</w:t>
            </w:r>
          </w:p>
          <w:p>
            <w:pPr>
              <w:spacing w:before="0" w:after="60" w:line="259" w:lineRule="auto"/>
            </w:pPr>
            <w:r>
              <w:rPr>
                <w:rFonts w:ascii="Inter" w:hAnsi="Inter" w:cs="Inter" w:eastAsia="Inter"/>
                <w:b w:val="0"/>
                <w:i w:val="0"/>
                <w:color w:val="1A1A1A"/>
                <w:sz w:val="18"/>
              </w:rPr>
            </w:r>
          </w:p>
        </w:tc>
      </w:tr>
      <w:tr>
        <w:trPr>
          <w:cantSplit/>
        </w:trPr>
        <w:tc>
          <w:tcPr>
            <w:tcW w:type="dxa" w:w="15478"/>
            <w:gridSpan w:val="5"/>
            <w:shd w:val="clear" w:color="auto" w:fill="F1F7F6"/>
            <w:tcMar>
              <w:top w:w="80" w:type="dxa"/>
              <w:bottom w:w="80" w:type="dxa"/>
              <w:left w:w="90" w:type="dxa"/>
              <w:right w:w="90" w:type="dxa"/>
            </w:tcMar>
            <w:vAlign w:val="top"/>
          </w:tcPr>
          <w:p>
            <w:pPr>
              <w:spacing w:before="0" w:after="40" w:line="259" w:lineRule="auto"/>
              <w:keepNext/>
            </w:pPr>
            <w:r>
              <w:rPr>
                <w:rFonts w:ascii="Inter" w:hAnsi="Inter" w:cs="Inter" w:eastAsia="Inter"/>
                <w:b/>
                <w:i w:val="0"/>
                <w:color w:val="128770"/>
                <w:sz w:val="19"/>
              </w:rPr>
              <w:t xml:space="preserve">P4.7   </w:t>
            </w:r>
            <w:r>
              <w:rPr>
                <w:rFonts w:ascii="Inter" w:hAnsi="Inter" w:cs="Inter" w:eastAsia="Inter"/>
                <w:b/>
                <w:i w:val="0"/>
                <w:color w:val="1A1A1A"/>
                <w:sz w:val="19"/>
              </w:rPr>
              <w:t>Where you teach a class of learners with hearing impairment, vision impairment or multi-sensory impairment, the teacher holds the mandatory qualification.</w:t>
            </w:r>
            <w:r>
              <w:rPr>
                <w:rFonts w:ascii="Inter" w:hAnsi="Inter" w:cs="Inter" w:eastAsia="Inter"/>
                <w:b/>
                <w:i w:val="0"/>
                <w:color w:val="D35400"/>
                <w:sz w:val="17"/>
              </w:rPr>
              <w:t xml:space="preserve">   MUST  ·  existing legal duty</w:t>
            </w:r>
          </w:p>
          <w:p>
            <w:pPr>
              <w:spacing w:before="0" w:after="40" w:line="259" w:lineRule="auto"/>
              <w:keepNext/>
            </w:pPr>
            <w:r>
              <w:rPr>
                <w:rFonts w:ascii="Inter" w:hAnsi="Inter" w:cs="Inter" w:eastAsia="Inter"/>
                <w:b w:val="0"/>
                <w:i/>
                <w:color w:val="666666"/>
                <w:sz w:val="15"/>
              </w:rPr>
              <w:t>Base  ·  Guidance: “To teach a class of pupils with hearing impairment, vision impairment, or multi-sensory impairment, a teacher must hold a mandatory qualification.”</w:t>
            </w:r>
          </w:p>
        </w:tc>
      </w:tr>
      <w:tr>
        <w:trPr>
          <w:trHeight w:val="1701" w:hRule="atLeast"/>
          <w:cantSplit/>
        </w:trPr>
        <w:tc>
          <w:tcPr>
            <w:tcW w:type="dxa" w:w="4082"/>
            <w:tcMar>
              <w:top w:w="70" w:type="dxa"/>
              <w:bottom w:w="70" w:type="dxa"/>
              <w:left w:w="90" w:type="dxa"/>
              <w:right w:w="90" w:type="dxa"/>
            </w:tcMar>
            <w:vAlign w:val="top"/>
          </w:tcPr>
          <w:p>
            <w:pPr>
              <w:spacing w:before="0" w:after="80" w:line="259" w:lineRule="auto"/>
            </w:pPr>
            <w:r>
              <w:rPr>
                <w:rFonts w:ascii="Inter" w:hAnsi="Inter" w:cs="Inter" w:eastAsia="Inter"/>
                <w:b/>
                <w:i w:val="0"/>
                <w:color w:val="128770"/>
                <w:sz w:val="17"/>
              </w:rPr>
              <w:t xml:space="preserve">1  </w:t>
            </w:r>
            <w:r>
              <w:rPr>
                <w:rFonts w:ascii="Inter" w:hAnsi="Inter" w:cs="Inter" w:eastAsia="Inter"/>
                <w:b w:val="0"/>
                <w:i w:val="0"/>
                <w:color w:val="1A1A1A"/>
                <w:sz w:val="17"/>
              </w:rPr>
              <w:t>No qualified teacher of the relevant sensory impairment.</w:t>
            </w:r>
          </w:p>
          <w:p>
            <w:pPr>
              <w:spacing w:before="0" w:after="80" w:line="259" w:lineRule="auto"/>
            </w:pPr>
            <w:r>
              <w:rPr>
                <w:rFonts w:ascii="Inter" w:hAnsi="Inter" w:cs="Inter" w:eastAsia="Inter"/>
                <w:b/>
                <w:i w:val="0"/>
                <w:color w:val="128770"/>
                <w:sz w:val="17"/>
              </w:rPr>
              <w:t xml:space="preserve">3  </w:t>
            </w:r>
            <w:r>
              <w:rPr>
                <w:rFonts w:ascii="Inter" w:hAnsi="Inter" w:cs="Inter" w:eastAsia="Inter"/>
                <w:b w:val="0"/>
                <w:i w:val="0"/>
                <w:color w:val="1A1A1A"/>
                <w:sz w:val="17"/>
              </w:rPr>
              <w:t>Access to a qualified specialist via outreach only.</w:t>
            </w:r>
          </w:p>
          <w:p>
            <w:pPr>
              <w:spacing w:before="0" w:after="80" w:line="259" w:lineRule="auto"/>
            </w:pPr>
            <w:r>
              <w:rPr>
                <w:rFonts w:ascii="Inter" w:hAnsi="Inter" w:cs="Inter" w:eastAsia="Inter"/>
                <w:b/>
                <w:i w:val="0"/>
                <w:color w:val="128770"/>
                <w:sz w:val="17"/>
              </w:rPr>
              <w:t xml:space="preserve">5  </w:t>
            </w:r>
            <w:r>
              <w:rPr>
                <w:rFonts w:ascii="Inter" w:hAnsi="Inter" w:cs="Inter" w:eastAsia="Inter"/>
                <w:b w:val="0"/>
                <w:i w:val="0"/>
                <w:color w:val="1A1A1A"/>
                <w:sz w:val="17"/>
              </w:rPr>
              <w:t>The mandatory qualification is held by the teacher, or a funded route to it is underway with interim specialist cover.</w:t>
            </w:r>
          </w:p>
        </w:tc>
        <w:tc>
          <w:tcPr>
            <w:tcW w:type="dxa" w:w="3742"/>
            <w:tcMar>
              <w:top w:w="70" w:type="dxa"/>
              <w:bottom w:w="70" w:type="dxa"/>
              <w:left w:w="90" w:type="dxa"/>
              <w:right w:w="90" w:type="dxa"/>
            </w:tcMar>
            <w:vAlign w:val="top"/>
          </w:tcPr>
          <w:p>
            <w:pPr>
              <w:spacing w:before="0" w:after="80" w:line="259" w:lineRule="auto"/>
            </w:pPr>
            <w:r>
              <w:rPr>
                <w:rFonts w:ascii="Inter" w:hAnsi="Inter" w:cs="Inter" w:eastAsia="Inter"/>
                <w:b w:val="0"/>
                <w:i/>
                <w:color w:val="666666"/>
                <w:sz w:val="16"/>
              </w:rPr>
              <w:t>Name the qualification holder, or the plan and its date.</w:t>
            </w:r>
          </w:p>
          <w:p>
            <w:pPr>
              <w:spacing w:before="0" w:after="80" w:line="259" w:lineRule="auto"/>
            </w:pPr>
            <w:r>
              <w:rPr>
                <w:rFonts w:ascii="Inter" w:hAnsi="Inter" w:cs="Inter" w:eastAsia="Inter"/>
                <w:b w:val="0"/>
                <w:i w:val="0"/>
                <w:color w:val="1A1A1A"/>
                <w:sz w:val="18"/>
              </w:rPr>
            </w:r>
          </w:p>
        </w:tc>
        <w:tc>
          <w:tcPr>
            <w:tcW w:type="dxa" w:w="964"/>
            <w:tcMar>
              <w:top w:w="70" w:type="dxa"/>
              <w:bottom w:w="70" w:type="dxa"/>
              <w:left w:w="90" w:type="dxa"/>
              <w:right w:w="90" w:type="dxa"/>
            </w:tcMar>
            <w:shd w:val="clear" w:color="auto" w:fill="FEF6D9"/>
            <w:vAlign w:val="center"/>
          </w:tcPr>
          <w:p>
            <w:pPr>
              <w:spacing w:before="0" w:after="40" w:line="259" w:lineRule="auto"/>
            </w:pPr>
            <w:r>
              <w:rPr>
                <w:rFonts w:ascii="Inter" w:hAnsi="Inter" w:cs="Inter" w:eastAsia="Inter"/>
                <w:b w:val="0"/>
                <w:i w:val="0"/>
                <w:color w:val="1A1A1A"/>
                <w:sz w:val="18"/>
              </w:rPr>
            </w:r>
          </w:p>
          <w:p>
            <w:pPr>
              <w:spacing w:before="0" w:after="40" w:line="259" w:lineRule="auto"/>
            </w:pPr>
            <w:r>
              <w:rPr>
                <w:rFonts w:ascii="Inter" w:hAnsi="Inter" w:cs="Inter" w:eastAsia="Inter"/>
                <w:b w:val="0"/>
                <w:i w:val="0"/>
                <w:color w:val="666666"/>
                <w:sz w:val="15"/>
              </w:rPr>
              <w:t>1 to 5</w:t>
            </w:r>
          </w:p>
        </w:tc>
        <w:tc>
          <w:tcPr>
            <w:tcW w:type="dxa" w:w="3742"/>
            <w:tcMar>
              <w:top w:w="70" w:type="dxa"/>
              <w:bottom w:w="70" w:type="dxa"/>
              <w:left w:w="90" w:type="dxa"/>
              <w:right w:w="90" w:type="dxa"/>
            </w:tcMar>
            <w:vAlign w:val="top"/>
          </w:tcPr>
          <w:p>
            <w:pPr>
              <w:spacing w:before="0" w:after="40" w:line="259" w:lineRule="auto"/>
            </w:pPr>
            <w:r>
              <w:rPr>
                <w:rFonts w:ascii="Inter" w:hAnsi="Inter" w:cs="Inter" w:eastAsia="Inter"/>
                <w:b w:val="0"/>
                <w:i w:val="0"/>
                <w:color w:val="1A1A1A"/>
                <w:sz w:val="17"/>
              </w:rPr>
              <w:t>MUST. This is a legal requirement, not a recommendation. If your base serves these cohorts and no one holds the qualification, this is the highest-priority item in the whole audit.</w:t>
            </w:r>
          </w:p>
        </w:tc>
        <w:tc>
          <w:tcPr>
            <w:tcW w:type="dxa" w:w="2948"/>
            <w:tcMar>
              <w:top w:w="70" w:type="dxa"/>
              <w:bottom w:w="70" w:type="dxa"/>
              <w:left w:w="90" w:type="dxa"/>
              <w:right w:w="90" w:type="dxa"/>
            </w:tcMar>
            <w:vAlign w:val="top"/>
          </w:tcPr>
          <w:p>
            <w:pPr>
              <w:spacing w:before="0" w:after="60" w:line="259" w:lineRule="auto"/>
            </w:pPr>
            <w:r>
              <w:rPr>
                <w:rFonts w:ascii="Inter" w:hAnsi="Inter" w:cs="Inter" w:eastAsia="Inter"/>
                <w:b w:val="0"/>
                <w:i w:val="0"/>
                <w:color w:val="666666"/>
                <w:sz w:val="15"/>
              </w:rPr>
              <w:t>Owner</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Target date</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Review date</w:t>
            </w:r>
          </w:p>
          <w:p>
            <w:pPr>
              <w:spacing w:before="0" w:after="60" w:line="259" w:lineRule="auto"/>
            </w:pPr>
            <w:r>
              <w:rPr>
                <w:rFonts w:ascii="Inter" w:hAnsi="Inter" w:cs="Inter" w:eastAsia="Inter"/>
                <w:b w:val="0"/>
                <w:i w:val="0"/>
                <w:color w:val="1A1A1A"/>
                <w:sz w:val="18"/>
              </w:rPr>
            </w:r>
          </w:p>
        </w:tc>
      </w:tr>
      <w:tr>
        <w:trPr>
          <w:cantSplit/>
        </w:trPr>
        <w:tc>
          <w:tcPr>
            <w:tcW w:type="dxa" w:w="15478"/>
            <w:gridSpan w:val="5"/>
            <w:shd w:val="clear" w:color="auto" w:fill="F1F7F6"/>
            <w:tcMar>
              <w:top w:w="80" w:type="dxa"/>
              <w:bottom w:w="80" w:type="dxa"/>
              <w:left w:w="90" w:type="dxa"/>
              <w:right w:w="90" w:type="dxa"/>
            </w:tcMar>
            <w:vAlign w:val="top"/>
          </w:tcPr>
          <w:p>
            <w:pPr>
              <w:spacing w:before="0" w:after="40" w:line="259" w:lineRule="auto"/>
              <w:keepNext/>
            </w:pPr>
            <w:r>
              <w:rPr>
                <w:rFonts w:ascii="Inter" w:hAnsi="Inter" w:cs="Inter" w:eastAsia="Inter"/>
                <w:b/>
                <w:i w:val="0"/>
                <w:color w:val="128770"/>
                <w:sz w:val="19"/>
              </w:rPr>
              <w:t xml:space="preserve">P4.8   </w:t>
            </w:r>
            <w:r>
              <w:rPr>
                <w:rFonts w:ascii="Inter" w:hAnsi="Inter" w:cs="Inter" w:eastAsia="Inter"/>
                <w:b/>
                <w:i w:val="0"/>
                <w:color w:val="1A1A1A"/>
                <w:sz w:val="19"/>
              </w:rPr>
              <w:t>Your recruitment and training policies support the assumption that mainstream teachers should expect to teach learners who access the base.</w:t>
            </w:r>
          </w:p>
          <w:p>
            <w:pPr>
              <w:spacing w:before="0" w:after="40" w:line="259" w:lineRule="auto"/>
              <w:keepNext/>
            </w:pPr>
            <w:r>
              <w:rPr>
                <w:rFonts w:ascii="Inter" w:hAnsi="Inter" w:cs="Inter" w:eastAsia="Inter"/>
                <w:b w:val="0"/>
                <w:i/>
                <w:color w:val="666666"/>
                <w:sz w:val="15"/>
              </w:rPr>
              <w:t>Whole school  ·  Guidance: “Ensure their recruitment and training policies support the assumption that mainstream teachers should expect to teach children accessing the base.”</w:t>
            </w:r>
          </w:p>
        </w:tc>
      </w:tr>
      <w:tr>
        <w:trPr>
          <w:trHeight w:val="1701" w:hRule="atLeast"/>
          <w:cantSplit/>
        </w:trPr>
        <w:tc>
          <w:tcPr>
            <w:tcW w:type="dxa" w:w="4082"/>
            <w:tcMar>
              <w:top w:w="70" w:type="dxa"/>
              <w:bottom w:w="70" w:type="dxa"/>
              <w:left w:w="90" w:type="dxa"/>
              <w:right w:w="90" w:type="dxa"/>
            </w:tcMar>
            <w:vAlign w:val="top"/>
          </w:tcPr>
          <w:p>
            <w:pPr>
              <w:spacing w:before="0" w:after="80" w:line="259" w:lineRule="auto"/>
            </w:pPr>
            <w:r>
              <w:rPr>
                <w:rFonts w:ascii="Inter" w:hAnsi="Inter" w:cs="Inter" w:eastAsia="Inter"/>
                <w:b/>
                <w:i w:val="0"/>
                <w:color w:val="128770"/>
                <w:sz w:val="17"/>
              </w:rPr>
              <w:t xml:space="preserve">1  </w:t>
            </w:r>
            <w:r>
              <w:rPr>
                <w:rFonts w:ascii="Inter" w:hAnsi="Inter" w:cs="Inter" w:eastAsia="Inter"/>
                <w:b w:val="0"/>
                <w:i w:val="0"/>
                <w:color w:val="1A1A1A"/>
                <w:sz w:val="17"/>
              </w:rPr>
              <w:t>Base learners are treated as the base staff's responsibility.</w:t>
            </w:r>
          </w:p>
          <w:p>
            <w:pPr>
              <w:spacing w:before="0" w:after="80" w:line="259" w:lineRule="auto"/>
            </w:pPr>
            <w:r>
              <w:rPr>
                <w:rFonts w:ascii="Inter" w:hAnsi="Inter" w:cs="Inter" w:eastAsia="Inter"/>
                <w:b/>
                <w:i w:val="0"/>
                <w:color w:val="128770"/>
                <w:sz w:val="17"/>
              </w:rPr>
              <w:t xml:space="preserve">3  </w:t>
            </w:r>
            <w:r>
              <w:rPr>
                <w:rFonts w:ascii="Inter" w:hAnsi="Inter" w:cs="Inter" w:eastAsia="Inter"/>
                <w:b w:val="0"/>
                <w:i w:val="0"/>
                <w:color w:val="1A1A1A"/>
                <w:sz w:val="17"/>
              </w:rPr>
              <w:t>The expectation is stated but not reflected in recruitment, induction or CPD.</w:t>
            </w:r>
          </w:p>
          <w:p>
            <w:pPr>
              <w:spacing w:before="0" w:after="80" w:line="259" w:lineRule="auto"/>
            </w:pPr>
            <w:r>
              <w:rPr>
                <w:rFonts w:ascii="Inter" w:hAnsi="Inter" w:cs="Inter" w:eastAsia="Inter"/>
                <w:b/>
                <w:i w:val="0"/>
                <w:color w:val="128770"/>
                <w:sz w:val="17"/>
              </w:rPr>
              <w:t xml:space="preserve">5  </w:t>
            </w:r>
            <w:r>
              <w:rPr>
                <w:rFonts w:ascii="Inter" w:hAnsi="Inter" w:cs="Inter" w:eastAsia="Inter"/>
                <w:b w:val="0"/>
                <w:i w:val="0"/>
                <w:color w:val="1A1A1A"/>
                <w:sz w:val="17"/>
              </w:rPr>
              <w:t>The expectation is explicit in recruitment, induction and CPD, and mainstream teachers routinely teach these learners.</w:t>
            </w:r>
          </w:p>
        </w:tc>
        <w:tc>
          <w:tcPr>
            <w:tcW w:type="dxa" w:w="3742"/>
            <w:tcMar>
              <w:top w:w="70" w:type="dxa"/>
              <w:bottom w:w="70" w:type="dxa"/>
              <w:left w:w="90" w:type="dxa"/>
              <w:right w:w="90" w:type="dxa"/>
            </w:tcMar>
            <w:vAlign w:val="top"/>
          </w:tcPr>
          <w:p>
            <w:pPr>
              <w:spacing w:before="0" w:after="80" w:line="259" w:lineRule="auto"/>
            </w:pPr>
            <w:r>
              <w:rPr>
                <w:rFonts w:ascii="Inter" w:hAnsi="Inter" w:cs="Inter" w:eastAsia="Inter"/>
                <w:b w:val="0"/>
                <w:i/>
                <w:color w:val="666666"/>
                <w:sz w:val="16"/>
              </w:rPr>
              <w:t>Does your teacher job description mention it? Does induction cover the base?</w:t>
            </w:r>
          </w:p>
          <w:p>
            <w:pPr>
              <w:spacing w:before="0" w:after="80" w:line="259" w:lineRule="auto"/>
            </w:pPr>
            <w:r>
              <w:rPr>
                <w:rFonts w:ascii="Inter" w:hAnsi="Inter" w:cs="Inter" w:eastAsia="Inter"/>
                <w:b w:val="0"/>
                <w:i w:val="0"/>
                <w:color w:val="1A1A1A"/>
                <w:sz w:val="18"/>
              </w:rPr>
            </w:r>
          </w:p>
        </w:tc>
        <w:tc>
          <w:tcPr>
            <w:tcW w:type="dxa" w:w="964"/>
            <w:tcMar>
              <w:top w:w="70" w:type="dxa"/>
              <w:bottom w:w="70" w:type="dxa"/>
              <w:left w:w="90" w:type="dxa"/>
              <w:right w:w="90" w:type="dxa"/>
            </w:tcMar>
            <w:shd w:val="clear" w:color="auto" w:fill="FEF6D9"/>
            <w:vAlign w:val="center"/>
          </w:tcPr>
          <w:p>
            <w:pPr>
              <w:spacing w:before="0" w:after="40" w:line="259" w:lineRule="auto"/>
            </w:pPr>
            <w:r>
              <w:rPr>
                <w:rFonts w:ascii="Inter" w:hAnsi="Inter" w:cs="Inter" w:eastAsia="Inter"/>
                <w:b w:val="0"/>
                <w:i w:val="0"/>
                <w:color w:val="1A1A1A"/>
                <w:sz w:val="18"/>
              </w:rPr>
            </w:r>
          </w:p>
          <w:p>
            <w:pPr>
              <w:spacing w:before="0" w:after="40" w:line="259" w:lineRule="auto"/>
            </w:pPr>
            <w:r>
              <w:rPr>
                <w:rFonts w:ascii="Inter" w:hAnsi="Inter" w:cs="Inter" w:eastAsia="Inter"/>
                <w:b w:val="0"/>
                <w:i w:val="0"/>
                <w:color w:val="666666"/>
                <w:sz w:val="15"/>
              </w:rPr>
              <w:t>1 to 5</w:t>
            </w:r>
          </w:p>
        </w:tc>
        <w:tc>
          <w:tcPr>
            <w:tcW w:type="dxa" w:w="3742"/>
            <w:tcMar>
              <w:top w:w="70" w:type="dxa"/>
              <w:bottom w:w="70" w:type="dxa"/>
              <w:left w:w="90" w:type="dxa"/>
              <w:right w:w="90" w:type="dxa"/>
            </w:tcMar>
            <w:vAlign w:val="top"/>
          </w:tcPr>
          <w:p>
            <w:pPr>
              <w:spacing w:before="0" w:after="40" w:line="259" w:lineRule="auto"/>
            </w:pPr>
            <w:r>
              <w:rPr>
                <w:rFonts w:ascii="Inter" w:hAnsi="Inter" w:cs="Inter" w:eastAsia="Inter"/>
                <w:b w:val="0"/>
                <w:i w:val="0"/>
                <w:color w:val="1A1A1A"/>
                <w:sz w:val="17"/>
              </w:rPr>
              <w:t>Position the base as a site of professional learning, coaching and modelling for the whole school. The guidance frames the base as a source of expertise flowing outwards, not a destination.</w:t>
            </w:r>
          </w:p>
        </w:tc>
        <w:tc>
          <w:tcPr>
            <w:tcW w:type="dxa" w:w="2948"/>
            <w:tcMar>
              <w:top w:w="70" w:type="dxa"/>
              <w:bottom w:w="70" w:type="dxa"/>
              <w:left w:w="90" w:type="dxa"/>
              <w:right w:w="90" w:type="dxa"/>
            </w:tcMar>
            <w:vAlign w:val="top"/>
          </w:tcPr>
          <w:p>
            <w:pPr>
              <w:spacing w:before="0" w:after="60" w:line="259" w:lineRule="auto"/>
            </w:pPr>
            <w:r>
              <w:rPr>
                <w:rFonts w:ascii="Inter" w:hAnsi="Inter" w:cs="Inter" w:eastAsia="Inter"/>
                <w:b w:val="0"/>
                <w:i w:val="0"/>
                <w:color w:val="666666"/>
                <w:sz w:val="15"/>
              </w:rPr>
              <w:t>Owner</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Target date</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Review date</w:t>
            </w:r>
          </w:p>
          <w:p>
            <w:pPr>
              <w:spacing w:before="0" w:after="60" w:line="259" w:lineRule="auto"/>
            </w:pPr>
            <w:r>
              <w:rPr>
                <w:rFonts w:ascii="Inter" w:hAnsi="Inter" w:cs="Inter" w:eastAsia="Inter"/>
                <w:b w:val="0"/>
                <w:i w:val="0"/>
                <w:color w:val="1A1A1A"/>
                <w:sz w:val="18"/>
              </w:rPr>
            </w:r>
          </w:p>
        </w:tc>
      </w:tr>
    </w:tbl>
    <w:p>
      <w:pPr>
        <w:spacing w:after="0" w:before="0" w:line="240" w:lineRule="auto"/>
        <w:pageBreakBefore/>
      </w:pPr>
      <w:r>
        <w:rPr>
          <w:rFonts w:ascii="Inter" w:hAnsi="Inter" w:cs="Inter" w:eastAsia="Inter"/>
          <w:b w:val="0"/>
          <w:i w:val="0"/>
          <w:color w:val="1A1A1A"/>
          <w:sz w:val="2"/>
        </w:rPr>
      </w:r>
    </w:p>
    <w:tbl>
      <w:tblPr>
        <w:tblW w:type="auto" w:w="0"/>
        <w:tblLayout w:type="fixed"/>
        <w:tblLook w:firstColumn="1" w:firstRow="1" w:lastColumn="0" w:lastRow="0" w:noHBand="0" w:noVBand="1" w:val="04A0"/>
      </w:tblPr>
      <w:tblGrid>
        <w:gridCol w:w="15478"/>
      </w:tblGrid>
      <w:tr>
        <w:tc>
          <w:tcPr>
            <w:tcW w:type="dxa" w:w="15477"/>
            <w:shd w:val="clear" w:color="auto" w:fill="128770"/>
            <w:tcMar>
              <w:top w:w="130" w:type="dxa"/>
              <w:bottom w:w="130" w:type="dxa"/>
              <w:left w:w="160" w:type="dxa"/>
              <w:right w:w="160" w:type="dxa"/>
            </w:tcMar>
            <w:vAlign w:val="top"/>
          </w:tcPr>
          <w:p>
            <w:pPr>
              <w:spacing w:before="0" w:after="40" w:line="259" w:lineRule="auto"/>
            </w:pPr>
            <w:r>
              <w:rPr>
                <w:rFonts w:ascii="Lexend" w:hAnsi="Lexend" w:cs="Lexend" w:eastAsia="Lexend"/>
                <w:b/>
                <w:i w:val="0"/>
                <w:color w:val="FFFFFF"/>
                <w:sz w:val="30"/>
              </w:rPr>
              <w:t xml:space="preserve">P5   </w:t>
            </w:r>
            <w:r>
              <w:rPr>
                <w:rFonts w:ascii="Lexend" w:hAnsi="Lexend" w:cs="Lexend" w:eastAsia="Lexend"/>
                <w:b/>
                <w:i w:val="0"/>
                <w:color w:val="FFFFFF"/>
                <w:sz w:val="30"/>
              </w:rPr>
              <w:t>Effective partnership working</w:t>
            </w:r>
          </w:p>
          <w:p>
            <w:pPr>
              <w:spacing w:before="0" w:after="40" w:line="259" w:lineRule="auto"/>
            </w:pPr>
            <w:r>
              <w:rPr>
                <w:rFonts w:ascii="Inter" w:hAnsi="Inter" w:cs="Inter" w:eastAsia="Inter"/>
                <w:b w:val="0"/>
                <w:i w:val="0"/>
                <w:color w:val="FFFFFF"/>
                <w:sz w:val="17"/>
              </w:rPr>
              <w:t>Guidance pages 29-33  ·  8 criteria  ·  EEF: Recommendation 2: Build an ongoing, holistic understanding of your pupils and their needs</w:t>
            </w:r>
          </w:p>
        </w:tc>
      </w:tr>
    </w:tbl>
    <w:p>
      <w:pPr>
        <w:spacing w:after="80" w:before="0" w:line="276" w:lineRule="auto"/>
      </w:pPr>
    </w:p>
    <w:tbl>
      <w:tblPr>
        <w:tblStyle w:val="TableGrid"/>
        <w:tblW w:type="auto" w:w="0"/>
        <w:tblLayout w:type="fixed"/>
        <w:tblLook w:firstColumn="1" w:firstRow="1" w:lastColumn="0" w:lastRow="0" w:noHBand="0" w:noVBand="1" w:val="04A0"/>
      </w:tblPr>
      <w:tblGrid>
        <w:gridCol w:w="3096"/>
        <w:gridCol w:w="3096"/>
        <w:gridCol w:w="3096"/>
        <w:gridCol w:w="3096"/>
        <w:gridCol w:w="3096"/>
      </w:tblGrid>
      <w:tr>
        <w:trPr>
          <w:tblHeader w:val="true"/>
        </w:trPr>
        <w:tc>
          <w:tcPr>
            <w:tcW w:type="dxa" w:w="4082"/>
            <w:shd w:val="clear" w:color="auto" w:fill="D6E9E5"/>
            <w:tcMar>
              <w:top w:w="70" w:type="dxa"/>
              <w:bottom w:w="70" w:type="dxa"/>
              <w:left w:w="90" w:type="dxa"/>
              <w:right w:w="90" w:type="dxa"/>
            </w:tcMar>
            <w:vAlign w:val="top"/>
          </w:tcPr>
          <w:p>
            <w:pPr>
              <w:spacing w:before="0" w:after="40" w:line="259" w:lineRule="auto"/>
            </w:pPr>
            <w:r>
              <w:rPr>
                <w:rFonts w:ascii="Inter" w:hAnsi="Inter" w:cs="Inter" w:eastAsia="Inter"/>
                <w:b/>
                <w:i w:val="0"/>
                <w:color w:val="128770"/>
                <w:sz w:val="17"/>
              </w:rPr>
              <w:t>What good looks like</w:t>
            </w:r>
          </w:p>
        </w:tc>
        <w:tc>
          <w:tcPr>
            <w:tcW w:type="dxa" w:w="3742"/>
            <w:shd w:val="clear" w:color="auto" w:fill="D6E9E5"/>
            <w:tcMar>
              <w:top w:w="70" w:type="dxa"/>
              <w:bottom w:w="70" w:type="dxa"/>
              <w:left w:w="90" w:type="dxa"/>
              <w:right w:w="90" w:type="dxa"/>
            </w:tcMar>
            <w:vAlign w:val="top"/>
          </w:tcPr>
          <w:p>
            <w:pPr>
              <w:spacing w:before="0" w:after="40" w:line="259" w:lineRule="auto"/>
            </w:pPr>
            <w:r>
              <w:rPr>
                <w:rFonts w:ascii="Inter" w:hAnsi="Inter" w:cs="Inter" w:eastAsia="Inter"/>
                <w:b/>
                <w:i w:val="0"/>
                <w:color w:val="128770"/>
                <w:sz w:val="17"/>
              </w:rPr>
              <w:t>Your evidence  (fill this in FIRST)</w:t>
            </w:r>
          </w:p>
        </w:tc>
        <w:tc>
          <w:tcPr>
            <w:tcW w:type="dxa" w:w="964"/>
            <w:shd w:val="clear" w:color="auto" w:fill="FEF6D9"/>
            <w:tcMar>
              <w:top w:w="70" w:type="dxa"/>
              <w:bottom w:w="70" w:type="dxa"/>
              <w:left w:w="90" w:type="dxa"/>
              <w:right w:w="90" w:type="dxa"/>
            </w:tcMar>
            <w:vAlign w:val="top"/>
          </w:tcPr>
          <w:p>
            <w:pPr>
              <w:spacing w:before="0" w:after="40" w:line="259" w:lineRule="auto"/>
            </w:pPr>
            <w:r>
              <w:rPr>
                <w:rFonts w:ascii="Inter" w:hAnsi="Inter" w:cs="Inter" w:eastAsia="Inter"/>
                <w:b/>
                <w:i w:val="0"/>
                <w:color w:val="128770"/>
                <w:sz w:val="17"/>
              </w:rPr>
              <w:t>Rating</w:t>
            </w:r>
          </w:p>
        </w:tc>
        <w:tc>
          <w:tcPr>
            <w:tcW w:type="dxa" w:w="3742"/>
            <w:shd w:val="clear" w:color="auto" w:fill="D6E9E5"/>
            <w:tcMar>
              <w:top w:w="70" w:type="dxa"/>
              <w:bottom w:w="70" w:type="dxa"/>
              <w:left w:w="90" w:type="dxa"/>
              <w:right w:w="90" w:type="dxa"/>
            </w:tcMar>
            <w:vAlign w:val="top"/>
          </w:tcPr>
          <w:p>
            <w:pPr>
              <w:spacing w:before="0" w:after="40" w:line="259" w:lineRule="auto"/>
            </w:pPr>
            <w:r>
              <w:rPr>
                <w:rFonts w:ascii="Inter" w:hAnsi="Inter" w:cs="Inter" w:eastAsia="Inter"/>
                <w:b/>
                <w:i w:val="0"/>
                <w:color w:val="128770"/>
                <w:sz w:val="17"/>
              </w:rPr>
              <w:t>Suggested next step</w:t>
            </w:r>
          </w:p>
        </w:tc>
        <w:tc>
          <w:tcPr>
            <w:tcW w:type="dxa" w:w="2948"/>
            <w:shd w:val="clear" w:color="auto" w:fill="D6E9E5"/>
            <w:tcMar>
              <w:top w:w="70" w:type="dxa"/>
              <w:bottom w:w="70" w:type="dxa"/>
              <w:left w:w="90" w:type="dxa"/>
              <w:right w:w="90" w:type="dxa"/>
            </w:tcMar>
            <w:vAlign w:val="top"/>
          </w:tcPr>
          <w:p>
            <w:pPr>
              <w:spacing w:before="0" w:after="40" w:line="259" w:lineRule="auto"/>
            </w:pPr>
            <w:r>
              <w:rPr>
                <w:rFonts w:ascii="Inter" w:hAnsi="Inter" w:cs="Inter" w:eastAsia="Inter"/>
                <w:b/>
                <w:i w:val="0"/>
                <w:color w:val="128770"/>
                <w:sz w:val="17"/>
              </w:rPr>
              <w:t>Owner / date / review date</w:t>
            </w:r>
          </w:p>
        </w:tc>
      </w:tr>
      <w:tr>
        <w:trPr>
          <w:cantSplit/>
        </w:trPr>
        <w:tc>
          <w:tcPr>
            <w:tcW w:type="dxa" w:w="15478"/>
            <w:gridSpan w:val="5"/>
            <w:shd w:val="clear" w:color="auto" w:fill="F1F7F6"/>
            <w:tcMar>
              <w:top w:w="80" w:type="dxa"/>
              <w:bottom w:w="80" w:type="dxa"/>
              <w:left w:w="90" w:type="dxa"/>
              <w:right w:w="90" w:type="dxa"/>
            </w:tcMar>
            <w:vAlign w:val="top"/>
          </w:tcPr>
          <w:p>
            <w:pPr>
              <w:spacing w:before="0" w:after="40" w:line="259" w:lineRule="auto"/>
              <w:keepNext/>
            </w:pPr>
            <w:r>
              <w:rPr>
                <w:rFonts w:ascii="Inter" w:hAnsi="Inter" w:cs="Inter" w:eastAsia="Inter"/>
                <w:b/>
                <w:i w:val="0"/>
                <w:color w:val="128770"/>
                <w:sz w:val="19"/>
              </w:rPr>
              <w:t xml:space="preserve">P5.1   </w:t>
            </w:r>
            <w:r>
              <w:rPr>
                <w:rFonts w:ascii="Inter" w:hAnsi="Inter" w:cs="Inter" w:eastAsia="Inter"/>
                <w:b/>
                <w:i w:val="0"/>
                <w:color w:val="1A1A1A"/>
                <w:sz w:val="19"/>
              </w:rPr>
              <w:t>Parents and carers are involved in decisions about base access, time spent there, curriculum, support planned, and reintegration plans.</w:t>
            </w:r>
            <w:r>
              <w:rPr>
                <w:rFonts w:ascii="Inter" w:hAnsi="Inter" w:cs="Inter" w:eastAsia="Inter"/>
                <w:b/>
                <w:i w:val="0"/>
                <w:color w:val="D35400"/>
                <w:sz w:val="17"/>
              </w:rPr>
              <w:t xml:space="preserve">   MUST  ·  existing legal duty</w:t>
            </w:r>
          </w:p>
          <w:p>
            <w:pPr>
              <w:spacing w:before="0" w:after="40" w:line="259" w:lineRule="auto"/>
              <w:keepNext/>
            </w:pPr>
            <w:r>
              <w:rPr>
                <w:rFonts w:ascii="Inter" w:hAnsi="Inter" w:cs="Inter" w:eastAsia="Inter"/>
                <w:b w:val="0"/>
                <w:i/>
                <w:color w:val="666666"/>
                <w:sz w:val="15"/>
              </w:rPr>
              <w:t>Individual children and young people  ·  Guidance: “Parents and carers should be involved in decisions about their child accessing a base, how much time they will typically spend there, the curriculum and support planned and plans for reintegration.”</w:t>
            </w:r>
          </w:p>
        </w:tc>
      </w:tr>
      <w:tr>
        <w:trPr>
          <w:trHeight w:val="1701" w:hRule="atLeast"/>
          <w:cantSplit/>
        </w:trPr>
        <w:tc>
          <w:tcPr>
            <w:tcW w:type="dxa" w:w="4082"/>
            <w:tcMar>
              <w:top w:w="70" w:type="dxa"/>
              <w:bottom w:w="70" w:type="dxa"/>
              <w:left w:w="90" w:type="dxa"/>
              <w:right w:w="90" w:type="dxa"/>
            </w:tcMar>
            <w:vAlign w:val="top"/>
          </w:tcPr>
          <w:p>
            <w:pPr>
              <w:spacing w:before="0" w:after="80" w:line="259" w:lineRule="auto"/>
            </w:pPr>
            <w:r>
              <w:rPr>
                <w:rFonts w:ascii="Inter" w:hAnsi="Inter" w:cs="Inter" w:eastAsia="Inter"/>
                <w:b/>
                <w:i w:val="0"/>
                <w:color w:val="128770"/>
                <w:sz w:val="17"/>
              </w:rPr>
              <w:t xml:space="preserve">1  </w:t>
            </w:r>
            <w:r>
              <w:rPr>
                <w:rFonts w:ascii="Inter" w:hAnsi="Inter" w:cs="Inter" w:eastAsia="Inter"/>
                <w:b w:val="0"/>
                <w:i w:val="0"/>
                <w:color w:val="1A1A1A"/>
                <w:sz w:val="17"/>
              </w:rPr>
              <w:t>Families are informed of decisions already made.</w:t>
            </w:r>
          </w:p>
          <w:p>
            <w:pPr>
              <w:spacing w:before="0" w:after="80" w:line="259" w:lineRule="auto"/>
            </w:pPr>
            <w:r>
              <w:rPr>
                <w:rFonts w:ascii="Inter" w:hAnsi="Inter" w:cs="Inter" w:eastAsia="Inter"/>
                <w:b/>
                <w:i w:val="0"/>
                <w:color w:val="128770"/>
                <w:sz w:val="17"/>
              </w:rPr>
              <w:t xml:space="preserve">3  </w:t>
            </w:r>
            <w:r>
              <w:rPr>
                <w:rFonts w:ascii="Inter" w:hAnsi="Inter" w:cs="Inter" w:eastAsia="Inter"/>
                <w:b w:val="0"/>
                <w:i w:val="0"/>
                <w:color w:val="1A1A1A"/>
                <w:sz w:val="17"/>
              </w:rPr>
              <w:t>Families are consulted on placement but not on curriculum or reintegration.</w:t>
            </w:r>
          </w:p>
          <w:p>
            <w:pPr>
              <w:spacing w:before="0" w:after="80" w:line="259" w:lineRule="auto"/>
            </w:pPr>
            <w:r>
              <w:rPr>
                <w:rFonts w:ascii="Inter" w:hAnsi="Inter" w:cs="Inter" w:eastAsia="Inter"/>
                <w:b/>
                <w:i w:val="0"/>
                <w:color w:val="128770"/>
                <w:sz w:val="17"/>
              </w:rPr>
              <w:t xml:space="preserve">5  </w:t>
            </w:r>
            <w:r>
              <w:rPr>
                <w:rFonts w:ascii="Inter" w:hAnsi="Inter" w:cs="Inter" w:eastAsia="Inter"/>
                <w:b w:val="0"/>
                <w:i w:val="0"/>
                <w:color w:val="1A1A1A"/>
                <w:sz w:val="17"/>
              </w:rPr>
              <w:t>Families are involved across all five, and their input is recorded and visibly acted on.</w:t>
            </w:r>
          </w:p>
        </w:tc>
        <w:tc>
          <w:tcPr>
            <w:tcW w:type="dxa" w:w="3742"/>
            <w:tcMar>
              <w:top w:w="70" w:type="dxa"/>
              <w:bottom w:w="70" w:type="dxa"/>
              <w:left w:w="90" w:type="dxa"/>
              <w:right w:w="90" w:type="dxa"/>
            </w:tcMar>
            <w:vAlign w:val="top"/>
          </w:tcPr>
          <w:p>
            <w:pPr>
              <w:spacing w:before="0" w:after="80" w:line="259" w:lineRule="auto"/>
            </w:pPr>
            <w:r>
              <w:rPr>
                <w:rFonts w:ascii="Inter" w:hAnsi="Inter" w:cs="Inter" w:eastAsia="Inter"/>
                <w:b w:val="0"/>
                <w:i/>
                <w:color w:val="666666"/>
                <w:sz w:val="16"/>
              </w:rPr>
              <w:t>Which of the five did your last three families actually influence?</w:t>
            </w:r>
          </w:p>
          <w:p>
            <w:pPr>
              <w:spacing w:before="0" w:after="80" w:line="259" w:lineRule="auto"/>
            </w:pPr>
            <w:r>
              <w:rPr>
                <w:rFonts w:ascii="Inter" w:hAnsi="Inter" w:cs="Inter" w:eastAsia="Inter"/>
                <w:b w:val="0"/>
                <w:i w:val="0"/>
                <w:color w:val="1A1A1A"/>
                <w:sz w:val="18"/>
              </w:rPr>
            </w:r>
          </w:p>
        </w:tc>
        <w:tc>
          <w:tcPr>
            <w:tcW w:type="dxa" w:w="964"/>
            <w:tcMar>
              <w:top w:w="70" w:type="dxa"/>
              <w:bottom w:w="70" w:type="dxa"/>
              <w:left w:w="90" w:type="dxa"/>
              <w:right w:w="90" w:type="dxa"/>
            </w:tcMar>
            <w:shd w:val="clear" w:color="auto" w:fill="FEF6D9"/>
            <w:vAlign w:val="center"/>
          </w:tcPr>
          <w:p>
            <w:pPr>
              <w:spacing w:before="0" w:after="40" w:line="259" w:lineRule="auto"/>
            </w:pPr>
            <w:r>
              <w:rPr>
                <w:rFonts w:ascii="Inter" w:hAnsi="Inter" w:cs="Inter" w:eastAsia="Inter"/>
                <w:b w:val="0"/>
                <w:i w:val="0"/>
                <w:color w:val="1A1A1A"/>
                <w:sz w:val="18"/>
              </w:rPr>
            </w:r>
          </w:p>
          <w:p>
            <w:pPr>
              <w:spacing w:before="0" w:after="40" w:line="259" w:lineRule="auto"/>
            </w:pPr>
            <w:r>
              <w:rPr>
                <w:rFonts w:ascii="Inter" w:hAnsi="Inter" w:cs="Inter" w:eastAsia="Inter"/>
                <w:b w:val="0"/>
                <w:i w:val="0"/>
                <w:color w:val="666666"/>
                <w:sz w:val="15"/>
              </w:rPr>
              <w:t>1 to 5</w:t>
            </w:r>
          </w:p>
        </w:tc>
        <w:tc>
          <w:tcPr>
            <w:tcW w:type="dxa" w:w="3742"/>
            <w:tcMar>
              <w:top w:w="70" w:type="dxa"/>
              <w:bottom w:w="70" w:type="dxa"/>
              <w:left w:w="90" w:type="dxa"/>
              <w:right w:w="90" w:type="dxa"/>
            </w:tcMar>
            <w:vAlign w:val="top"/>
          </w:tcPr>
          <w:p>
            <w:pPr>
              <w:spacing w:before="0" w:after="40" w:line="259" w:lineRule="auto"/>
            </w:pPr>
            <w:r>
              <w:rPr>
                <w:rFonts w:ascii="Inter" w:hAnsi="Inter" w:cs="Inter" w:eastAsia="Inter"/>
                <w:b w:val="0"/>
                <w:i w:val="0"/>
                <w:color w:val="1A1A1A"/>
                <w:sz w:val="17"/>
              </w:rPr>
              <w:t>MUST involve parents and carers in planning and reviewing their child's progress. Test this against the five specific decisions, not against a general sense of good relationships.</w:t>
            </w:r>
          </w:p>
        </w:tc>
        <w:tc>
          <w:tcPr>
            <w:tcW w:type="dxa" w:w="2948"/>
            <w:tcMar>
              <w:top w:w="70" w:type="dxa"/>
              <w:bottom w:w="70" w:type="dxa"/>
              <w:left w:w="90" w:type="dxa"/>
              <w:right w:w="90" w:type="dxa"/>
            </w:tcMar>
            <w:vAlign w:val="top"/>
          </w:tcPr>
          <w:p>
            <w:pPr>
              <w:spacing w:before="0" w:after="60" w:line="259" w:lineRule="auto"/>
            </w:pPr>
            <w:r>
              <w:rPr>
                <w:rFonts w:ascii="Inter" w:hAnsi="Inter" w:cs="Inter" w:eastAsia="Inter"/>
                <w:b w:val="0"/>
                <w:i w:val="0"/>
                <w:color w:val="666666"/>
                <w:sz w:val="15"/>
              </w:rPr>
              <w:t>Owner</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Target date</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Review date</w:t>
            </w:r>
          </w:p>
          <w:p>
            <w:pPr>
              <w:spacing w:before="0" w:after="60" w:line="259" w:lineRule="auto"/>
            </w:pPr>
            <w:r>
              <w:rPr>
                <w:rFonts w:ascii="Inter" w:hAnsi="Inter" w:cs="Inter" w:eastAsia="Inter"/>
                <w:b w:val="0"/>
                <w:i w:val="0"/>
                <w:color w:val="1A1A1A"/>
                <w:sz w:val="18"/>
              </w:rPr>
            </w:r>
          </w:p>
        </w:tc>
      </w:tr>
      <w:tr>
        <w:trPr>
          <w:cantSplit/>
        </w:trPr>
        <w:tc>
          <w:tcPr>
            <w:tcW w:type="dxa" w:w="15478"/>
            <w:gridSpan w:val="5"/>
            <w:shd w:val="clear" w:color="auto" w:fill="F1F7F6"/>
            <w:tcMar>
              <w:top w:w="80" w:type="dxa"/>
              <w:bottom w:w="80" w:type="dxa"/>
              <w:left w:w="90" w:type="dxa"/>
              <w:right w:w="90" w:type="dxa"/>
            </w:tcMar>
            <w:vAlign w:val="top"/>
          </w:tcPr>
          <w:p>
            <w:pPr>
              <w:spacing w:before="0" w:after="40" w:line="259" w:lineRule="auto"/>
              <w:keepNext/>
            </w:pPr>
            <w:r>
              <w:rPr>
                <w:rFonts w:ascii="Inter" w:hAnsi="Inter" w:cs="Inter" w:eastAsia="Inter"/>
                <w:b/>
                <w:i w:val="0"/>
                <w:color w:val="128770"/>
                <w:sz w:val="19"/>
              </w:rPr>
              <w:t xml:space="preserve">P5.2   </w:t>
            </w:r>
            <w:r>
              <w:rPr>
                <w:rFonts w:ascii="Inter" w:hAnsi="Inter" w:cs="Inter" w:eastAsia="Inter"/>
                <w:b/>
                <w:i w:val="0"/>
                <w:color w:val="1A1A1A"/>
                <w:sz w:val="19"/>
              </w:rPr>
              <w:t>Family-centred planning identifies and overcomes barriers families face in engaging, including language and parental disability or additional needs.</w:t>
            </w:r>
          </w:p>
          <w:p>
            <w:pPr>
              <w:spacing w:before="0" w:after="40" w:line="259" w:lineRule="auto"/>
              <w:keepNext/>
            </w:pPr>
            <w:r>
              <w:rPr>
                <w:rFonts w:ascii="Inter" w:hAnsi="Inter" w:cs="Inter" w:eastAsia="Inter"/>
                <w:b w:val="0"/>
                <w:i/>
                <w:color w:val="666666"/>
                <w:sz w:val="15"/>
              </w:rPr>
              <w:t>Whole school  ·  Guidance: “Family-centred planning should always take into account any barriers that families may face in engaging with these conversations... and overcome these barriers to support positive relationships between the base and the child and their family.”</w:t>
            </w:r>
          </w:p>
        </w:tc>
      </w:tr>
      <w:tr>
        <w:trPr>
          <w:trHeight w:val="1701" w:hRule="atLeast"/>
          <w:cantSplit/>
        </w:trPr>
        <w:tc>
          <w:tcPr>
            <w:tcW w:type="dxa" w:w="4082"/>
            <w:tcMar>
              <w:top w:w="70" w:type="dxa"/>
              <w:bottom w:w="70" w:type="dxa"/>
              <w:left w:w="90" w:type="dxa"/>
              <w:right w:w="90" w:type="dxa"/>
            </w:tcMar>
            <w:vAlign w:val="top"/>
          </w:tcPr>
          <w:p>
            <w:pPr>
              <w:spacing w:before="0" w:after="80" w:line="259" w:lineRule="auto"/>
            </w:pPr>
            <w:r>
              <w:rPr>
                <w:rFonts w:ascii="Inter" w:hAnsi="Inter" w:cs="Inter" w:eastAsia="Inter"/>
                <w:b/>
                <w:i w:val="0"/>
                <w:color w:val="128770"/>
                <w:sz w:val="17"/>
              </w:rPr>
              <w:t xml:space="preserve">1  </w:t>
            </w:r>
            <w:r>
              <w:rPr>
                <w:rFonts w:ascii="Inter" w:hAnsi="Inter" w:cs="Inter" w:eastAsia="Inter"/>
                <w:b w:val="0"/>
                <w:i w:val="0"/>
                <w:color w:val="1A1A1A"/>
                <w:sz w:val="17"/>
              </w:rPr>
              <w:t>The same engagement approach is used for every family.</w:t>
            </w:r>
          </w:p>
          <w:p>
            <w:pPr>
              <w:spacing w:before="0" w:after="80" w:line="259" w:lineRule="auto"/>
            </w:pPr>
            <w:r>
              <w:rPr>
                <w:rFonts w:ascii="Inter" w:hAnsi="Inter" w:cs="Inter" w:eastAsia="Inter"/>
                <w:b/>
                <w:i w:val="0"/>
                <w:color w:val="128770"/>
                <w:sz w:val="17"/>
              </w:rPr>
              <w:t xml:space="preserve">3  </w:t>
            </w:r>
            <w:r>
              <w:rPr>
                <w:rFonts w:ascii="Inter" w:hAnsi="Inter" w:cs="Inter" w:eastAsia="Inter"/>
                <w:b w:val="0"/>
                <w:i w:val="0"/>
                <w:color w:val="1A1A1A"/>
                <w:sz w:val="17"/>
              </w:rPr>
              <w:t>Barriers are recognised and worked around informally.</w:t>
            </w:r>
          </w:p>
          <w:p>
            <w:pPr>
              <w:spacing w:before="0" w:after="80" w:line="259" w:lineRule="auto"/>
            </w:pPr>
            <w:r>
              <w:rPr>
                <w:rFonts w:ascii="Inter" w:hAnsi="Inter" w:cs="Inter" w:eastAsia="Inter"/>
                <w:b/>
                <w:i w:val="0"/>
                <w:color w:val="128770"/>
                <w:sz w:val="17"/>
              </w:rPr>
              <w:t xml:space="preserve">5  </w:t>
            </w:r>
            <w:r>
              <w:rPr>
                <w:rFonts w:ascii="Inter" w:hAnsi="Inter" w:cs="Inter" w:eastAsia="Inter"/>
                <w:b w:val="0"/>
                <w:i w:val="0"/>
                <w:color w:val="1A1A1A"/>
                <w:sz w:val="17"/>
              </w:rPr>
              <w:t>Barriers are identified at the outset for each family and specific adjustments are made and recorded.</w:t>
            </w:r>
          </w:p>
        </w:tc>
        <w:tc>
          <w:tcPr>
            <w:tcW w:type="dxa" w:w="3742"/>
            <w:tcMar>
              <w:top w:w="70" w:type="dxa"/>
              <w:bottom w:w="70" w:type="dxa"/>
              <w:left w:w="90" w:type="dxa"/>
              <w:right w:w="90" w:type="dxa"/>
            </w:tcMar>
            <w:vAlign w:val="top"/>
          </w:tcPr>
          <w:p>
            <w:pPr>
              <w:spacing w:before="0" w:after="80" w:line="259" w:lineRule="auto"/>
            </w:pPr>
            <w:r>
              <w:rPr>
                <w:rFonts w:ascii="Inter" w:hAnsi="Inter" w:cs="Inter" w:eastAsia="Inter"/>
                <w:b w:val="0"/>
                <w:i/>
                <w:color w:val="666666"/>
                <w:sz w:val="16"/>
              </w:rPr>
              <w:t>Which families are you not hearing from, and what have you changed to reach them?</w:t>
            </w:r>
          </w:p>
          <w:p>
            <w:pPr>
              <w:spacing w:before="0" w:after="80" w:line="259" w:lineRule="auto"/>
            </w:pPr>
            <w:r>
              <w:rPr>
                <w:rFonts w:ascii="Inter" w:hAnsi="Inter" w:cs="Inter" w:eastAsia="Inter"/>
                <w:b w:val="0"/>
                <w:i w:val="0"/>
                <w:color w:val="1A1A1A"/>
                <w:sz w:val="18"/>
              </w:rPr>
            </w:r>
          </w:p>
        </w:tc>
        <w:tc>
          <w:tcPr>
            <w:tcW w:type="dxa" w:w="964"/>
            <w:tcMar>
              <w:top w:w="70" w:type="dxa"/>
              <w:bottom w:w="70" w:type="dxa"/>
              <w:left w:w="90" w:type="dxa"/>
              <w:right w:w="90" w:type="dxa"/>
            </w:tcMar>
            <w:shd w:val="clear" w:color="auto" w:fill="FEF6D9"/>
            <w:vAlign w:val="center"/>
          </w:tcPr>
          <w:p>
            <w:pPr>
              <w:spacing w:before="0" w:after="40" w:line="259" w:lineRule="auto"/>
            </w:pPr>
            <w:r>
              <w:rPr>
                <w:rFonts w:ascii="Inter" w:hAnsi="Inter" w:cs="Inter" w:eastAsia="Inter"/>
                <w:b w:val="0"/>
                <w:i w:val="0"/>
                <w:color w:val="1A1A1A"/>
                <w:sz w:val="18"/>
              </w:rPr>
            </w:r>
          </w:p>
          <w:p>
            <w:pPr>
              <w:spacing w:before="0" w:after="40" w:line="259" w:lineRule="auto"/>
            </w:pPr>
            <w:r>
              <w:rPr>
                <w:rFonts w:ascii="Inter" w:hAnsi="Inter" w:cs="Inter" w:eastAsia="Inter"/>
                <w:b w:val="0"/>
                <w:i w:val="0"/>
                <w:color w:val="666666"/>
                <w:sz w:val="15"/>
              </w:rPr>
              <w:t>1 to 5</w:t>
            </w:r>
          </w:p>
        </w:tc>
        <w:tc>
          <w:tcPr>
            <w:tcW w:type="dxa" w:w="3742"/>
            <w:tcMar>
              <w:top w:w="70" w:type="dxa"/>
              <w:bottom w:w="70" w:type="dxa"/>
              <w:left w:w="90" w:type="dxa"/>
              <w:right w:w="90" w:type="dxa"/>
            </w:tcMar>
            <w:vAlign w:val="top"/>
          </w:tcPr>
          <w:p>
            <w:pPr>
              <w:spacing w:before="0" w:after="40" w:line="259" w:lineRule="auto"/>
            </w:pPr>
            <w:r>
              <w:rPr>
                <w:rFonts w:ascii="Inter" w:hAnsi="Inter" w:cs="Inter" w:eastAsia="Inter"/>
                <w:b w:val="0"/>
                <w:i w:val="0"/>
                <w:color w:val="1A1A1A"/>
                <w:sz w:val="17"/>
              </w:rPr>
              <w:t>Non-engagement is usually an access problem, not a lack of interest. Start with the families who have missed the most meetings.</w:t>
            </w:r>
          </w:p>
        </w:tc>
        <w:tc>
          <w:tcPr>
            <w:tcW w:type="dxa" w:w="2948"/>
            <w:tcMar>
              <w:top w:w="70" w:type="dxa"/>
              <w:bottom w:w="70" w:type="dxa"/>
              <w:left w:w="90" w:type="dxa"/>
              <w:right w:w="90" w:type="dxa"/>
            </w:tcMar>
            <w:vAlign w:val="top"/>
          </w:tcPr>
          <w:p>
            <w:pPr>
              <w:spacing w:before="0" w:after="60" w:line="259" w:lineRule="auto"/>
            </w:pPr>
            <w:r>
              <w:rPr>
                <w:rFonts w:ascii="Inter" w:hAnsi="Inter" w:cs="Inter" w:eastAsia="Inter"/>
                <w:b w:val="0"/>
                <w:i w:val="0"/>
                <w:color w:val="666666"/>
                <w:sz w:val="15"/>
              </w:rPr>
              <w:t>Owner</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Target date</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Review date</w:t>
            </w:r>
          </w:p>
          <w:p>
            <w:pPr>
              <w:spacing w:before="0" w:after="60" w:line="259" w:lineRule="auto"/>
            </w:pPr>
            <w:r>
              <w:rPr>
                <w:rFonts w:ascii="Inter" w:hAnsi="Inter" w:cs="Inter" w:eastAsia="Inter"/>
                <w:b w:val="0"/>
                <w:i w:val="0"/>
                <w:color w:val="1A1A1A"/>
                <w:sz w:val="18"/>
              </w:rPr>
            </w:r>
          </w:p>
        </w:tc>
      </w:tr>
      <w:tr>
        <w:trPr>
          <w:cantSplit/>
        </w:trPr>
        <w:tc>
          <w:tcPr>
            <w:tcW w:type="dxa" w:w="15478"/>
            <w:gridSpan w:val="5"/>
            <w:shd w:val="clear" w:color="auto" w:fill="F1F7F6"/>
            <w:tcMar>
              <w:top w:w="80" w:type="dxa"/>
              <w:bottom w:w="80" w:type="dxa"/>
              <w:left w:w="90" w:type="dxa"/>
              <w:right w:w="90" w:type="dxa"/>
            </w:tcMar>
            <w:vAlign w:val="top"/>
          </w:tcPr>
          <w:p>
            <w:pPr>
              <w:spacing w:before="0" w:after="40" w:line="259" w:lineRule="auto"/>
              <w:keepNext/>
            </w:pPr>
            <w:r>
              <w:rPr>
                <w:rFonts w:ascii="Inter" w:hAnsi="Inter" w:cs="Inter" w:eastAsia="Inter"/>
                <w:b/>
                <w:i w:val="0"/>
                <w:color w:val="128770"/>
                <w:sz w:val="19"/>
              </w:rPr>
              <w:t xml:space="preserve">P5.3   </w:t>
            </w:r>
            <w:r>
              <w:rPr>
                <w:rFonts w:ascii="Inter" w:hAnsi="Inter" w:cs="Inter" w:eastAsia="Inter"/>
                <w:b/>
                <w:i w:val="0"/>
                <w:color w:val="1A1A1A"/>
                <w:sz w:val="19"/>
              </w:rPr>
              <w:t>Learners are given key information about the base before joining, in accessible formats.</w:t>
            </w:r>
          </w:p>
          <w:p>
            <w:pPr>
              <w:spacing w:before="0" w:after="40" w:line="259" w:lineRule="auto"/>
              <w:keepNext/>
            </w:pPr>
            <w:r>
              <w:rPr>
                <w:rFonts w:ascii="Inter" w:hAnsi="Inter" w:cs="Inter" w:eastAsia="Inter"/>
                <w:b w:val="0"/>
                <w:i/>
                <w:color w:val="666666"/>
                <w:sz w:val="15"/>
              </w:rPr>
              <w:t>Individual children and young people  ·  Guidance: “Children and young people accessing an inclusion base should be provided with key information about the base before joining. This information should be provided in formats that reflect what children and young people need to make them accessible.”</w:t>
            </w:r>
          </w:p>
        </w:tc>
      </w:tr>
      <w:tr>
        <w:trPr>
          <w:trHeight w:val="1701" w:hRule="atLeast"/>
          <w:cantSplit/>
        </w:trPr>
        <w:tc>
          <w:tcPr>
            <w:tcW w:type="dxa" w:w="4082"/>
            <w:tcMar>
              <w:top w:w="70" w:type="dxa"/>
              <w:bottom w:w="70" w:type="dxa"/>
              <w:left w:w="90" w:type="dxa"/>
              <w:right w:w="90" w:type="dxa"/>
            </w:tcMar>
            <w:vAlign w:val="top"/>
          </w:tcPr>
          <w:p>
            <w:pPr>
              <w:spacing w:before="0" w:after="80" w:line="259" w:lineRule="auto"/>
            </w:pPr>
            <w:r>
              <w:rPr>
                <w:rFonts w:ascii="Inter" w:hAnsi="Inter" w:cs="Inter" w:eastAsia="Inter"/>
                <w:b/>
                <w:i w:val="0"/>
                <w:color w:val="128770"/>
                <w:sz w:val="17"/>
              </w:rPr>
              <w:t xml:space="preserve">1  </w:t>
            </w:r>
            <w:r>
              <w:rPr>
                <w:rFonts w:ascii="Inter" w:hAnsi="Inter" w:cs="Inter" w:eastAsia="Inter"/>
                <w:b w:val="0"/>
                <w:i w:val="0"/>
                <w:color w:val="1A1A1A"/>
                <w:sz w:val="17"/>
              </w:rPr>
              <w:t>Learners arrive without preparation.</w:t>
            </w:r>
          </w:p>
          <w:p>
            <w:pPr>
              <w:spacing w:before="0" w:after="80" w:line="259" w:lineRule="auto"/>
            </w:pPr>
            <w:r>
              <w:rPr>
                <w:rFonts w:ascii="Inter" w:hAnsi="Inter" w:cs="Inter" w:eastAsia="Inter"/>
                <w:b/>
                <w:i w:val="0"/>
                <w:color w:val="128770"/>
                <w:sz w:val="17"/>
              </w:rPr>
              <w:t xml:space="preserve">3  </w:t>
            </w:r>
            <w:r>
              <w:rPr>
                <w:rFonts w:ascii="Inter" w:hAnsi="Inter" w:cs="Inter" w:eastAsia="Inter"/>
                <w:b w:val="0"/>
                <w:i w:val="0"/>
                <w:color w:val="1A1A1A"/>
                <w:sz w:val="17"/>
              </w:rPr>
              <w:t>Verbal explanation only.</w:t>
            </w:r>
          </w:p>
          <w:p>
            <w:pPr>
              <w:spacing w:before="0" w:after="80" w:line="259" w:lineRule="auto"/>
            </w:pPr>
            <w:r>
              <w:rPr>
                <w:rFonts w:ascii="Inter" w:hAnsi="Inter" w:cs="Inter" w:eastAsia="Inter"/>
                <w:b/>
                <w:i w:val="0"/>
                <w:color w:val="128770"/>
                <w:sz w:val="17"/>
              </w:rPr>
              <w:t xml:space="preserve">5  </w:t>
            </w:r>
            <w:r>
              <w:rPr>
                <w:rFonts w:ascii="Inter" w:hAnsi="Inter" w:cs="Inter" w:eastAsia="Inter"/>
                <w:b w:val="0"/>
                <w:i w:val="0"/>
                <w:color w:val="1A1A1A"/>
                <w:sz w:val="17"/>
              </w:rPr>
              <w:t>Prepared materials using photos, visuals or easy-read as appropriate, shared before the move.</w:t>
            </w:r>
          </w:p>
        </w:tc>
        <w:tc>
          <w:tcPr>
            <w:tcW w:type="dxa" w:w="3742"/>
            <w:tcMar>
              <w:top w:w="70" w:type="dxa"/>
              <w:bottom w:w="70" w:type="dxa"/>
              <w:left w:w="90" w:type="dxa"/>
              <w:right w:w="90" w:type="dxa"/>
            </w:tcMar>
            <w:vAlign w:val="top"/>
          </w:tcPr>
          <w:p>
            <w:pPr>
              <w:spacing w:before="0" w:after="80" w:line="259" w:lineRule="auto"/>
            </w:pPr>
            <w:r>
              <w:rPr>
                <w:rFonts w:ascii="Inter" w:hAnsi="Inter" w:cs="Inter" w:eastAsia="Inter"/>
                <w:b w:val="0"/>
                <w:i/>
                <w:color w:val="666666"/>
                <w:sz w:val="16"/>
              </w:rPr>
              <w:t>Show the materials a learner receives before joining.</w:t>
            </w:r>
          </w:p>
          <w:p>
            <w:pPr>
              <w:spacing w:before="0" w:after="80" w:line="259" w:lineRule="auto"/>
            </w:pPr>
            <w:r>
              <w:rPr>
                <w:rFonts w:ascii="Inter" w:hAnsi="Inter" w:cs="Inter" w:eastAsia="Inter"/>
                <w:b w:val="0"/>
                <w:i w:val="0"/>
                <w:color w:val="1A1A1A"/>
                <w:sz w:val="18"/>
              </w:rPr>
            </w:r>
          </w:p>
        </w:tc>
        <w:tc>
          <w:tcPr>
            <w:tcW w:type="dxa" w:w="964"/>
            <w:tcMar>
              <w:top w:w="70" w:type="dxa"/>
              <w:bottom w:w="70" w:type="dxa"/>
              <w:left w:w="90" w:type="dxa"/>
              <w:right w:w="90" w:type="dxa"/>
            </w:tcMar>
            <w:shd w:val="clear" w:color="auto" w:fill="FEF6D9"/>
            <w:vAlign w:val="center"/>
          </w:tcPr>
          <w:p>
            <w:pPr>
              <w:spacing w:before="0" w:after="40" w:line="259" w:lineRule="auto"/>
            </w:pPr>
            <w:r>
              <w:rPr>
                <w:rFonts w:ascii="Inter" w:hAnsi="Inter" w:cs="Inter" w:eastAsia="Inter"/>
                <w:b w:val="0"/>
                <w:i w:val="0"/>
                <w:color w:val="1A1A1A"/>
                <w:sz w:val="18"/>
              </w:rPr>
            </w:r>
          </w:p>
          <w:p>
            <w:pPr>
              <w:spacing w:before="0" w:after="40" w:line="259" w:lineRule="auto"/>
            </w:pPr>
            <w:r>
              <w:rPr>
                <w:rFonts w:ascii="Inter" w:hAnsi="Inter" w:cs="Inter" w:eastAsia="Inter"/>
                <w:b w:val="0"/>
                <w:i w:val="0"/>
                <w:color w:val="666666"/>
                <w:sz w:val="15"/>
              </w:rPr>
              <w:t>1 to 5</w:t>
            </w:r>
          </w:p>
        </w:tc>
        <w:tc>
          <w:tcPr>
            <w:tcW w:type="dxa" w:w="3742"/>
            <w:tcMar>
              <w:top w:w="70" w:type="dxa"/>
              <w:bottom w:w="70" w:type="dxa"/>
              <w:left w:w="90" w:type="dxa"/>
              <w:right w:w="90" w:type="dxa"/>
            </w:tcMar>
            <w:vAlign w:val="top"/>
          </w:tcPr>
          <w:p>
            <w:pPr>
              <w:spacing w:before="0" w:after="40" w:line="259" w:lineRule="auto"/>
            </w:pPr>
            <w:r>
              <w:rPr>
                <w:rFonts w:ascii="Inter" w:hAnsi="Inter" w:cs="Inter" w:eastAsia="Inter"/>
                <w:b w:val="0"/>
                <w:i w:val="0"/>
                <w:color w:val="1A1A1A"/>
                <w:sz w:val="17"/>
              </w:rPr>
              <w:t>An easy-read or photo-based 'welcome to the base' sheet is a same-week fix for many learners, but match the format to the cohort: learners with vision or multi-sensory impairments need tactile, audio or otherwise adapted versions.</w:t>
            </w:r>
          </w:p>
        </w:tc>
        <w:tc>
          <w:tcPr>
            <w:tcW w:type="dxa" w:w="2948"/>
            <w:tcMar>
              <w:top w:w="70" w:type="dxa"/>
              <w:bottom w:w="70" w:type="dxa"/>
              <w:left w:w="90" w:type="dxa"/>
              <w:right w:w="90" w:type="dxa"/>
            </w:tcMar>
            <w:vAlign w:val="top"/>
          </w:tcPr>
          <w:p>
            <w:pPr>
              <w:spacing w:before="0" w:after="60" w:line="259" w:lineRule="auto"/>
            </w:pPr>
            <w:r>
              <w:rPr>
                <w:rFonts w:ascii="Inter" w:hAnsi="Inter" w:cs="Inter" w:eastAsia="Inter"/>
                <w:b w:val="0"/>
                <w:i w:val="0"/>
                <w:color w:val="666666"/>
                <w:sz w:val="15"/>
              </w:rPr>
              <w:t>Owner</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Target date</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Review date</w:t>
            </w:r>
          </w:p>
          <w:p>
            <w:pPr>
              <w:spacing w:before="0" w:after="60" w:line="259" w:lineRule="auto"/>
            </w:pPr>
            <w:r>
              <w:rPr>
                <w:rFonts w:ascii="Inter" w:hAnsi="Inter" w:cs="Inter" w:eastAsia="Inter"/>
                <w:b w:val="0"/>
                <w:i w:val="0"/>
                <w:color w:val="1A1A1A"/>
                <w:sz w:val="18"/>
              </w:rPr>
            </w:r>
          </w:p>
        </w:tc>
      </w:tr>
      <w:tr>
        <w:trPr>
          <w:cantSplit/>
        </w:trPr>
        <w:tc>
          <w:tcPr>
            <w:tcW w:type="dxa" w:w="15478"/>
            <w:gridSpan w:val="5"/>
            <w:shd w:val="clear" w:color="auto" w:fill="F1F7F6"/>
            <w:tcMar>
              <w:top w:w="80" w:type="dxa"/>
              <w:bottom w:w="80" w:type="dxa"/>
              <w:left w:w="90" w:type="dxa"/>
              <w:right w:w="90" w:type="dxa"/>
            </w:tcMar>
            <w:vAlign w:val="top"/>
          </w:tcPr>
          <w:p>
            <w:pPr>
              <w:spacing w:before="0" w:after="40" w:line="259" w:lineRule="auto"/>
              <w:keepNext/>
            </w:pPr>
            <w:r>
              <w:rPr>
                <w:rFonts w:ascii="Inter" w:hAnsi="Inter" w:cs="Inter" w:eastAsia="Inter"/>
                <w:b/>
                <w:i w:val="0"/>
                <w:color w:val="128770"/>
                <w:sz w:val="19"/>
              </w:rPr>
              <w:t xml:space="preserve">P5.4   </w:t>
            </w:r>
            <w:r>
              <w:rPr>
                <w:rFonts w:ascii="Inter" w:hAnsi="Inter" w:cs="Inter" w:eastAsia="Inter"/>
                <w:b/>
                <w:i w:val="0"/>
                <w:color w:val="1A1A1A"/>
                <w:sz w:val="19"/>
              </w:rPr>
              <w:t>Learners in the base are kept informed about key events and changes in their mainstream class and the wider school.</w:t>
            </w:r>
          </w:p>
          <w:p>
            <w:pPr>
              <w:spacing w:before="0" w:after="40" w:line="259" w:lineRule="auto"/>
              <w:keepNext/>
            </w:pPr>
            <w:r>
              <w:rPr>
                <w:rFonts w:ascii="Inter" w:hAnsi="Inter" w:cs="Inter" w:eastAsia="Inter"/>
                <w:b w:val="0"/>
                <w:i/>
                <w:color w:val="666666"/>
                <w:sz w:val="15"/>
              </w:rPr>
              <w:t>Individual children and young people  ·  Guidance: “While accessing a base, children and young people should be kept informed about key events and any changes in their mainstream class and the wider school, for example, staff changes and key whole-school events.”</w:t>
            </w:r>
          </w:p>
        </w:tc>
      </w:tr>
      <w:tr>
        <w:trPr>
          <w:trHeight w:val="1701" w:hRule="atLeast"/>
          <w:cantSplit/>
        </w:trPr>
        <w:tc>
          <w:tcPr>
            <w:tcW w:type="dxa" w:w="4082"/>
            <w:tcMar>
              <w:top w:w="70" w:type="dxa"/>
              <w:bottom w:w="70" w:type="dxa"/>
              <w:left w:w="90" w:type="dxa"/>
              <w:right w:w="90" w:type="dxa"/>
            </w:tcMar>
            <w:vAlign w:val="top"/>
          </w:tcPr>
          <w:p>
            <w:pPr>
              <w:spacing w:before="0" w:after="80" w:line="259" w:lineRule="auto"/>
            </w:pPr>
            <w:r>
              <w:rPr>
                <w:rFonts w:ascii="Inter" w:hAnsi="Inter" w:cs="Inter" w:eastAsia="Inter"/>
                <w:b/>
                <w:i w:val="0"/>
                <w:color w:val="128770"/>
                <w:sz w:val="17"/>
              </w:rPr>
              <w:t xml:space="preserve">1  </w:t>
            </w:r>
            <w:r>
              <w:rPr>
                <w:rFonts w:ascii="Inter" w:hAnsi="Inter" w:cs="Inter" w:eastAsia="Inter"/>
                <w:b w:val="0"/>
                <w:i w:val="0"/>
                <w:color w:val="1A1A1A"/>
                <w:sz w:val="17"/>
              </w:rPr>
              <w:t>Base learners find out about changes late or not at all.</w:t>
            </w:r>
          </w:p>
          <w:p>
            <w:pPr>
              <w:spacing w:before="0" w:after="80" w:line="259" w:lineRule="auto"/>
            </w:pPr>
            <w:r>
              <w:rPr>
                <w:rFonts w:ascii="Inter" w:hAnsi="Inter" w:cs="Inter" w:eastAsia="Inter"/>
                <w:b/>
                <w:i w:val="0"/>
                <w:color w:val="128770"/>
                <w:sz w:val="17"/>
              </w:rPr>
              <w:t xml:space="preserve">3  </w:t>
            </w:r>
            <w:r>
              <w:rPr>
                <w:rFonts w:ascii="Inter" w:hAnsi="Inter" w:cs="Inter" w:eastAsia="Inter"/>
                <w:b w:val="0"/>
                <w:i w:val="0"/>
                <w:color w:val="1A1A1A"/>
                <w:sz w:val="17"/>
              </w:rPr>
              <w:t>Major events are communicated; staff changes and routine news are not.</w:t>
            </w:r>
          </w:p>
          <w:p>
            <w:pPr>
              <w:spacing w:before="0" w:after="80" w:line="259" w:lineRule="auto"/>
            </w:pPr>
            <w:r>
              <w:rPr>
                <w:rFonts w:ascii="Inter" w:hAnsi="Inter" w:cs="Inter" w:eastAsia="Inter"/>
                <w:b/>
                <w:i w:val="0"/>
                <w:color w:val="128770"/>
                <w:sz w:val="17"/>
              </w:rPr>
              <w:t xml:space="preserve">5  </w:t>
            </w:r>
            <w:r>
              <w:rPr>
                <w:rFonts w:ascii="Inter" w:hAnsi="Inter" w:cs="Inter" w:eastAsia="Inter"/>
                <w:b w:val="0"/>
                <w:i w:val="0"/>
                <w:color w:val="1A1A1A"/>
                <w:sz w:val="17"/>
              </w:rPr>
              <w:t>Base learners receive the same information flow as their mainstream class, including staff changes.</w:t>
            </w:r>
          </w:p>
        </w:tc>
        <w:tc>
          <w:tcPr>
            <w:tcW w:type="dxa" w:w="3742"/>
            <w:tcMar>
              <w:top w:w="70" w:type="dxa"/>
              <w:bottom w:w="70" w:type="dxa"/>
              <w:left w:w="90" w:type="dxa"/>
              <w:right w:w="90" w:type="dxa"/>
            </w:tcMar>
            <w:vAlign w:val="top"/>
          </w:tcPr>
          <w:p>
            <w:pPr>
              <w:spacing w:before="0" w:after="80" w:line="259" w:lineRule="auto"/>
            </w:pPr>
            <w:r>
              <w:rPr>
                <w:rFonts w:ascii="Inter" w:hAnsi="Inter" w:cs="Inter" w:eastAsia="Inter"/>
                <w:b w:val="0"/>
                <w:i/>
                <w:color w:val="666666"/>
                <w:sz w:val="16"/>
              </w:rPr>
              <w:t>Did learners in the base know about the last staff change in their mainstream class?</w:t>
            </w:r>
          </w:p>
          <w:p>
            <w:pPr>
              <w:spacing w:before="0" w:after="80" w:line="259" w:lineRule="auto"/>
            </w:pPr>
            <w:r>
              <w:rPr>
                <w:rFonts w:ascii="Inter" w:hAnsi="Inter" w:cs="Inter" w:eastAsia="Inter"/>
                <w:b w:val="0"/>
                <w:i w:val="0"/>
                <w:color w:val="1A1A1A"/>
                <w:sz w:val="18"/>
              </w:rPr>
            </w:r>
          </w:p>
        </w:tc>
        <w:tc>
          <w:tcPr>
            <w:tcW w:type="dxa" w:w="964"/>
            <w:tcMar>
              <w:top w:w="70" w:type="dxa"/>
              <w:bottom w:w="70" w:type="dxa"/>
              <w:left w:w="90" w:type="dxa"/>
              <w:right w:w="90" w:type="dxa"/>
            </w:tcMar>
            <w:shd w:val="clear" w:color="auto" w:fill="FEF6D9"/>
            <w:vAlign w:val="center"/>
          </w:tcPr>
          <w:p>
            <w:pPr>
              <w:spacing w:before="0" w:after="40" w:line="259" w:lineRule="auto"/>
            </w:pPr>
            <w:r>
              <w:rPr>
                <w:rFonts w:ascii="Inter" w:hAnsi="Inter" w:cs="Inter" w:eastAsia="Inter"/>
                <w:b w:val="0"/>
                <w:i w:val="0"/>
                <w:color w:val="1A1A1A"/>
                <w:sz w:val="18"/>
              </w:rPr>
            </w:r>
          </w:p>
          <w:p>
            <w:pPr>
              <w:spacing w:before="0" w:after="40" w:line="259" w:lineRule="auto"/>
            </w:pPr>
            <w:r>
              <w:rPr>
                <w:rFonts w:ascii="Inter" w:hAnsi="Inter" w:cs="Inter" w:eastAsia="Inter"/>
                <w:b w:val="0"/>
                <w:i w:val="0"/>
                <w:color w:val="666666"/>
                <w:sz w:val="15"/>
              </w:rPr>
              <w:t>1 to 5</w:t>
            </w:r>
          </w:p>
        </w:tc>
        <w:tc>
          <w:tcPr>
            <w:tcW w:type="dxa" w:w="3742"/>
            <w:tcMar>
              <w:top w:w="70" w:type="dxa"/>
              <w:bottom w:w="70" w:type="dxa"/>
              <w:left w:w="90" w:type="dxa"/>
              <w:right w:w="90" w:type="dxa"/>
            </w:tcMar>
            <w:vAlign w:val="top"/>
          </w:tcPr>
          <w:p>
            <w:pPr>
              <w:spacing w:before="0" w:after="40" w:line="259" w:lineRule="auto"/>
            </w:pPr>
            <w:r>
              <w:rPr>
                <w:rFonts w:ascii="Inter" w:hAnsi="Inter" w:cs="Inter" w:eastAsia="Inter"/>
                <w:b w:val="0"/>
                <w:i w:val="0"/>
                <w:color w:val="1A1A1A"/>
                <w:sz w:val="17"/>
              </w:rPr>
              <w:t>This is a small, high-signal indicator of whether base learners are still treated as members of their mainstream class.</w:t>
            </w:r>
          </w:p>
        </w:tc>
        <w:tc>
          <w:tcPr>
            <w:tcW w:type="dxa" w:w="2948"/>
            <w:tcMar>
              <w:top w:w="70" w:type="dxa"/>
              <w:bottom w:w="70" w:type="dxa"/>
              <w:left w:w="90" w:type="dxa"/>
              <w:right w:w="90" w:type="dxa"/>
            </w:tcMar>
            <w:vAlign w:val="top"/>
          </w:tcPr>
          <w:p>
            <w:pPr>
              <w:spacing w:before="0" w:after="60" w:line="259" w:lineRule="auto"/>
            </w:pPr>
            <w:r>
              <w:rPr>
                <w:rFonts w:ascii="Inter" w:hAnsi="Inter" w:cs="Inter" w:eastAsia="Inter"/>
                <w:b w:val="0"/>
                <w:i w:val="0"/>
                <w:color w:val="666666"/>
                <w:sz w:val="15"/>
              </w:rPr>
              <w:t>Owner</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Target date</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Review date</w:t>
            </w:r>
          </w:p>
          <w:p>
            <w:pPr>
              <w:spacing w:before="0" w:after="60" w:line="259" w:lineRule="auto"/>
            </w:pPr>
            <w:r>
              <w:rPr>
                <w:rFonts w:ascii="Inter" w:hAnsi="Inter" w:cs="Inter" w:eastAsia="Inter"/>
                <w:b w:val="0"/>
                <w:i w:val="0"/>
                <w:color w:val="1A1A1A"/>
                <w:sz w:val="18"/>
              </w:rPr>
            </w:r>
          </w:p>
        </w:tc>
      </w:tr>
      <w:tr>
        <w:trPr>
          <w:cantSplit/>
        </w:trPr>
        <w:tc>
          <w:tcPr>
            <w:tcW w:type="dxa" w:w="15478"/>
            <w:gridSpan w:val="5"/>
            <w:shd w:val="clear" w:color="auto" w:fill="F1F7F6"/>
            <w:tcMar>
              <w:top w:w="80" w:type="dxa"/>
              <w:bottom w:w="80" w:type="dxa"/>
              <w:left w:w="90" w:type="dxa"/>
              <w:right w:w="90" w:type="dxa"/>
            </w:tcMar>
            <w:vAlign w:val="top"/>
          </w:tcPr>
          <w:p>
            <w:pPr>
              <w:spacing w:before="0" w:after="40" w:line="259" w:lineRule="auto"/>
              <w:keepNext/>
            </w:pPr>
            <w:r>
              <w:rPr>
                <w:rFonts w:ascii="Inter" w:hAnsi="Inter" w:cs="Inter" w:eastAsia="Inter"/>
                <w:b/>
                <w:i w:val="0"/>
                <w:color w:val="128770"/>
                <w:sz w:val="19"/>
              </w:rPr>
              <w:t xml:space="preserve">P5.5   </w:t>
            </w:r>
            <w:r>
              <w:rPr>
                <w:rFonts w:ascii="Inter" w:hAnsi="Inter" w:cs="Inter" w:eastAsia="Inter"/>
                <w:b/>
                <w:i w:val="0"/>
                <w:color w:val="1A1A1A"/>
                <w:sz w:val="19"/>
              </w:rPr>
              <w:t>There are strong communication channels between base staff and mainstream class staff, and all staff take a collaborative approach.</w:t>
            </w:r>
          </w:p>
          <w:p>
            <w:pPr>
              <w:spacing w:before="0" w:after="40" w:line="259" w:lineRule="auto"/>
              <w:keepNext/>
            </w:pPr>
            <w:r>
              <w:rPr>
                <w:rFonts w:ascii="Inter" w:hAnsi="Inter" w:cs="Inter" w:eastAsia="Inter"/>
                <w:b w:val="0"/>
                <w:i/>
                <w:color w:val="666666"/>
                <w:sz w:val="15"/>
              </w:rPr>
              <w:t>Whole school  ·  Guidance: “There should be strong communication channels between staff working in the base and mainstream class staff, and all staff in the school should take a collaborative approach to supporting children and young people accessing the base.”</w:t>
            </w:r>
          </w:p>
        </w:tc>
      </w:tr>
      <w:tr>
        <w:trPr>
          <w:trHeight w:val="1701" w:hRule="atLeast"/>
          <w:cantSplit/>
        </w:trPr>
        <w:tc>
          <w:tcPr>
            <w:tcW w:type="dxa" w:w="4082"/>
            <w:tcMar>
              <w:top w:w="70" w:type="dxa"/>
              <w:bottom w:w="70" w:type="dxa"/>
              <w:left w:w="90" w:type="dxa"/>
              <w:right w:w="90" w:type="dxa"/>
            </w:tcMar>
            <w:vAlign w:val="top"/>
          </w:tcPr>
          <w:p>
            <w:pPr>
              <w:spacing w:before="0" w:after="80" w:line="259" w:lineRule="auto"/>
            </w:pPr>
            <w:r>
              <w:rPr>
                <w:rFonts w:ascii="Inter" w:hAnsi="Inter" w:cs="Inter" w:eastAsia="Inter"/>
                <w:b/>
                <w:i w:val="0"/>
                <w:color w:val="128770"/>
                <w:sz w:val="17"/>
              </w:rPr>
              <w:t xml:space="preserve">1  </w:t>
            </w:r>
            <w:r>
              <w:rPr>
                <w:rFonts w:ascii="Inter" w:hAnsi="Inter" w:cs="Inter" w:eastAsia="Inter"/>
                <w:b w:val="0"/>
                <w:i w:val="0"/>
                <w:color w:val="1A1A1A"/>
                <w:sz w:val="17"/>
              </w:rPr>
              <w:t>The two groups rarely communicate; handovers are informal.</w:t>
            </w:r>
          </w:p>
          <w:p>
            <w:pPr>
              <w:spacing w:before="0" w:after="80" w:line="259" w:lineRule="auto"/>
            </w:pPr>
            <w:r>
              <w:rPr>
                <w:rFonts w:ascii="Inter" w:hAnsi="Inter" w:cs="Inter" w:eastAsia="Inter"/>
                <w:b/>
                <w:i w:val="0"/>
                <w:color w:val="128770"/>
                <w:sz w:val="17"/>
              </w:rPr>
              <w:t xml:space="preserve">3  </w:t>
            </w:r>
            <w:r>
              <w:rPr>
                <w:rFonts w:ascii="Inter" w:hAnsi="Inter" w:cs="Inter" w:eastAsia="Inter"/>
                <w:b w:val="0"/>
                <w:i w:val="0"/>
                <w:color w:val="1A1A1A"/>
                <w:sz w:val="17"/>
              </w:rPr>
              <w:t>Communication happens but depends on individual relationships.</w:t>
            </w:r>
          </w:p>
          <w:p>
            <w:pPr>
              <w:spacing w:before="0" w:after="80" w:line="259" w:lineRule="auto"/>
            </w:pPr>
            <w:r>
              <w:rPr>
                <w:rFonts w:ascii="Inter" w:hAnsi="Inter" w:cs="Inter" w:eastAsia="Inter"/>
                <w:b/>
                <w:i w:val="0"/>
                <w:color w:val="128770"/>
                <w:sz w:val="17"/>
              </w:rPr>
              <w:t xml:space="preserve">5  </w:t>
            </w:r>
            <w:r>
              <w:rPr>
                <w:rFonts w:ascii="Inter" w:hAnsi="Inter" w:cs="Inter" w:eastAsia="Inter"/>
                <w:b w:val="0"/>
                <w:i w:val="0"/>
                <w:color w:val="1A1A1A"/>
                <w:sz w:val="17"/>
              </w:rPr>
              <w:t>Structured channels exist, are used, and survive staff change.</w:t>
            </w:r>
          </w:p>
        </w:tc>
        <w:tc>
          <w:tcPr>
            <w:tcW w:type="dxa" w:w="3742"/>
            <w:tcMar>
              <w:top w:w="70" w:type="dxa"/>
              <w:bottom w:w="70" w:type="dxa"/>
              <w:left w:w="90" w:type="dxa"/>
              <w:right w:w="90" w:type="dxa"/>
            </w:tcMar>
            <w:vAlign w:val="top"/>
          </w:tcPr>
          <w:p>
            <w:pPr>
              <w:spacing w:before="0" w:after="80" w:line="259" w:lineRule="auto"/>
            </w:pPr>
            <w:r>
              <w:rPr>
                <w:rFonts w:ascii="Inter" w:hAnsi="Inter" w:cs="Inter" w:eastAsia="Inter"/>
                <w:b w:val="0"/>
                <w:i/>
                <w:color w:val="666666"/>
                <w:sz w:val="16"/>
              </w:rPr>
              <w:t>What is the mechanism, how often does it run, and who attends?</w:t>
            </w:r>
          </w:p>
          <w:p>
            <w:pPr>
              <w:spacing w:before="0" w:after="80" w:line="259" w:lineRule="auto"/>
            </w:pPr>
            <w:r>
              <w:rPr>
                <w:rFonts w:ascii="Inter" w:hAnsi="Inter" w:cs="Inter" w:eastAsia="Inter"/>
                <w:b w:val="0"/>
                <w:i w:val="0"/>
                <w:color w:val="1A1A1A"/>
                <w:sz w:val="18"/>
              </w:rPr>
            </w:r>
          </w:p>
        </w:tc>
        <w:tc>
          <w:tcPr>
            <w:tcW w:type="dxa" w:w="964"/>
            <w:tcMar>
              <w:top w:w="70" w:type="dxa"/>
              <w:bottom w:w="70" w:type="dxa"/>
              <w:left w:w="90" w:type="dxa"/>
              <w:right w:w="90" w:type="dxa"/>
            </w:tcMar>
            <w:shd w:val="clear" w:color="auto" w:fill="FEF6D9"/>
            <w:vAlign w:val="center"/>
          </w:tcPr>
          <w:p>
            <w:pPr>
              <w:spacing w:before="0" w:after="40" w:line="259" w:lineRule="auto"/>
            </w:pPr>
            <w:r>
              <w:rPr>
                <w:rFonts w:ascii="Inter" w:hAnsi="Inter" w:cs="Inter" w:eastAsia="Inter"/>
                <w:b w:val="0"/>
                <w:i w:val="0"/>
                <w:color w:val="1A1A1A"/>
                <w:sz w:val="18"/>
              </w:rPr>
            </w:r>
          </w:p>
          <w:p>
            <w:pPr>
              <w:spacing w:before="0" w:after="40" w:line="259" w:lineRule="auto"/>
            </w:pPr>
            <w:r>
              <w:rPr>
                <w:rFonts w:ascii="Inter" w:hAnsi="Inter" w:cs="Inter" w:eastAsia="Inter"/>
                <w:b w:val="0"/>
                <w:i w:val="0"/>
                <w:color w:val="666666"/>
                <w:sz w:val="15"/>
              </w:rPr>
              <w:t>1 to 5</w:t>
            </w:r>
          </w:p>
        </w:tc>
        <w:tc>
          <w:tcPr>
            <w:tcW w:type="dxa" w:w="3742"/>
            <w:tcMar>
              <w:top w:w="70" w:type="dxa"/>
              <w:bottom w:w="70" w:type="dxa"/>
              <w:left w:w="90" w:type="dxa"/>
              <w:right w:w="90" w:type="dxa"/>
            </w:tcMar>
            <w:vAlign w:val="top"/>
          </w:tcPr>
          <w:p>
            <w:pPr>
              <w:spacing w:before="0" w:after="40" w:line="259" w:lineRule="auto"/>
            </w:pPr>
            <w:r>
              <w:rPr>
                <w:rFonts w:ascii="Inter" w:hAnsi="Inter" w:cs="Inter" w:eastAsia="Inter"/>
                <w:b w:val="0"/>
                <w:i w:val="0"/>
                <w:color w:val="1A1A1A"/>
                <w:sz w:val="17"/>
              </w:rPr>
              <w:t>Structures in the base should also be explained to all staff in the mainstream school. Where staff cannot describe how the base works, the divide Lehane describes is already forming.</w:t>
            </w:r>
          </w:p>
        </w:tc>
        <w:tc>
          <w:tcPr>
            <w:tcW w:type="dxa" w:w="2948"/>
            <w:tcMar>
              <w:top w:w="70" w:type="dxa"/>
              <w:bottom w:w="70" w:type="dxa"/>
              <w:left w:w="90" w:type="dxa"/>
              <w:right w:w="90" w:type="dxa"/>
            </w:tcMar>
            <w:vAlign w:val="top"/>
          </w:tcPr>
          <w:p>
            <w:pPr>
              <w:spacing w:before="0" w:after="60" w:line="259" w:lineRule="auto"/>
            </w:pPr>
            <w:r>
              <w:rPr>
                <w:rFonts w:ascii="Inter" w:hAnsi="Inter" w:cs="Inter" w:eastAsia="Inter"/>
                <w:b w:val="0"/>
                <w:i w:val="0"/>
                <w:color w:val="666666"/>
                <w:sz w:val="15"/>
              </w:rPr>
              <w:t>Owner</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Target date</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Review date</w:t>
            </w:r>
          </w:p>
          <w:p>
            <w:pPr>
              <w:spacing w:before="0" w:after="60" w:line="259" w:lineRule="auto"/>
            </w:pPr>
            <w:r>
              <w:rPr>
                <w:rFonts w:ascii="Inter" w:hAnsi="Inter" w:cs="Inter" w:eastAsia="Inter"/>
                <w:b w:val="0"/>
                <w:i w:val="0"/>
                <w:color w:val="1A1A1A"/>
                <w:sz w:val="18"/>
              </w:rPr>
            </w:r>
          </w:p>
        </w:tc>
      </w:tr>
      <w:tr>
        <w:trPr>
          <w:cantSplit/>
        </w:trPr>
        <w:tc>
          <w:tcPr>
            <w:tcW w:type="dxa" w:w="15478"/>
            <w:gridSpan w:val="5"/>
            <w:shd w:val="clear" w:color="auto" w:fill="F1F7F6"/>
            <w:tcMar>
              <w:top w:w="80" w:type="dxa"/>
              <w:bottom w:w="80" w:type="dxa"/>
              <w:left w:w="90" w:type="dxa"/>
              <w:right w:w="90" w:type="dxa"/>
            </w:tcMar>
            <w:vAlign w:val="top"/>
          </w:tcPr>
          <w:p>
            <w:pPr>
              <w:spacing w:before="0" w:after="40" w:line="259" w:lineRule="auto"/>
              <w:keepNext/>
            </w:pPr>
            <w:r>
              <w:rPr>
                <w:rFonts w:ascii="Inter" w:hAnsi="Inter" w:cs="Inter" w:eastAsia="Inter"/>
                <w:b/>
                <w:i w:val="0"/>
                <w:color w:val="128770"/>
                <w:sz w:val="19"/>
              </w:rPr>
              <w:t xml:space="preserve">P5.6   </w:t>
            </w:r>
            <w:r>
              <w:rPr>
                <w:rFonts w:ascii="Inter" w:hAnsi="Inter" w:cs="Inter" w:eastAsia="Inter"/>
                <w:b/>
                <w:i w:val="0"/>
                <w:color w:val="1A1A1A"/>
                <w:sz w:val="19"/>
              </w:rPr>
              <w:t>Transition planning is careful and staged, including at phase transition, with strong communication between schools to avoid cliff-edges in support.</w:t>
            </w:r>
          </w:p>
          <w:p>
            <w:pPr>
              <w:spacing w:before="0" w:after="40" w:line="259" w:lineRule="auto"/>
              <w:keepNext/>
            </w:pPr>
            <w:r>
              <w:rPr>
                <w:rFonts w:ascii="Inter" w:hAnsi="Inter" w:cs="Inter" w:eastAsia="Inter"/>
                <w:b w:val="0"/>
                <w:i/>
                <w:color w:val="666666"/>
                <w:sz w:val="15"/>
              </w:rPr>
              <w:t>Individual children and young people  ·  Guidance: “At phase transition, there should be strong communication between both schools to avoid 'cliff-edges' in support, ensuring schools know children and young people's starting points and prior knowledge to facilitate a smooth and gradual transition.”</w:t>
            </w:r>
          </w:p>
        </w:tc>
      </w:tr>
      <w:tr>
        <w:trPr>
          <w:trHeight w:val="1701" w:hRule="atLeast"/>
          <w:cantSplit/>
        </w:trPr>
        <w:tc>
          <w:tcPr>
            <w:tcW w:type="dxa" w:w="4082"/>
            <w:tcMar>
              <w:top w:w="70" w:type="dxa"/>
              <w:bottom w:w="70" w:type="dxa"/>
              <w:left w:w="90" w:type="dxa"/>
              <w:right w:w="90" w:type="dxa"/>
            </w:tcMar>
            <w:vAlign w:val="top"/>
          </w:tcPr>
          <w:p>
            <w:pPr>
              <w:spacing w:before="0" w:after="80" w:line="259" w:lineRule="auto"/>
            </w:pPr>
            <w:r>
              <w:rPr>
                <w:rFonts w:ascii="Inter" w:hAnsi="Inter" w:cs="Inter" w:eastAsia="Inter"/>
                <w:b/>
                <w:i w:val="0"/>
                <w:color w:val="128770"/>
                <w:sz w:val="17"/>
              </w:rPr>
              <w:t xml:space="preserve">1  </w:t>
            </w:r>
            <w:r>
              <w:rPr>
                <w:rFonts w:ascii="Inter" w:hAnsi="Inter" w:cs="Inter" w:eastAsia="Inter"/>
                <w:b w:val="0"/>
                <w:i w:val="0"/>
                <w:color w:val="1A1A1A"/>
                <w:sz w:val="17"/>
              </w:rPr>
              <w:t>Transition is a single handover of paperwork.</w:t>
            </w:r>
          </w:p>
          <w:p>
            <w:pPr>
              <w:spacing w:before="0" w:after="80" w:line="259" w:lineRule="auto"/>
            </w:pPr>
            <w:r>
              <w:rPr>
                <w:rFonts w:ascii="Inter" w:hAnsi="Inter" w:cs="Inter" w:eastAsia="Inter"/>
                <w:b/>
                <w:i w:val="0"/>
                <w:color w:val="128770"/>
                <w:sz w:val="17"/>
              </w:rPr>
              <w:t xml:space="preserve">3  </w:t>
            </w:r>
            <w:r>
              <w:rPr>
                <w:rFonts w:ascii="Inter" w:hAnsi="Inter" w:cs="Inter" w:eastAsia="Inter"/>
                <w:b w:val="0"/>
                <w:i w:val="0"/>
                <w:color w:val="1A1A1A"/>
                <w:sz w:val="17"/>
              </w:rPr>
              <w:t>Transition is planned within school; between-school transition is weak.</w:t>
            </w:r>
          </w:p>
          <w:p>
            <w:pPr>
              <w:spacing w:before="0" w:after="80" w:line="259" w:lineRule="auto"/>
            </w:pPr>
            <w:r>
              <w:rPr>
                <w:rFonts w:ascii="Inter" w:hAnsi="Inter" w:cs="Inter" w:eastAsia="Inter"/>
                <w:b/>
                <w:i w:val="0"/>
                <w:color w:val="128770"/>
                <w:sz w:val="17"/>
              </w:rPr>
              <w:t xml:space="preserve">5  </w:t>
            </w:r>
            <w:r>
              <w:rPr>
                <w:rFonts w:ascii="Inter" w:hAnsi="Inter" w:cs="Inter" w:eastAsia="Inter"/>
                <w:b w:val="0"/>
                <w:i w:val="0"/>
                <w:color w:val="1A1A1A"/>
                <w:sz w:val="17"/>
              </w:rPr>
              <w:t>Staged planning with learner and family, and direct school-to-school contact establishing starting points and prior knowledge.</w:t>
            </w:r>
          </w:p>
        </w:tc>
        <w:tc>
          <w:tcPr>
            <w:tcW w:type="dxa" w:w="3742"/>
            <w:tcMar>
              <w:top w:w="70" w:type="dxa"/>
              <w:bottom w:w="70" w:type="dxa"/>
              <w:left w:w="90" w:type="dxa"/>
              <w:right w:w="90" w:type="dxa"/>
            </w:tcMar>
            <w:vAlign w:val="top"/>
          </w:tcPr>
          <w:p>
            <w:pPr>
              <w:spacing w:before="0" w:after="80" w:line="259" w:lineRule="auto"/>
            </w:pPr>
            <w:r>
              <w:rPr>
                <w:rFonts w:ascii="Inter" w:hAnsi="Inter" w:cs="Inter" w:eastAsia="Inter"/>
                <w:b w:val="0"/>
                <w:i/>
                <w:color w:val="666666"/>
                <w:sz w:val="16"/>
              </w:rPr>
              <w:t>For your last phase transition, who spoke to whom, and when?</w:t>
            </w:r>
          </w:p>
          <w:p>
            <w:pPr>
              <w:spacing w:before="0" w:after="80" w:line="259" w:lineRule="auto"/>
            </w:pPr>
            <w:r>
              <w:rPr>
                <w:rFonts w:ascii="Inter" w:hAnsi="Inter" w:cs="Inter" w:eastAsia="Inter"/>
                <w:b w:val="0"/>
                <w:i w:val="0"/>
                <w:color w:val="1A1A1A"/>
                <w:sz w:val="18"/>
              </w:rPr>
            </w:r>
          </w:p>
        </w:tc>
        <w:tc>
          <w:tcPr>
            <w:tcW w:type="dxa" w:w="964"/>
            <w:tcMar>
              <w:top w:w="70" w:type="dxa"/>
              <w:bottom w:w="70" w:type="dxa"/>
              <w:left w:w="90" w:type="dxa"/>
              <w:right w:w="90" w:type="dxa"/>
            </w:tcMar>
            <w:shd w:val="clear" w:color="auto" w:fill="FEF6D9"/>
            <w:vAlign w:val="center"/>
          </w:tcPr>
          <w:p>
            <w:pPr>
              <w:spacing w:before="0" w:after="40" w:line="259" w:lineRule="auto"/>
            </w:pPr>
            <w:r>
              <w:rPr>
                <w:rFonts w:ascii="Inter" w:hAnsi="Inter" w:cs="Inter" w:eastAsia="Inter"/>
                <w:b w:val="0"/>
                <w:i w:val="0"/>
                <w:color w:val="1A1A1A"/>
                <w:sz w:val="18"/>
              </w:rPr>
            </w:r>
          </w:p>
          <w:p>
            <w:pPr>
              <w:spacing w:before="0" w:after="40" w:line="259" w:lineRule="auto"/>
            </w:pPr>
            <w:r>
              <w:rPr>
                <w:rFonts w:ascii="Inter" w:hAnsi="Inter" w:cs="Inter" w:eastAsia="Inter"/>
                <w:b w:val="0"/>
                <w:i w:val="0"/>
                <w:color w:val="666666"/>
                <w:sz w:val="15"/>
              </w:rPr>
              <w:t>1 to 5</w:t>
            </w:r>
          </w:p>
        </w:tc>
        <w:tc>
          <w:tcPr>
            <w:tcW w:type="dxa" w:w="3742"/>
            <w:tcMar>
              <w:top w:w="70" w:type="dxa"/>
              <w:bottom w:w="70" w:type="dxa"/>
              <w:left w:w="90" w:type="dxa"/>
              <w:right w:w="90" w:type="dxa"/>
            </w:tcMar>
            <w:vAlign w:val="top"/>
          </w:tcPr>
          <w:p>
            <w:pPr>
              <w:spacing w:before="0" w:after="40" w:line="259" w:lineRule="auto"/>
            </w:pPr>
            <w:r>
              <w:rPr>
                <w:rFonts w:ascii="Inter" w:hAnsi="Inter" w:cs="Inter" w:eastAsia="Inter"/>
                <w:b w:val="0"/>
                <w:i w:val="0"/>
                <w:color w:val="1A1A1A"/>
                <w:sz w:val="17"/>
              </w:rPr>
              <w:t>The guidance uses the phrase 'cliff-edges'. Named person to named person, before the last half-term, is the practical minimum.</w:t>
            </w:r>
          </w:p>
        </w:tc>
        <w:tc>
          <w:tcPr>
            <w:tcW w:type="dxa" w:w="2948"/>
            <w:tcMar>
              <w:top w:w="70" w:type="dxa"/>
              <w:bottom w:w="70" w:type="dxa"/>
              <w:left w:w="90" w:type="dxa"/>
              <w:right w:w="90" w:type="dxa"/>
            </w:tcMar>
            <w:vAlign w:val="top"/>
          </w:tcPr>
          <w:p>
            <w:pPr>
              <w:spacing w:before="0" w:after="60" w:line="259" w:lineRule="auto"/>
            </w:pPr>
            <w:r>
              <w:rPr>
                <w:rFonts w:ascii="Inter" w:hAnsi="Inter" w:cs="Inter" w:eastAsia="Inter"/>
                <w:b w:val="0"/>
                <w:i w:val="0"/>
                <w:color w:val="666666"/>
                <w:sz w:val="15"/>
              </w:rPr>
              <w:t>Owner</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Target date</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Review date</w:t>
            </w:r>
          </w:p>
          <w:p>
            <w:pPr>
              <w:spacing w:before="0" w:after="60" w:line="259" w:lineRule="auto"/>
            </w:pPr>
            <w:r>
              <w:rPr>
                <w:rFonts w:ascii="Inter" w:hAnsi="Inter" w:cs="Inter" w:eastAsia="Inter"/>
                <w:b w:val="0"/>
                <w:i w:val="0"/>
                <w:color w:val="1A1A1A"/>
                <w:sz w:val="18"/>
              </w:rPr>
            </w:r>
          </w:p>
        </w:tc>
      </w:tr>
      <w:tr>
        <w:trPr>
          <w:cantSplit/>
        </w:trPr>
        <w:tc>
          <w:tcPr>
            <w:tcW w:type="dxa" w:w="15478"/>
            <w:gridSpan w:val="5"/>
            <w:shd w:val="clear" w:color="auto" w:fill="F1F7F6"/>
            <w:tcMar>
              <w:top w:w="80" w:type="dxa"/>
              <w:bottom w:w="80" w:type="dxa"/>
              <w:left w:w="90" w:type="dxa"/>
              <w:right w:w="90" w:type="dxa"/>
            </w:tcMar>
            <w:vAlign w:val="top"/>
          </w:tcPr>
          <w:p>
            <w:pPr>
              <w:spacing w:before="0" w:after="40" w:line="259" w:lineRule="auto"/>
              <w:keepNext/>
            </w:pPr>
            <w:r>
              <w:rPr>
                <w:rFonts w:ascii="Inter" w:hAnsi="Inter" w:cs="Inter" w:eastAsia="Inter"/>
                <w:b/>
                <w:i w:val="0"/>
                <w:color w:val="128770"/>
                <w:sz w:val="19"/>
              </w:rPr>
              <w:t xml:space="preserve">P5.7   </w:t>
            </w:r>
            <w:r>
              <w:rPr>
                <w:rFonts w:ascii="Inter" w:hAnsi="Inter" w:cs="Inter" w:eastAsia="Inter"/>
                <w:b/>
                <w:i w:val="0"/>
                <w:color w:val="1A1A1A"/>
                <w:sz w:val="19"/>
              </w:rPr>
              <w:t>Where health professionals are part of the commissioned provision, they are involved in planning, target setting and support from the earliest possible stage.</w:t>
            </w:r>
          </w:p>
          <w:p>
            <w:pPr>
              <w:spacing w:before="0" w:after="40" w:line="259" w:lineRule="auto"/>
              <w:keepNext/>
            </w:pPr>
            <w:r>
              <w:rPr>
                <w:rFonts w:ascii="Inter" w:hAnsi="Inter" w:cs="Inter" w:eastAsia="Inter"/>
                <w:b w:val="0"/>
                <w:i/>
                <w:color w:val="666666"/>
                <w:sz w:val="15"/>
              </w:rPr>
              <w:t>Whole school  ·  Guidance: “Where health professionals are an integral part of the commissioned provision they should be involved in the planning, target setting, and provision of support at the earliest possible stage.”</w:t>
            </w:r>
          </w:p>
        </w:tc>
      </w:tr>
      <w:tr>
        <w:trPr>
          <w:trHeight w:val="1701" w:hRule="atLeast"/>
          <w:cantSplit/>
        </w:trPr>
        <w:tc>
          <w:tcPr>
            <w:tcW w:type="dxa" w:w="4082"/>
            <w:tcMar>
              <w:top w:w="70" w:type="dxa"/>
              <w:bottom w:w="70" w:type="dxa"/>
              <w:left w:w="90" w:type="dxa"/>
              <w:right w:w="90" w:type="dxa"/>
            </w:tcMar>
            <w:vAlign w:val="top"/>
          </w:tcPr>
          <w:p>
            <w:pPr>
              <w:spacing w:before="0" w:after="80" w:line="259" w:lineRule="auto"/>
            </w:pPr>
            <w:r>
              <w:rPr>
                <w:rFonts w:ascii="Inter" w:hAnsi="Inter" w:cs="Inter" w:eastAsia="Inter"/>
                <w:b/>
                <w:i w:val="0"/>
                <w:color w:val="128770"/>
                <w:sz w:val="17"/>
              </w:rPr>
              <w:t xml:space="preserve">1  </w:t>
            </w:r>
            <w:r>
              <w:rPr>
                <w:rFonts w:ascii="Inter" w:hAnsi="Inter" w:cs="Inter" w:eastAsia="Inter"/>
                <w:b w:val="0"/>
                <w:i w:val="0"/>
                <w:color w:val="1A1A1A"/>
                <w:sz w:val="17"/>
              </w:rPr>
              <w:t>Health input is requested reactively when something goes wrong.</w:t>
            </w:r>
          </w:p>
          <w:p>
            <w:pPr>
              <w:spacing w:before="0" w:after="80" w:line="259" w:lineRule="auto"/>
            </w:pPr>
            <w:r>
              <w:rPr>
                <w:rFonts w:ascii="Inter" w:hAnsi="Inter" w:cs="Inter" w:eastAsia="Inter"/>
                <w:b/>
                <w:i w:val="0"/>
                <w:color w:val="128770"/>
                <w:sz w:val="17"/>
              </w:rPr>
              <w:t xml:space="preserve">3  </w:t>
            </w:r>
            <w:r>
              <w:rPr>
                <w:rFonts w:ascii="Inter" w:hAnsi="Inter" w:cs="Inter" w:eastAsia="Inter"/>
                <w:b w:val="0"/>
                <w:i w:val="0"/>
                <w:color w:val="1A1A1A"/>
                <w:sz w:val="17"/>
              </w:rPr>
              <w:t>Health professionals deliver sessions but are not part of planning.</w:t>
            </w:r>
          </w:p>
          <w:p>
            <w:pPr>
              <w:spacing w:before="0" w:after="80" w:line="259" w:lineRule="auto"/>
            </w:pPr>
            <w:r>
              <w:rPr>
                <w:rFonts w:ascii="Inter" w:hAnsi="Inter" w:cs="Inter" w:eastAsia="Inter"/>
                <w:b/>
                <w:i w:val="0"/>
                <w:color w:val="128770"/>
                <w:sz w:val="17"/>
              </w:rPr>
              <w:t xml:space="preserve">5  </w:t>
            </w:r>
            <w:r>
              <w:rPr>
                <w:rFonts w:ascii="Inter" w:hAnsi="Inter" w:cs="Inter" w:eastAsia="Inter"/>
                <w:b w:val="0"/>
                <w:i w:val="0"/>
                <w:color w:val="1A1A1A"/>
                <w:sz w:val="17"/>
              </w:rPr>
              <w:t>Health professionals are in planning and target setting from the outset and support a whole-school approach.</w:t>
            </w:r>
          </w:p>
        </w:tc>
        <w:tc>
          <w:tcPr>
            <w:tcW w:type="dxa" w:w="3742"/>
            <w:tcMar>
              <w:top w:w="70" w:type="dxa"/>
              <w:bottom w:w="70" w:type="dxa"/>
              <w:left w:w="90" w:type="dxa"/>
              <w:right w:w="90" w:type="dxa"/>
            </w:tcMar>
            <w:vAlign w:val="top"/>
          </w:tcPr>
          <w:p>
            <w:pPr>
              <w:spacing w:before="0" w:after="80" w:line="259" w:lineRule="auto"/>
            </w:pPr>
            <w:r>
              <w:rPr>
                <w:rFonts w:ascii="Inter" w:hAnsi="Inter" w:cs="Inter" w:eastAsia="Inter"/>
                <w:b w:val="0"/>
                <w:i/>
                <w:color w:val="666666"/>
                <w:sz w:val="16"/>
              </w:rPr>
              <w:t>Were health professionals in the room when this term's targets were set?</w:t>
            </w:r>
          </w:p>
          <w:p>
            <w:pPr>
              <w:spacing w:before="0" w:after="80" w:line="259" w:lineRule="auto"/>
            </w:pPr>
            <w:r>
              <w:rPr>
                <w:rFonts w:ascii="Inter" w:hAnsi="Inter" w:cs="Inter" w:eastAsia="Inter"/>
                <w:b w:val="0"/>
                <w:i w:val="0"/>
                <w:color w:val="1A1A1A"/>
                <w:sz w:val="18"/>
              </w:rPr>
            </w:r>
          </w:p>
        </w:tc>
        <w:tc>
          <w:tcPr>
            <w:tcW w:type="dxa" w:w="964"/>
            <w:tcMar>
              <w:top w:w="70" w:type="dxa"/>
              <w:bottom w:w="70" w:type="dxa"/>
              <w:left w:w="90" w:type="dxa"/>
              <w:right w:w="90" w:type="dxa"/>
            </w:tcMar>
            <w:shd w:val="clear" w:color="auto" w:fill="FEF6D9"/>
            <w:vAlign w:val="center"/>
          </w:tcPr>
          <w:p>
            <w:pPr>
              <w:spacing w:before="0" w:after="40" w:line="259" w:lineRule="auto"/>
            </w:pPr>
            <w:r>
              <w:rPr>
                <w:rFonts w:ascii="Inter" w:hAnsi="Inter" w:cs="Inter" w:eastAsia="Inter"/>
                <w:b w:val="0"/>
                <w:i w:val="0"/>
                <w:color w:val="1A1A1A"/>
                <w:sz w:val="18"/>
              </w:rPr>
            </w:r>
          </w:p>
          <w:p>
            <w:pPr>
              <w:spacing w:before="0" w:after="40" w:line="259" w:lineRule="auto"/>
            </w:pPr>
            <w:r>
              <w:rPr>
                <w:rFonts w:ascii="Inter" w:hAnsi="Inter" w:cs="Inter" w:eastAsia="Inter"/>
                <w:b w:val="0"/>
                <w:i w:val="0"/>
                <w:color w:val="666666"/>
                <w:sz w:val="15"/>
              </w:rPr>
              <w:t>1 to 5</w:t>
            </w:r>
          </w:p>
        </w:tc>
        <w:tc>
          <w:tcPr>
            <w:tcW w:type="dxa" w:w="3742"/>
            <w:tcMar>
              <w:top w:w="70" w:type="dxa"/>
              <w:bottom w:w="70" w:type="dxa"/>
              <w:left w:w="90" w:type="dxa"/>
              <w:right w:w="90" w:type="dxa"/>
            </w:tcMar>
            <w:vAlign w:val="top"/>
          </w:tcPr>
          <w:p>
            <w:pPr>
              <w:spacing w:before="0" w:after="40" w:line="259" w:lineRule="auto"/>
            </w:pPr>
            <w:r>
              <w:rPr>
                <w:rFonts w:ascii="Inter" w:hAnsi="Inter" w:cs="Inter" w:eastAsia="Inter"/>
                <w:b w:val="0"/>
                <w:i w:val="0"/>
                <w:color w:val="1A1A1A"/>
                <w:sz w:val="17"/>
              </w:rPr>
              <w:t>The guidance expects them to support whole classes and groups, not only individuals. Note the national shortage of specialists is real - record what you requested as well as what you received.</w:t>
            </w:r>
          </w:p>
        </w:tc>
        <w:tc>
          <w:tcPr>
            <w:tcW w:type="dxa" w:w="2948"/>
            <w:tcMar>
              <w:top w:w="70" w:type="dxa"/>
              <w:bottom w:w="70" w:type="dxa"/>
              <w:left w:w="90" w:type="dxa"/>
              <w:right w:w="90" w:type="dxa"/>
            </w:tcMar>
            <w:vAlign w:val="top"/>
          </w:tcPr>
          <w:p>
            <w:pPr>
              <w:spacing w:before="0" w:after="60" w:line="259" w:lineRule="auto"/>
            </w:pPr>
            <w:r>
              <w:rPr>
                <w:rFonts w:ascii="Inter" w:hAnsi="Inter" w:cs="Inter" w:eastAsia="Inter"/>
                <w:b w:val="0"/>
                <w:i w:val="0"/>
                <w:color w:val="666666"/>
                <w:sz w:val="15"/>
              </w:rPr>
              <w:t>Owner</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Target date</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Review date</w:t>
            </w:r>
          </w:p>
          <w:p>
            <w:pPr>
              <w:spacing w:before="0" w:after="60" w:line="259" w:lineRule="auto"/>
            </w:pPr>
            <w:r>
              <w:rPr>
                <w:rFonts w:ascii="Inter" w:hAnsi="Inter" w:cs="Inter" w:eastAsia="Inter"/>
                <w:b w:val="0"/>
                <w:i w:val="0"/>
                <w:color w:val="1A1A1A"/>
                <w:sz w:val="18"/>
              </w:rPr>
            </w:r>
          </w:p>
        </w:tc>
      </w:tr>
      <w:tr>
        <w:trPr>
          <w:cantSplit/>
        </w:trPr>
        <w:tc>
          <w:tcPr>
            <w:tcW w:type="dxa" w:w="15478"/>
            <w:gridSpan w:val="5"/>
            <w:shd w:val="clear" w:color="auto" w:fill="F1F7F6"/>
            <w:tcMar>
              <w:top w:w="80" w:type="dxa"/>
              <w:bottom w:w="80" w:type="dxa"/>
              <w:left w:w="90" w:type="dxa"/>
              <w:right w:w="90" w:type="dxa"/>
            </w:tcMar>
            <w:vAlign w:val="top"/>
          </w:tcPr>
          <w:p>
            <w:pPr>
              <w:spacing w:before="0" w:after="40" w:line="259" w:lineRule="auto"/>
              <w:keepNext/>
            </w:pPr>
            <w:r>
              <w:rPr>
                <w:rFonts w:ascii="Inter" w:hAnsi="Inter" w:cs="Inter" w:eastAsia="Inter"/>
                <w:b/>
                <w:i w:val="0"/>
                <w:color w:val="128770"/>
                <w:sz w:val="19"/>
              </w:rPr>
              <w:t xml:space="preserve">P5.8   </w:t>
            </w:r>
            <w:r>
              <w:rPr>
                <w:rFonts w:ascii="Inter" w:hAnsi="Inter" w:cs="Inter" w:eastAsia="Inter"/>
                <w:b/>
                <w:i w:val="0"/>
                <w:color w:val="1A1A1A"/>
                <w:sz w:val="19"/>
              </w:rPr>
              <w:t>Staff working in the base access and engage with peer support networks, including with special and alternative provision schools.</w:t>
            </w:r>
          </w:p>
          <w:p>
            <w:pPr>
              <w:spacing w:before="0" w:after="40" w:line="259" w:lineRule="auto"/>
              <w:keepNext/>
            </w:pPr>
            <w:r>
              <w:rPr>
                <w:rFonts w:ascii="Inter" w:hAnsi="Inter" w:cs="Inter" w:eastAsia="Inter"/>
                <w:b w:val="0"/>
                <w:i/>
                <w:color w:val="666666"/>
                <w:sz w:val="15"/>
              </w:rPr>
              <w:t>Whole school  ·  Guidance: “Schools should support staff, particularly those who work in a base, to access and engage with peer support networks, including with special and AP schools.”</w:t>
            </w:r>
          </w:p>
        </w:tc>
      </w:tr>
      <w:tr>
        <w:trPr>
          <w:trHeight w:val="1701" w:hRule="atLeast"/>
          <w:cantSplit/>
        </w:trPr>
        <w:tc>
          <w:tcPr>
            <w:tcW w:type="dxa" w:w="4082"/>
            <w:tcMar>
              <w:top w:w="70" w:type="dxa"/>
              <w:bottom w:w="70" w:type="dxa"/>
              <w:left w:w="90" w:type="dxa"/>
              <w:right w:w="90" w:type="dxa"/>
            </w:tcMar>
            <w:vAlign w:val="top"/>
          </w:tcPr>
          <w:p>
            <w:pPr>
              <w:spacing w:before="0" w:after="80" w:line="259" w:lineRule="auto"/>
            </w:pPr>
            <w:r>
              <w:rPr>
                <w:rFonts w:ascii="Inter" w:hAnsi="Inter" w:cs="Inter" w:eastAsia="Inter"/>
                <w:b/>
                <w:i w:val="0"/>
                <w:color w:val="128770"/>
                <w:sz w:val="17"/>
              </w:rPr>
              <w:t xml:space="preserve">1  </w:t>
            </w:r>
            <w:r>
              <w:rPr>
                <w:rFonts w:ascii="Inter" w:hAnsi="Inter" w:cs="Inter" w:eastAsia="Inter"/>
                <w:b w:val="0"/>
                <w:i w:val="0"/>
                <w:color w:val="1A1A1A"/>
                <w:sz w:val="17"/>
              </w:rPr>
              <w:t>Base staff have no external professional network.</w:t>
            </w:r>
          </w:p>
          <w:p>
            <w:pPr>
              <w:spacing w:before="0" w:after="80" w:line="259" w:lineRule="auto"/>
            </w:pPr>
            <w:r>
              <w:rPr>
                <w:rFonts w:ascii="Inter" w:hAnsi="Inter" w:cs="Inter" w:eastAsia="Inter"/>
                <w:b/>
                <w:i w:val="0"/>
                <w:color w:val="128770"/>
                <w:sz w:val="17"/>
              </w:rPr>
              <w:t xml:space="preserve">3  </w:t>
            </w:r>
            <w:r>
              <w:rPr>
                <w:rFonts w:ascii="Inter" w:hAnsi="Inter" w:cs="Inter" w:eastAsia="Inter"/>
                <w:b w:val="0"/>
                <w:i w:val="0"/>
                <w:color w:val="1A1A1A"/>
                <w:sz w:val="17"/>
              </w:rPr>
              <w:t>Occasional contact, usually via the local authority.</w:t>
            </w:r>
          </w:p>
          <w:p>
            <w:pPr>
              <w:spacing w:before="0" w:after="80" w:line="259" w:lineRule="auto"/>
            </w:pPr>
            <w:r>
              <w:rPr>
                <w:rFonts w:ascii="Inter" w:hAnsi="Inter" w:cs="Inter" w:eastAsia="Inter"/>
                <w:b/>
                <w:i w:val="0"/>
                <w:color w:val="128770"/>
                <w:sz w:val="17"/>
              </w:rPr>
              <w:t xml:space="preserve">5  </w:t>
            </w:r>
            <w:r>
              <w:rPr>
                <w:rFonts w:ascii="Inter" w:hAnsi="Inter" w:cs="Inter" w:eastAsia="Inter"/>
                <w:b w:val="0"/>
                <w:i w:val="0"/>
                <w:color w:val="1A1A1A"/>
                <w:sz w:val="17"/>
              </w:rPr>
              <w:t>Active, regular engagement with peer networks including special and AP schools, with learning brought back.</w:t>
            </w:r>
          </w:p>
        </w:tc>
        <w:tc>
          <w:tcPr>
            <w:tcW w:type="dxa" w:w="3742"/>
            <w:tcMar>
              <w:top w:w="70" w:type="dxa"/>
              <w:bottom w:w="70" w:type="dxa"/>
              <w:left w:w="90" w:type="dxa"/>
              <w:right w:w="90" w:type="dxa"/>
            </w:tcMar>
            <w:vAlign w:val="top"/>
          </w:tcPr>
          <w:p>
            <w:pPr>
              <w:spacing w:before="0" w:after="80" w:line="259" w:lineRule="auto"/>
            </w:pPr>
            <w:r>
              <w:rPr>
                <w:rFonts w:ascii="Inter" w:hAnsi="Inter" w:cs="Inter" w:eastAsia="Inter"/>
                <w:b w:val="0"/>
                <w:i/>
                <w:color w:val="666666"/>
                <w:sz w:val="16"/>
              </w:rPr>
              <w:t>Which network, how often, and what came back from the last one?</w:t>
            </w:r>
          </w:p>
          <w:p>
            <w:pPr>
              <w:spacing w:before="0" w:after="80" w:line="259" w:lineRule="auto"/>
            </w:pPr>
            <w:r>
              <w:rPr>
                <w:rFonts w:ascii="Inter" w:hAnsi="Inter" w:cs="Inter" w:eastAsia="Inter"/>
                <w:b w:val="0"/>
                <w:i w:val="0"/>
                <w:color w:val="1A1A1A"/>
                <w:sz w:val="18"/>
              </w:rPr>
            </w:r>
          </w:p>
        </w:tc>
        <w:tc>
          <w:tcPr>
            <w:tcW w:type="dxa" w:w="964"/>
            <w:tcMar>
              <w:top w:w="70" w:type="dxa"/>
              <w:bottom w:w="70" w:type="dxa"/>
              <w:left w:w="90" w:type="dxa"/>
              <w:right w:w="90" w:type="dxa"/>
            </w:tcMar>
            <w:shd w:val="clear" w:color="auto" w:fill="FEF6D9"/>
            <w:vAlign w:val="center"/>
          </w:tcPr>
          <w:p>
            <w:pPr>
              <w:spacing w:before="0" w:after="40" w:line="259" w:lineRule="auto"/>
            </w:pPr>
            <w:r>
              <w:rPr>
                <w:rFonts w:ascii="Inter" w:hAnsi="Inter" w:cs="Inter" w:eastAsia="Inter"/>
                <w:b w:val="0"/>
                <w:i w:val="0"/>
                <w:color w:val="1A1A1A"/>
                <w:sz w:val="18"/>
              </w:rPr>
            </w:r>
          </w:p>
          <w:p>
            <w:pPr>
              <w:spacing w:before="0" w:after="40" w:line="259" w:lineRule="auto"/>
            </w:pPr>
            <w:r>
              <w:rPr>
                <w:rFonts w:ascii="Inter" w:hAnsi="Inter" w:cs="Inter" w:eastAsia="Inter"/>
                <w:b w:val="0"/>
                <w:i w:val="0"/>
                <w:color w:val="666666"/>
                <w:sz w:val="15"/>
              </w:rPr>
              <w:t>1 to 5</w:t>
            </w:r>
          </w:p>
        </w:tc>
        <w:tc>
          <w:tcPr>
            <w:tcW w:type="dxa" w:w="3742"/>
            <w:tcMar>
              <w:top w:w="70" w:type="dxa"/>
              <w:bottom w:w="70" w:type="dxa"/>
              <w:left w:w="90" w:type="dxa"/>
              <w:right w:w="90" w:type="dxa"/>
            </w:tcMar>
            <w:vAlign w:val="top"/>
          </w:tcPr>
          <w:p>
            <w:pPr>
              <w:spacing w:before="0" w:after="40" w:line="259" w:lineRule="auto"/>
            </w:pPr>
            <w:r>
              <w:rPr>
                <w:rFonts w:ascii="Inter" w:hAnsi="Inter" w:cs="Inter" w:eastAsia="Inter"/>
                <w:b w:val="0"/>
                <w:i w:val="0"/>
                <w:color w:val="1A1A1A"/>
                <w:sz w:val="17"/>
              </w:rPr>
              <w:t>Reciprocal review with a special school is one of the highest-value and lowest-cost moves available. nasen and Whole School SEND both facilitate school-to-school review.</w:t>
            </w:r>
          </w:p>
        </w:tc>
        <w:tc>
          <w:tcPr>
            <w:tcW w:type="dxa" w:w="2948"/>
            <w:tcMar>
              <w:top w:w="70" w:type="dxa"/>
              <w:bottom w:w="70" w:type="dxa"/>
              <w:left w:w="90" w:type="dxa"/>
              <w:right w:w="90" w:type="dxa"/>
            </w:tcMar>
            <w:vAlign w:val="top"/>
          </w:tcPr>
          <w:p>
            <w:pPr>
              <w:spacing w:before="0" w:after="60" w:line="259" w:lineRule="auto"/>
            </w:pPr>
            <w:r>
              <w:rPr>
                <w:rFonts w:ascii="Inter" w:hAnsi="Inter" w:cs="Inter" w:eastAsia="Inter"/>
                <w:b w:val="0"/>
                <w:i w:val="0"/>
                <w:color w:val="666666"/>
                <w:sz w:val="15"/>
              </w:rPr>
              <w:t>Owner</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Target date</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Review date</w:t>
            </w:r>
          </w:p>
          <w:p>
            <w:pPr>
              <w:spacing w:before="0" w:after="60" w:line="259" w:lineRule="auto"/>
            </w:pPr>
            <w:r>
              <w:rPr>
                <w:rFonts w:ascii="Inter" w:hAnsi="Inter" w:cs="Inter" w:eastAsia="Inter"/>
                <w:b w:val="0"/>
                <w:i w:val="0"/>
                <w:color w:val="1A1A1A"/>
                <w:sz w:val="18"/>
              </w:rPr>
            </w:r>
          </w:p>
        </w:tc>
      </w:tr>
    </w:tbl>
    <w:p>
      <w:pPr>
        <w:spacing w:after="0" w:before="0" w:line="240" w:lineRule="auto"/>
        <w:pageBreakBefore/>
      </w:pPr>
      <w:r>
        <w:rPr>
          <w:rFonts w:ascii="Inter" w:hAnsi="Inter" w:cs="Inter" w:eastAsia="Inter"/>
          <w:b w:val="0"/>
          <w:i w:val="0"/>
          <w:color w:val="1A1A1A"/>
          <w:sz w:val="2"/>
        </w:rPr>
      </w:r>
    </w:p>
    <w:tbl>
      <w:tblPr>
        <w:tblW w:type="auto" w:w="0"/>
        <w:tblLayout w:type="fixed"/>
        <w:tblLook w:firstColumn="1" w:firstRow="1" w:lastColumn="0" w:lastRow="0" w:noHBand="0" w:noVBand="1" w:val="04A0"/>
      </w:tblPr>
      <w:tblGrid>
        <w:gridCol w:w="15478"/>
      </w:tblGrid>
      <w:tr>
        <w:tc>
          <w:tcPr>
            <w:tcW w:type="dxa" w:w="15477"/>
            <w:shd w:val="clear" w:color="auto" w:fill="128770"/>
            <w:tcMar>
              <w:top w:w="130" w:type="dxa"/>
              <w:bottom w:w="130" w:type="dxa"/>
              <w:left w:w="160" w:type="dxa"/>
              <w:right w:w="160" w:type="dxa"/>
            </w:tcMar>
            <w:vAlign w:val="top"/>
          </w:tcPr>
          <w:p>
            <w:pPr>
              <w:spacing w:before="0" w:after="40" w:line="259" w:lineRule="auto"/>
            </w:pPr>
            <w:r>
              <w:rPr>
                <w:rFonts w:ascii="Lexend" w:hAnsi="Lexend" w:cs="Lexend" w:eastAsia="Lexend"/>
                <w:b/>
                <w:i w:val="0"/>
                <w:color w:val="FFFFFF"/>
                <w:sz w:val="30"/>
              </w:rPr>
              <w:t xml:space="preserve">P6   </w:t>
            </w:r>
            <w:r>
              <w:rPr>
                <w:rFonts w:ascii="Lexend" w:hAnsi="Lexend" w:cs="Lexend" w:eastAsia="Lexend"/>
                <w:b/>
                <w:i w:val="0"/>
                <w:color w:val="FFFFFF"/>
                <w:sz w:val="30"/>
              </w:rPr>
              <w:t>Inclusive and accessible physical environments</w:t>
            </w:r>
          </w:p>
          <w:p>
            <w:pPr>
              <w:spacing w:before="0" w:after="40" w:line="259" w:lineRule="auto"/>
            </w:pPr>
            <w:r>
              <w:rPr>
                <w:rFonts w:ascii="Inter" w:hAnsi="Inter" w:cs="Inter" w:eastAsia="Inter"/>
                <w:b w:val="0"/>
                <w:i w:val="0"/>
                <w:color w:val="FFFFFF"/>
                <w:sz w:val="17"/>
              </w:rPr>
              <w:t>Guidance pages 34-36  ·  7 criteria  ·  EEF: Recommendation 1: Create a positive and supportive environment for all pupils, without exception</w:t>
            </w:r>
          </w:p>
        </w:tc>
      </w:tr>
    </w:tbl>
    <w:p>
      <w:pPr>
        <w:spacing w:after="80" w:before="0" w:line="276" w:lineRule="auto"/>
      </w:pPr>
    </w:p>
    <w:tbl>
      <w:tblPr>
        <w:tblStyle w:val="TableGrid"/>
        <w:tblW w:type="auto" w:w="0"/>
        <w:tblLayout w:type="fixed"/>
        <w:tblLook w:firstColumn="1" w:firstRow="1" w:lastColumn="0" w:lastRow="0" w:noHBand="0" w:noVBand="1" w:val="04A0"/>
      </w:tblPr>
      <w:tblGrid>
        <w:gridCol w:w="3096"/>
        <w:gridCol w:w="3096"/>
        <w:gridCol w:w="3096"/>
        <w:gridCol w:w="3096"/>
        <w:gridCol w:w="3096"/>
      </w:tblGrid>
      <w:tr>
        <w:trPr>
          <w:tblHeader w:val="true"/>
        </w:trPr>
        <w:tc>
          <w:tcPr>
            <w:tcW w:type="dxa" w:w="4082"/>
            <w:shd w:val="clear" w:color="auto" w:fill="D6E9E5"/>
            <w:tcMar>
              <w:top w:w="70" w:type="dxa"/>
              <w:bottom w:w="70" w:type="dxa"/>
              <w:left w:w="90" w:type="dxa"/>
              <w:right w:w="90" w:type="dxa"/>
            </w:tcMar>
            <w:vAlign w:val="top"/>
          </w:tcPr>
          <w:p>
            <w:pPr>
              <w:spacing w:before="0" w:after="40" w:line="259" w:lineRule="auto"/>
            </w:pPr>
            <w:r>
              <w:rPr>
                <w:rFonts w:ascii="Inter" w:hAnsi="Inter" w:cs="Inter" w:eastAsia="Inter"/>
                <w:b/>
                <w:i w:val="0"/>
                <w:color w:val="128770"/>
                <w:sz w:val="17"/>
              </w:rPr>
              <w:t>What good looks like</w:t>
            </w:r>
          </w:p>
        </w:tc>
        <w:tc>
          <w:tcPr>
            <w:tcW w:type="dxa" w:w="3742"/>
            <w:shd w:val="clear" w:color="auto" w:fill="D6E9E5"/>
            <w:tcMar>
              <w:top w:w="70" w:type="dxa"/>
              <w:bottom w:w="70" w:type="dxa"/>
              <w:left w:w="90" w:type="dxa"/>
              <w:right w:w="90" w:type="dxa"/>
            </w:tcMar>
            <w:vAlign w:val="top"/>
          </w:tcPr>
          <w:p>
            <w:pPr>
              <w:spacing w:before="0" w:after="40" w:line="259" w:lineRule="auto"/>
            </w:pPr>
            <w:r>
              <w:rPr>
                <w:rFonts w:ascii="Inter" w:hAnsi="Inter" w:cs="Inter" w:eastAsia="Inter"/>
                <w:b/>
                <w:i w:val="0"/>
                <w:color w:val="128770"/>
                <w:sz w:val="17"/>
              </w:rPr>
              <w:t>Your evidence  (fill this in FIRST)</w:t>
            </w:r>
          </w:p>
        </w:tc>
        <w:tc>
          <w:tcPr>
            <w:tcW w:type="dxa" w:w="964"/>
            <w:shd w:val="clear" w:color="auto" w:fill="FEF6D9"/>
            <w:tcMar>
              <w:top w:w="70" w:type="dxa"/>
              <w:bottom w:w="70" w:type="dxa"/>
              <w:left w:w="90" w:type="dxa"/>
              <w:right w:w="90" w:type="dxa"/>
            </w:tcMar>
            <w:vAlign w:val="top"/>
          </w:tcPr>
          <w:p>
            <w:pPr>
              <w:spacing w:before="0" w:after="40" w:line="259" w:lineRule="auto"/>
            </w:pPr>
            <w:r>
              <w:rPr>
                <w:rFonts w:ascii="Inter" w:hAnsi="Inter" w:cs="Inter" w:eastAsia="Inter"/>
                <w:b/>
                <w:i w:val="0"/>
                <w:color w:val="128770"/>
                <w:sz w:val="17"/>
              </w:rPr>
              <w:t>Rating</w:t>
            </w:r>
          </w:p>
        </w:tc>
        <w:tc>
          <w:tcPr>
            <w:tcW w:type="dxa" w:w="3742"/>
            <w:shd w:val="clear" w:color="auto" w:fill="D6E9E5"/>
            <w:tcMar>
              <w:top w:w="70" w:type="dxa"/>
              <w:bottom w:w="70" w:type="dxa"/>
              <w:left w:w="90" w:type="dxa"/>
              <w:right w:w="90" w:type="dxa"/>
            </w:tcMar>
            <w:vAlign w:val="top"/>
          </w:tcPr>
          <w:p>
            <w:pPr>
              <w:spacing w:before="0" w:after="40" w:line="259" w:lineRule="auto"/>
            </w:pPr>
            <w:r>
              <w:rPr>
                <w:rFonts w:ascii="Inter" w:hAnsi="Inter" w:cs="Inter" w:eastAsia="Inter"/>
                <w:b/>
                <w:i w:val="0"/>
                <w:color w:val="128770"/>
                <w:sz w:val="17"/>
              </w:rPr>
              <w:t>Suggested next step</w:t>
            </w:r>
          </w:p>
        </w:tc>
        <w:tc>
          <w:tcPr>
            <w:tcW w:type="dxa" w:w="2948"/>
            <w:shd w:val="clear" w:color="auto" w:fill="D6E9E5"/>
            <w:tcMar>
              <w:top w:w="70" w:type="dxa"/>
              <w:bottom w:w="70" w:type="dxa"/>
              <w:left w:w="90" w:type="dxa"/>
              <w:right w:w="90" w:type="dxa"/>
            </w:tcMar>
            <w:vAlign w:val="top"/>
          </w:tcPr>
          <w:p>
            <w:pPr>
              <w:spacing w:before="0" w:after="40" w:line="259" w:lineRule="auto"/>
            </w:pPr>
            <w:r>
              <w:rPr>
                <w:rFonts w:ascii="Inter" w:hAnsi="Inter" w:cs="Inter" w:eastAsia="Inter"/>
                <w:b/>
                <w:i w:val="0"/>
                <w:color w:val="128770"/>
                <w:sz w:val="17"/>
              </w:rPr>
              <w:t>Owner / date / review date</w:t>
            </w:r>
          </w:p>
        </w:tc>
      </w:tr>
      <w:tr>
        <w:trPr>
          <w:cantSplit/>
        </w:trPr>
        <w:tc>
          <w:tcPr>
            <w:tcW w:type="dxa" w:w="15478"/>
            <w:gridSpan w:val="5"/>
            <w:shd w:val="clear" w:color="auto" w:fill="F1F7F6"/>
            <w:tcMar>
              <w:top w:w="80" w:type="dxa"/>
              <w:bottom w:w="80" w:type="dxa"/>
              <w:left w:w="90" w:type="dxa"/>
              <w:right w:w="90" w:type="dxa"/>
            </w:tcMar>
            <w:vAlign w:val="top"/>
          </w:tcPr>
          <w:p>
            <w:pPr>
              <w:spacing w:before="0" w:after="40" w:line="259" w:lineRule="auto"/>
              <w:keepNext/>
            </w:pPr>
            <w:r>
              <w:rPr>
                <w:rFonts w:ascii="Inter" w:hAnsi="Inter" w:cs="Inter" w:eastAsia="Inter"/>
                <w:b/>
                <w:i w:val="0"/>
                <w:color w:val="128770"/>
                <w:sz w:val="19"/>
              </w:rPr>
              <w:t xml:space="preserve">P6.1   </w:t>
            </w:r>
            <w:r>
              <w:rPr>
                <w:rFonts w:ascii="Inter" w:hAnsi="Inter" w:cs="Inter" w:eastAsia="Inter"/>
                <w:b/>
                <w:i w:val="0"/>
                <w:color w:val="1A1A1A"/>
                <w:sz w:val="19"/>
              </w:rPr>
              <w:t>The base is located close to mainstream classes and shared spaces such as playgrounds and sports halls, ideally in the same building.</w:t>
            </w:r>
          </w:p>
          <w:p>
            <w:pPr>
              <w:spacing w:before="0" w:after="40" w:line="259" w:lineRule="auto"/>
              <w:keepNext/>
            </w:pPr>
            <w:r>
              <w:rPr>
                <w:rFonts w:ascii="Inter" w:hAnsi="Inter" w:cs="Inter" w:eastAsia="Inter"/>
                <w:b w:val="0"/>
                <w:i/>
                <w:color w:val="666666"/>
                <w:sz w:val="15"/>
              </w:rPr>
              <w:t>Base  ·  Guidance: “Schools should prioritise locating the base close to mainstream classes and shared spaces such as playgrounds and sports halls, ideally within the same building.”</w:t>
            </w:r>
          </w:p>
        </w:tc>
      </w:tr>
      <w:tr>
        <w:trPr>
          <w:trHeight w:val="1701" w:hRule="atLeast"/>
          <w:cantSplit/>
        </w:trPr>
        <w:tc>
          <w:tcPr>
            <w:tcW w:type="dxa" w:w="4082"/>
            <w:tcMar>
              <w:top w:w="70" w:type="dxa"/>
              <w:bottom w:w="70" w:type="dxa"/>
              <w:left w:w="90" w:type="dxa"/>
              <w:right w:w="90" w:type="dxa"/>
            </w:tcMar>
            <w:vAlign w:val="top"/>
          </w:tcPr>
          <w:p>
            <w:pPr>
              <w:spacing w:before="0" w:after="80" w:line="259" w:lineRule="auto"/>
            </w:pPr>
            <w:r>
              <w:rPr>
                <w:rFonts w:ascii="Inter" w:hAnsi="Inter" w:cs="Inter" w:eastAsia="Inter"/>
                <w:b/>
                <w:i w:val="0"/>
                <w:color w:val="128770"/>
                <w:sz w:val="17"/>
              </w:rPr>
              <w:t xml:space="preserve">1  </w:t>
            </w:r>
            <w:r>
              <w:rPr>
                <w:rFonts w:ascii="Inter" w:hAnsi="Inter" w:cs="Inter" w:eastAsia="Inter"/>
                <w:b w:val="0"/>
                <w:i w:val="0"/>
                <w:color w:val="1A1A1A"/>
                <w:sz w:val="17"/>
              </w:rPr>
              <w:t>The base is in a separate building, annexe or remote corridor.</w:t>
            </w:r>
          </w:p>
          <w:p>
            <w:pPr>
              <w:spacing w:before="0" w:after="80" w:line="259" w:lineRule="auto"/>
            </w:pPr>
            <w:r>
              <w:rPr>
                <w:rFonts w:ascii="Inter" w:hAnsi="Inter" w:cs="Inter" w:eastAsia="Inter"/>
                <w:b/>
                <w:i w:val="0"/>
                <w:color w:val="128770"/>
                <w:sz w:val="17"/>
              </w:rPr>
              <w:t xml:space="preserve">3  </w:t>
            </w:r>
            <w:r>
              <w:rPr>
                <w:rFonts w:ascii="Inter" w:hAnsi="Inter" w:cs="Inter" w:eastAsia="Inter"/>
                <w:b w:val="0"/>
                <w:i w:val="0"/>
                <w:color w:val="1A1A1A"/>
                <w:sz w:val="17"/>
              </w:rPr>
              <w:t>Same building but away from the main flow of the school.</w:t>
            </w:r>
          </w:p>
          <w:p>
            <w:pPr>
              <w:spacing w:before="0" w:after="80" w:line="259" w:lineRule="auto"/>
            </w:pPr>
            <w:r>
              <w:rPr>
                <w:rFonts w:ascii="Inter" w:hAnsi="Inter" w:cs="Inter" w:eastAsia="Inter"/>
                <w:b/>
                <w:i w:val="0"/>
                <w:color w:val="128770"/>
                <w:sz w:val="17"/>
              </w:rPr>
              <w:t xml:space="preserve">5  </w:t>
            </w:r>
            <w:r>
              <w:rPr>
                <w:rFonts w:ascii="Inter" w:hAnsi="Inter" w:cs="Inter" w:eastAsia="Inter"/>
                <w:b w:val="0"/>
                <w:i w:val="0"/>
                <w:color w:val="1A1A1A"/>
                <w:sz w:val="17"/>
              </w:rPr>
              <w:t>Adjacent to mainstream classes and shared spaces, on the everyday route through the school.</w:t>
            </w:r>
          </w:p>
        </w:tc>
        <w:tc>
          <w:tcPr>
            <w:tcW w:type="dxa" w:w="3742"/>
            <w:tcMar>
              <w:top w:w="70" w:type="dxa"/>
              <w:bottom w:w="70" w:type="dxa"/>
              <w:left w:w="90" w:type="dxa"/>
              <w:right w:w="90" w:type="dxa"/>
            </w:tcMar>
            <w:vAlign w:val="top"/>
          </w:tcPr>
          <w:p>
            <w:pPr>
              <w:spacing w:before="0" w:after="80" w:line="259" w:lineRule="auto"/>
            </w:pPr>
            <w:r>
              <w:rPr>
                <w:rFonts w:ascii="Inter" w:hAnsi="Inter" w:cs="Inter" w:eastAsia="Inter"/>
                <w:b w:val="0"/>
                <w:i/>
                <w:color w:val="666666"/>
                <w:sz w:val="16"/>
              </w:rPr>
              <w:t>How far, in metres and in minutes, from the base to the nearest mainstream classroom and to the playground?</w:t>
            </w:r>
          </w:p>
          <w:p>
            <w:pPr>
              <w:spacing w:before="0" w:after="80" w:line="259" w:lineRule="auto"/>
            </w:pPr>
            <w:r>
              <w:rPr>
                <w:rFonts w:ascii="Inter" w:hAnsi="Inter" w:cs="Inter" w:eastAsia="Inter"/>
                <w:b w:val="0"/>
                <w:i w:val="0"/>
                <w:color w:val="1A1A1A"/>
                <w:sz w:val="18"/>
              </w:rPr>
            </w:r>
          </w:p>
        </w:tc>
        <w:tc>
          <w:tcPr>
            <w:tcW w:type="dxa" w:w="964"/>
            <w:tcMar>
              <w:top w:w="70" w:type="dxa"/>
              <w:bottom w:w="70" w:type="dxa"/>
              <w:left w:w="90" w:type="dxa"/>
              <w:right w:w="90" w:type="dxa"/>
            </w:tcMar>
            <w:shd w:val="clear" w:color="auto" w:fill="FEF6D9"/>
            <w:vAlign w:val="center"/>
          </w:tcPr>
          <w:p>
            <w:pPr>
              <w:spacing w:before="0" w:after="40" w:line="259" w:lineRule="auto"/>
            </w:pPr>
            <w:r>
              <w:rPr>
                <w:rFonts w:ascii="Inter" w:hAnsi="Inter" w:cs="Inter" w:eastAsia="Inter"/>
                <w:b w:val="0"/>
                <w:i w:val="0"/>
                <w:color w:val="1A1A1A"/>
                <w:sz w:val="18"/>
              </w:rPr>
            </w:r>
          </w:p>
          <w:p>
            <w:pPr>
              <w:spacing w:before="0" w:after="40" w:line="259" w:lineRule="auto"/>
            </w:pPr>
            <w:r>
              <w:rPr>
                <w:rFonts w:ascii="Inter" w:hAnsi="Inter" w:cs="Inter" w:eastAsia="Inter"/>
                <w:b w:val="0"/>
                <w:i w:val="0"/>
                <w:color w:val="666666"/>
                <w:sz w:val="15"/>
              </w:rPr>
              <w:t>1 to 5</w:t>
            </w:r>
          </w:p>
        </w:tc>
        <w:tc>
          <w:tcPr>
            <w:tcW w:type="dxa" w:w="3742"/>
            <w:tcMar>
              <w:top w:w="70" w:type="dxa"/>
              <w:bottom w:w="70" w:type="dxa"/>
              <w:left w:w="90" w:type="dxa"/>
              <w:right w:w="90" w:type="dxa"/>
            </w:tcMar>
            <w:vAlign w:val="top"/>
          </w:tcPr>
          <w:p>
            <w:pPr>
              <w:spacing w:before="0" w:after="40" w:line="259" w:lineRule="auto"/>
            </w:pPr>
            <w:r>
              <w:rPr>
                <w:rFonts w:ascii="Inter" w:hAnsi="Inter" w:cs="Inter" w:eastAsia="Inter"/>
                <w:b w:val="0"/>
                <w:i w:val="0"/>
                <w:color w:val="1A1A1A"/>
                <w:sz w:val="17"/>
              </w:rPr>
              <w:t>Where relocation is not possible, treat this as a permanent risk to Principle 1 and compensate deliberately. Lehane (2016) found the mainstream/base divide persists whether or not the base is separated - so proximity helps but does not settle it.</w:t>
            </w:r>
          </w:p>
        </w:tc>
        <w:tc>
          <w:tcPr>
            <w:tcW w:type="dxa" w:w="2948"/>
            <w:tcMar>
              <w:top w:w="70" w:type="dxa"/>
              <w:bottom w:w="70" w:type="dxa"/>
              <w:left w:w="90" w:type="dxa"/>
              <w:right w:w="90" w:type="dxa"/>
            </w:tcMar>
            <w:vAlign w:val="top"/>
          </w:tcPr>
          <w:p>
            <w:pPr>
              <w:spacing w:before="0" w:after="60" w:line="259" w:lineRule="auto"/>
            </w:pPr>
            <w:r>
              <w:rPr>
                <w:rFonts w:ascii="Inter" w:hAnsi="Inter" w:cs="Inter" w:eastAsia="Inter"/>
                <w:b w:val="0"/>
                <w:i w:val="0"/>
                <w:color w:val="666666"/>
                <w:sz w:val="15"/>
              </w:rPr>
              <w:t>Owner</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Target date</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Review date</w:t>
            </w:r>
          </w:p>
          <w:p>
            <w:pPr>
              <w:spacing w:before="0" w:after="60" w:line="259" w:lineRule="auto"/>
            </w:pPr>
            <w:r>
              <w:rPr>
                <w:rFonts w:ascii="Inter" w:hAnsi="Inter" w:cs="Inter" w:eastAsia="Inter"/>
                <w:b w:val="0"/>
                <w:i w:val="0"/>
                <w:color w:val="1A1A1A"/>
                <w:sz w:val="18"/>
              </w:rPr>
            </w:r>
          </w:p>
        </w:tc>
      </w:tr>
      <w:tr>
        <w:trPr>
          <w:cantSplit/>
        </w:trPr>
        <w:tc>
          <w:tcPr>
            <w:tcW w:type="dxa" w:w="15478"/>
            <w:gridSpan w:val="5"/>
            <w:shd w:val="clear" w:color="auto" w:fill="F1F7F6"/>
            <w:tcMar>
              <w:top w:w="80" w:type="dxa"/>
              <w:bottom w:w="80" w:type="dxa"/>
              <w:left w:w="90" w:type="dxa"/>
              <w:right w:w="90" w:type="dxa"/>
            </w:tcMar>
            <w:vAlign w:val="top"/>
          </w:tcPr>
          <w:p>
            <w:pPr>
              <w:spacing w:before="0" w:after="40" w:line="259" w:lineRule="auto"/>
              <w:keepNext/>
            </w:pPr>
            <w:r>
              <w:rPr>
                <w:rFonts w:ascii="Inter" w:hAnsi="Inter" w:cs="Inter" w:eastAsia="Inter"/>
                <w:b/>
                <w:i w:val="0"/>
                <w:color w:val="128770"/>
                <w:sz w:val="19"/>
              </w:rPr>
              <w:t xml:space="preserve">P6.2   </w:t>
            </w:r>
            <w:r>
              <w:rPr>
                <w:rFonts w:ascii="Inter" w:hAnsi="Inter" w:cs="Inter" w:eastAsia="Inter"/>
                <w:b/>
                <w:i w:val="0"/>
                <w:color w:val="1A1A1A"/>
                <w:sz w:val="19"/>
              </w:rPr>
              <w:t>You have consciously chosen between a single dedicated zone, dispersed spaces, or full integration into shared mainstream areas, in line with your continuum position.</w:t>
            </w:r>
          </w:p>
          <w:p>
            <w:pPr>
              <w:spacing w:before="0" w:after="40" w:line="259" w:lineRule="auto"/>
              <w:keepNext/>
            </w:pPr>
            <w:r>
              <w:rPr>
                <w:rFonts w:ascii="Inter" w:hAnsi="Inter" w:cs="Inter" w:eastAsia="Inter"/>
                <w:b w:val="0"/>
                <w:i/>
                <w:color w:val="666666"/>
                <w:sz w:val="15"/>
              </w:rPr>
              <w:t>Base  ·  Guidance: “In line with the continuum model, schools should consider whether the base requires dedicated space in a single zone, dispersed spaces across the school, or if the required space can be fully integrated into shared mainstream areas.”</w:t>
            </w:r>
          </w:p>
        </w:tc>
      </w:tr>
      <w:tr>
        <w:trPr>
          <w:trHeight w:val="1701" w:hRule="atLeast"/>
          <w:cantSplit/>
        </w:trPr>
        <w:tc>
          <w:tcPr>
            <w:tcW w:type="dxa" w:w="4082"/>
            <w:tcMar>
              <w:top w:w="70" w:type="dxa"/>
              <w:bottom w:w="70" w:type="dxa"/>
              <w:left w:w="90" w:type="dxa"/>
              <w:right w:w="90" w:type="dxa"/>
            </w:tcMar>
            <w:vAlign w:val="top"/>
          </w:tcPr>
          <w:p>
            <w:pPr>
              <w:spacing w:before="0" w:after="80" w:line="259" w:lineRule="auto"/>
            </w:pPr>
            <w:r>
              <w:rPr>
                <w:rFonts w:ascii="Inter" w:hAnsi="Inter" w:cs="Inter" w:eastAsia="Inter"/>
                <w:b/>
                <w:i w:val="0"/>
                <w:color w:val="128770"/>
                <w:sz w:val="17"/>
              </w:rPr>
              <w:t xml:space="preserve">1  </w:t>
            </w:r>
            <w:r>
              <w:rPr>
                <w:rFonts w:ascii="Inter" w:hAnsi="Inter" w:cs="Inter" w:eastAsia="Inter"/>
                <w:b w:val="0"/>
                <w:i w:val="0"/>
                <w:color w:val="1A1A1A"/>
                <w:sz w:val="17"/>
              </w:rPr>
              <w:t>The base occupies whatever space was free.</w:t>
            </w:r>
          </w:p>
          <w:p>
            <w:pPr>
              <w:spacing w:before="0" w:after="80" w:line="259" w:lineRule="auto"/>
            </w:pPr>
            <w:r>
              <w:rPr>
                <w:rFonts w:ascii="Inter" w:hAnsi="Inter" w:cs="Inter" w:eastAsia="Inter"/>
                <w:b/>
                <w:i w:val="0"/>
                <w:color w:val="128770"/>
                <w:sz w:val="17"/>
              </w:rPr>
              <w:t xml:space="preserve">3  </w:t>
            </w:r>
            <w:r>
              <w:rPr>
                <w:rFonts w:ascii="Inter" w:hAnsi="Inter" w:cs="Inter" w:eastAsia="Inter"/>
                <w:b w:val="0"/>
                <w:i w:val="0"/>
                <w:color w:val="1A1A1A"/>
                <w:sz w:val="17"/>
              </w:rPr>
              <w:t>The configuration was chosen once and never revisited.</w:t>
            </w:r>
          </w:p>
          <w:p>
            <w:pPr>
              <w:spacing w:before="0" w:after="80" w:line="259" w:lineRule="auto"/>
            </w:pPr>
            <w:r>
              <w:rPr>
                <w:rFonts w:ascii="Inter" w:hAnsi="Inter" w:cs="Inter" w:eastAsia="Inter"/>
                <w:b/>
                <w:i w:val="0"/>
                <w:color w:val="128770"/>
                <w:sz w:val="17"/>
              </w:rPr>
              <w:t xml:space="preserve">5  </w:t>
            </w:r>
            <w:r>
              <w:rPr>
                <w:rFonts w:ascii="Inter" w:hAnsi="Inter" w:cs="Inter" w:eastAsia="Inter"/>
                <w:b w:val="0"/>
                <w:i w:val="0"/>
                <w:color w:val="1A1A1A"/>
                <w:sz w:val="17"/>
              </w:rPr>
              <w:t>The configuration is a deliberate, recorded decision matched to continuum position and reviewed as the cohort changes.</w:t>
            </w:r>
          </w:p>
        </w:tc>
        <w:tc>
          <w:tcPr>
            <w:tcW w:type="dxa" w:w="3742"/>
            <w:tcMar>
              <w:top w:w="70" w:type="dxa"/>
              <w:bottom w:w="70" w:type="dxa"/>
              <w:left w:w="90" w:type="dxa"/>
              <w:right w:w="90" w:type="dxa"/>
            </w:tcMar>
            <w:vAlign w:val="top"/>
          </w:tcPr>
          <w:p>
            <w:pPr>
              <w:spacing w:before="0" w:after="80" w:line="259" w:lineRule="auto"/>
            </w:pPr>
            <w:r>
              <w:rPr>
                <w:rFonts w:ascii="Inter" w:hAnsi="Inter" w:cs="Inter" w:eastAsia="Inter"/>
                <w:b w:val="0"/>
                <w:i/>
                <w:color w:val="666666"/>
                <w:sz w:val="16"/>
              </w:rPr>
              <w:t>Why this configuration, and who decided?</w:t>
            </w:r>
          </w:p>
          <w:p>
            <w:pPr>
              <w:spacing w:before="0" w:after="80" w:line="259" w:lineRule="auto"/>
            </w:pPr>
            <w:r>
              <w:rPr>
                <w:rFonts w:ascii="Inter" w:hAnsi="Inter" w:cs="Inter" w:eastAsia="Inter"/>
                <w:b w:val="0"/>
                <w:i w:val="0"/>
                <w:color w:val="1A1A1A"/>
                <w:sz w:val="18"/>
              </w:rPr>
            </w:r>
          </w:p>
        </w:tc>
        <w:tc>
          <w:tcPr>
            <w:tcW w:type="dxa" w:w="964"/>
            <w:tcMar>
              <w:top w:w="70" w:type="dxa"/>
              <w:bottom w:w="70" w:type="dxa"/>
              <w:left w:w="90" w:type="dxa"/>
              <w:right w:w="90" w:type="dxa"/>
            </w:tcMar>
            <w:shd w:val="clear" w:color="auto" w:fill="FEF6D9"/>
            <w:vAlign w:val="center"/>
          </w:tcPr>
          <w:p>
            <w:pPr>
              <w:spacing w:before="0" w:after="40" w:line="259" w:lineRule="auto"/>
            </w:pPr>
            <w:r>
              <w:rPr>
                <w:rFonts w:ascii="Inter" w:hAnsi="Inter" w:cs="Inter" w:eastAsia="Inter"/>
                <w:b w:val="0"/>
                <w:i w:val="0"/>
                <w:color w:val="1A1A1A"/>
                <w:sz w:val="18"/>
              </w:rPr>
            </w:r>
          </w:p>
          <w:p>
            <w:pPr>
              <w:spacing w:before="0" w:after="40" w:line="259" w:lineRule="auto"/>
            </w:pPr>
            <w:r>
              <w:rPr>
                <w:rFonts w:ascii="Inter" w:hAnsi="Inter" w:cs="Inter" w:eastAsia="Inter"/>
                <w:b w:val="0"/>
                <w:i w:val="0"/>
                <w:color w:val="666666"/>
                <w:sz w:val="15"/>
              </w:rPr>
              <w:t>1 to 5</w:t>
            </w:r>
          </w:p>
        </w:tc>
        <w:tc>
          <w:tcPr>
            <w:tcW w:type="dxa" w:w="3742"/>
            <w:tcMar>
              <w:top w:w="70" w:type="dxa"/>
              <w:bottom w:w="70" w:type="dxa"/>
              <w:left w:w="90" w:type="dxa"/>
              <w:right w:w="90" w:type="dxa"/>
            </w:tcMar>
            <w:vAlign w:val="top"/>
          </w:tcPr>
          <w:p>
            <w:pPr>
              <w:spacing w:before="0" w:after="40" w:line="259" w:lineRule="auto"/>
            </w:pPr>
            <w:r>
              <w:rPr>
                <w:rFonts w:ascii="Inter" w:hAnsi="Inter" w:cs="Inter" w:eastAsia="Inter"/>
                <w:b w:val="0"/>
                <w:i w:val="0"/>
                <w:color w:val="1A1A1A"/>
                <w:sz w:val="17"/>
              </w:rPr>
              <w:t>Revisit this alongside the continuum page at the front of this tool. Space configuration and continuum position should agree with each other.</w:t>
            </w:r>
          </w:p>
        </w:tc>
        <w:tc>
          <w:tcPr>
            <w:tcW w:type="dxa" w:w="2948"/>
            <w:tcMar>
              <w:top w:w="70" w:type="dxa"/>
              <w:bottom w:w="70" w:type="dxa"/>
              <w:left w:w="90" w:type="dxa"/>
              <w:right w:w="90" w:type="dxa"/>
            </w:tcMar>
            <w:vAlign w:val="top"/>
          </w:tcPr>
          <w:p>
            <w:pPr>
              <w:spacing w:before="0" w:after="60" w:line="259" w:lineRule="auto"/>
            </w:pPr>
            <w:r>
              <w:rPr>
                <w:rFonts w:ascii="Inter" w:hAnsi="Inter" w:cs="Inter" w:eastAsia="Inter"/>
                <w:b w:val="0"/>
                <w:i w:val="0"/>
                <w:color w:val="666666"/>
                <w:sz w:val="15"/>
              </w:rPr>
              <w:t>Owner</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Target date</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Review date</w:t>
            </w:r>
          </w:p>
          <w:p>
            <w:pPr>
              <w:spacing w:before="0" w:after="60" w:line="259" w:lineRule="auto"/>
            </w:pPr>
            <w:r>
              <w:rPr>
                <w:rFonts w:ascii="Inter" w:hAnsi="Inter" w:cs="Inter" w:eastAsia="Inter"/>
                <w:b w:val="0"/>
                <w:i w:val="0"/>
                <w:color w:val="1A1A1A"/>
                <w:sz w:val="18"/>
              </w:rPr>
            </w:r>
          </w:p>
        </w:tc>
      </w:tr>
      <w:tr>
        <w:trPr>
          <w:cantSplit/>
        </w:trPr>
        <w:tc>
          <w:tcPr>
            <w:tcW w:type="dxa" w:w="15478"/>
            <w:gridSpan w:val="5"/>
            <w:shd w:val="clear" w:color="auto" w:fill="F1F7F6"/>
            <w:tcMar>
              <w:top w:w="80" w:type="dxa"/>
              <w:bottom w:w="80" w:type="dxa"/>
              <w:left w:w="90" w:type="dxa"/>
              <w:right w:w="90" w:type="dxa"/>
            </w:tcMar>
            <w:vAlign w:val="top"/>
          </w:tcPr>
          <w:p>
            <w:pPr>
              <w:spacing w:before="0" w:after="40" w:line="259" w:lineRule="auto"/>
              <w:keepNext/>
            </w:pPr>
            <w:r>
              <w:rPr>
                <w:rFonts w:ascii="Inter" w:hAnsi="Inter" w:cs="Inter" w:eastAsia="Inter"/>
                <w:b/>
                <w:i w:val="0"/>
                <w:color w:val="128770"/>
                <w:sz w:val="19"/>
              </w:rPr>
              <w:t xml:space="preserve">P6.3   </w:t>
            </w:r>
            <w:r>
              <w:rPr>
                <w:rFonts w:ascii="Inter" w:hAnsi="Inter" w:cs="Inter" w:eastAsia="Inter"/>
                <w:b/>
                <w:i w:val="0"/>
                <w:color w:val="1A1A1A"/>
                <w:sz w:val="19"/>
              </w:rPr>
              <w:t>The spaces and resources demonstrate that the learners who use them are valued.</w:t>
            </w:r>
          </w:p>
          <w:p>
            <w:pPr>
              <w:spacing w:before="0" w:after="40" w:line="259" w:lineRule="auto"/>
              <w:keepNext/>
            </w:pPr>
            <w:r>
              <w:rPr>
                <w:rFonts w:ascii="Inter" w:hAnsi="Inter" w:cs="Inter" w:eastAsia="Inter"/>
                <w:b w:val="0"/>
                <w:i/>
                <w:color w:val="666666"/>
                <w:sz w:val="15"/>
              </w:rPr>
              <w:t>Base  ·  Guidance: “Spaces used by the base and the resources provided should demonstrate that the children and young people who use it are valued.”</w:t>
            </w:r>
          </w:p>
        </w:tc>
      </w:tr>
      <w:tr>
        <w:trPr>
          <w:trHeight w:val="1701" w:hRule="atLeast"/>
          <w:cantSplit/>
        </w:trPr>
        <w:tc>
          <w:tcPr>
            <w:tcW w:type="dxa" w:w="4082"/>
            <w:tcMar>
              <w:top w:w="70" w:type="dxa"/>
              <w:bottom w:w="70" w:type="dxa"/>
              <w:left w:w="90" w:type="dxa"/>
              <w:right w:w="90" w:type="dxa"/>
            </w:tcMar>
            <w:vAlign w:val="top"/>
          </w:tcPr>
          <w:p>
            <w:pPr>
              <w:spacing w:before="0" w:after="80" w:line="259" w:lineRule="auto"/>
            </w:pPr>
            <w:r>
              <w:rPr>
                <w:rFonts w:ascii="Inter" w:hAnsi="Inter" w:cs="Inter" w:eastAsia="Inter"/>
                <w:b/>
                <w:i w:val="0"/>
                <w:color w:val="128770"/>
                <w:sz w:val="17"/>
              </w:rPr>
              <w:t xml:space="preserve">1  </w:t>
            </w:r>
            <w:r>
              <w:rPr>
                <w:rFonts w:ascii="Inter" w:hAnsi="Inter" w:cs="Inter" w:eastAsia="Inter"/>
                <w:b w:val="0"/>
                <w:i w:val="0"/>
                <w:color w:val="1A1A1A"/>
                <w:sz w:val="17"/>
              </w:rPr>
              <w:t>Worn or leftover furniture and resources; the space signals low status.</w:t>
            </w:r>
          </w:p>
          <w:p>
            <w:pPr>
              <w:spacing w:before="0" w:after="80" w:line="259" w:lineRule="auto"/>
            </w:pPr>
            <w:r>
              <w:rPr>
                <w:rFonts w:ascii="Inter" w:hAnsi="Inter" w:cs="Inter" w:eastAsia="Inter"/>
                <w:b/>
                <w:i w:val="0"/>
                <w:color w:val="128770"/>
                <w:sz w:val="17"/>
              </w:rPr>
              <w:t xml:space="preserve">3  </w:t>
            </w:r>
            <w:r>
              <w:rPr>
                <w:rFonts w:ascii="Inter" w:hAnsi="Inter" w:cs="Inter" w:eastAsia="Inter"/>
                <w:b w:val="0"/>
                <w:i w:val="0"/>
                <w:color w:val="1A1A1A"/>
                <w:sz w:val="17"/>
              </w:rPr>
              <w:t>Adequate and clean, but visibly poorer than mainstream equivalents.</w:t>
            </w:r>
          </w:p>
          <w:p>
            <w:pPr>
              <w:spacing w:before="0" w:after="80" w:line="259" w:lineRule="auto"/>
            </w:pPr>
            <w:r>
              <w:rPr>
                <w:rFonts w:ascii="Inter" w:hAnsi="Inter" w:cs="Inter" w:eastAsia="Inter"/>
                <w:b/>
                <w:i w:val="0"/>
                <w:color w:val="128770"/>
                <w:sz w:val="17"/>
              </w:rPr>
              <w:t xml:space="preserve">5  </w:t>
            </w:r>
            <w:r>
              <w:rPr>
                <w:rFonts w:ascii="Inter" w:hAnsi="Inter" w:cs="Inter" w:eastAsia="Inter"/>
                <w:b w:val="0"/>
                <w:i w:val="0"/>
                <w:color w:val="1A1A1A"/>
                <w:sz w:val="17"/>
              </w:rPr>
              <w:t>At least the standard of comparable mainstream spaces, and learners say it feels that way.</w:t>
            </w:r>
          </w:p>
        </w:tc>
        <w:tc>
          <w:tcPr>
            <w:tcW w:type="dxa" w:w="3742"/>
            <w:tcMar>
              <w:top w:w="70" w:type="dxa"/>
              <w:bottom w:w="70" w:type="dxa"/>
              <w:left w:w="90" w:type="dxa"/>
              <w:right w:w="90" w:type="dxa"/>
            </w:tcMar>
            <w:vAlign w:val="top"/>
          </w:tcPr>
          <w:p>
            <w:pPr>
              <w:spacing w:before="0" w:after="80" w:line="259" w:lineRule="auto"/>
            </w:pPr>
            <w:r>
              <w:rPr>
                <w:rFonts w:ascii="Inter" w:hAnsi="Inter" w:cs="Inter" w:eastAsia="Inter"/>
                <w:b w:val="0"/>
                <w:i/>
                <w:color w:val="666666"/>
                <w:sz w:val="16"/>
              </w:rPr>
              <w:t>Walk a parent from a mainstream classroom into the base. What does the comparison say?</w:t>
            </w:r>
          </w:p>
          <w:p>
            <w:pPr>
              <w:spacing w:before="0" w:after="80" w:line="259" w:lineRule="auto"/>
            </w:pPr>
            <w:r>
              <w:rPr>
                <w:rFonts w:ascii="Inter" w:hAnsi="Inter" w:cs="Inter" w:eastAsia="Inter"/>
                <w:b w:val="0"/>
                <w:i w:val="0"/>
                <w:color w:val="1A1A1A"/>
                <w:sz w:val="18"/>
              </w:rPr>
            </w:r>
          </w:p>
        </w:tc>
        <w:tc>
          <w:tcPr>
            <w:tcW w:type="dxa" w:w="964"/>
            <w:tcMar>
              <w:top w:w="70" w:type="dxa"/>
              <w:bottom w:w="70" w:type="dxa"/>
              <w:left w:w="90" w:type="dxa"/>
              <w:right w:w="90" w:type="dxa"/>
            </w:tcMar>
            <w:shd w:val="clear" w:color="auto" w:fill="FEF6D9"/>
            <w:vAlign w:val="center"/>
          </w:tcPr>
          <w:p>
            <w:pPr>
              <w:spacing w:before="0" w:after="40" w:line="259" w:lineRule="auto"/>
            </w:pPr>
            <w:r>
              <w:rPr>
                <w:rFonts w:ascii="Inter" w:hAnsi="Inter" w:cs="Inter" w:eastAsia="Inter"/>
                <w:b w:val="0"/>
                <w:i w:val="0"/>
                <w:color w:val="1A1A1A"/>
                <w:sz w:val="18"/>
              </w:rPr>
            </w:r>
          </w:p>
          <w:p>
            <w:pPr>
              <w:spacing w:before="0" w:after="40" w:line="259" w:lineRule="auto"/>
            </w:pPr>
            <w:r>
              <w:rPr>
                <w:rFonts w:ascii="Inter" w:hAnsi="Inter" w:cs="Inter" w:eastAsia="Inter"/>
                <w:b w:val="0"/>
                <w:i w:val="0"/>
                <w:color w:val="666666"/>
                <w:sz w:val="15"/>
              </w:rPr>
              <w:t>1 to 5</w:t>
            </w:r>
          </w:p>
        </w:tc>
        <w:tc>
          <w:tcPr>
            <w:tcW w:type="dxa" w:w="3742"/>
            <w:tcMar>
              <w:top w:w="70" w:type="dxa"/>
              <w:bottom w:w="70" w:type="dxa"/>
              <w:left w:w="90" w:type="dxa"/>
              <w:right w:w="90" w:type="dxa"/>
            </w:tcMar>
            <w:vAlign w:val="top"/>
          </w:tcPr>
          <w:p>
            <w:pPr>
              <w:spacing w:before="0" w:after="40" w:line="259" w:lineRule="auto"/>
            </w:pPr>
            <w:r>
              <w:rPr>
                <w:rFonts w:ascii="Inter" w:hAnsi="Inter" w:cs="Inter" w:eastAsia="Inter"/>
                <w:b w:val="0"/>
                <w:i w:val="0"/>
                <w:color w:val="1A1A1A"/>
                <w:sz w:val="17"/>
              </w:rPr>
              <w:t>This is a status signal learners read accurately. Ask them directly rather than judging it yourself - it connects straight back to P1.3.</w:t>
            </w:r>
          </w:p>
        </w:tc>
        <w:tc>
          <w:tcPr>
            <w:tcW w:type="dxa" w:w="2948"/>
            <w:tcMar>
              <w:top w:w="70" w:type="dxa"/>
              <w:bottom w:w="70" w:type="dxa"/>
              <w:left w:w="90" w:type="dxa"/>
              <w:right w:w="90" w:type="dxa"/>
            </w:tcMar>
            <w:vAlign w:val="top"/>
          </w:tcPr>
          <w:p>
            <w:pPr>
              <w:spacing w:before="0" w:after="60" w:line="259" w:lineRule="auto"/>
            </w:pPr>
            <w:r>
              <w:rPr>
                <w:rFonts w:ascii="Inter" w:hAnsi="Inter" w:cs="Inter" w:eastAsia="Inter"/>
                <w:b w:val="0"/>
                <w:i w:val="0"/>
                <w:color w:val="666666"/>
                <w:sz w:val="15"/>
              </w:rPr>
              <w:t>Owner</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Target date</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Review date</w:t>
            </w:r>
          </w:p>
          <w:p>
            <w:pPr>
              <w:spacing w:before="0" w:after="60" w:line="259" w:lineRule="auto"/>
            </w:pPr>
            <w:r>
              <w:rPr>
                <w:rFonts w:ascii="Inter" w:hAnsi="Inter" w:cs="Inter" w:eastAsia="Inter"/>
                <w:b w:val="0"/>
                <w:i w:val="0"/>
                <w:color w:val="1A1A1A"/>
                <w:sz w:val="18"/>
              </w:rPr>
            </w:r>
          </w:p>
        </w:tc>
      </w:tr>
      <w:tr>
        <w:trPr>
          <w:cantSplit/>
        </w:trPr>
        <w:tc>
          <w:tcPr>
            <w:tcW w:type="dxa" w:w="15478"/>
            <w:gridSpan w:val="5"/>
            <w:shd w:val="clear" w:color="auto" w:fill="F1F7F6"/>
            <w:tcMar>
              <w:top w:w="80" w:type="dxa"/>
              <w:bottom w:w="80" w:type="dxa"/>
              <w:left w:w="90" w:type="dxa"/>
              <w:right w:w="90" w:type="dxa"/>
            </w:tcMar>
            <w:vAlign w:val="top"/>
          </w:tcPr>
          <w:p>
            <w:pPr>
              <w:spacing w:before="0" w:after="40" w:line="259" w:lineRule="auto"/>
              <w:keepNext/>
            </w:pPr>
            <w:r>
              <w:rPr>
                <w:rFonts w:ascii="Inter" w:hAnsi="Inter" w:cs="Inter" w:eastAsia="Inter"/>
                <w:b/>
                <w:i w:val="0"/>
                <w:color w:val="128770"/>
                <w:sz w:val="19"/>
              </w:rPr>
              <w:t xml:space="preserve">P6.4   </w:t>
            </w:r>
            <w:r>
              <w:rPr>
                <w:rFonts w:ascii="Inter" w:hAnsi="Inter" w:cs="Inter" w:eastAsia="Inter"/>
                <w:b/>
                <w:i w:val="0"/>
                <w:color w:val="1A1A1A"/>
                <w:sz w:val="19"/>
              </w:rPr>
              <w:t>Flexibility is designed in, with enough space for different activity types as cohort needs change.</w:t>
            </w:r>
          </w:p>
          <w:p>
            <w:pPr>
              <w:spacing w:before="0" w:after="40" w:line="259" w:lineRule="auto"/>
              <w:keepNext/>
            </w:pPr>
            <w:r>
              <w:rPr>
                <w:rFonts w:ascii="Inter" w:hAnsi="Inter" w:cs="Inter" w:eastAsia="Inter"/>
                <w:b w:val="0"/>
                <w:i/>
                <w:color w:val="666666"/>
                <w:sz w:val="15"/>
              </w:rPr>
              <w:t>Base  ·  Guidance: “Flexibility should be part of the design, with sufficient space for different types of activities as the needs of the cohort change.”</w:t>
            </w:r>
          </w:p>
        </w:tc>
      </w:tr>
      <w:tr>
        <w:trPr>
          <w:trHeight w:val="1701" w:hRule="atLeast"/>
          <w:cantSplit/>
        </w:trPr>
        <w:tc>
          <w:tcPr>
            <w:tcW w:type="dxa" w:w="4082"/>
            <w:tcMar>
              <w:top w:w="70" w:type="dxa"/>
              <w:bottom w:w="70" w:type="dxa"/>
              <w:left w:w="90" w:type="dxa"/>
              <w:right w:w="90" w:type="dxa"/>
            </w:tcMar>
            <w:vAlign w:val="top"/>
          </w:tcPr>
          <w:p>
            <w:pPr>
              <w:spacing w:before="0" w:after="80" w:line="259" w:lineRule="auto"/>
            </w:pPr>
            <w:r>
              <w:rPr>
                <w:rFonts w:ascii="Inter" w:hAnsi="Inter" w:cs="Inter" w:eastAsia="Inter"/>
                <w:b/>
                <w:i w:val="0"/>
                <w:color w:val="128770"/>
                <w:sz w:val="17"/>
              </w:rPr>
              <w:t xml:space="preserve">1  </w:t>
            </w:r>
            <w:r>
              <w:rPr>
                <w:rFonts w:ascii="Inter" w:hAnsi="Inter" w:cs="Inter" w:eastAsia="Inter"/>
                <w:b w:val="0"/>
                <w:i w:val="0"/>
                <w:color w:val="1A1A1A"/>
                <w:sz w:val="17"/>
              </w:rPr>
              <w:t>Single fixed layout; activities are constrained by the room.</w:t>
            </w:r>
          </w:p>
          <w:p>
            <w:pPr>
              <w:spacing w:before="0" w:after="80" w:line="259" w:lineRule="auto"/>
            </w:pPr>
            <w:r>
              <w:rPr>
                <w:rFonts w:ascii="Inter" w:hAnsi="Inter" w:cs="Inter" w:eastAsia="Inter"/>
                <w:b/>
                <w:i w:val="0"/>
                <w:color w:val="128770"/>
                <w:sz w:val="17"/>
              </w:rPr>
              <w:t xml:space="preserve">3  </w:t>
            </w:r>
            <w:r>
              <w:rPr>
                <w:rFonts w:ascii="Inter" w:hAnsi="Inter" w:cs="Inter" w:eastAsia="Inter"/>
                <w:b w:val="0"/>
                <w:i w:val="0"/>
                <w:color w:val="1A1A1A"/>
                <w:sz w:val="17"/>
              </w:rPr>
              <w:t>Some flexibility achieved by moving furniture.</w:t>
            </w:r>
          </w:p>
          <w:p>
            <w:pPr>
              <w:spacing w:before="0" w:after="80" w:line="259" w:lineRule="auto"/>
            </w:pPr>
            <w:r>
              <w:rPr>
                <w:rFonts w:ascii="Inter" w:hAnsi="Inter" w:cs="Inter" w:eastAsia="Inter"/>
                <w:b/>
                <w:i w:val="0"/>
                <w:color w:val="128770"/>
                <w:sz w:val="17"/>
              </w:rPr>
              <w:t xml:space="preserve">5  </w:t>
            </w:r>
            <w:r>
              <w:rPr>
                <w:rFonts w:ascii="Inter" w:hAnsi="Inter" w:cs="Inter" w:eastAsia="Inter"/>
                <w:b w:val="0"/>
                <w:i w:val="0"/>
                <w:color w:val="1A1A1A"/>
                <w:sz w:val="17"/>
              </w:rPr>
              <w:t>Designed zones supporting teaching, intervention, regulation and small-group work, adaptable as the cohort changes.</w:t>
            </w:r>
          </w:p>
        </w:tc>
        <w:tc>
          <w:tcPr>
            <w:tcW w:type="dxa" w:w="3742"/>
            <w:tcMar>
              <w:top w:w="70" w:type="dxa"/>
              <w:bottom w:w="70" w:type="dxa"/>
              <w:left w:w="90" w:type="dxa"/>
              <w:right w:w="90" w:type="dxa"/>
            </w:tcMar>
            <w:vAlign w:val="top"/>
          </w:tcPr>
          <w:p>
            <w:pPr>
              <w:spacing w:before="0" w:after="80" w:line="259" w:lineRule="auto"/>
            </w:pPr>
            <w:r>
              <w:rPr>
                <w:rFonts w:ascii="Inter" w:hAnsi="Inter" w:cs="Inter" w:eastAsia="Inter"/>
                <w:b w:val="0"/>
                <w:i/>
                <w:color w:val="666666"/>
                <w:sz w:val="16"/>
              </w:rPr>
              <w:t>Which activity can you not currently run because of the space?</w:t>
            </w:r>
          </w:p>
          <w:p>
            <w:pPr>
              <w:spacing w:before="0" w:after="80" w:line="259" w:lineRule="auto"/>
            </w:pPr>
            <w:r>
              <w:rPr>
                <w:rFonts w:ascii="Inter" w:hAnsi="Inter" w:cs="Inter" w:eastAsia="Inter"/>
                <w:b w:val="0"/>
                <w:i w:val="0"/>
                <w:color w:val="1A1A1A"/>
                <w:sz w:val="18"/>
              </w:rPr>
            </w:r>
          </w:p>
        </w:tc>
        <w:tc>
          <w:tcPr>
            <w:tcW w:type="dxa" w:w="964"/>
            <w:tcMar>
              <w:top w:w="70" w:type="dxa"/>
              <w:bottom w:w="70" w:type="dxa"/>
              <w:left w:w="90" w:type="dxa"/>
              <w:right w:w="90" w:type="dxa"/>
            </w:tcMar>
            <w:shd w:val="clear" w:color="auto" w:fill="FEF6D9"/>
            <w:vAlign w:val="center"/>
          </w:tcPr>
          <w:p>
            <w:pPr>
              <w:spacing w:before="0" w:after="40" w:line="259" w:lineRule="auto"/>
            </w:pPr>
            <w:r>
              <w:rPr>
                <w:rFonts w:ascii="Inter" w:hAnsi="Inter" w:cs="Inter" w:eastAsia="Inter"/>
                <w:b w:val="0"/>
                <w:i w:val="0"/>
                <w:color w:val="1A1A1A"/>
                <w:sz w:val="18"/>
              </w:rPr>
            </w:r>
          </w:p>
          <w:p>
            <w:pPr>
              <w:spacing w:before="0" w:after="40" w:line="259" w:lineRule="auto"/>
            </w:pPr>
            <w:r>
              <w:rPr>
                <w:rFonts w:ascii="Inter" w:hAnsi="Inter" w:cs="Inter" w:eastAsia="Inter"/>
                <w:b w:val="0"/>
                <w:i w:val="0"/>
                <w:color w:val="666666"/>
                <w:sz w:val="15"/>
              </w:rPr>
              <w:t>1 to 5</w:t>
            </w:r>
          </w:p>
        </w:tc>
        <w:tc>
          <w:tcPr>
            <w:tcW w:type="dxa" w:w="3742"/>
            <w:tcMar>
              <w:top w:w="70" w:type="dxa"/>
              <w:bottom w:w="70" w:type="dxa"/>
              <w:left w:w="90" w:type="dxa"/>
              <w:right w:w="90" w:type="dxa"/>
            </w:tcMar>
            <w:vAlign w:val="top"/>
          </w:tcPr>
          <w:p>
            <w:pPr>
              <w:spacing w:before="0" w:after="40" w:line="259" w:lineRule="auto"/>
            </w:pPr>
            <w:r>
              <w:rPr>
                <w:rFonts w:ascii="Inter" w:hAnsi="Inter" w:cs="Inter" w:eastAsia="Inter"/>
                <w:b w:val="0"/>
                <w:i w:val="0"/>
                <w:color w:val="1A1A1A"/>
                <w:sz w:val="17"/>
              </w:rPr>
              <w:t>The guidance's spotlight examples describe classrooms plus a breakout space plus dedicated outdoor area as a workable pattern.</w:t>
            </w:r>
          </w:p>
        </w:tc>
        <w:tc>
          <w:tcPr>
            <w:tcW w:type="dxa" w:w="2948"/>
            <w:tcMar>
              <w:top w:w="70" w:type="dxa"/>
              <w:bottom w:w="70" w:type="dxa"/>
              <w:left w:w="90" w:type="dxa"/>
              <w:right w:w="90" w:type="dxa"/>
            </w:tcMar>
            <w:vAlign w:val="top"/>
          </w:tcPr>
          <w:p>
            <w:pPr>
              <w:spacing w:before="0" w:after="60" w:line="259" w:lineRule="auto"/>
            </w:pPr>
            <w:r>
              <w:rPr>
                <w:rFonts w:ascii="Inter" w:hAnsi="Inter" w:cs="Inter" w:eastAsia="Inter"/>
                <w:b w:val="0"/>
                <w:i w:val="0"/>
                <w:color w:val="666666"/>
                <w:sz w:val="15"/>
              </w:rPr>
              <w:t>Owner</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Target date</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Review date</w:t>
            </w:r>
          </w:p>
          <w:p>
            <w:pPr>
              <w:spacing w:before="0" w:after="60" w:line="259" w:lineRule="auto"/>
            </w:pPr>
            <w:r>
              <w:rPr>
                <w:rFonts w:ascii="Inter" w:hAnsi="Inter" w:cs="Inter" w:eastAsia="Inter"/>
                <w:b w:val="0"/>
                <w:i w:val="0"/>
                <w:color w:val="1A1A1A"/>
                <w:sz w:val="18"/>
              </w:rPr>
            </w:r>
          </w:p>
        </w:tc>
      </w:tr>
      <w:tr>
        <w:trPr>
          <w:cantSplit/>
        </w:trPr>
        <w:tc>
          <w:tcPr>
            <w:tcW w:type="dxa" w:w="15478"/>
            <w:gridSpan w:val="5"/>
            <w:shd w:val="clear" w:color="auto" w:fill="F1F7F6"/>
            <w:tcMar>
              <w:top w:w="80" w:type="dxa"/>
              <w:bottom w:w="80" w:type="dxa"/>
              <w:left w:w="90" w:type="dxa"/>
              <w:right w:w="90" w:type="dxa"/>
            </w:tcMar>
            <w:vAlign w:val="top"/>
          </w:tcPr>
          <w:p>
            <w:pPr>
              <w:spacing w:before="0" w:after="40" w:line="259" w:lineRule="auto"/>
              <w:keepNext/>
            </w:pPr>
            <w:r>
              <w:rPr>
                <w:rFonts w:ascii="Inter" w:hAnsi="Inter" w:cs="Inter" w:eastAsia="Inter"/>
                <w:b/>
                <w:i w:val="0"/>
                <w:color w:val="128770"/>
                <w:sz w:val="19"/>
              </w:rPr>
              <w:t xml:space="preserve">P6.5   </w:t>
            </w:r>
            <w:r>
              <w:rPr>
                <w:rFonts w:ascii="Inter" w:hAnsi="Inter" w:cs="Inter" w:eastAsia="Inter"/>
                <w:b/>
                <w:i w:val="0"/>
                <w:color w:val="1A1A1A"/>
                <w:sz w:val="19"/>
              </w:rPr>
              <w:t>You have made the whole school environment more inclusive so learners can maximise time in mainstream classes, including for those who find noisy, busy spaces difficult.</w:t>
            </w:r>
          </w:p>
          <w:p>
            <w:pPr>
              <w:spacing w:before="0" w:after="40" w:line="259" w:lineRule="auto"/>
              <w:keepNext/>
            </w:pPr>
            <w:r>
              <w:rPr>
                <w:rFonts w:ascii="Inter" w:hAnsi="Inter" w:cs="Inter" w:eastAsia="Inter"/>
                <w:b w:val="0"/>
                <w:i/>
                <w:color w:val="666666"/>
                <w:sz w:val="15"/>
              </w:rPr>
              <w:t>Whole school  ·  Guidance: “Schools should consider how they can make the whole school environment more inclusive to support children and young people maximising time in mainstream classes.”</w:t>
            </w:r>
          </w:p>
        </w:tc>
      </w:tr>
      <w:tr>
        <w:trPr>
          <w:trHeight w:val="1701" w:hRule="atLeast"/>
          <w:cantSplit/>
        </w:trPr>
        <w:tc>
          <w:tcPr>
            <w:tcW w:type="dxa" w:w="4082"/>
            <w:tcMar>
              <w:top w:w="70" w:type="dxa"/>
              <w:bottom w:w="70" w:type="dxa"/>
              <w:left w:w="90" w:type="dxa"/>
              <w:right w:w="90" w:type="dxa"/>
            </w:tcMar>
            <w:vAlign w:val="top"/>
          </w:tcPr>
          <w:p>
            <w:pPr>
              <w:spacing w:before="0" w:after="80" w:line="259" w:lineRule="auto"/>
            </w:pPr>
            <w:r>
              <w:rPr>
                <w:rFonts w:ascii="Inter" w:hAnsi="Inter" w:cs="Inter" w:eastAsia="Inter"/>
                <w:b/>
                <w:i w:val="0"/>
                <w:color w:val="128770"/>
                <w:sz w:val="17"/>
              </w:rPr>
              <w:t xml:space="preserve">1  </w:t>
            </w:r>
            <w:r>
              <w:rPr>
                <w:rFonts w:ascii="Inter" w:hAnsi="Inter" w:cs="Inter" w:eastAsia="Inter"/>
                <w:b w:val="0"/>
                <w:i w:val="0"/>
                <w:color w:val="1A1A1A"/>
                <w:sz w:val="17"/>
              </w:rPr>
              <w:t>Adaptation is confined to the base.</w:t>
            </w:r>
          </w:p>
          <w:p>
            <w:pPr>
              <w:spacing w:before="0" w:after="80" w:line="259" w:lineRule="auto"/>
            </w:pPr>
            <w:r>
              <w:rPr>
                <w:rFonts w:ascii="Inter" w:hAnsi="Inter" w:cs="Inter" w:eastAsia="Inter"/>
                <w:b/>
                <w:i w:val="0"/>
                <w:color w:val="128770"/>
                <w:sz w:val="17"/>
              </w:rPr>
              <w:t xml:space="preserve">3  </w:t>
            </w:r>
            <w:r>
              <w:rPr>
                <w:rFonts w:ascii="Inter" w:hAnsi="Inter" w:cs="Inter" w:eastAsia="Inter"/>
                <w:b w:val="0"/>
                <w:i w:val="0"/>
                <w:color w:val="1A1A1A"/>
                <w:sz w:val="17"/>
              </w:rPr>
              <w:t>Some whole-school adaptations exist, mostly physical access.</w:t>
            </w:r>
          </w:p>
          <w:p>
            <w:pPr>
              <w:spacing w:before="0" w:after="80" w:line="259" w:lineRule="auto"/>
            </w:pPr>
            <w:r>
              <w:rPr>
                <w:rFonts w:ascii="Inter" w:hAnsi="Inter" w:cs="Inter" w:eastAsia="Inter"/>
                <w:b/>
                <w:i w:val="0"/>
                <w:color w:val="128770"/>
                <w:sz w:val="17"/>
              </w:rPr>
              <w:t xml:space="preserve">5  </w:t>
            </w:r>
            <w:r>
              <w:rPr>
                <w:rFonts w:ascii="Inter" w:hAnsi="Inter" w:cs="Inter" w:eastAsia="Inter"/>
                <w:b w:val="0"/>
                <w:i w:val="0"/>
                <w:color w:val="1A1A1A"/>
                <w:sz w:val="17"/>
              </w:rPr>
              <w:t>Sensory and social accessibility of shared spaces has been assessed and improved across the school.</w:t>
            </w:r>
          </w:p>
        </w:tc>
        <w:tc>
          <w:tcPr>
            <w:tcW w:type="dxa" w:w="3742"/>
            <w:tcMar>
              <w:top w:w="70" w:type="dxa"/>
              <w:bottom w:w="70" w:type="dxa"/>
              <w:left w:w="90" w:type="dxa"/>
              <w:right w:w="90" w:type="dxa"/>
            </w:tcMar>
            <w:vAlign w:val="top"/>
          </w:tcPr>
          <w:p>
            <w:pPr>
              <w:spacing w:before="0" w:after="80" w:line="259" w:lineRule="auto"/>
            </w:pPr>
            <w:r>
              <w:rPr>
                <w:rFonts w:ascii="Inter" w:hAnsi="Inter" w:cs="Inter" w:eastAsia="Inter"/>
                <w:b w:val="0"/>
                <w:i/>
                <w:color w:val="666666"/>
                <w:sz w:val="16"/>
              </w:rPr>
              <w:t>What have you changed outside the base in the last year?</w:t>
            </w:r>
          </w:p>
          <w:p>
            <w:pPr>
              <w:spacing w:before="0" w:after="80" w:line="259" w:lineRule="auto"/>
            </w:pPr>
            <w:r>
              <w:rPr>
                <w:rFonts w:ascii="Inter" w:hAnsi="Inter" w:cs="Inter" w:eastAsia="Inter"/>
                <w:b w:val="0"/>
                <w:i w:val="0"/>
                <w:color w:val="1A1A1A"/>
                <w:sz w:val="18"/>
              </w:rPr>
            </w:r>
          </w:p>
        </w:tc>
        <w:tc>
          <w:tcPr>
            <w:tcW w:type="dxa" w:w="964"/>
            <w:tcMar>
              <w:top w:w="70" w:type="dxa"/>
              <w:bottom w:w="70" w:type="dxa"/>
              <w:left w:w="90" w:type="dxa"/>
              <w:right w:w="90" w:type="dxa"/>
            </w:tcMar>
            <w:shd w:val="clear" w:color="auto" w:fill="FEF6D9"/>
            <w:vAlign w:val="center"/>
          </w:tcPr>
          <w:p>
            <w:pPr>
              <w:spacing w:before="0" w:after="40" w:line="259" w:lineRule="auto"/>
            </w:pPr>
            <w:r>
              <w:rPr>
                <w:rFonts w:ascii="Inter" w:hAnsi="Inter" w:cs="Inter" w:eastAsia="Inter"/>
                <w:b w:val="0"/>
                <w:i w:val="0"/>
                <w:color w:val="1A1A1A"/>
                <w:sz w:val="18"/>
              </w:rPr>
            </w:r>
          </w:p>
          <w:p>
            <w:pPr>
              <w:spacing w:before="0" w:after="40" w:line="259" w:lineRule="auto"/>
            </w:pPr>
            <w:r>
              <w:rPr>
                <w:rFonts w:ascii="Inter" w:hAnsi="Inter" w:cs="Inter" w:eastAsia="Inter"/>
                <w:b w:val="0"/>
                <w:i w:val="0"/>
                <w:color w:val="666666"/>
                <w:sz w:val="15"/>
              </w:rPr>
              <w:t>1 to 5</w:t>
            </w:r>
          </w:p>
        </w:tc>
        <w:tc>
          <w:tcPr>
            <w:tcW w:type="dxa" w:w="3742"/>
            <w:tcMar>
              <w:top w:w="70" w:type="dxa"/>
              <w:bottom w:w="70" w:type="dxa"/>
              <w:left w:w="90" w:type="dxa"/>
              <w:right w:w="90" w:type="dxa"/>
            </w:tcMar>
            <w:vAlign w:val="top"/>
          </w:tcPr>
          <w:p>
            <w:pPr>
              <w:spacing w:before="0" w:after="40" w:line="259" w:lineRule="auto"/>
            </w:pPr>
            <w:r>
              <w:rPr>
                <w:rFonts w:ascii="Inter" w:hAnsi="Inter" w:cs="Inter" w:eastAsia="Inter"/>
                <w:b w:val="0"/>
                <w:i w:val="0"/>
                <w:color w:val="1A1A1A"/>
                <w:sz w:val="17"/>
              </w:rPr>
              <w:t>Corridors, dining halls and transitions are where mainstream time is most often lost. Fixing those extends the base's reach without extending the base.</w:t>
            </w:r>
          </w:p>
        </w:tc>
        <w:tc>
          <w:tcPr>
            <w:tcW w:type="dxa" w:w="2948"/>
            <w:tcMar>
              <w:top w:w="70" w:type="dxa"/>
              <w:bottom w:w="70" w:type="dxa"/>
              <w:left w:w="90" w:type="dxa"/>
              <w:right w:w="90" w:type="dxa"/>
            </w:tcMar>
            <w:vAlign w:val="top"/>
          </w:tcPr>
          <w:p>
            <w:pPr>
              <w:spacing w:before="0" w:after="60" w:line="259" w:lineRule="auto"/>
            </w:pPr>
            <w:r>
              <w:rPr>
                <w:rFonts w:ascii="Inter" w:hAnsi="Inter" w:cs="Inter" w:eastAsia="Inter"/>
                <w:b w:val="0"/>
                <w:i w:val="0"/>
                <w:color w:val="666666"/>
                <w:sz w:val="15"/>
              </w:rPr>
              <w:t>Owner</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Target date</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Review date</w:t>
            </w:r>
          </w:p>
          <w:p>
            <w:pPr>
              <w:spacing w:before="0" w:after="60" w:line="259" w:lineRule="auto"/>
            </w:pPr>
            <w:r>
              <w:rPr>
                <w:rFonts w:ascii="Inter" w:hAnsi="Inter" w:cs="Inter" w:eastAsia="Inter"/>
                <w:b w:val="0"/>
                <w:i w:val="0"/>
                <w:color w:val="1A1A1A"/>
                <w:sz w:val="18"/>
              </w:rPr>
            </w:r>
          </w:p>
        </w:tc>
      </w:tr>
      <w:tr>
        <w:trPr>
          <w:cantSplit/>
        </w:trPr>
        <w:tc>
          <w:tcPr>
            <w:tcW w:type="dxa" w:w="15478"/>
            <w:gridSpan w:val="5"/>
            <w:shd w:val="clear" w:color="auto" w:fill="F1F7F6"/>
            <w:tcMar>
              <w:top w:w="80" w:type="dxa"/>
              <w:bottom w:w="80" w:type="dxa"/>
              <w:left w:w="90" w:type="dxa"/>
              <w:right w:w="90" w:type="dxa"/>
            </w:tcMar>
            <w:vAlign w:val="top"/>
          </w:tcPr>
          <w:p>
            <w:pPr>
              <w:spacing w:before="0" w:after="40" w:line="259" w:lineRule="auto"/>
              <w:keepNext/>
            </w:pPr>
            <w:r>
              <w:rPr>
                <w:rFonts w:ascii="Inter" w:hAnsi="Inter" w:cs="Inter" w:eastAsia="Inter"/>
                <w:b/>
                <w:i w:val="0"/>
                <w:color w:val="128770"/>
                <w:sz w:val="19"/>
              </w:rPr>
              <w:t xml:space="preserve">P6.6   </w:t>
            </w:r>
            <w:r>
              <w:rPr>
                <w:rFonts w:ascii="Inter" w:hAnsi="Inter" w:cs="Inter" w:eastAsia="Inter"/>
                <w:b/>
                <w:i w:val="0"/>
                <w:color w:val="1A1A1A"/>
                <w:sz w:val="19"/>
              </w:rPr>
              <w:t>Where health professionals and specialists support learners in the base, their views on the physical environment were sought at the outset to inform scoping and design.</w:t>
            </w:r>
          </w:p>
          <w:p>
            <w:pPr>
              <w:spacing w:before="0" w:after="40" w:line="259" w:lineRule="auto"/>
              <w:keepNext/>
            </w:pPr>
            <w:r>
              <w:rPr>
                <w:rFonts w:ascii="Inter" w:hAnsi="Inter" w:cs="Inter" w:eastAsia="Inter"/>
                <w:b w:val="0"/>
                <w:i/>
                <w:color w:val="666666"/>
                <w:sz w:val="15"/>
              </w:rPr>
              <w:t>Base  ·  Guidance: “Where health professionals and other specialists will be involved in supporting the children who access the base, their views on the physical environment should be sought at the outset to inform scoping and design.”</w:t>
            </w:r>
          </w:p>
        </w:tc>
      </w:tr>
      <w:tr>
        <w:trPr>
          <w:trHeight w:val="1701" w:hRule="atLeast"/>
          <w:cantSplit/>
        </w:trPr>
        <w:tc>
          <w:tcPr>
            <w:tcW w:type="dxa" w:w="4082"/>
            <w:tcMar>
              <w:top w:w="70" w:type="dxa"/>
              <w:bottom w:w="70" w:type="dxa"/>
              <w:left w:w="90" w:type="dxa"/>
              <w:right w:w="90" w:type="dxa"/>
            </w:tcMar>
            <w:vAlign w:val="top"/>
          </w:tcPr>
          <w:p>
            <w:pPr>
              <w:spacing w:before="0" w:after="80" w:line="259" w:lineRule="auto"/>
            </w:pPr>
            <w:r>
              <w:rPr>
                <w:rFonts w:ascii="Inter" w:hAnsi="Inter" w:cs="Inter" w:eastAsia="Inter"/>
                <w:b/>
                <w:i w:val="0"/>
                <w:color w:val="128770"/>
                <w:sz w:val="17"/>
              </w:rPr>
              <w:t xml:space="preserve">1  </w:t>
            </w:r>
            <w:r>
              <w:rPr>
                <w:rFonts w:ascii="Inter" w:hAnsi="Inter" w:cs="Inter" w:eastAsia="Inter"/>
                <w:b w:val="0"/>
                <w:i w:val="0"/>
                <w:color w:val="1A1A1A"/>
                <w:sz w:val="17"/>
              </w:rPr>
              <w:t>Specialists were never consulted on the space.</w:t>
            </w:r>
          </w:p>
          <w:p>
            <w:pPr>
              <w:spacing w:before="0" w:after="80" w:line="259" w:lineRule="auto"/>
            </w:pPr>
            <w:r>
              <w:rPr>
                <w:rFonts w:ascii="Inter" w:hAnsi="Inter" w:cs="Inter" w:eastAsia="Inter"/>
                <w:b/>
                <w:i w:val="0"/>
                <w:color w:val="128770"/>
                <w:sz w:val="17"/>
              </w:rPr>
              <w:t xml:space="preserve">3  </w:t>
            </w:r>
            <w:r>
              <w:rPr>
                <w:rFonts w:ascii="Inter" w:hAnsi="Inter" w:cs="Inter" w:eastAsia="Inter"/>
                <w:b w:val="0"/>
                <w:i w:val="0"/>
                <w:color w:val="1A1A1A"/>
                <w:sz w:val="17"/>
              </w:rPr>
              <w:t>Specialists commented after the space was built.</w:t>
            </w:r>
          </w:p>
          <w:p>
            <w:pPr>
              <w:spacing w:before="0" w:after="80" w:line="259" w:lineRule="auto"/>
            </w:pPr>
            <w:r>
              <w:rPr>
                <w:rFonts w:ascii="Inter" w:hAnsi="Inter" w:cs="Inter" w:eastAsia="Inter"/>
                <w:b/>
                <w:i w:val="0"/>
                <w:color w:val="128770"/>
                <w:sz w:val="17"/>
              </w:rPr>
              <w:t xml:space="preserve">5  </w:t>
            </w:r>
            <w:r>
              <w:rPr>
                <w:rFonts w:ascii="Inter" w:hAnsi="Inter" w:cs="Inter" w:eastAsia="Inter"/>
                <w:b w:val="0"/>
                <w:i w:val="0"/>
                <w:color w:val="1A1A1A"/>
                <w:sz w:val="17"/>
              </w:rPr>
              <w:t>Specialist views informed scoping and design before decisions were made.</w:t>
            </w:r>
          </w:p>
        </w:tc>
        <w:tc>
          <w:tcPr>
            <w:tcW w:type="dxa" w:w="3742"/>
            <w:tcMar>
              <w:top w:w="70" w:type="dxa"/>
              <w:bottom w:w="70" w:type="dxa"/>
              <w:left w:w="90" w:type="dxa"/>
              <w:right w:w="90" w:type="dxa"/>
            </w:tcMar>
            <w:vAlign w:val="top"/>
          </w:tcPr>
          <w:p>
            <w:pPr>
              <w:spacing w:before="0" w:after="80" w:line="259" w:lineRule="auto"/>
            </w:pPr>
            <w:r>
              <w:rPr>
                <w:rFonts w:ascii="Inter" w:hAnsi="Inter" w:cs="Inter" w:eastAsia="Inter"/>
                <w:b w:val="0"/>
                <w:i/>
                <w:color w:val="666666"/>
                <w:sz w:val="16"/>
              </w:rPr>
              <w:t>Who was consulted, and at what stage?</w:t>
            </w:r>
          </w:p>
          <w:p>
            <w:pPr>
              <w:spacing w:before="0" w:after="80" w:line="259" w:lineRule="auto"/>
            </w:pPr>
            <w:r>
              <w:rPr>
                <w:rFonts w:ascii="Inter" w:hAnsi="Inter" w:cs="Inter" w:eastAsia="Inter"/>
                <w:b w:val="0"/>
                <w:i w:val="0"/>
                <w:color w:val="1A1A1A"/>
                <w:sz w:val="18"/>
              </w:rPr>
            </w:r>
          </w:p>
        </w:tc>
        <w:tc>
          <w:tcPr>
            <w:tcW w:type="dxa" w:w="964"/>
            <w:tcMar>
              <w:top w:w="70" w:type="dxa"/>
              <w:bottom w:w="70" w:type="dxa"/>
              <w:left w:w="90" w:type="dxa"/>
              <w:right w:w="90" w:type="dxa"/>
            </w:tcMar>
            <w:shd w:val="clear" w:color="auto" w:fill="FEF6D9"/>
            <w:vAlign w:val="center"/>
          </w:tcPr>
          <w:p>
            <w:pPr>
              <w:spacing w:before="0" w:after="40" w:line="259" w:lineRule="auto"/>
            </w:pPr>
            <w:r>
              <w:rPr>
                <w:rFonts w:ascii="Inter" w:hAnsi="Inter" w:cs="Inter" w:eastAsia="Inter"/>
                <w:b w:val="0"/>
                <w:i w:val="0"/>
                <w:color w:val="1A1A1A"/>
                <w:sz w:val="18"/>
              </w:rPr>
            </w:r>
          </w:p>
          <w:p>
            <w:pPr>
              <w:spacing w:before="0" w:after="40" w:line="259" w:lineRule="auto"/>
            </w:pPr>
            <w:r>
              <w:rPr>
                <w:rFonts w:ascii="Inter" w:hAnsi="Inter" w:cs="Inter" w:eastAsia="Inter"/>
                <w:b w:val="0"/>
                <w:i w:val="0"/>
                <w:color w:val="666666"/>
                <w:sz w:val="15"/>
              </w:rPr>
              <w:t>1 to 5</w:t>
            </w:r>
          </w:p>
        </w:tc>
        <w:tc>
          <w:tcPr>
            <w:tcW w:type="dxa" w:w="3742"/>
            <w:tcMar>
              <w:top w:w="70" w:type="dxa"/>
              <w:bottom w:w="70" w:type="dxa"/>
              <w:left w:w="90" w:type="dxa"/>
              <w:right w:w="90" w:type="dxa"/>
            </w:tcMar>
            <w:vAlign w:val="top"/>
          </w:tcPr>
          <w:p>
            <w:pPr>
              <w:spacing w:before="0" w:after="40" w:line="259" w:lineRule="auto"/>
            </w:pPr>
            <w:r>
              <w:rPr>
                <w:rFonts w:ascii="Inter" w:hAnsi="Inter" w:cs="Inter" w:eastAsia="Inter"/>
                <w:b w:val="0"/>
                <w:i w:val="0"/>
                <w:color w:val="1A1A1A"/>
                <w:sz w:val="17"/>
              </w:rPr>
              <w:t>If the space already exists, run a retrospective walkthrough with your specialists and log what you would change. That log becomes your capital bid.</w:t>
            </w:r>
          </w:p>
        </w:tc>
        <w:tc>
          <w:tcPr>
            <w:tcW w:type="dxa" w:w="2948"/>
            <w:tcMar>
              <w:top w:w="70" w:type="dxa"/>
              <w:bottom w:w="70" w:type="dxa"/>
              <w:left w:w="90" w:type="dxa"/>
              <w:right w:w="90" w:type="dxa"/>
            </w:tcMar>
            <w:vAlign w:val="top"/>
          </w:tcPr>
          <w:p>
            <w:pPr>
              <w:spacing w:before="0" w:after="60" w:line="259" w:lineRule="auto"/>
            </w:pPr>
            <w:r>
              <w:rPr>
                <w:rFonts w:ascii="Inter" w:hAnsi="Inter" w:cs="Inter" w:eastAsia="Inter"/>
                <w:b w:val="0"/>
                <w:i w:val="0"/>
                <w:color w:val="666666"/>
                <w:sz w:val="15"/>
              </w:rPr>
              <w:t>Owner</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Target date</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Review date</w:t>
            </w:r>
          </w:p>
          <w:p>
            <w:pPr>
              <w:spacing w:before="0" w:after="60" w:line="259" w:lineRule="auto"/>
            </w:pPr>
            <w:r>
              <w:rPr>
                <w:rFonts w:ascii="Inter" w:hAnsi="Inter" w:cs="Inter" w:eastAsia="Inter"/>
                <w:b w:val="0"/>
                <w:i w:val="0"/>
                <w:color w:val="1A1A1A"/>
                <w:sz w:val="18"/>
              </w:rPr>
            </w:r>
          </w:p>
        </w:tc>
      </w:tr>
      <w:tr>
        <w:trPr>
          <w:cantSplit/>
        </w:trPr>
        <w:tc>
          <w:tcPr>
            <w:tcW w:type="dxa" w:w="15478"/>
            <w:gridSpan w:val="5"/>
            <w:shd w:val="clear" w:color="auto" w:fill="F1F7F6"/>
            <w:tcMar>
              <w:top w:w="80" w:type="dxa"/>
              <w:bottom w:w="80" w:type="dxa"/>
              <w:left w:w="90" w:type="dxa"/>
              <w:right w:w="90" w:type="dxa"/>
            </w:tcMar>
            <w:vAlign w:val="top"/>
          </w:tcPr>
          <w:p>
            <w:pPr>
              <w:spacing w:before="0" w:after="40" w:line="259" w:lineRule="auto"/>
              <w:keepNext/>
            </w:pPr>
            <w:r>
              <w:rPr>
                <w:rFonts w:ascii="Inter" w:hAnsi="Inter" w:cs="Inter" w:eastAsia="Inter"/>
                <w:b/>
                <w:i w:val="0"/>
                <w:color w:val="128770"/>
                <w:sz w:val="19"/>
              </w:rPr>
              <w:t xml:space="preserve">P6.7   </w:t>
            </w:r>
            <w:r>
              <w:rPr>
                <w:rFonts w:ascii="Inter" w:hAnsi="Inter" w:cs="Inter" w:eastAsia="Inter"/>
                <w:b/>
                <w:i w:val="0"/>
                <w:color w:val="1A1A1A"/>
                <w:sz w:val="19"/>
              </w:rPr>
              <w:t>All spaces used in a learner's day are within the school premises, unless there is a specific requirement to meet their needs.</w:t>
            </w:r>
            <w:r>
              <w:rPr>
                <w:rFonts w:ascii="Inter" w:hAnsi="Inter" w:cs="Inter" w:eastAsia="Inter"/>
                <w:b/>
                <w:i w:val="0"/>
                <w:color w:val="D35400"/>
                <w:sz w:val="17"/>
              </w:rPr>
              <w:t xml:space="preserve">   MUST  ·  existing legal duty</w:t>
            </w:r>
          </w:p>
          <w:p>
            <w:pPr>
              <w:spacing w:before="0" w:after="40" w:line="259" w:lineRule="auto"/>
              <w:keepNext/>
            </w:pPr>
            <w:r>
              <w:rPr>
                <w:rFonts w:ascii="Inter" w:hAnsi="Inter" w:cs="Inter" w:eastAsia="Inter"/>
                <w:b w:val="0"/>
                <w:i/>
                <w:color w:val="666666"/>
                <w:sz w:val="15"/>
              </w:rPr>
              <w:t>Whole school  ·  Guidance: “All spaces used in a child or young person's day should be within the school premises, unless otherwise a specific requirement to meet the needs of the children and young people accessing the base.”</w:t>
            </w:r>
          </w:p>
        </w:tc>
      </w:tr>
      <w:tr>
        <w:trPr>
          <w:trHeight w:val="1701" w:hRule="atLeast"/>
          <w:cantSplit/>
        </w:trPr>
        <w:tc>
          <w:tcPr>
            <w:tcW w:type="dxa" w:w="4082"/>
            <w:tcMar>
              <w:top w:w="70" w:type="dxa"/>
              <w:bottom w:w="70" w:type="dxa"/>
              <w:left w:w="90" w:type="dxa"/>
              <w:right w:w="90" w:type="dxa"/>
            </w:tcMar>
            <w:vAlign w:val="top"/>
          </w:tcPr>
          <w:p>
            <w:pPr>
              <w:spacing w:before="0" w:after="80" w:line="259" w:lineRule="auto"/>
            </w:pPr>
            <w:r>
              <w:rPr>
                <w:rFonts w:ascii="Inter" w:hAnsi="Inter" w:cs="Inter" w:eastAsia="Inter"/>
                <w:b/>
                <w:i w:val="0"/>
                <w:color w:val="128770"/>
                <w:sz w:val="17"/>
              </w:rPr>
              <w:t xml:space="preserve">1  </w:t>
            </w:r>
            <w:r>
              <w:rPr>
                <w:rFonts w:ascii="Inter" w:hAnsi="Inter" w:cs="Inter" w:eastAsia="Inter"/>
                <w:b w:val="0"/>
                <w:i w:val="0"/>
                <w:color w:val="1A1A1A"/>
                <w:sz w:val="17"/>
              </w:rPr>
              <w:t>Offsite provision is used routinely without a recorded rationale.</w:t>
            </w:r>
          </w:p>
          <w:p>
            <w:pPr>
              <w:spacing w:before="0" w:after="80" w:line="259" w:lineRule="auto"/>
            </w:pPr>
            <w:r>
              <w:rPr>
                <w:rFonts w:ascii="Inter" w:hAnsi="Inter" w:cs="Inter" w:eastAsia="Inter"/>
                <w:b/>
                <w:i w:val="0"/>
                <w:color w:val="128770"/>
                <w:sz w:val="17"/>
              </w:rPr>
              <w:t xml:space="preserve">3  </w:t>
            </w:r>
            <w:r>
              <w:rPr>
                <w:rFonts w:ascii="Inter" w:hAnsi="Inter" w:cs="Inter" w:eastAsia="Inter"/>
                <w:b w:val="0"/>
                <w:i w:val="0"/>
                <w:color w:val="1A1A1A"/>
                <w:sz w:val="17"/>
              </w:rPr>
              <w:t>Offsite use is occasional and loosely justified.</w:t>
            </w:r>
          </w:p>
          <w:p>
            <w:pPr>
              <w:spacing w:before="0" w:after="80" w:line="259" w:lineRule="auto"/>
            </w:pPr>
            <w:r>
              <w:rPr>
                <w:rFonts w:ascii="Inter" w:hAnsi="Inter" w:cs="Inter" w:eastAsia="Inter"/>
                <w:b/>
                <w:i w:val="0"/>
                <w:color w:val="128770"/>
                <w:sz w:val="17"/>
              </w:rPr>
              <w:t xml:space="preserve">5  </w:t>
            </w:r>
            <w:r>
              <w:rPr>
                <w:rFonts w:ascii="Inter" w:hAnsi="Inter" w:cs="Inter" w:eastAsia="Inter"/>
                <w:b w:val="0"/>
                <w:i w:val="0"/>
                <w:color w:val="1A1A1A"/>
                <w:sz w:val="17"/>
              </w:rPr>
              <w:t>All provision is on site, or offsite use has a specific recorded needs-based rationale and review date.</w:t>
            </w:r>
          </w:p>
        </w:tc>
        <w:tc>
          <w:tcPr>
            <w:tcW w:type="dxa" w:w="3742"/>
            <w:tcMar>
              <w:top w:w="70" w:type="dxa"/>
              <w:bottom w:w="70" w:type="dxa"/>
              <w:left w:w="90" w:type="dxa"/>
              <w:right w:w="90" w:type="dxa"/>
            </w:tcMar>
            <w:vAlign w:val="top"/>
          </w:tcPr>
          <w:p>
            <w:pPr>
              <w:spacing w:before="0" w:after="80" w:line="259" w:lineRule="auto"/>
            </w:pPr>
            <w:r>
              <w:rPr>
                <w:rFonts w:ascii="Inter" w:hAnsi="Inter" w:cs="Inter" w:eastAsia="Inter"/>
                <w:b w:val="0"/>
                <w:i/>
                <w:color w:val="666666"/>
                <w:sz w:val="16"/>
              </w:rPr>
              <w:t>List any offsite provision and the reason for each.</w:t>
            </w:r>
          </w:p>
          <w:p>
            <w:pPr>
              <w:spacing w:before="0" w:after="80" w:line="259" w:lineRule="auto"/>
            </w:pPr>
            <w:r>
              <w:rPr>
                <w:rFonts w:ascii="Inter" w:hAnsi="Inter" w:cs="Inter" w:eastAsia="Inter"/>
                <w:b w:val="0"/>
                <w:i w:val="0"/>
                <w:color w:val="1A1A1A"/>
                <w:sz w:val="18"/>
              </w:rPr>
            </w:r>
          </w:p>
        </w:tc>
        <w:tc>
          <w:tcPr>
            <w:tcW w:type="dxa" w:w="964"/>
            <w:tcMar>
              <w:top w:w="70" w:type="dxa"/>
              <w:bottom w:w="70" w:type="dxa"/>
              <w:left w:w="90" w:type="dxa"/>
              <w:right w:w="90" w:type="dxa"/>
            </w:tcMar>
            <w:shd w:val="clear" w:color="auto" w:fill="FEF6D9"/>
            <w:vAlign w:val="center"/>
          </w:tcPr>
          <w:p>
            <w:pPr>
              <w:spacing w:before="0" w:after="40" w:line="259" w:lineRule="auto"/>
            </w:pPr>
            <w:r>
              <w:rPr>
                <w:rFonts w:ascii="Inter" w:hAnsi="Inter" w:cs="Inter" w:eastAsia="Inter"/>
                <w:b w:val="0"/>
                <w:i w:val="0"/>
                <w:color w:val="1A1A1A"/>
                <w:sz w:val="18"/>
              </w:rPr>
            </w:r>
          </w:p>
          <w:p>
            <w:pPr>
              <w:spacing w:before="0" w:after="40" w:line="259" w:lineRule="auto"/>
            </w:pPr>
            <w:r>
              <w:rPr>
                <w:rFonts w:ascii="Inter" w:hAnsi="Inter" w:cs="Inter" w:eastAsia="Inter"/>
                <w:b w:val="0"/>
                <w:i w:val="0"/>
                <w:color w:val="666666"/>
                <w:sz w:val="15"/>
              </w:rPr>
              <w:t>1 to 5</w:t>
            </w:r>
          </w:p>
        </w:tc>
        <w:tc>
          <w:tcPr>
            <w:tcW w:type="dxa" w:w="3742"/>
            <w:tcMar>
              <w:top w:w="70" w:type="dxa"/>
              <w:bottom w:w="70" w:type="dxa"/>
              <w:left w:w="90" w:type="dxa"/>
              <w:right w:w="90" w:type="dxa"/>
            </w:tcMar>
            <w:vAlign w:val="top"/>
          </w:tcPr>
          <w:p>
            <w:pPr>
              <w:spacing w:before="0" w:after="40" w:line="259" w:lineRule="auto"/>
            </w:pPr>
            <w:r>
              <w:rPr>
                <w:rFonts w:ascii="Inter" w:hAnsi="Inter" w:cs="Inter" w:eastAsia="Inter"/>
                <w:b w:val="0"/>
                <w:i w:val="0"/>
                <w:color w:val="1A1A1A"/>
                <w:sz w:val="17"/>
              </w:rPr>
              <w:t>MUST satisfy yourselves that decisions about the physical environment meet relevant legal requirements for the premises of the institution.</w:t>
            </w:r>
          </w:p>
        </w:tc>
        <w:tc>
          <w:tcPr>
            <w:tcW w:type="dxa" w:w="2948"/>
            <w:tcMar>
              <w:top w:w="70" w:type="dxa"/>
              <w:bottom w:w="70" w:type="dxa"/>
              <w:left w:w="90" w:type="dxa"/>
              <w:right w:w="90" w:type="dxa"/>
            </w:tcMar>
            <w:vAlign w:val="top"/>
          </w:tcPr>
          <w:p>
            <w:pPr>
              <w:spacing w:before="0" w:after="60" w:line="259" w:lineRule="auto"/>
            </w:pPr>
            <w:r>
              <w:rPr>
                <w:rFonts w:ascii="Inter" w:hAnsi="Inter" w:cs="Inter" w:eastAsia="Inter"/>
                <w:b w:val="0"/>
                <w:i w:val="0"/>
                <w:color w:val="666666"/>
                <w:sz w:val="15"/>
              </w:rPr>
              <w:t>Owner</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Target date</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Review date</w:t>
            </w:r>
          </w:p>
          <w:p>
            <w:pPr>
              <w:spacing w:before="0" w:after="60" w:line="259" w:lineRule="auto"/>
            </w:pPr>
            <w:r>
              <w:rPr>
                <w:rFonts w:ascii="Inter" w:hAnsi="Inter" w:cs="Inter" w:eastAsia="Inter"/>
                <w:b w:val="0"/>
                <w:i w:val="0"/>
                <w:color w:val="1A1A1A"/>
                <w:sz w:val="18"/>
              </w:rPr>
            </w:r>
          </w:p>
        </w:tc>
      </w:tr>
    </w:tbl>
    <w:p>
      <w:pPr>
        <w:spacing w:after="0" w:before="0" w:line="240" w:lineRule="auto"/>
        <w:pageBreakBefore/>
      </w:pPr>
      <w:r>
        <w:rPr>
          <w:rFonts w:ascii="Inter" w:hAnsi="Inter" w:cs="Inter" w:eastAsia="Inter"/>
          <w:b w:val="0"/>
          <w:i w:val="0"/>
          <w:color w:val="1A1A1A"/>
          <w:sz w:val="2"/>
        </w:rPr>
      </w:r>
    </w:p>
    <w:tbl>
      <w:tblPr>
        <w:tblW w:type="auto" w:w="0"/>
        <w:tblLayout w:type="fixed"/>
        <w:tblLook w:firstColumn="1" w:firstRow="1" w:lastColumn="0" w:lastRow="0" w:noHBand="0" w:noVBand="1" w:val="04A0"/>
      </w:tblPr>
      <w:tblGrid>
        <w:gridCol w:w="15478"/>
      </w:tblGrid>
      <w:tr>
        <w:tc>
          <w:tcPr>
            <w:tcW w:type="dxa" w:w="15477"/>
            <w:shd w:val="clear" w:color="auto" w:fill="128770"/>
            <w:tcMar>
              <w:top w:w="130" w:type="dxa"/>
              <w:bottom w:w="130" w:type="dxa"/>
              <w:left w:w="160" w:type="dxa"/>
              <w:right w:w="160" w:type="dxa"/>
            </w:tcMar>
            <w:vAlign w:val="top"/>
          </w:tcPr>
          <w:p>
            <w:pPr>
              <w:spacing w:before="0" w:after="40" w:line="259" w:lineRule="auto"/>
            </w:pPr>
            <w:r>
              <w:rPr>
                <w:rFonts w:ascii="Lexend" w:hAnsi="Lexend" w:cs="Lexend" w:eastAsia="Lexend"/>
                <w:b/>
                <w:i w:val="0"/>
                <w:color w:val="FFFFFF"/>
                <w:sz w:val="30"/>
              </w:rPr>
              <w:t xml:space="preserve">C7   </w:t>
            </w:r>
            <w:r>
              <w:rPr>
                <w:rFonts w:ascii="Lexend" w:hAnsi="Lexend" w:cs="Lexend" w:eastAsia="Lexend"/>
                <w:b/>
                <w:i w:val="0"/>
                <w:color w:val="FFFFFF"/>
                <w:sz w:val="30"/>
              </w:rPr>
              <w:t>Commissioning, governance and compliance</w:t>
            </w:r>
          </w:p>
          <w:p>
            <w:pPr>
              <w:spacing w:before="0" w:after="40" w:line="259" w:lineRule="auto"/>
            </w:pPr>
            <w:r>
              <w:rPr>
                <w:rFonts w:ascii="Inter" w:hAnsi="Inter" w:cs="Inter" w:eastAsia="Inter"/>
                <w:b w:val="0"/>
                <w:i w:val="0"/>
                <w:color w:val="FFFFFF"/>
                <w:sz w:val="17"/>
              </w:rPr>
              <w:t>Guidance pages 37-43  ·  11 criteria</w:t>
            </w:r>
          </w:p>
        </w:tc>
      </w:tr>
    </w:tbl>
    <w:p>
      <w:pPr>
        <w:spacing w:after="80" w:before="0" w:line="276" w:lineRule="auto"/>
      </w:pPr>
    </w:p>
    <w:tbl>
      <w:tblPr>
        <w:tblStyle w:val="TableGrid"/>
        <w:tblW w:type="auto" w:w="0"/>
        <w:tblLayout w:type="fixed"/>
        <w:tblLook w:firstColumn="1" w:firstRow="1" w:lastColumn="0" w:lastRow="0" w:noHBand="0" w:noVBand="1" w:val="04A0"/>
      </w:tblPr>
      <w:tblGrid>
        <w:gridCol w:w="3096"/>
        <w:gridCol w:w="3096"/>
        <w:gridCol w:w="3096"/>
        <w:gridCol w:w="3096"/>
        <w:gridCol w:w="3096"/>
      </w:tblGrid>
      <w:tr>
        <w:trPr>
          <w:tblHeader w:val="true"/>
        </w:trPr>
        <w:tc>
          <w:tcPr>
            <w:tcW w:type="dxa" w:w="4082"/>
            <w:shd w:val="clear" w:color="auto" w:fill="D6E9E5"/>
            <w:tcMar>
              <w:top w:w="70" w:type="dxa"/>
              <w:bottom w:w="70" w:type="dxa"/>
              <w:left w:w="90" w:type="dxa"/>
              <w:right w:w="90" w:type="dxa"/>
            </w:tcMar>
            <w:vAlign w:val="top"/>
          </w:tcPr>
          <w:p>
            <w:pPr>
              <w:spacing w:before="0" w:after="40" w:line="259" w:lineRule="auto"/>
            </w:pPr>
            <w:r>
              <w:rPr>
                <w:rFonts w:ascii="Inter" w:hAnsi="Inter" w:cs="Inter" w:eastAsia="Inter"/>
                <w:b/>
                <w:i w:val="0"/>
                <w:color w:val="128770"/>
                <w:sz w:val="17"/>
              </w:rPr>
              <w:t>What good looks like</w:t>
            </w:r>
          </w:p>
        </w:tc>
        <w:tc>
          <w:tcPr>
            <w:tcW w:type="dxa" w:w="3742"/>
            <w:shd w:val="clear" w:color="auto" w:fill="D6E9E5"/>
            <w:tcMar>
              <w:top w:w="70" w:type="dxa"/>
              <w:bottom w:w="70" w:type="dxa"/>
              <w:left w:w="90" w:type="dxa"/>
              <w:right w:w="90" w:type="dxa"/>
            </w:tcMar>
            <w:vAlign w:val="top"/>
          </w:tcPr>
          <w:p>
            <w:pPr>
              <w:spacing w:before="0" w:after="40" w:line="259" w:lineRule="auto"/>
            </w:pPr>
            <w:r>
              <w:rPr>
                <w:rFonts w:ascii="Inter" w:hAnsi="Inter" w:cs="Inter" w:eastAsia="Inter"/>
                <w:b/>
                <w:i w:val="0"/>
                <w:color w:val="128770"/>
                <w:sz w:val="17"/>
              </w:rPr>
              <w:t>Your evidence  (fill this in FIRST)</w:t>
            </w:r>
          </w:p>
        </w:tc>
        <w:tc>
          <w:tcPr>
            <w:tcW w:type="dxa" w:w="964"/>
            <w:shd w:val="clear" w:color="auto" w:fill="FEF6D9"/>
            <w:tcMar>
              <w:top w:w="70" w:type="dxa"/>
              <w:bottom w:w="70" w:type="dxa"/>
              <w:left w:w="90" w:type="dxa"/>
              <w:right w:w="90" w:type="dxa"/>
            </w:tcMar>
            <w:vAlign w:val="top"/>
          </w:tcPr>
          <w:p>
            <w:pPr>
              <w:spacing w:before="0" w:after="40" w:line="259" w:lineRule="auto"/>
            </w:pPr>
            <w:r>
              <w:rPr>
                <w:rFonts w:ascii="Inter" w:hAnsi="Inter" w:cs="Inter" w:eastAsia="Inter"/>
                <w:b/>
                <w:i w:val="0"/>
                <w:color w:val="128770"/>
                <w:sz w:val="17"/>
              </w:rPr>
              <w:t>Rating</w:t>
            </w:r>
          </w:p>
        </w:tc>
        <w:tc>
          <w:tcPr>
            <w:tcW w:type="dxa" w:w="3742"/>
            <w:shd w:val="clear" w:color="auto" w:fill="D6E9E5"/>
            <w:tcMar>
              <w:top w:w="70" w:type="dxa"/>
              <w:bottom w:w="70" w:type="dxa"/>
              <w:left w:w="90" w:type="dxa"/>
              <w:right w:w="90" w:type="dxa"/>
            </w:tcMar>
            <w:vAlign w:val="top"/>
          </w:tcPr>
          <w:p>
            <w:pPr>
              <w:spacing w:before="0" w:after="40" w:line="259" w:lineRule="auto"/>
            </w:pPr>
            <w:r>
              <w:rPr>
                <w:rFonts w:ascii="Inter" w:hAnsi="Inter" w:cs="Inter" w:eastAsia="Inter"/>
                <w:b/>
                <w:i w:val="0"/>
                <w:color w:val="128770"/>
                <w:sz w:val="17"/>
              </w:rPr>
              <w:t>Suggested next step</w:t>
            </w:r>
          </w:p>
        </w:tc>
        <w:tc>
          <w:tcPr>
            <w:tcW w:type="dxa" w:w="2948"/>
            <w:shd w:val="clear" w:color="auto" w:fill="D6E9E5"/>
            <w:tcMar>
              <w:top w:w="70" w:type="dxa"/>
              <w:bottom w:w="70" w:type="dxa"/>
              <w:left w:w="90" w:type="dxa"/>
              <w:right w:w="90" w:type="dxa"/>
            </w:tcMar>
            <w:vAlign w:val="top"/>
          </w:tcPr>
          <w:p>
            <w:pPr>
              <w:spacing w:before="0" w:after="40" w:line="259" w:lineRule="auto"/>
            </w:pPr>
            <w:r>
              <w:rPr>
                <w:rFonts w:ascii="Inter" w:hAnsi="Inter" w:cs="Inter" w:eastAsia="Inter"/>
                <w:b/>
                <w:i w:val="0"/>
                <w:color w:val="128770"/>
                <w:sz w:val="17"/>
              </w:rPr>
              <w:t>Owner / date / review date</w:t>
            </w:r>
          </w:p>
        </w:tc>
      </w:tr>
      <w:tr>
        <w:trPr>
          <w:cantSplit/>
        </w:trPr>
        <w:tc>
          <w:tcPr>
            <w:tcW w:type="dxa" w:w="15478"/>
            <w:gridSpan w:val="5"/>
            <w:shd w:val="clear" w:color="auto" w:fill="F1F7F6"/>
            <w:tcMar>
              <w:top w:w="80" w:type="dxa"/>
              <w:bottom w:w="80" w:type="dxa"/>
              <w:left w:w="90" w:type="dxa"/>
              <w:right w:w="90" w:type="dxa"/>
            </w:tcMar>
            <w:vAlign w:val="top"/>
          </w:tcPr>
          <w:p>
            <w:pPr>
              <w:spacing w:before="0" w:after="40" w:line="259" w:lineRule="auto"/>
              <w:keepNext/>
            </w:pPr>
            <w:r>
              <w:rPr>
                <w:rFonts w:ascii="Inter" w:hAnsi="Inter" w:cs="Inter" w:eastAsia="Inter"/>
                <w:b/>
                <w:i w:val="0"/>
                <w:color w:val="128770"/>
                <w:sz w:val="19"/>
              </w:rPr>
              <w:t xml:space="preserve">C7.1   </w:t>
            </w:r>
            <w:r>
              <w:rPr>
                <w:rFonts w:ascii="Inter" w:hAnsi="Inter" w:cs="Inter" w:eastAsia="Inter"/>
                <w:b/>
                <w:i w:val="0"/>
                <w:color w:val="1A1A1A"/>
                <w:sz w:val="19"/>
              </w:rPr>
              <w:t>You engage in local area strategic planning about base provision, and you notified the local authority when your support base opened.</w:t>
            </w:r>
          </w:p>
          <w:p>
            <w:pPr>
              <w:spacing w:before="0" w:after="40" w:line="259" w:lineRule="auto"/>
              <w:keepNext/>
            </w:pPr>
            <w:r>
              <w:rPr>
                <w:rFonts w:ascii="Inter" w:hAnsi="Inter" w:cs="Inter" w:eastAsia="Inter"/>
                <w:b w:val="0"/>
                <w:i/>
                <w:color w:val="666666"/>
                <w:sz w:val="15"/>
              </w:rPr>
              <w:t>Whole school  ·  Guidance: “Schools, responsible bodies, and local groups of schools should engage in local area strategic planning. This is particularly important where schools are considering opening a support base. Schools should notify the local authority when opening a support base.”</w:t>
            </w:r>
          </w:p>
        </w:tc>
      </w:tr>
      <w:tr>
        <w:trPr>
          <w:trHeight w:val="1701" w:hRule="atLeast"/>
          <w:cantSplit/>
        </w:trPr>
        <w:tc>
          <w:tcPr>
            <w:tcW w:type="dxa" w:w="4082"/>
            <w:tcMar>
              <w:top w:w="70" w:type="dxa"/>
              <w:bottom w:w="70" w:type="dxa"/>
              <w:left w:w="90" w:type="dxa"/>
              <w:right w:w="90" w:type="dxa"/>
            </w:tcMar>
            <w:vAlign w:val="top"/>
          </w:tcPr>
          <w:p>
            <w:pPr>
              <w:spacing w:before="0" w:after="80" w:line="259" w:lineRule="auto"/>
            </w:pPr>
            <w:r>
              <w:rPr>
                <w:rFonts w:ascii="Inter" w:hAnsi="Inter" w:cs="Inter" w:eastAsia="Inter"/>
                <w:b/>
                <w:i w:val="0"/>
                <w:color w:val="128770"/>
                <w:sz w:val="17"/>
              </w:rPr>
              <w:t xml:space="preserve">1  </w:t>
            </w:r>
            <w:r>
              <w:rPr>
                <w:rFonts w:ascii="Inter" w:hAnsi="Inter" w:cs="Inter" w:eastAsia="Inter"/>
                <w:b w:val="0"/>
                <w:i w:val="0"/>
                <w:color w:val="1A1A1A"/>
                <w:sz w:val="17"/>
              </w:rPr>
              <w:t>The base was set up without reference to the local authority or any area plan.</w:t>
            </w:r>
          </w:p>
          <w:p>
            <w:pPr>
              <w:spacing w:before="0" w:after="80" w:line="259" w:lineRule="auto"/>
            </w:pPr>
            <w:r>
              <w:rPr>
                <w:rFonts w:ascii="Inter" w:hAnsi="Inter" w:cs="Inter" w:eastAsia="Inter"/>
                <w:b/>
                <w:i w:val="0"/>
                <w:color w:val="128770"/>
                <w:sz w:val="17"/>
              </w:rPr>
              <w:t xml:space="preserve">3  </w:t>
            </w:r>
            <w:r>
              <w:rPr>
                <w:rFonts w:ascii="Inter" w:hAnsi="Inter" w:cs="Inter" w:eastAsia="Inter"/>
                <w:b w:val="0"/>
                <w:i w:val="0"/>
                <w:color w:val="1A1A1A"/>
                <w:sz w:val="17"/>
              </w:rPr>
              <w:t>The local authority knows the base exists, but engagement is reactive and there is no record of notification.</w:t>
            </w:r>
          </w:p>
          <w:p>
            <w:pPr>
              <w:spacing w:before="0" w:after="80" w:line="259" w:lineRule="auto"/>
            </w:pPr>
            <w:r>
              <w:rPr>
                <w:rFonts w:ascii="Inter" w:hAnsi="Inter" w:cs="Inter" w:eastAsia="Inter"/>
                <w:b/>
                <w:i w:val="0"/>
                <w:color w:val="128770"/>
                <w:sz w:val="17"/>
              </w:rPr>
              <w:t xml:space="preserve">5  </w:t>
            </w:r>
            <w:r>
              <w:rPr>
                <w:rFonts w:ascii="Inter" w:hAnsi="Inter" w:cs="Inter" w:eastAsia="Inter"/>
                <w:b w:val="0"/>
                <w:i w:val="0"/>
                <w:color w:val="1A1A1A"/>
                <w:sz w:val="17"/>
              </w:rPr>
              <w:t>Notification is documented, and the school takes part in area planning conversations as a matter of routine.</w:t>
            </w:r>
          </w:p>
        </w:tc>
        <w:tc>
          <w:tcPr>
            <w:tcW w:type="dxa" w:w="3742"/>
            <w:tcMar>
              <w:top w:w="70" w:type="dxa"/>
              <w:bottom w:w="70" w:type="dxa"/>
              <w:left w:w="90" w:type="dxa"/>
              <w:right w:w="90" w:type="dxa"/>
            </w:tcMar>
            <w:vAlign w:val="top"/>
          </w:tcPr>
          <w:p>
            <w:pPr>
              <w:spacing w:before="0" w:after="80" w:line="259" w:lineRule="auto"/>
            </w:pPr>
            <w:r>
              <w:rPr>
                <w:rFonts w:ascii="Inter" w:hAnsi="Inter" w:cs="Inter" w:eastAsia="Inter"/>
                <w:b w:val="0"/>
                <w:i/>
                <w:color w:val="666666"/>
                <w:sz w:val="16"/>
              </w:rPr>
              <w:t>What record do you hold of notifying the local authority, and when did you last contribute to an area planning discussion?</w:t>
            </w:r>
          </w:p>
          <w:p>
            <w:pPr>
              <w:spacing w:before="0" w:after="80" w:line="259" w:lineRule="auto"/>
            </w:pPr>
            <w:r>
              <w:rPr>
                <w:rFonts w:ascii="Inter" w:hAnsi="Inter" w:cs="Inter" w:eastAsia="Inter"/>
                <w:b w:val="0"/>
                <w:i w:val="0"/>
                <w:color w:val="1A1A1A"/>
                <w:sz w:val="18"/>
              </w:rPr>
            </w:r>
          </w:p>
        </w:tc>
        <w:tc>
          <w:tcPr>
            <w:tcW w:type="dxa" w:w="964"/>
            <w:tcMar>
              <w:top w:w="70" w:type="dxa"/>
              <w:bottom w:w="70" w:type="dxa"/>
              <w:left w:w="90" w:type="dxa"/>
              <w:right w:w="90" w:type="dxa"/>
            </w:tcMar>
            <w:shd w:val="clear" w:color="auto" w:fill="FEF6D9"/>
            <w:vAlign w:val="center"/>
          </w:tcPr>
          <w:p>
            <w:pPr>
              <w:spacing w:before="0" w:after="40" w:line="259" w:lineRule="auto"/>
            </w:pPr>
            <w:r>
              <w:rPr>
                <w:rFonts w:ascii="Inter" w:hAnsi="Inter" w:cs="Inter" w:eastAsia="Inter"/>
                <w:b w:val="0"/>
                <w:i w:val="0"/>
                <w:color w:val="1A1A1A"/>
                <w:sz w:val="18"/>
              </w:rPr>
            </w:r>
          </w:p>
          <w:p>
            <w:pPr>
              <w:spacing w:before="0" w:after="40" w:line="259" w:lineRule="auto"/>
            </w:pPr>
            <w:r>
              <w:rPr>
                <w:rFonts w:ascii="Inter" w:hAnsi="Inter" w:cs="Inter" w:eastAsia="Inter"/>
                <w:b w:val="0"/>
                <w:i w:val="0"/>
                <w:color w:val="666666"/>
                <w:sz w:val="15"/>
              </w:rPr>
              <w:t>1 to 5</w:t>
            </w:r>
          </w:p>
        </w:tc>
        <w:tc>
          <w:tcPr>
            <w:tcW w:type="dxa" w:w="3742"/>
            <w:tcMar>
              <w:top w:w="70" w:type="dxa"/>
              <w:bottom w:w="70" w:type="dxa"/>
              <w:left w:w="90" w:type="dxa"/>
              <w:right w:w="90" w:type="dxa"/>
            </w:tcMar>
            <w:vAlign w:val="top"/>
          </w:tcPr>
          <w:p>
            <w:pPr>
              <w:spacing w:before="0" w:after="40" w:line="259" w:lineRule="auto"/>
            </w:pPr>
            <w:r>
              <w:rPr>
                <w:rFonts w:ascii="Inter" w:hAnsi="Inter" w:cs="Inter" w:eastAsia="Inter"/>
                <w:b w:val="0"/>
                <w:i w:val="0"/>
                <w:color w:val="1A1A1A"/>
                <w:sz w:val="17"/>
              </w:rPr>
              <w:t>If you cannot evidence notification, write to the local authority SEND commissioning lead now and keep the acknowledgement on file. This is the cheapest compliance gap on the list to close.</w:t>
            </w:r>
          </w:p>
        </w:tc>
        <w:tc>
          <w:tcPr>
            <w:tcW w:type="dxa" w:w="2948"/>
            <w:tcMar>
              <w:top w:w="70" w:type="dxa"/>
              <w:bottom w:w="70" w:type="dxa"/>
              <w:left w:w="90" w:type="dxa"/>
              <w:right w:w="90" w:type="dxa"/>
            </w:tcMar>
            <w:vAlign w:val="top"/>
          </w:tcPr>
          <w:p>
            <w:pPr>
              <w:spacing w:before="0" w:after="60" w:line="259" w:lineRule="auto"/>
            </w:pPr>
            <w:r>
              <w:rPr>
                <w:rFonts w:ascii="Inter" w:hAnsi="Inter" w:cs="Inter" w:eastAsia="Inter"/>
                <w:b w:val="0"/>
                <w:i w:val="0"/>
                <w:color w:val="666666"/>
                <w:sz w:val="15"/>
              </w:rPr>
              <w:t>Owner</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Target date</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Review date</w:t>
            </w:r>
          </w:p>
          <w:p>
            <w:pPr>
              <w:spacing w:before="0" w:after="60" w:line="259" w:lineRule="auto"/>
            </w:pPr>
            <w:r>
              <w:rPr>
                <w:rFonts w:ascii="Inter" w:hAnsi="Inter" w:cs="Inter" w:eastAsia="Inter"/>
                <w:b w:val="0"/>
                <w:i w:val="0"/>
                <w:color w:val="1A1A1A"/>
                <w:sz w:val="18"/>
              </w:rPr>
            </w:r>
          </w:p>
        </w:tc>
      </w:tr>
      <w:tr>
        <w:trPr>
          <w:cantSplit/>
        </w:trPr>
        <w:tc>
          <w:tcPr>
            <w:tcW w:type="dxa" w:w="15478"/>
            <w:gridSpan w:val="5"/>
            <w:shd w:val="clear" w:color="auto" w:fill="F1F7F6"/>
            <w:tcMar>
              <w:top w:w="80" w:type="dxa"/>
              <w:bottom w:w="80" w:type="dxa"/>
              <w:left w:w="90" w:type="dxa"/>
              <w:right w:w="90" w:type="dxa"/>
            </w:tcMar>
            <w:vAlign w:val="top"/>
          </w:tcPr>
          <w:p>
            <w:pPr>
              <w:spacing w:before="0" w:after="40" w:line="259" w:lineRule="auto"/>
              <w:keepNext/>
            </w:pPr>
            <w:r>
              <w:rPr>
                <w:rFonts w:ascii="Inter" w:hAnsi="Inter" w:cs="Inter" w:eastAsia="Inter"/>
                <w:b/>
                <w:i w:val="0"/>
                <w:color w:val="128770"/>
                <w:sz w:val="19"/>
              </w:rPr>
              <w:t xml:space="preserve">C7.2   </w:t>
            </w:r>
            <w:r>
              <w:rPr>
                <w:rFonts w:ascii="Inter" w:hAnsi="Inter" w:cs="Inter" w:eastAsia="Inter"/>
                <w:b/>
                <w:i w:val="0"/>
                <w:color w:val="1A1A1A"/>
                <w:sz w:val="19"/>
              </w:rPr>
              <w:t>You can state how your base contributes to the goals in the local area strategic plan, and you supply data on emerging needs and trends when the local authority requests it.</w:t>
            </w:r>
            <w:r>
              <w:rPr>
                <w:rFonts w:ascii="Inter" w:hAnsi="Inter" w:cs="Inter" w:eastAsia="Inter"/>
                <w:b/>
                <w:i w:val="0"/>
                <w:color w:val="D35400"/>
                <w:sz w:val="17"/>
              </w:rPr>
              <w:t xml:space="preserve">   MUST  ·  existing legal duty</w:t>
            </w:r>
          </w:p>
          <w:p>
            <w:pPr>
              <w:spacing w:before="0" w:after="40" w:line="259" w:lineRule="auto"/>
              <w:keepNext/>
            </w:pPr>
            <w:r>
              <w:rPr>
                <w:rFonts w:ascii="Inter" w:hAnsi="Inter" w:cs="Inter" w:eastAsia="Inter"/>
                <w:b w:val="0"/>
                <w:i/>
                <w:color w:val="666666"/>
                <w:sz w:val="15"/>
              </w:rPr>
              <w:t>Whole school  ·  Guidance: “Schools, responsible bodies, and local groups of schools should be clear about how their base contributes to meeting the goals set out in the local area strategic plan. Where requested schools should contribute data about emerging education, health and social care needs, trends and provision. Schools have a duty to cooperate with local authorities regarding their place planning functions.”</w:t>
            </w:r>
          </w:p>
        </w:tc>
      </w:tr>
      <w:tr>
        <w:trPr>
          <w:trHeight w:val="1701" w:hRule="atLeast"/>
          <w:cantSplit/>
        </w:trPr>
        <w:tc>
          <w:tcPr>
            <w:tcW w:type="dxa" w:w="4082"/>
            <w:tcMar>
              <w:top w:w="70" w:type="dxa"/>
              <w:bottom w:w="70" w:type="dxa"/>
              <w:left w:w="90" w:type="dxa"/>
              <w:right w:w="90" w:type="dxa"/>
            </w:tcMar>
            <w:vAlign w:val="top"/>
          </w:tcPr>
          <w:p>
            <w:pPr>
              <w:spacing w:before="0" w:after="80" w:line="259" w:lineRule="auto"/>
            </w:pPr>
            <w:r>
              <w:rPr>
                <w:rFonts w:ascii="Inter" w:hAnsi="Inter" w:cs="Inter" w:eastAsia="Inter"/>
                <w:b/>
                <w:i w:val="0"/>
                <w:color w:val="128770"/>
                <w:sz w:val="17"/>
              </w:rPr>
              <w:t xml:space="preserve">1  </w:t>
            </w:r>
            <w:r>
              <w:rPr>
                <w:rFonts w:ascii="Inter" w:hAnsi="Inter" w:cs="Inter" w:eastAsia="Inter"/>
                <w:b w:val="0"/>
                <w:i w:val="0"/>
                <w:color w:val="1A1A1A"/>
                <w:sz w:val="17"/>
              </w:rPr>
              <w:t>The base's purpose is described only in school terms; the area plan is unknown.</w:t>
            </w:r>
          </w:p>
          <w:p>
            <w:pPr>
              <w:spacing w:before="0" w:after="80" w:line="259" w:lineRule="auto"/>
            </w:pPr>
            <w:r>
              <w:rPr>
                <w:rFonts w:ascii="Inter" w:hAnsi="Inter" w:cs="Inter" w:eastAsia="Inter"/>
                <w:b/>
                <w:i w:val="0"/>
                <w:color w:val="128770"/>
                <w:sz w:val="17"/>
              </w:rPr>
              <w:t xml:space="preserve">3  </w:t>
            </w:r>
            <w:r>
              <w:rPr>
                <w:rFonts w:ascii="Inter" w:hAnsi="Inter" w:cs="Inter" w:eastAsia="Inter"/>
                <w:b w:val="0"/>
                <w:i w:val="0"/>
                <w:color w:val="1A1A1A"/>
                <w:sz w:val="17"/>
              </w:rPr>
              <w:t>Staff could describe the contribution informally, but nothing is written down and data requests are handled ad hoc.</w:t>
            </w:r>
          </w:p>
          <w:p>
            <w:pPr>
              <w:spacing w:before="0" w:after="80" w:line="259" w:lineRule="auto"/>
            </w:pPr>
            <w:r>
              <w:rPr>
                <w:rFonts w:ascii="Inter" w:hAnsi="Inter" w:cs="Inter" w:eastAsia="Inter"/>
                <w:b/>
                <w:i w:val="0"/>
                <w:color w:val="128770"/>
                <w:sz w:val="17"/>
              </w:rPr>
              <w:t xml:space="preserve">5  </w:t>
            </w:r>
            <w:r>
              <w:rPr>
                <w:rFonts w:ascii="Inter" w:hAnsi="Inter" w:cs="Inter" w:eastAsia="Inter"/>
                <w:b w:val="0"/>
                <w:i w:val="0"/>
                <w:color w:val="1A1A1A"/>
                <w:sz w:val="17"/>
              </w:rPr>
              <w:t>The contribution is written into the base's specification, and there is an agreed route for supplying place-planning data.</w:t>
            </w:r>
          </w:p>
        </w:tc>
        <w:tc>
          <w:tcPr>
            <w:tcW w:type="dxa" w:w="3742"/>
            <w:tcMar>
              <w:top w:w="70" w:type="dxa"/>
              <w:bottom w:w="70" w:type="dxa"/>
              <w:left w:w="90" w:type="dxa"/>
              <w:right w:w="90" w:type="dxa"/>
            </w:tcMar>
            <w:vAlign w:val="top"/>
          </w:tcPr>
          <w:p>
            <w:pPr>
              <w:spacing w:before="0" w:after="80" w:line="259" w:lineRule="auto"/>
            </w:pPr>
            <w:r>
              <w:rPr>
                <w:rFonts w:ascii="Inter" w:hAnsi="Inter" w:cs="Inter" w:eastAsia="Inter"/>
                <w:b w:val="0"/>
                <w:i/>
                <w:color w:val="666666"/>
                <w:sz w:val="16"/>
              </w:rPr>
              <w:t>Where is the link between your base and the area plan actually written down?</w:t>
            </w:r>
          </w:p>
          <w:p>
            <w:pPr>
              <w:spacing w:before="0" w:after="80" w:line="259" w:lineRule="auto"/>
            </w:pPr>
            <w:r>
              <w:rPr>
                <w:rFonts w:ascii="Inter" w:hAnsi="Inter" w:cs="Inter" w:eastAsia="Inter"/>
                <w:b w:val="0"/>
                <w:i w:val="0"/>
                <w:color w:val="1A1A1A"/>
                <w:sz w:val="18"/>
              </w:rPr>
            </w:r>
          </w:p>
        </w:tc>
        <w:tc>
          <w:tcPr>
            <w:tcW w:type="dxa" w:w="964"/>
            <w:tcMar>
              <w:top w:w="70" w:type="dxa"/>
              <w:bottom w:w="70" w:type="dxa"/>
              <w:left w:w="90" w:type="dxa"/>
              <w:right w:w="90" w:type="dxa"/>
            </w:tcMar>
            <w:shd w:val="clear" w:color="auto" w:fill="FEF6D9"/>
            <w:vAlign w:val="center"/>
          </w:tcPr>
          <w:p>
            <w:pPr>
              <w:spacing w:before="0" w:after="40" w:line="259" w:lineRule="auto"/>
            </w:pPr>
            <w:r>
              <w:rPr>
                <w:rFonts w:ascii="Inter" w:hAnsi="Inter" w:cs="Inter" w:eastAsia="Inter"/>
                <w:b w:val="0"/>
                <w:i w:val="0"/>
                <w:color w:val="1A1A1A"/>
                <w:sz w:val="18"/>
              </w:rPr>
            </w:r>
          </w:p>
          <w:p>
            <w:pPr>
              <w:spacing w:before="0" w:after="40" w:line="259" w:lineRule="auto"/>
            </w:pPr>
            <w:r>
              <w:rPr>
                <w:rFonts w:ascii="Inter" w:hAnsi="Inter" w:cs="Inter" w:eastAsia="Inter"/>
                <w:b w:val="0"/>
                <w:i w:val="0"/>
                <w:color w:val="666666"/>
                <w:sz w:val="15"/>
              </w:rPr>
              <w:t>1 to 5</w:t>
            </w:r>
          </w:p>
        </w:tc>
        <w:tc>
          <w:tcPr>
            <w:tcW w:type="dxa" w:w="3742"/>
            <w:tcMar>
              <w:top w:w="70" w:type="dxa"/>
              <w:bottom w:w="70" w:type="dxa"/>
              <w:left w:w="90" w:type="dxa"/>
              <w:right w:w="90" w:type="dxa"/>
            </w:tcMar>
            <w:vAlign w:val="top"/>
          </w:tcPr>
          <w:p>
            <w:pPr>
              <w:spacing w:before="0" w:after="40" w:line="259" w:lineRule="auto"/>
            </w:pPr>
            <w:r>
              <w:rPr>
                <w:rFonts w:ascii="Inter" w:hAnsi="Inter" w:cs="Inter" w:eastAsia="Inter"/>
                <w:b w:val="0"/>
                <w:i w:val="0"/>
                <w:color w:val="1A1A1A"/>
                <w:sz w:val="17"/>
              </w:rPr>
              <w:t>Add a single paragraph to your base specification stating which local need the base addresses and which part of the area plan it serves. Name your local authority contact for data requests.</w:t>
            </w:r>
          </w:p>
        </w:tc>
        <w:tc>
          <w:tcPr>
            <w:tcW w:type="dxa" w:w="2948"/>
            <w:tcMar>
              <w:top w:w="70" w:type="dxa"/>
              <w:bottom w:w="70" w:type="dxa"/>
              <w:left w:w="90" w:type="dxa"/>
              <w:right w:w="90" w:type="dxa"/>
            </w:tcMar>
            <w:vAlign w:val="top"/>
          </w:tcPr>
          <w:p>
            <w:pPr>
              <w:spacing w:before="0" w:after="60" w:line="259" w:lineRule="auto"/>
            </w:pPr>
            <w:r>
              <w:rPr>
                <w:rFonts w:ascii="Inter" w:hAnsi="Inter" w:cs="Inter" w:eastAsia="Inter"/>
                <w:b w:val="0"/>
                <w:i w:val="0"/>
                <w:color w:val="666666"/>
                <w:sz w:val="15"/>
              </w:rPr>
              <w:t>Owner</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Target date</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Review date</w:t>
            </w:r>
          </w:p>
          <w:p>
            <w:pPr>
              <w:spacing w:before="0" w:after="60" w:line="259" w:lineRule="auto"/>
            </w:pPr>
            <w:r>
              <w:rPr>
                <w:rFonts w:ascii="Inter" w:hAnsi="Inter" w:cs="Inter" w:eastAsia="Inter"/>
                <w:b w:val="0"/>
                <w:i w:val="0"/>
                <w:color w:val="1A1A1A"/>
                <w:sz w:val="18"/>
              </w:rPr>
            </w:r>
          </w:p>
        </w:tc>
      </w:tr>
      <w:tr>
        <w:trPr>
          <w:cantSplit/>
        </w:trPr>
        <w:tc>
          <w:tcPr>
            <w:tcW w:type="dxa" w:w="15478"/>
            <w:gridSpan w:val="5"/>
            <w:shd w:val="clear" w:color="auto" w:fill="F1F7F6"/>
            <w:tcMar>
              <w:top w:w="80" w:type="dxa"/>
              <w:bottom w:w="80" w:type="dxa"/>
              <w:left w:w="90" w:type="dxa"/>
              <w:right w:w="90" w:type="dxa"/>
            </w:tcMar>
            <w:vAlign w:val="top"/>
          </w:tcPr>
          <w:p>
            <w:pPr>
              <w:spacing w:before="0" w:after="40" w:line="259" w:lineRule="auto"/>
              <w:keepNext/>
            </w:pPr>
            <w:r>
              <w:rPr>
                <w:rFonts w:ascii="Inter" w:hAnsi="Inter" w:cs="Inter" w:eastAsia="Inter"/>
                <w:b/>
                <w:i w:val="0"/>
                <w:color w:val="128770"/>
                <w:sz w:val="19"/>
              </w:rPr>
              <w:t xml:space="preserve">C7.3   </w:t>
            </w:r>
            <w:r>
              <w:rPr>
                <w:rFonts w:ascii="Inter" w:hAnsi="Inter" w:cs="Inter" w:eastAsia="Inter"/>
                <w:b/>
                <w:i w:val="0"/>
                <w:color w:val="1A1A1A"/>
                <w:sz w:val="19"/>
              </w:rPr>
              <w:t>Your base provision is published on your school website, included in your SEN Information Report where it supports learners with SEN, and reflected accurately in your Get Information About Schools record.</w:t>
            </w:r>
          </w:p>
          <w:p>
            <w:pPr>
              <w:spacing w:before="0" w:after="40" w:line="259" w:lineRule="auto"/>
              <w:keepNext/>
            </w:pPr>
            <w:r>
              <w:rPr>
                <w:rFonts w:ascii="Inter" w:hAnsi="Inter" w:cs="Inter" w:eastAsia="Inter"/>
                <w:b w:val="0"/>
                <w:i/>
                <w:color w:val="666666"/>
                <w:sz w:val="15"/>
              </w:rPr>
              <w:t>Whole school  ·  Guidance: “Schools should publicise their base provision on their website, and, where it supports children and young people with SEN, as part of their SEN Information Report. Schools should ensure their Get Information About Schools record is accurate and up to date in relation to their base provision.”</w:t>
            </w:r>
          </w:p>
        </w:tc>
      </w:tr>
      <w:tr>
        <w:trPr>
          <w:trHeight w:val="1701" w:hRule="atLeast"/>
          <w:cantSplit/>
        </w:trPr>
        <w:tc>
          <w:tcPr>
            <w:tcW w:type="dxa" w:w="4082"/>
            <w:tcMar>
              <w:top w:w="70" w:type="dxa"/>
              <w:bottom w:w="70" w:type="dxa"/>
              <w:left w:w="90" w:type="dxa"/>
              <w:right w:w="90" w:type="dxa"/>
            </w:tcMar>
            <w:vAlign w:val="top"/>
          </w:tcPr>
          <w:p>
            <w:pPr>
              <w:spacing w:before="0" w:after="80" w:line="259" w:lineRule="auto"/>
            </w:pPr>
            <w:r>
              <w:rPr>
                <w:rFonts w:ascii="Inter" w:hAnsi="Inter" w:cs="Inter" w:eastAsia="Inter"/>
                <w:b/>
                <w:i w:val="0"/>
                <w:color w:val="128770"/>
                <w:sz w:val="17"/>
              </w:rPr>
              <w:t xml:space="preserve">1  </w:t>
            </w:r>
            <w:r>
              <w:rPr>
                <w:rFonts w:ascii="Inter" w:hAnsi="Inter" w:cs="Inter" w:eastAsia="Inter"/>
                <w:b w:val="0"/>
                <w:i w:val="0"/>
                <w:color w:val="1A1A1A"/>
                <w:sz w:val="17"/>
              </w:rPr>
              <w:t>None of the three are up to date, or the base is not mentioned publicly at all.</w:t>
            </w:r>
          </w:p>
          <w:p>
            <w:pPr>
              <w:spacing w:before="0" w:after="80" w:line="259" w:lineRule="auto"/>
            </w:pPr>
            <w:r>
              <w:rPr>
                <w:rFonts w:ascii="Inter" w:hAnsi="Inter" w:cs="Inter" w:eastAsia="Inter"/>
                <w:b/>
                <w:i w:val="0"/>
                <w:color w:val="128770"/>
                <w:sz w:val="17"/>
              </w:rPr>
              <w:t xml:space="preserve">3  </w:t>
            </w:r>
            <w:r>
              <w:rPr>
                <w:rFonts w:ascii="Inter" w:hAnsi="Inter" w:cs="Inter" w:eastAsia="Inter"/>
                <w:b w:val="0"/>
                <w:i w:val="0"/>
                <w:color w:val="1A1A1A"/>
                <w:sz w:val="17"/>
              </w:rPr>
              <w:t>The website mentions the base but the SEN Information Report or the GIAS record is out of date.</w:t>
            </w:r>
          </w:p>
          <w:p>
            <w:pPr>
              <w:spacing w:before="0" w:after="80" w:line="259" w:lineRule="auto"/>
            </w:pPr>
            <w:r>
              <w:rPr>
                <w:rFonts w:ascii="Inter" w:hAnsi="Inter" w:cs="Inter" w:eastAsia="Inter"/>
                <w:b/>
                <w:i w:val="0"/>
                <w:color w:val="128770"/>
                <w:sz w:val="17"/>
              </w:rPr>
              <w:t xml:space="preserve">5  </w:t>
            </w:r>
            <w:r>
              <w:rPr>
                <w:rFonts w:ascii="Inter" w:hAnsi="Inter" w:cs="Inter" w:eastAsia="Inter"/>
                <w:b w:val="0"/>
                <w:i w:val="0"/>
                <w:color w:val="1A1A1A"/>
                <w:sz w:val="17"/>
              </w:rPr>
              <w:t>All three are current, consistent with each other, and were checked within the last twelve months.</w:t>
            </w:r>
          </w:p>
        </w:tc>
        <w:tc>
          <w:tcPr>
            <w:tcW w:type="dxa" w:w="3742"/>
            <w:tcMar>
              <w:top w:w="70" w:type="dxa"/>
              <w:bottom w:w="70" w:type="dxa"/>
              <w:left w:w="90" w:type="dxa"/>
              <w:right w:w="90" w:type="dxa"/>
            </w:tcMar>
            <w:vAlign w:val="top"/>
          </w:tcPr>
          <w:p>
            <w:pPr>
              <w:spacing w:before="0" w:after="80" w:line="259" w:lineRule="auto"/>
            </w:pPr>
            <w:r>
              <w:rPr>
                <w:rFonts w:ascii="Inter" w:hAnsi="Inter" w:cs="Inter" w:eastAsia="Inter"/>
                <w:b w:val="0"/>
                <w:i/>
                <w:color w:val="666666"/>
                <w:sz w:val="16"/>
              </w:rPr>
              <w:t>Open all three now. Do they say the same thing, and is any of it more than a year old?</w:t>
            </w:r>
          </w:p>
          <w:p>
            <w:pPr>
              <w:spacing w:before="0" w:after="80" w:line="259" w:lineRule="auto"/>
            </w:pPr>
            <w:r>
              <w:rPr>
                <w:rFonts w:ascii="Inter" w:hAnsi="Inter" w:cs="Inter" w:eastAsia="Inter"/>
                <w:b w:val="0"/>
                <w:i w:val="0"/>
                <w:color w:val="1A1A1A"/>
                <w:sz w:val="18"/>
              </w:rPr>
            </w:r>
          </w:p>
        </w:tc>
        <w:tc>
          <w:tcPr>
            <w:tcW w:type="dxa" w:w="964"/>
            <w:tcMar>
              <w:top w:w="70" w:type="dxa"/>
              <w:bottom w:w="70" w:type="dxa"/>
              <w:left w:w="90" w:type="dxa"/>
              <w:right w:w="90" w:type="dxa"/>
            </w:tcMar>
            <w:shd w:val="clear" w:color="auto" w:fill="FEF6D9"/>
            <w:vAlign w:val="center"/>
          </w:tcPr>
          <w:p>
            <w:pPr>
              <w:spacing w:before="0" w:after="40" w:line="259" w:lineRule="auto"/>
            </w:pPr>
            <w:r>
              <w:rPr>
                <w:rFonts w:ascii="Inter" w:hAnsi="Inter" w:cs="Inter" w:eastAsia="Inter"/>
                <w:b w:val="0"/>
                <w:i w:val="0"/>
                <w:color w:val="1A1A1A"/>
                <w:sz w:val="18"/>
              </w:rPr>
            </w:r>
          </w:p>
          <w:p>
            <w:pPr>
              <w:spacing w:before="0" w:after="40" w:line="259" w:lineRule="auto"/>
            </w:pPr>
            <w:r>
              <w:rPr>
                <w:rFonts w:ascii="Inter" w:hAnsi="Inter" w:cs="Inter" w:eastAsia="Inter"/>
                <w:b w:val="0"/>
                <w:i w:val="0"/>
                <w:color w:val="666666"/>
                <w:sz w:val="15"/>
              </w:rPr>
              <w:t>1 to 5</w:t>
            </w:r>
          </w:p>
        </w:tc>
        <w:tc>
          <w:tcPr>
            <w:tcW w:type="dxa" w:w="3742"/>
            <w:tcMar>
              <w:top w:w="70" w:type="dxa"/>
              <w:bottom w:w="70" w:type="dxa"/>
              <w:left w:w="90" w:type="dxa"/>
              <w:right w:w="90" w:type="dxa"/>
            </w:tcMar>
            <w:vAlign w:val="top"/>
          </w:tcPr>
          <w:p>
            <w:pPr>
              <w:spacing w:before="0" w:after="40" w:line="259" w:lineRule="auto"/>
            </w:pPr>
            <w:r>
              <w:rPr>
                <w:rFonts w:ascii="Inter" w:hAnsi="Inter" w:cs="Inter" w:eastAsia="Inter"/>
                <w:b w:val="0"/>
                <w:i w:val="0"/>
                <w:color w:val="1A1A1A"/>
                <w:sz w:val="17"/>
              </w:rPr>
              <w:t>This is a same-day fix and it is also the main way families find out the base exists. Check all three, correct them, and set an annual diary reminder.</w:t>
            </w:r>
          </w:p>
        </w:tc>
        <w:tc>
          <w:tcPr>
            <w:tcW w:type="dxa" w:w="2948"/>
            <w:tcMar>
              <w:top w:w="70" w:type="dxa"/>
              <w:bottom w:w="70" w:type="dxa"/>
              <w:left w:w="90" w:type="dxa"/>
              <w:right w:w="90" w:type="dxa"/>
            </w:tcMar>
            <w:vAlign w:val="top"/>
          </w:tcPr>
          <w:p>
            <w:pPr>
              <w:spacing w:before="0" w:after="60" w:line="259" w:lineRule="auto"/>
            </w:pPr>
            <w:r>
              <w:rPr>
                <w:rFonts w:ascii="Inter" w:hAnsi="Inter" w:cs="Inter" w:eastAsia="Inter"/>
                <w:b w:val="0"/>
                <w:i w:val="0"/>
                <w:color w:val="666666"/>
                <w:sz w:val="15"/>
              </w:rPr>
              <w:t>Owner</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Target date</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Review date</w:t>
            </w:r>
          </w:p>
          <w:p>
            <w:pPr>
              <w:spacing w:before="0" w:after="60" w:line="259" w:lineRule="auto"/>
            </w:pPr>
            <w:r>
              <w:rPr>
                <w:rFonts w:ascii="Inter" w:hAnsi="Inter" w:cs="Inter" w:eastAsia="Inter"/>
                <w:b w:val="0"/>
                <w:i w:val="0"/>
                <w:color w:val="1A1A1A"/>
                <w:sz w:val="18"/>
              </w:rPr>
            </w:r>
          </w:p>
        </w:tc>
      </w:tr>
      <w:tr>
        <w:trPr>
          <w:cantSplit/>
        </w:trPr>
        <w:tc>
          <w:tcPr>
            <w:tcW w:type="dxa" w:w="15478"/>
            <w:gridSpan w:val="5"/>
            <w:shd w:val="clear" w:color="auto" w:fill="F1F7F6"/>
            <w:tcMar>
              <w:top w:w="80" w:type="dxa"/>
              <w:bottom w:w="80" w:type="dxa"/>
              <w:left w:w="90" w:type="dxa"/>
              <w:right w:w="90" w:type="dxa"/>
            </w:tcMar>
            <w:vAlign w:val="top"/>
          </w:tcPr>
          <w:p>
            <w:pPr>
              <w:spacing w:before="0" w:after="40" w:line="259" w:lineRule="auto"/>
              <w:keepNext/>
            </w:pPr>
            <w:r>
              <w:rPr>
                <w:rFonts w:ascii="Inter" w:hAnsi="Inter" w:cs="Inter" w:eastAsia="Inter"/>
                <w:b/>
                <w:i w:val="0"/>
                <w:color w:val="128770"/>
                <w:sz w:val="19"/>
              </w:rPr>
              <w:t xml:space="preserve">C7.4   </w:t>
            </w:r>
            <w:r>
              <w:rPr>
                <w:rFonts w:ascii="Inter" w:hAnsi="Inter" w:cs="Inter" w:eastAsia="Inter"/>
                <w:b/>
                <w:i w:val="0"/>
                <w:color w:val="1A1A1A"/>
                <w:sz w:val="19"/>
              </w:rPr>
              <w:t>Where the base is commissioned across a group of schools, the group visits at least annually, reviews outcomes, monitors use of places, and includes observation of practice by a suitably qualified practitioner.</w:t>
            </w:r>
          </w:p>
          <w:p>
            <w:pPr>
              <w:spacing w:before="0" w:after="40" w:line="259" w:lineRule="auto"/>
              <w:keepNext/>
            </w:pPr>
            <w:r>
              <w:rPr>
                <w:rFonts w:ascii="Inter" w:hAnsi="Inter" w:cs="Inter" w:eastAsia="Inter"/>
                <w:b w:val="0"/>
                <w:i/>
                <w:color w:val="666666"/>
                <w:sz w:val="15"/>
              </w:rPr>
              <w:t>Whole school  ·  Guidance: “Where bases are being commissioned across a group of schools, for example a multi academy trust or a local partnership, the group should make arrangements for regular oversight of each base - visit at least annually, review outcomes, monitor use of places, and ensure the offer remains appropriate and high quality. This should include observation of practice by a suitably qualified practitioner.”</w:t>
            </w:r>
          </w:p>
        </w:tc>
      </w:tr>
      <w:tr>
        <w:trPr>
          <w:trHeight w:val="1701" w:hRule="atLeast"/>
          <w:cantSplit/>
        </w:trPr>
        <w:tc>
          <w:tcPr>
            <w:tcW w:type="dxa" w:w="4082"/>
            <w:tcMar>
              <w:top w:w="70" w:type="dxa"/>
              <w:bottom w:w="70" w:type="dxa"/>
              <w:left w:w="90" w:type="dxa"/>
              <w:right w:w="90" w:type="dxa"/>
            </w:tcMar>
            <w:vAlign w:val="top"/>
          </w:tcPr>
          <w:p>
            <w:pPr>
              <w:spacing w:before="0" w:after="80" w:line="259" w:lineRule="auto"/>
            </w:pPr>
            <w:r>
              <w:rPr>
                <w:rFonts w:ascii="Inter" w:hAnsi="Inter" w:cs="Inter" w:eastAsia="Inter"/>
                <w:b/>
                <w:i w:val="0"/>
                <w:color w:val="128770"/>
                <w:sz w:val="17"/>
              </w:rPr>
              <w:t xml:space="preserve">1  </w:t>
            </w:r>
            <w:r>
              <w:rPr>
                <w:rFonts w:ascii="Inter" w:hAnsi="Inter" w:cs="Inter" w:eastAsia="Inter"/>
                <w:b w:val="0"/>
                <w:i w:val="0"/>
                <w:color w:val="1A1A1A"/>
                <w:sz w:val="17"/>
              </w:rPr>
              <w:t>No external oversight beyond the school's own leadership.</w:t>
            </w:r>
          </w:p>
          <w:p>
            <w:pPr>
              <w:spacing w:before="0" w:after="80" w:line="259" w:lineRule="auto"/>
            </w:pPr>
            <w:r>
              <w:rPr>
                <w:rFonts w:ascii="Inter" w:hAnsi="Inter" w:cs="Inter" w:eastAsia="Inter"/>
                <w:b/>
                <w:i w:val="0"/>
                <w:color w:val="128770"/>
                <w:sz w:val="17"/>
              </w:rPr>
              <w:t xml:space="preserve">3  </w:t>
            </w:r>
            <w:r>
              <w:rPr>
                <w:rFonts w:ascii="Inter" w:hAnsi="Inter" w:cs="Inter" w:eastAsia="Inter"/>
                <w:b w:val="0"/>
                <w:i w:val="0"/>
                <w:color w:val="1A1A1A"/>
                <w:sz w:val="17"/>
              </w:rPr>
              <w:t>An annual visit happens, but it reviews paperwork rather than practice, and no suitably qualified practitioner observes.</w:t>
            </w:r>
          </w:p>
          <w:p>
            <w:pPr>
              <w:spacing w:before="0" w:after="80" w:line="259" w:lineRule="auto"/>
            </w:pPr>
            <w:r>
              <w:rPr>
                <w:rFonts w:ascii="Inter" w:hAnsi="Inter" w:cs="Inter" w:eastAsia="Inter"/>
                <w:b/>
                <w:i w:val="0"/>
                <w:color w:val="128770"/>
                <w:sz w:val="17"/>
              </w:rPr>
              <w:t xml:space="preserve">5  </w:t>
            </w:r>
            <w:r>
              <w:rPr>
                <w:rFonts w:ascii="Inter" w:hAnsi="Inter" w:cs="Inter" w:eastAsia="Inter"/>
                <w:b w:val="0"/>
                <w:i w:val="0"/>
                <w:color w:val="1A1A1A"/>
                <w:sz w:val="17"/>
              </w:rPr>
              <w:t>Annual oversight covers outcomes, place use and observed practice, and produces actions that are followed up.</w:t>
            </w:r>
          </w:p>
        </w:tc>
        <w:tc>
          <w:tcPr>
            <w:tcW w:type="dxa" w:w="3742"/>
            <w:tcMar>
              <w:top w:w="70" w:type="dxa"/>
              <w:bottom w:w="70" w:type="dxa"/>
              <w:left w:w="90" w:type="dxa"/>
              <w:right w:w="90" w:type="dxa"/>
            </w:tcMar>
            <w:vAlign w:val="top"/>
          </w:tcPr>
          <w:p>
            <w:pPr>
              <w:spacing w:before="0" w:after="80" w:line="259" w:lineRule="auto"/>
            </w:pPr>
            <w:r>
              <w:rPr>
                <w:rFonts w:ascii="Inter" w:hAnsi="Inter" w:cs="Inter" w:eastAsia="Inter"/>
                <w:b w:val="0"/>
                <w:i/>
                <w:color w:val="666666"/>
                <w:sz w:val="16"/>
              </w:rPr>
              <w:t>Who observed practice in the base most recently, what were they qualified in, and what changed as a result?</w:t>
            </w:r>
          </w:p>
          <w:p>
            <w:pPr>
              <w:spacing w:before="0" w:after="80" w:line="259" w:lineRule="auto"/>
            </w:pPr>
            <w:r>
              <w:rPr>
                <w:rFonts w:ascii="Inter" w:hAnsi="Inter" w:cs="Inter" w:eastAsia="Inter"/>
                <w:b w:val="0"/>
                <w:i w:val="0"/>
                <w:color w:val="1A1A1A"/>
                <w:sz w:val="18"/>
              </w:rPr>
            </w:r>
          </w:p>
        </w:tc>
        <w:tc>
          <w:tcPr>
            <w:tcW w:type="dxa" w:w="964"/>
            <w:tcMar>
              <w:top w:w="70" w:type="dxa"/>
              <w:bottom w:w="70" w:type="dxa"/>
              <w:left w:w="90" w:type="dxa"/>
              <w:right w:w="90" w:type="dxa"/>
            </w:tcMar>
            <w:shd w:val="clear" w:color="auto" w:fill="FEF6D9"/>
            <w:vAlign w:val="center"/>
          </w:tcPr>
          <w:p>
            <w:pPr>
              <w:spacing w:before="0" w:after="40" w:line="259" w:lineRule="auto"/>
            </w:pPr>
            <w:r>
              <w:rPr>
                <w:rFonts w:ascii="Inter" w:hAnsi="Inter" w:cs="Inter" w:eastAsia="Inter"/>
                <w:b w:val="0"/>
                <w:i w:val="0"/>
                <w:color w:val="1A1A1A"/>
                <w:sz w:val="18"/>
              </w:rPr>
            </w:r>
          </w:p>
          <w:p>
            <w:pPr>
              <w:spacing w:before="0" w:after="40" w:line="259" w:lineRule="auto"/>
            </w:pPr>
            <w:r>
              <w:rPr>
                <w:rFonts w:ascii="Inter" w:hAnsi="Inter" w:cs="Inter" w:eastAsia="Inter"/>
                <w:b w:val="0"/>
                <w:i w:val="0"/>
                <w:color w:val="666666"/>
                <w:sz w:val="15"/>
              </w:rPr>
              <w:t>1 to 5</w:t>
            </w:r>
          </w:p>
        </w:tc>
        <w:tc>
          <w:tcPr>
            <w:tcW w:type="dxa" w:w="3742"/>
            <w:tcMar>
              <w:top w:w="70" w:type="dxa"/>
              <w:bottom w:w="70" w:type="dxa"/>
              <w:left w:w="90" w:type="dxa"/>
              <w:right w:w="90" w:type="dxa"/>
            </w:tcMar>
            <w:vAlign w:val="top"/>
          </w:tcPr>
          <w:p>
            <w:pPr>
              <w:spacing w:before="0" w:after="40" w:line="259" w:lineRule="auto"/>
            </w:pPr>
            <w:r>
              <w:rPr>
                <w:rFonts w:ascii="Inter" w:hAnsi="Inter" w:cs="Inter" w:eastAsia="Inter"/>
                <w:b w:val="0"/>
                <w:i w:val="0"/>
                <w:color w:val="1A1A1A"/>
                <w:sz w:val="17"/>
              </w:rPr>
              <w:t>The guidance is specific that oversight must include observation of practice by a suitably qualified practitioner, not a paperwork review. If your trust or partnership cannot supply one, ask the local authority whether it extends its specialist-base support offer to support bases in your area.</w:t>
            </w:r>
          </w:p>
        </w:tc>
        <w:tc>
          <w:tcPr>
            <w:tcW w:type="dxa" w:w="2948"/>
            <w:tcMar>
              <w:top w:w="70" w:type="dxa"/>
              <w:bottom w:w="70" w:type="dxa"/>
              <w:left w:w="90" w:type="dxa"/>
              <w:right w:w="90" w:type="dxa"/>
            </w:tcMar>
            <w:vAlign w:val="top"/>
          </w:tcPr>
          <w:p>
            <w:pPr>
              <w:spacing w:before="0" w:after="60" w:line="259" w:lineRule="auto"/>
            </w:pPr>
            <w:r>
              <w:rPr>
                <w:rFonts w:ascii="Inter" w:hAnsi="Inter" w:cs="Inter" w:eastAsia="Inter"/>
                <w:b w:val="0"/>
                <w:i w:val="0"/>
                <w:color w:val="666666"/>
                <w:sz w:val="15"/>
              </w:rPr>
              <w:t>Owner</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Target date</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Review date</w:t>
            </w:r>
          </w:p>
          <w:p>
            <w:pPr>
              <w:spacing w:before="0" w:after="60" w:line="259" w:lineRule="auto"/>
            </w:pPr>
            <w:r>
              <w:rPr>
                <w:rFonts w:ascii="Inter" w:hAnsi="Inter" w:cs="Inter" w:eastAsia="Inter"/>
                <w:b w:val="0"/>
                <w:i w:val="0"/>
                <w:color w:val="1A1A1A"/>
                <w:sz w:val="18"/>
              </w:rPr>
            </w:r>
          </w:p>
        </w:tc>
      </w:tr>
      <w:tr>
        <w:trPr>
          <w:cantSplit/>
        </w:trPr>
        <w:tc>
          <w:tcPr>
            <w:tcW w:type="dxa" w:w="15478"/>
            <w:gridSpan w:val="5"/>
            <w:shd w:val="clear" w:color="auto" w:fill="F1F7F6"/>
            <w:tcMar>
              <w:top w:w="80" w:type="dxa"/>
              <w:bottom w:w="80" w:type="dxa"/>
              <w:left w:w="90" w:type="dxa"/>
              <w:right w:w="90" w:type="dxa"/>
            </w:tcMar>
            <w:vAlign w:val="top"/>
          </w:tcPr>
          <w:p>
            <w:pPr>
              <w:spacing w:before="0" w:after="40" w:line="259" w:lineRule="auto"/>
              <w:keepNext/>
            </w:pPr>
            <w:r>
              <w:rPr>
                <w:rFonts w:ascii="Inter" w:hAnsi="Inter" w:cs="Inter" w:eastAsia="Inter"/>
                <w:b/>
                <w:i w:val="0"/>
                <w:color w:val="128770"/>
                <w:sz w:val="19"/>
              </w:rPr>
              <w:t xml:space="preserve">C7.5   </w:t>
            </w:r>
            <w:r>
              <w:rPr>
                <w:rFonts w:ascii="Inter" w:hAnsi="Inter" w:cs="Inter" w:eastAsia="Inter"/>
                <w:b/>
                <w:i w:val="0"/>
                <w:color w:val="1A1A1A"/>
                <w:sz w:val="19"/>
              </w:rPr>
              <w:t>A written service specification exists for the base, agreed with the commissioner, covering cohort profile, entry and exit criteria, staffing model, physical environment and capacity, curriculum and intervention offer, inclusive practice and statutory compliance, expected outcomes, quality assurance, funding and governance.</w:t>
            </w:r>
          </w:p>
          <w:p>
            <w:pPr>
              <w:spacing w:before="0" w:after="40" w:line="259" w:lineRule="auto"/>
              <w:keepNext/>
            </w:pPr>
            <w:r>
              <w:rPr>
                <w:rFonts w:ascii="Inter" w:hAnsi="Inter" w:cs="Inter" w:eastAsia="Inter"/>
                <w:b w:val="0"/>
                <w:i/>
                <w:color w:val="666666"/>
                <w:sz w:val="15"/>
              </w:rPr>
              <w:t>Whole school  ·  Guidance: “Commissioning arrangements should detail a clear specification, including but not limited to: intended cohort profile and developmental stage; entry/exit criteria, including approach to reintegration where appropriate; staffing model, role of school leaders, and access to relevant specialists and health professionals; physical environment and operational capacity; curriculum and intervention offer; approach to inclusive practice and compliance with related statutory duties; expected outcomes; quality assurance processes; funding arrangements; governance arrangements. Responsible bodies should agree the specification of the base with the commissioner.”</w:t>
            </w:r>
          </w:p>
        </w:tc>
      </w:tr>
      <w:tr>
        <w:trPr>
          <w:trHeight w:val="1701" w:hRule="atLeast"/>
          <w:cantSplit/>
        </w:trPr>
        <w:tc>
          <w:tcPr>
            <w:tcW w:type="dxa" w:w="4082"/>
            <w:tcMar>
              <w:top w:w="70" w:type="dxa"/>
              <w:bottom w:w="70" w:type="dxa"/>
              <w:left w:w="90" w:type="dxa"/>
              <w:right w:w="90" w:type="dxa"/>
            </w:tcMar>
            <w:vAlign w:val="top"/>
          </w:tcPr>
          <w:p>
            <w:pPr>
              <w:spacing w:before="0" w:after="80" w:line="259" w:lineRule="auto"/>
            </w:pPr>
            <w:r>
              <w:rPr>
                <w:rFonts w:ascii="Inter" w:hAnsi="Inter" w:cs="Inter" w:eastAsia="Inter"/>
                <w:b/>
                <w:i w:val="0"/>
                <w:color w:val="128770"/>
                <w:sz w:val="17"/>
              </w:rPr>
              <w:t xml:space="preserve">1  </w:t>
            </w:r>
            <w:r>
              <w:rPr>
                <w:rFonts w:ascii="Inter" w:hAnsi="Inter" w:cs="Inter" w:eastAsia="Inter"/>
                <w:b w:val="0"/>
                <w:i w:val="0"/>
                <w:color w:val="1A1A1A"/>
                <w:sz w:val="17"/>
              </w:rPr>
              <w:t>No written specification. The base operates on custom and practice.</w:t>
            </w:r>
          </w:p>
          <w:p>
            <w:pPr>
              <w:spacing w:before="0" w:after="80" w:line="259" w:lineRule="auto"/>
            </w:pPr>
            <w:r>
              <w:rPr>
                <w:rFonts w:ascii="Inter" w:hAnsi="Inter" w:cs="Inter" w:eastAsia="Inter"/>
                <w:b/>
                <w:i w:val="0"/>
                <w:color w:val="128770"/>
                <w:sz w:val="17"/>
              </w:rPr>
              <w:t xml:space="preserve">3  </w:t>
            </w:r>
            <w:r>
              <w:rPr>
                <w:rFonts w:ascii="Inter" w:hAnsi="Inter" w:cs="Inter" w:eastAsia="Inter"/>
                <w:b w:val="0"/>
                <w:i w:val="0"/>
                <w:color w:val="1A1A1A"/>
                <w:sz w:val="17"/>
              </w:rPr>
              <w:t>A specification exists but is silent on several of the listed elements, most often entry and exit criteria or expected outcomes.</w:t>
            </w:r>
          </w:p>
          <w:p>
            <w:pPr>
              <w:spacing w:before="0" w:after="80" w:line="259" w:lineRule="auto"/>
            </w:pPr>
            <w:r>
              <w:rPr>
                <w:rFonts w:ascii="Inter" w:hAnsi="Inter" w:cs="Inter" w:eastAsia="Inter"/>
                <w:b/>
                <w:i w:val="0"/>
                <w:color w:val="128770"/>
                <w:sz w:val="17"/>
              </w:rPr>
              <w:t xml:space="preserve">5  </w:t>
            </w:r>
            <w:r>
              <w:rPr>
                <w:rFonts w:ascii="Inter" w:hAnsi="Inter" w:cs="Inter" w:eastAsia="Inter"/>
                <w:b w:val="0"/>
                <w:i w:val="0"/>
                <w:color w:val="1A1A1A"/>
                <w:sz w:val="17"/>
              </w:rPr>
              <w:t>All listed elements are covered, the specification is agreed with the commissioner, and it is reviewed on a known cycle.</w:t>
            </w:r>
          </w:p>
        </w:tc>
        <w:tc>
          <w:tcPr>
            <w:tcW w:type="dxa" w:w="3742"/>
            <w:tcMar>
              <w:top w:w="70" w:type="dxa"/>
              <w:bottom w:w="70" w:type="dxa"/>
              <w:left w:w="90" w:type="dxa"/>
              <w:right w:w="90" w:type="dxa"/>
            </w:tcMar>
            <w:vAlign w:val="top"/>
          </w:tcPr>
          <w:p>
            <w:pPr>
              <w:spacing w:before="0" w:after="80" w:line="259" w:lineRule="auto"/>
            </w:pPr>
            <w:r>
              <w:rPr>
                <w:rFonts w:ascii="Inter" w:hAnsi="Inter" w:cs="Inter" w:eastAsia="Inter"/>
                <w:b w:val="0"/>
                <w:i/>
                <w:color w:val="666666"/>
                <w:sz w:val="16"/>
              </w:rPr>
              <w:t>Produce the specification and tick off the ten elements. Which are missing?</w:t>
            </w:r>
          </w:p>
          <w:p>
            <w:pPr>
              <w:spacing w:before="0" w:after="80" w:line="259" w:lineRule="auto"/>
            </w:pPr>
            <w:r>
              <w:rPr>
                <w:rFonts w:ascii="Inter" w:hAnsi="Inter" w:cs="Inter" w:eastAsia="Inter"/>
                <w:b w:val="0"/>
                <w:i w:val="0"/>
                <w:color w:val="1A1A1A"/>
                <w:sz w:val="18"/>
              </w:rPr>
            </w:r>
          </w:p>
        </w:tc>
        <w:tc>
          <w:tcPr>
            <w:tcW w:type="dxa" w:w="964"/>
            <w:tcMar>
              <w:top w:w="70" w:type="dxa"/>
              <w:bottom w:w="70" w:type="dxa"/>
              <w:left w:w="90" w:type="dxa"/>
              <w:right w:w="90" w:type="dxa"/>
            </w:tcMar>
            <w:shd w:val="clear" w:color="auto" w:fill="FEF6D9"/>
            <w:vAlign w:val="center"/>
          </w:tcPr>
          <w:p>
            <w:pPr>
              <w:spacing w:before="0" w:after="40" w:line="259" w:lineRule="auto"/>
            </w:pPr>
            <w:r>
              <w:rPr>
                <w:rFonts w:ascii="Inter" w:hAnsi="Inter" w:cs="Inter" w:eastAsia="Inter"/>
                <w:b w:val="0"/>
                <w:i w:val="0"/>
                <w:color w:val="1A1A1A"/>
                <w:sz w:val="18"/>
              </w:rPr>
            </w:r>
          </w:p>
          <w:p>
            <w:pPr>
              <w:spacing w:before="0" w:after="40" w:line="259" w:lineRule="auto"/>
            </w:pPr>
            <w:r>
              <w:rPr>
                <w:rFonts w:ascii="Inter" w:hAnsi="Inter" w:cs="Inter" w:eastAsia="Inter"/>
                <w:b w:val="0"/>
                <w:i w:val="0"/>
                <w:color w:val="666666"/>
                <w:sz w:val="15"/>
              </w:rPr>
              <w:t>1 to 5</w:t>
            </w:r>
          </w:p>
        </w:tc>
        <w:tc>
          <w:tcPr>
            <w:tcW w:type="dxa" w:w="3742"/>
            <w:tcMar>
              <w:top w:w="70" w:type="dxa"/>
              <w:bottom w:w="70" w:type="dxa"/>
              <w:left w:w="90" w:type="dxa"/>
              <w:right w:w="90" w:type="dxa"/>
            </w:tcMar>
            <w:vAlign w:val="top"/>
          </w:tcPr>
          <w:p>
            <w:pPr>
              <w:spacing w:before="0" w:after="40" w:line="259" w:lineRule="auto"/>
            </w:pPr>
            <w:r>
              <w:rPr>
                <w:rFonts w:ascii="Inter" w:hAnsi="Inter" w:cs="Inter" w:eastAsia="Inter"/>
                <w:b w:val="0"/>
                <w:i w:val="0"/>
                <w:color w:val="1A1A1A"/>
                <w:sz w:val="17"/>
              </w:rPr>
              <w:t>Entry and exit criteria are the element most often absent and the one that most affects children, because without them placement becomes permanent by default. Draft those first. Where the commissioner is a separate body, this belongs in a Service Level Agreement; where the commissioner and host school are the same entity, the guidance still calls it good practice.</w:t>
            </w:r>
          </w:p>
        </w:tc>
        <w:tc>
          <w:tcPr>
            <w:tcW w:type="dxa" w:w="2948"/>
            <w:tcMar>
              <w:top w:w="70" w:type="dxa"/>
              <w:bottom w:w="70" w:type="dxa"/>
              <w:left w:w="90" w:type="dxa"/>
              <w:right w:w="90" w:type="dxa"/>
            </w:tcMar>
            <w:vAlign w:val="top"/>
          </w:tcPr>
          <w:p>
            <w:pPr>
              <w:spacing w:before="0" w:after="60" w:line="259" w:lineRule="auto"/>
            </w:pPr>
            <w:r>
              <w:rPr>
                <w:rFonts w:ascii="Inter" w:hAnsi="Inter" w:cs="Inter" w:eastAsia="Inter"/>
                <w:b w:val="0"/>
                <w:i w:val="0"/>
                <w:color w:val="666666"/>
                <w:sz w:val="15"/>
              </w:rPr>
              <w:t>Owner</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Target date</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Review date</w:t>
            </w:r>
          </w:p>
          <w:p>
            <w:pPr>
              <w:spacing w:before="0" w:after="60" w:line="259" w:lineRule="auto"/>
            </w:pPr>
            <w:r>
              <w:rPr>
                <w:rFonts w:ascii="Inter" w:hAnsi="Inter" w:cs="Inter" w:eastAsia="Inter"/>
                <w:b w:val="0"/>
                <w:i w:val="0"/>
                <w:color w:val="1A1A1A"/>
                <w:sz w:val="18"/>
              </w:rPr>
            </w:r>
          </w:p>
        </w:tc>
      </w:tr>
      <w:tr>
        <w:trPr>
          <w:cantSplit/>
        </w:trPr>
        <w:tc>
          <w:tcPr>
            <w:tcW w:type="dxa" w:w="15478"/>
            <w:gridSpan w:val="5"/>
            <w:shd w:val="clear" w:color="auto" w:fill="F1F7F6"/>
            <w:tcMar>
              <w:top w:w="80" w:type="dxa"/>
              <w:bottom w:w="80" w:type="dxa"/>
              <w:left w:w="90" w:type="dxa"/>
              <w:right w:w="90" w:type="dxa"/>
            </w:tcMar>
            <w:vAlign w:val="top"/>
          </w:tcPr>
          <w:p>
            <w:pPr>
              <w:spacing w:before="0" w:after="40" w:line="259" w:lineRule="auto"/>
              <w:keepNext/>
            </w:pPr>
            <w:r>
              <w:rPr>
                <w:rFonts w:ascii="Inter" w:hAnsi="Inter" w:cs="Inter" w:eastAsia="Inter"/>
                <w:b/>
                <w:i w:val="0"/>
                <w:color w:val="128770"/>
                <w:sz w:val="19"/>
              </w:rPr>
              <w:t xml:space="preserve">C7.6   </w:t>
            </w:r>
            <w:r>
              <w:rPr>
                <w:rFonts w:ascii="Inter" w:hAnsi="Inter" w:cs="Inter" w:eastAsia="Inter"/>
                <w:b/>
                <w:i w:val="0"/>
                <w:color w:val="1A1A1A"/>
                <w:sz w:val="19"/>
              </w:rPr>
              <w:t>Governance arrangements name who is responsible for safeguarding, quality assurance, data monitoring, commissioning of specialist services, financial oversight, and admissions, transitions and placement review.</w:t>
            </w:r>
          </w:p>
          <w:p>
            <w:pPr>
              <w:spacing w:before="0" w:after="40" w:line="259" w:lineRule="auto"/>
              <w:keepNext/>
            </w:pPr>
            <w:r>
              <w:rPr>
                <w:rFonts w:ascii="Inter" w:hAnsi="Inter" w:cs="Inter" w:eastAsia="Inter"/>
                <w:b w:val="0"/>
                <w:i/>
                <w:color w:val="666666"/>
                <w:sz w:val="15"/>
              </w:rPr>
              <w:t>Whole school  ·  Guidance: “Governance arrangements should define responsibilities for: safeguarding; quality assurance; data monitoring; commissioning of specialist services; financial oversight; admissions processes, transition arrangements, and review of placements. Wherever possible commissioners should provide schools with a single point of contact.”</w:t>
            </w:r>
          </w:p>
        </w:tc>
      </w:tr>
      <w:tr>
        <w:trPr>
          <w:trHeight w:val="1701" w:hRule="atLeast"/>
          <w:cantSplit/>
        </w:trPr>
        <w:tc>
          <w:tcPr>
            <w:tcW w:type="dxa" w:w="4082"/>
            <w:tcMar>
              <w:top w:w="70" w:type="dxa"/>
              <w:bottom w:w="70" w:type="dxa"/>
              <w:left w:w="90" w:type="dxa"/>
              <w:right w:w="90" w:type="dxa"/>
            </w:tcMar>
            <w:vAlign w:val="top"/>
          </w:tcPr>
          <w:p>
            <w:pPr>
              <w:spacing w:before="0" w:after="80" w:line="259" w:lineRule="auto"/>
            </w:pPr>
            <w:r>
              <w:rPr>
                <w:rFonts w:ascii="Inter" w:hAnsi="Inter" w:cs="Inter" w:eastAsia="Inter"/>
                <w:b/>
                <w:i w:val="0"/>
                <w:color w:val="128770"/>
                <w:sz w:val="17"/>
              </w:rPr>
              <w:t xml:space="preserve">1  </w:t>
            </w:r>
            <w:r>
              <w:rPr>
                <w:rFonts w:ascii="Inter" w:hAnsi="Inter" w:cs="Inter" w:eastAsia="Inter"/>
                <w:b w:val="0"/>
                <w:i w:val="0"/>
                <w:color w:val="1A1A1A"/>
                <w:sz w:val="17"/>
              </w:rPr>
              <w:t>Responsibilities are assumed rather than assigned; several of the six have no named owner.</w:t>
            </w:r>
          </w:p>
          <w:p>
            <w:pPr>
              <w:spacing w:before="0" w:after="80" w:line="259" w:lineRule="auto"/>
            </w:pPr>
            <w:r>
              <w:rPr>
                <w:rFonts w:ascii="Inter" w:hAnsi="Inter" w:cs="Inter" w:eastAsia="Inter"/>
                <w:b/>
                <w:i w:val="0"/>
                <w:color w:val="128770"/>
                <w:sz w:val="17"/>
              </w:rPr>
              <w:t xml:space="preserve">3  </w:t>
            </w:r>
            <w:r>
              <w:rPr>
                <w:rFonts w:ascii="Inter" w:hAnsi="Inter" w:cs="Inter" w:eastAsia="Inter"/>
                <w:b w:val="0"/>
                <w:i w:val="0"/>
                <w:color w:val="1A1A1A"/>
                <w:sz w:val="17"/>
              </w:rPr>
              <w:t>Most have an owner, but placement review or commissioning of specialist services sits with nobody in particular.</w:t>
            </w:r>
          </w:p>
          <w:p>
            <w:pPr>
              <w:spacing w:before="0" w:after="80" w:line="259" w:lineRule="auto"/>
            </w:pPr>
            <w:r>
              <w:rPr>
                <w:rFonts w:ascii="Inter" w:hAnsi="Inter" w:cs="Inter" w:eastAsia="Inter"/>
                <w:b/>
                <w:i w:val="0"/>
                <w:color w:val="128770"/>
                <w:sz w:val="17"/>
              </w:rPr>
              <w:t xml:space="preserve">5  </w:t>
            </w:r>
            <w:r>
              <w:rPr>
                <w:rFonts w:ascii="Inter" w:hAnsi="Inter" w:cs="Inter" w:eastAsia="Inter"/>
                <w:b w:val="0"/>
                <w:i w:val="0"/>
                <w:color w:val="1A1A1A"/>
                <w:sz w:val="17"/>
              </w:rPr>
              <w:t>All six are named, known to the people holding them, and there is a single point of contact with the commissioner.</w:t>
            </w:r>
          </w:p>
        </w:tc>
        <w:tc>
          <w:tcPr>
            <w:tcW w:type="dxa" w:w="3742"/>
            <w:tcMar>
              <w:top w:w="70" w:type="dxa"/>
              <w:bottom w:w="70" w:type="dxa"/>
              <w:left w:w="90" w:type="dxa"/>
              <w:right w:w="90" w:type="dxa"/>
            </w:tcMar>
            <w:vAlign w:val="top"/>
          </w:tcPr>
          <w:p>
            <w:pPr>
              <w:spacing w:before="0" w:after="80" w:line="259" w:lineRule="auto"/>
            </w:pPr>
            <w:r>
              <w:rPr>
                <w:rFonts w:ascii="Inter" w:hAnsi="Inter" w:cs="Inter" w:eastAsia="Inter"/>
                <w:b w:val="0"/>
                <w:i/>
                <w:color w:val="666666"/>
                <w:sz w:val="16"/>
              </w:rPr>
              <w:t>Name the person accountable for each of the six. Can you do it without checking?</w:t>
            </w:r>
          </w:p>
          <w:p>
            <w:pPr>
              <w:spacing w:before="0" w:after="80" w:line="259" w:lineRule="auto"/>
            </w:pPr>
            <w:r>
              <w:rPr>
                <w:rFonts w:ascii="Inter" w:hAnsi="Inter" w:cs="Inter" w:eastAsia="Inter"/>
                <w:b w:val="0"/>
                <w:i w:val="0"/>
                <w:color w:val="1A1A1A"/>
                <w:sz w:val="18"/>
              </w:rPr>
            </w:r>
          </w:p>
        </w:tc>
        <w:tc>
          <w:tcPr>
            <w:tcW w:type="dxa" w:w="964"/>
            <w:tcMar>
              <w:top w:w="70" w:type="dxa"/>
              <w:bottom w:w="70" w:type="dxa"/>
              <w:left w:w="90" w:type="dxa"/>
              <w:right w:w="90" w:type="dxa"/>
            </w:tcMar>
            <w:shd w:val="clear" w:color="auto" w:fill="FEF6D9"/>
            <w:vAlign w:val="center"/>
          </w:tcPr>
          <w:p>
            <w:pPr>
              <w:spacing w:before="0" w:after="40" w:line="259" w:lineRule="auto"/>
            </w:pPr>
            <w:r>
              <w:rPr>
                <w:rFonts w:ascii="Inter" w:hAnsi="Inter" w:cs="Inter" w:eastAsia="Inter"/>
                <w:b w:val="0"/>
                <w:i w:val="0"/>
                <w:color w:val="1A1A1A"/>
                <w:sz w:val="18"/>
              </w:rPr>
            </w:r>
          </w:p>
          <w:p>
            <w:pPr>
              <w:spacing w:before="0" w:after="40" w:line="259" w:lineRule="auto"/>
            </w:pPr>
            <w:r>
              <w:rPr>
                <w:rFonts w:ascii="Inter" w:hAnsi="Inter" w:cs="Inter" w:eastAsia="Inter"/>
                <w:b w:val="0"/>
                <w:i w:val="0"/>
                <w:color w:val="666666"/>
                <w:sz w:val="15"/>
              </w:rPr>
              <w:t>1 to 5</w:t>
            </w:r>
          </w:p>
        </w:tc>
        <w:tc>
          <w:tcPr>
            <w:tcW w:type="dxa" w:w="3742"/>
            <w:tcMar>
              <w:top w:w="70" w:type="dxa"/>
              <w:bottom w:w="70" w:type="dxa"/>
              <w:left w:w="90" w:type="dxa"/>
              <w:right w:w="90" w:type="dxa"/>
            </w:tcMar>
            <w:vAlign w:val="top"/>
          </w:tcPr>
          <w:p>
            <w:pPr>
              <w:spacing w:before="0" w:after="40" w:line="259" w:lineRule="auto"/>
            </w:pPr>
            <w:r>
              <w:rPr>
                <w:rFonts w:ascii="Inter" w:hAnsi="Inter" w:cs="Inter" w:eastAsia="Inter"/>
                <w:b w:val="0"/>
                <w:i w:val="0"/>
                <w:color w:val="1A1A1A"/>
                <w:sz w:val="17"/>
              </w:rPr>
              <w:t>Write the six names into one page and share it with the base team. The guidance also asks commissioners to give schools a single point of contact, so if you do not have one, request it.</w:t>
            </w:r>
          </w:p>
        </w:tc>
        <w:tc>
          <w:tcPr>
            <w:tcW w:type="dxa" w:w="2948"/>
            <w:tcMar>
              <w:top w:w="70" w:type="dxa"/>
              <w:bottom w:w="70" w:type="dxa"/>
              <w:left w:w="90" w:type="dxa"/>
              <w:right w:w="90" w:type="dxa"/>
            </w:tcMar>
            <w:vAlign w:val="top"/>
          </w:tcPr>
          <w:p>
            <w:pPr>
              <w:spacing w:before="0" w:after="60" w:line="259" w:lineRule="auto"/>
            </w:pPr>
            <w:r>
              <w:rPr>
                <w:rFonts w:ascii="Inter" w:hAnsi="Inter" w:cs="Inter" w:eastAsia="Inter"/>
                <w:b w:val="0"/>
                <w:i w:val="0"/>
                <w:color w:val="666666"/>
                <w:sz w:val="15"/>
              </w:rPr>
              <w:t>Owner</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Target date</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Review date</w:t>
            </w:r>
          </w:p>
          <w:p>
            <w:pPr>
              <w:spacing w:before="0" w:after="60" w:line="259" w:lineRule="auto"/>
            </w:pPr>
            <w:r>
              <w:rPr>
                <w:rFonts w:ascii="Inter" w:hAnsi="Inter" w:cs="Inter" w:eastAsia="Inter"/>
                <w:b w:val="0"/>
                <w:i w:val="0"/>
                <w:color w:val="1A1A1A"/>
                <w:sz w:val="18"/>
              </w:rPr>
            </w:r>
          </w:p>
        </w:tc>
      </w:tr>
      <w:tr>
        <w:trPr>
          <w:cantSplit/>
        </w:trPr>
        <w:tc>
          <w:tcPr>
            <w:tcW w:type="dxa" w:w="15478"/>
            <w:gridSpan w:val="5"/>
            <w:shd w:val="clear" w:color="auto" w:fill="F1F7F6"/>
            <w:tcMar>
              <w:top w:w="80" w:type="dxa"/>
              <w:bottom w:w="80" w:type="dxa"/>
              <w:left w:w="90" w:type="dxa"/>
              <w:right w:w="90" w:type="dxa"/>
            </w:tcMar>
            <w:vAlign w:val="top"/>
          </w:tcPr>
          <w:p>
            <w:pPr>
              <w:spacing w:before="0" w:after="40" w:line="259" w:lineRule="auto"/>
              <w:keepNext/>
            </w:pPr>
            <w:r>
              <w:rPr>
                <w:rFonts w:ascii="Inter" w:hAnsi="Inter" w:cs="Inter" w:eastAsia="Inter"/>
                <w:b/>
                <w:i w:val="0"/>
                <w:color w:val="128770"/>
                <w:sz w:val="19"/>
              </w:rPr>
              <w:t xml:space="preserve">C7.7   </w:t>
            </w:r>
            <w:r>
              <w:rPr>
                <w:rFonts w:ascii="Inter" w:hAnsi="Inter" w:cs="Inter" w:eastAsia="Inter"/>
                <w:b/>
                <w:i w:val="0"/>
                <w:color w:val="1A1A1A"/>
                <w:sz w:val="19"/>
              </w:rPr>
              <w:t>Admissions to the base comply with statutory frameworks: learners placed from another school are dual registered, the host school admits in line with its published arrangements and the School Admissions Code, and where a local authority places via an EHC plan, section I names the mainstream school.</w:t>
            </w:r>
            <w:r>
              <w:rPr>
                <w:rFonts w:ascii="Inter" w:hAnsi="Inter" w:cs="Inter" w:eastAsia="Inter"/>
                <w:b/>
                <w:i w:val="0"/>
                <w:color w:val="D35400"/>
                <w:sz w:val="17"/>
              </w:rPr>
              <w:t xml:space="preserve">   MUST  ·  existing legal duty</w:t>
            </w:r>
          </w:p>
          <w:p>
            <w:pPr>
              <w:spacing w:before="0" w:after="40" w:line="259" w:lineRule="auto"/>
              <w:keepNext/>
            </w:pPr>
            <w:r>
              <w:rPr>
                <w:rFonts w:ascii="Inter" w:hAnsi="Inter" w:cs="Inter" w:eastAsia="Inter"/>
                <w:b w:val="0"/>
                <w:i/>
                <w:color w:val="666666"/>
                <w:sz w:val="15"/>
              </w:rPr>
              <w:t>Individual  ·  Guidance: “Admissions processes must align with relevant statutory frameworks, for example where a school is named in an EHC plan or where a placement is made via offsite direction powers. When a local authority is considering making a placement through an EHC plan, section I of the EHC plan must name the mainstream school. The way the special educational provision is described in section F of the EHC plan will normally indicate provision which will be delivered through the base. Where placements are from another school (main school), the child or young person must be dual registered with their main school and the school hosting the base (host school). The host school must ensure the child or young person is admitted in line with the host school's published admissions arrangements and the School Admissions Code.”</w:t>
            </w:r>
          </w:p>
        </w:tc>
      </w:tr>
      <w:tr>
        <w:trPr>
          <w:trHeight w:val="1701" w:hRule="atLeast"/>
          <w:cantSplit/>
        </w:trPr>
        <w:tc>
          <w:tcPr>
            <w:tcW w:type="dxa" w:w="4082"/>
            <w:tcMar>
              <w:top w:w="70" w:type="dxa"/>
              <w:bottom w:w="70" w:type="dxa"/>
              <w:left w:w="90" w:type="dxa"/>
              <w:right w:w="90" w:type="dxa"/>
            </w:tcMar>
            <w:vAlign w:val="top"/>
          </w:tcPr>
          <w:p>
            <w:pPr>
              <w:spacing w:before="0" w:after="80" w:line="259" w:lineRule="auto"/>
            </w:pPr>
            <w:r>
              <w:rPr>
                <w:rFonts w:ascii="Inter" w:hAnsi="Inter" w:cs="Inter" w:eastAsia="Inter"/>
                <w:b/>
                <w:i w:val="0"/>
                <w:color w:val="128770"/>
                <w:sz w:val="17"/>
              </w:rPr>
              <w:t xml:space="preserve">1  </w:t>
            </w:r>
            <w:r>
              <w:rPr>
                <w:rFonts w:ascii="Inter" w:hAnsi="Inter" w:cs="Inter" w:eastAsia="Inter"/>
                <w:b w:val="0"/>
                <w:i w:val="0"/>
                <w:color w:val="1A1A1A"/>
                <w:sz w:val="17"/>
              </w:rPr>
              <w:t>Learners attend the base without dual registration, or admission bypassed the school's published arrangements.</w:t>
            </w:r>
          </w:p>
          <w:p>
            <w:pPr>
              <w:spacing w:before="0" w:after="80" w:line="259" w:lineRule="auto"/>
            </w:pPr>
            <w:r>
              <w:rPr>
                <w:rFonts w:ascii="Inter" w:hAnsi="Inter" w:cs="Inter" w:eastAsia="Inter"/>
                <w:b/>
                <w:i w:val="0"/>
                <w:color w:val="128770"/>
                <w:sz w:val="17"/>
              </w:rPr>
              <w:t xml:space="preserve">3  </w:t>
            </w:r>
            <w:r>
              <w:rPr>
                <w:rFonts w:ascii="Inter" w:hAnsi="Inter" w:cs="Inter" w:eastAsia="Inter"/>
                <w:b w:val="0"/>
                <w:i w:val="0"/>
                <w:color w:val="1A1A1A"/>
                <w:sz w:val="17"/>
              </w:rPr>
              <w:t>Practice is broadly correct but at least one placement cannot be evidenced against the Code or section I.</w:t>
            </w:r>
          </w:p>
          <w:p>
            <w:pPr>
              <w:spacing w:before="0" w:after="80" w:line="259" w:lineRule="auto"/>
            </w:pPr>
            <w:r>
              <w:rPr>
                <w:rFonts w:ascii="Inter" w:hAnsi="Inter" w:cs="Inter" w:eastAsia="Inter"/>
                <w:b/>
                <w:i w:val="0"/>
                <w:color w:val="128770"/>
                <w:sz w:val="17"/>
              </w:rPr>
              <w:t xml:space="preserve">5  </w:t>
            </w:r>
            <w:r>
              <w:rPr>
                <w:rFonts w:ascii="Inter" w:hAnsi="Inter" w:cs="Inter" w:eastAsia="Inter"/>
                <w:b w:val="0"/>
                <w:i w:val="0"/>
                <w:color w:val="1A1A1A"/>
                <w:sz w:val="17"/>
              </w:rPr>
              <w:t>Every placement can be traced to the correct statutory route, and section F provision maps clearly onto what the base delivers.</w:t>
            </w:r>
          </w:p>
        </w:tc>
        <w:tc>
          <w:tcPr>
            <w:tcW w:type="dxa" w:w="3742"/>
            <w:tcMar>
              <w:top w:w="70" w:type="dxa"/>
              <w:bottom w:w="70" w:type="dxa"/>
              <w:left w:w="90" w:type="dxa"/>
              <w:right w:w="90" w:type="dxa"/>
            </w:tcMar>
            <w:vAlign w:val="top"/>
          </w:tcPr>
          <w:p>
            <w:pPr>
              <w:spacing w:before="0" w:after="80" w:line="259" w:lineRule="auto"/>
            </w:pPr>
            <w:r>
              <w:rPr>
                <w:rFonts w:ascii="Inter" w:hAnsi="Inter" w:cs="Inter" w:eastAsia="Inter"/>
                <w:b w:val="0"/>
                <w:i/>
                <w:color w:val="666666"/>
                <w:sz w:val="16"/>
              </w:rPr>
              <w:t>Take your three most recent placements. For each, show the registration status and the statutory route used.</w:t>
            </w:r>
          </w:p>
          <w:p>
            <w:pPr>
              <w:spacing w:before="0" w:after="80" w:line="259" w:lineRule="auto"/>
            </w:pPr>
            <w:r>
              <w:rPr>
                <w:rFonts w:ascii="Inter" w:hAnsi="Inter" w:cs="Inter" w:eastAsia="Inter"/>
                <w:b w:val="0"/>
                <w:i w:val="0"/>
                <w:color w:val="1A1A1A"/>
                <w:sz w:val="18"/>
              </w:rPr>
            </w:r>
          </w:p>
        </w:tc>
        <w:tc>
          <w:tcPr>
            <w:tcW w:type="dxa" w:w="964"/>
            <w:tcMar>
              <w:top w:w="70" w:type="dxa"/>
              <w:bottom w:w="70" w:type="dxa"/>
              <w:left w:w="90" w:type="dxa"/>
              <w:right w:w="90" w:type="dxa"/>
            </w:tcMar>
            <w:shd w:val="clear" w:color="auto" w:fill="FEF6D9"/>
            <w:vAlign w:val="center"/>
          </w:tcPr>
          <w:p>
            <w:pPr>
              <w:spacing w:before="0" w:after="40" w:line="259" w:lineRule="auto"/>
            </w:pPr>
            <w:r>
              <w:rPr>
                <w:rFonts w:ascii="Inter" w:hAnsi="Inter" w:cs="Inter" w:eastAsia="Inter"/>
                <w:b w:val="0"/>
                <w:i w:val="0"/>
                <w:color w:val="1A1A1A"/>
                <w:sz w:val="18"/>
              </w:rPr>
            </w:r>
          </w:p>
          <w:p>
            <w:pPr>
              <w:spacing w:before="0" w:after="40" w:line="259" w:lineRule="auto"/>
            </w:pPr>
            <w:r>
              <w:rPr>
                <w:rFonts w:ascii="Inter" w:hAnsi="Inter" w:cs="Inter" w:eastAsia="Inter"/>
                <w:b w:val="0"/>
                <w:i w:val="0"/>
                <w:color w:val="666666"/>
                <w:sz w:val="15"/>
              </w:rPr>
              <w:t>1 to 5</w:t>
            </w:r>
          </w:p>
        </w:tc>
        <w:tc>
          <w:tcPr>
            <w:tcW w:type="dxa" w:w="3742"/>
            <w:tcMar>
              <w:top w:w="70" w:type="dxa"/>
              <w:bottom w:w="70" w:type="dxa"/>
              <w:left w:w="90" w:type="dxa"/>
              <w:right w:w="90" w:type="dxa"/>
            </w:tcMar>
            <w:vAlign w:val="top"/>
          </w:tcPr>
          <w:p>
            <w:pPr>
              <w:spacing w:before="0" w:after="40" w:line="259" w:lineRule="auto"/>
            </w:pPr>
            <w:r>
              <w:rPr>
                <w:rFonts w:ascii="Inter" w:hAnsi="Inter" w:cs="Inter" w:eastAsia="Inter"/>
                <w:b w:val="0"/>
                <w:i w:val="0"/>
                <w:color w:val="1A1A1A"/>
                <w:sz w:val="17"/>
              </w:rPr>
              <w:t>Check dual registration first, because it is the one most often missed for part-time or short-term cross-school placements, and it carries attendance and safeguarding consequences. Note that section I must name the mainstream school, not the base; section F is where the base provision is described.</w:t>
            </w:r>
          </w:p>
        </w:tc>
        <w:tc>
          <w:tcPr>
            <w:tcW w:type="dxa" w:w="2948"/>
            <w:tcMar>
              <w:top w:w="70" w:type="dxa"/>
              <w:bottom w:w="70" w:type="dxa"/>
              <w:left w:w="90" w:type="dxa"/>
              <w:right w:w="90" w:type="dxa"/>
            </w:tcMar>
            <w:vAlign w:val="top"/>
          </w:tcPr>
          <w:p>
            <w:pPr>
              <w:spacing w:before="0" w:after="60" w:line="259" w:lineRule="auto"/>
            </w:pPr>
            <w:r>
              <w:rPr>
                <w:rFonts w:ascii="Inter" w:hAnsi="Inter" w:cs="Inter" w:eastAsia="Inter"/>
                <w:b w:val="0"/>
                <w:i w:val="0"/>
                <w:color w:val="666666"/>
                <w:sz w:val="15"/>
              </w:rPr>
              <w:t>Owner</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Target date</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Review date</w:t>
            </w:r>
          </w:p>
          <w:p>
            <w:pPr>
              <w:spacing w:before="0" w:after="60" w:line="259" w:lineRule="auto"/>
            </w:pPr>
            <w:r>
              <w:rPr>
                <w:rFonts w:ascii="Inter" w:hAnsi="Inter" w:cs="Inter" w:eastAsia="Inter"/>
                <w:b w:val="0"/>
                <w:i w:val="0"/>
                <w:color w:val="1A1A1A"/>
                <w:sz w:val="18"/>
              </w:rPr>
            </w:r>
          </w:p>
        </w:tc>
      </w:tr>
      <w:tr>
        <w:trPr>
          <w:cantSplit/>
        </w:trPr>
        <w:tc>
          <w:tcPr>
            <w:tcW w:type="dxa" w:w="15478"/>
            <w:gridSpan w:val="5"/>
            <w:shd w:val="clear" w:color="auto" w:fill="F1F7F6"/>
            <w:tcMar>
              <w:top w:w="80" w:type="dxa"/>
              <w:bottom w:w="80" w:type="dxa"/>
              <w:left w:w="90" w:type="dxa"/>
              <w:right w:w="90" w:type="dxa"/>
            </w:tcMar>
            <w:vAlign w:val="top"/>
          </w:tcPr>
          <w:p>
            <w:pPr>
              <w:spacing w:before="0" w:after="40" w:line="259" w:lineRule="auto"/>
              <w:keepNext/>
            </w:pPr>
            <w:r>
              <w:rPr>
                <w:rFonts w:ascii="Inter" w:hAnsi="Inter" w:cs="Inter" w:eastAsia="Inter"/>
                <w:b/>
                <w:i w:val="0"/>
                <w:color w:val="128770"/>
                <w:sz w:val="19"/>
              </w:rPr>
              <w:t xml:space="preserve">C7.8   </w:t>
            </w:r>
            <w:r>
              <w:rPr>
                <w:rFonts w:ascii="Inter" w:hAnsi="Inter" w:cs="Inter" w:eastAsia="Inter"/>
                <w:b/>
                <w:i w:val="0"/>
                <w:color w:val="1A1A1A"/>
                <w:sz w:val="19"/>
              </w:rPr>
              <w:t>Where learners access the base without an EHC plan, referrals follow an agreed written process informed by data, referencing entry and exit criteria, and involving relevant professionals.</w:t>
            </w:r>
          </w:p>
          <w:p>
            <w:pPr>
              <w:spacing w:before="0" w:after="40" w:line="259" w:lineRule="auto"/>
              <w:keepNext/>
            </w:pPr>
            <w:r>
              <w:rPr>
                <w:rFonts w:ascii="Inter" w:hAnsi="Inter" w:cs="Inter" w:eastAsia="Inter"/>
                <w:b w:val="0"/>
                <w:i/>
                <w:color w:val="666666"/>
                <w:sz w:val="15"/>
              </w:rPr>
              <w:t>Individual  ·  Guidance: “Where pupils accessing the base do not have EHC plans, referrals and access to the base should be informed by data and follow an agreed process that references entry and exit criteria and involves relevant professionals.”</w:t>
            </w:r>
          </w:p>
        </w:tc>
      </w:tr>
      <w:tr>
        <w:trPr>
          <w:trHeight w:val="1701" w:hRule="atLeast"/>
          <w:cantSplit/>
        </w:trPr>
        <w:tc>
          <w:tcPr>
            <w:tcW w:type="dxa" w:w="4082"/>
            <w:tcMar>
              <w:top w:w="70" w:type="dxa"/>
              <w:bottom w:w="70" w:type="dxa"/>
              <w:left w:w="90" w:type="dxa"/>
              <w:right w:w="90" w:type="dxa"/>
            </w:tcMar>
            <w:vAlign w:val="top"/>
          </w:tcPr>
          <w:p>
            <w:pPr>
              <w:spacing w:before="0" w:after="80" w:line="259" w:lineRule="auto"/>
            </w:pPr>
            <w:r>
              <w:rPr>
                <w:rFonts w:ascii="Inter" w:hAnsi="Inter" w:cs="Inter" w:eastAsia="Inter"/>
                <w:b/>
                <w:i w:val="0"/>
                <w:color w:val="128770"/>
                <w:sz w:val="17"/>
              </w:rPr>
              <w:t xml:space="preserve">1  </w:t>
            </w:r>
            <w:r>
              <w:rPr>
                <w:rFonts w:ascii="Inter" w:hAnsi="Inter" w:cs="Inter" w:eastAsia="Inter"/>
                <w:b w:val="0"/>
                <w:i w:val="0"/>
                <w:color w:val="1A1A1A"/>
                <w:sz w:val="17"/>
              </w:rPr>
              <w:t>Non-EHCP access is decided informally, usually in response to behaviour, with no exit route.</w:t>
            </w:r>
          </w:p>
          <w:p>
            <w:pPr>
              <w:spacing w:before="0" w:after="80" w:line="259" w:lineRule="auto"/>
            </w:pPr>
            <w:r>
              <w:rPr>
                <w:rFonts w:ascii="Inter" w:hAnsi="Inter" w:cs="Inter" w:eastAsia="Inter"/>
                <w:b/>
                <w:i w:val="0"/>
                <w:color w:val="128770"/>
                <w:sz w:val="17"/>
              </w:rPr>
              <w:t xml:space="preserve">3  </w:t>
            </w:r>
            <w:r>
              <w:rPr>
                <w:rFonts w:ascii="Inter" w:hAnsi="Inter" w:cs="Inter" w:eastAsia="Inter"/>
                <w:b w:val="0"/>
                <w:i w:val="0"/>
                <w:color w:val="1A1A1A"/>
                <w:sz w:val="17"/>
              </w:rPr>
              <w:t>A process exists but is not written down, or exit criteria are absent so placements drift.</w:t>
            </w:r>
          </w:p>
          <w:p>
            <w:pPr>
              <w:spacing w:before="0" w:after="80" w:line="259" w:lineRule="auto"/>
            </w:pPr>
            <w:r>
              <w:rPr>
                <w:rFonts w:ascii="Inter" w:hAnsi="Inter" w:cs="Inter" w:eastAsia="Inter"/>
                <w:b/>
                <w:i w:val="0"/>
                <w:color w:val="128770"/>
                <w:sz w:val="17"/>
              </w:rPr>
              <w:t xml:space="preserve">5  </w:t>
            </w:r>
            <w:r>
              <w:rPr>
                <w:rFonts w:ascii="Inter" w:hAnsi="Inter" w:cs="Inter" w:eastAsia="Inter"/>
                <w:b w:val="0"/>
                <w:i w:val="0"/>
                <w:color w:val="1A1A1A"/>
                <w:sz w:val="17"/>
              </w:rPr>
              <w:t>The process is written, data-informed, involves relevant professionals, and every non-EHCP learner has a stated exit criterion and review date.</w:t>
            </w:r>
          </w:p>
        </w:tc>
        <w:tc>
          <w:tcPr>
            <w:tcW w:type="dxa" w:w="3742"/>
            <w:tcMar>
              <w:top w:w="70" w:type="dxa"/>
              <w:bottom w:w="70" w:type="dxa"/>
              <w:left w:w="90" w:type="dxa"/>
              <w:right w:w="90" w:type="dxa"/>
            </w:tcMar>
            <w:vAlign w:val="top"/>
          </w:tcPr>
          <w:p>
            <w:pPr>
              <w:spacing w:before="0" w:after="80" w:line="259" w:lineRule="auto"/>
            </w:pPr>
            <w:r>
              <w:rPr>
                <w:rFonts w:ascii="Inter" w:hAnsi="Inter" w:cs="Inter" w:eastAsia="Inter"/>
                <w:b w:val="0"/>
                <w:i/>
                <w:color w:val="666666"/>
                <w:sz w:val="16"/>
              </w:rPr>
              <w:t>For each learner currently accessing the base without an EHC plan, what data triggered it and what would trigger them leaving?</w:t>
            </w:r>
          </w:p>
          <w:p>
            <w:pPr>
              <w:spacing w:before="0" w:after="80" w:line="259" w:lineRule="auto"/>
            </w:pPr>
            <w:r>
              <w:rPr>
                <w:rFonts w:ascii="Inter" w:hAnsi="Inter" w:cs="Inter" w:eastAsia="Inter"/>
                <w:b w:val="0"/>
                <w:i w:val="0"/>
                <w:color w:val="1A1A1A"/>
                <w:sz w:val="18"/>
              </w:rPr>
            </w:r>
          </w:p>
        </w:tc>
        <w:tc>
          <w:tcPr>
            <w:tcW w:type="dxa" w:w="964"/>
            <w:tcMar>
              <w:top w:w="70" w:type="dxa"/>
              <w:bottom w:w="70" w:type="dxa"/>
              <w:left w:w="90" w:type="dxa"/>
              <w:right w:w="90" w:type="dxa"/>
            </w:tcMar>
            <w:shd w:val="clear" w:color="auto" w:fill="FEF6D9"/>
            <w:vAlign w:val="center"/>
          </w:tcPr>
          <w:p>
            <w:pPr>
              <w:spacing w:before="0" w:after="40" w:line="259" w:lineRule="auto"/>
            </w:pPr>
            <w:r>
              <w:rPr>
                <w:rFonts w:ascii="Inter" w:hAnsi="Inter" w:cs="Inter" w:eastAsia="Inter"/>
                <w:b w:val="0"/>
                <w:i w:val="0"/>
                <w:color w:val="1A1A1A"/>
                <w:sz w:val="18"/>
              </w:rPr>
            </w:r>
          </w:p>
          <w:p>
            <w:pPr>
              <w:spacing w:before="0" w:after="40" w:line="259" w:lineRule="auto"/>
            </w:pPr>
            <w:r>
              <w:rPr>
                <w:rFonts w:ascii="Inter" w:hAnsi="Inter" w:cs="Inter" w:eastAsia="Inter"/>
                <w:b w:val="0"/>
                <w:i w:val="0"/>
                <w:color w:val="666666"/>
                <w:sz w:val="15"/>
              </w:rPr>
              <w:t>1 to 5</w:t>
            </w:r>
          </w:p>
        </w:tc>
        <w:tc>
          <w:tcPr>
            <w:tcW w:type="dxa" w:w="3742"/>
            <w:tcMar>
              <w:top w:w="70" w:type="dxa"/>
              <w:bottom w:w="70" w:type="dxa"/>
              <w:left w:w="90" w:type="dxa"/>
              <w:right w:w="90" w:type="dxa"/>
            </w:tcMar>
            <w:vAlign w:val="top"/>
          </w:tcPr>
          <w:p>
            <w:pPr>
              <w:spacing w:before="0" w:after="40" w:line="259" w:lineRule="auto"/>
            </w:pPr>
            <w:r>
              <w:rPr>
                <w:rFonts w:ascii="Inter" w:hAnsi="Inter" w:cs="Inter" w:eastAsia="Inter"/>
                <w:b w:val="0"/>
                <w:i w:val="0"/>
                <w:color w:val="1A1A1A"/>
                <w:sz w:val="17"/>
              </w:rPr>
              <w:t>This is where the guidance's sanction rule bites hardest. Access to a base, including for behavioural or pastoral support, should never be used as a sanction or for removal from the classroom. A written process with exit criteria is the practical safeguard against that happening by drift rather than by decision.</w:t>
            </w:r>
          </w:p>
        </w:tc>
        <w:tc>
          <w:tcPr>
            <w:tcW w:type="dxa" w:w="2948"/>
            <w:tcMar>
              <w:top w:w="70" w:type="dxa"/>
              <w:bottom w:w="70" w:type="dxa"/>
              <w:left w:w="90" w:type="dxa"/>
              <w:right w:w="90" w:type="dxa"/>
            </w:tcMar>
            <w:vAlign w:val="top"/>
          </w:tcPr>
          <w:p>
            <w:pPr>
              <w:spacing w:before="0" w:after="60" w:line="259" w:lineRule="auto"/>
            </w:pPr>
            <w:r>
              <w:rPr>
                <w:rFonts w:ascii="Inter" w:hAnsi="Inter" w:cs="Inter" w:eastAsia="Inter"/>
                <w:b w:val="0"/>
                <w:i w:val="0"/>
                <w:color w:val="666666"/>
                <w:sz w:val="15"/>
              </w:rPr>
              <w:t>Owner</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Target date</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Review date</w:t>
            </w:r>
          </w:p>
          <w:p>
            <w:pPr>
              <w:spacing w:before="0" w:after="60" w:line="259" w:lineRule="auto"/>
            </w:pPr>
            <w:r>
              <w:rPr>
                <w:rFonts w:ascii="Inter" w:hAnsi="Inter" w:cs="Inter" w:eastAsia="Inter"/>
                <w:b w:val="0"/>
                <w:i w:val="0"/>
                <w:color w:val="1A1A1A"/>
                <w:sz w:val="18"/>
              </w:rPr>
            </w:r>
          </w:p>
        </w:tc>
      </w:tr>
      <w:tr>
        <w:trPr>
          <w:cantSplit/>
        </w:trPr>
        <w:tc>
          <w:tcPr>
            <w:tcW w:type="dxa" w:w="15478"/>
            <w:gridSpan w:val="5"/>
            <w:shd w:val="clear" w:color="auto" w:fill="F1F7F6"/>
            <w:tcMar>
              <w:top w:w="80" w:type="dxa"/>
              <w:bottom w:w="80" w:type="dxa"/>
              <w:left w:w="90" w:type="dxa"/>
              <w:right w:w="90" w:type="dxa"/>
            </w:tcMar>
            <w:vAlign w:val="top"/>
          </w:tcPr>
          <w:p>
            <w:pPr>
              <w:spacing w:before="0" w:after="40" w:line="259" w:lineRule="auto"/>
              <w:keepNext/>
            </w:pPr>
            <w:r>
              <w:rPr>
                <w:rFonts w:ascii="Inter" w:hAnsi="Inter" w:cs="Inter" w:eastAsia="Inter"/>
                <w:b/>
                <w:i w:val="0"/>
                <w:color w:val="128770"/>
                <w:sz w:val="19"/>
              </w:rPr>
              <w:t xml:space="preserve">C7.9   </w:t>
            </w:r>
            <w:r>
              <w:rPr>
                <w:rFonts w:ascii="Inter" w:hAnsi="Inter" w:cs="Inter" w:eastAsia="Inter"/>
                <w:b/>
                <w:i w:val="0"/>
                <w:color w:val="1A1A1A"/>
                <w:sz w:val="19"/>
              </w:rPr>
              <w:t>For cross-school placements, accountability, safeguarding, attendance and transport responsibilities are agreed and clearly understood by both schools, travel impact on the learner has been considered, and the base's start time coincides with the wider school day.</w:t>
            </w:r>
          </w:p>
          <w:p>
            <w:pPr>
              <w:spacing w:before="0" w:after="40" w:line="259" w:lineRule="auto"/>
              <w:keepNext/>
            </w:pPr>
            <w:r>
              <w:rPr>
                <w:rFonts w:ascii="Inter" w:hAnsi="Inter" w:cs="Inter" w:eastAsia="Inter"/>
                <w:b w:val="0"/>
                <w:i/>
                <w:color w:val="666666"/>
                <w:sz w:val="15"/>
              </w:rPr>
              <w:t>Individual  ·  Guidance: “Where placements are short term or part time between the host school and other schools, accountability, safeguarding, attendance and transport responsibilities should be agreed and clearly understood by both schools. Where a child accesses a base in a school which is not their home school, consideration should be given to how they will get there. Long or complex journeys may have an impact on their wellbeing or readiness to learn. The start time for the base should coincide with that of the wider school.”</w:t>
            </w:r>
          </w:p>
        </w:tc>
      </w:tr>
      <w:tr>
        <w:trPr>
          <w:trHeight w:val="1701" w:hRule="atLeast"/>
          <w:cantSplit/>
        </w:trPr>
        <w:tc>
          <w:tcPr>
            <w:tcW w:type="dxa" w:w="4082"/>
            <w:tcMar>
              <w:top w:w="70" w:type="dxa"/>
              <w:bottom w:w="70" w:type="dxa"/>
              <w:left w:w="90" w:type="dxa"/>
              <w:right w:w="90" w:type="dxa"/>
            </w:tcMar>
            <w:vAlign w:val="top"/>
          </w:tcPr>
          <w:p>
            <w:pPr>
              <w:spacing w:before="0" w:after="80" w:line="259" w:lineRule="auto"/>
            </w:pPr>
            <w:r>
              <w:rPr>
                <w:rFonts w:ascii="Inter" w:hAnsi="Inter" w:cs="Inter" w:eastAsia="Inter"/>
                <w:b/>
                <w:i w:val="0"/>
                <w:color w:val="128770"/>
                <w:sz w:val="17"/>
              </w:rPr>
              <w:t xml:space="preserve">1  </w:t>
            </w:r>
            <w:r>
              <w:rPr>
                <w:rFonts w:ascii="Inter" w:hAnsi="Inter" w:cs="Inter" w:eastAsia="Inter"/>
                <w:b w:val="0"/>
                <w:i w:val="0"/>
                <w:color w:val="1A1A1A"/>
                <w:sz w:val="17"/>
              </w:rPr>
              <w:t>Responsibilities were never formally agreed between the two schools, and travel was not considered.</w:t>
            </w:r>
          </w:p>
          <w:p>
            <w:pPr>
              <w:spacing w:before="0" w:after="80" w:line="259" w:lineRule="auto"/>
            </w:pPr>
            <w:r>
              <w:rPr>
                <w:rFonts w:ascii="Inter" w:hAnsi="Inter" w:cs="Inter" w:eastAsia="Inter"/>
                <w:b/>
                <w:i w:val="0"/>
                <w:color w:val="128770"/>
                <w:sz w:val="17"/>
              </w:rPr>
              <w:t xml:space="preserve">3  </w:t>
            </w:r>
            <w:r>
              <w:rPr>
                <w:rFonts w:ascii="Inter" w:hAnsi="Inter" w:cs="Inter" w:eastAsia="Inter"/>
                <w:b w:val="0"/>
                <w:i w:val="0"/>
                <w:color w:val="1A1A1A"/>
                <w:sz w:val="17"/>
              </w:rPr>
              <w:t>Agreed verbally between leaders, but not written, and no one has reviewed the journey's effect on the learner.</w:t>
            </w:r>
          </w:p>
          <w:p>
            <w:pPr>
              <w:spacing w:before="0" w:after="80" w:line="259" w:lineRule="auto"/>
            </w:pPr>
            <w:r>
              <w:rPr>
                <w:rFonts w:ascii="Inter" w:hAnsi="Inter" w:cs="Inter" w:eastAsia="Inter"/>
                <w:b/>
                <w:i w:val="0"/>
                <w:color w:val="128770"/>
                <w:sz w:val="17"/>
              </w:rPr>
              <w:t xml:space="preserve">5  </w:t>
            </w:r>
            <w:r>
              <w:rPr>
                <w:rFonts w:ascii="Inter" w:hAnsi="Inter" w:cs="Inter" w:eastAsia="Inter"/>
                <w:b w:val="0"/>
                <w:i w:val="0"/>
                <w:color w:val="1A1A1A"/>
                <w:sz w:val="17"/>
              </w:rPr>
              <w:t>Written agreement covering all four responsibilities, travel arrangements settled with the local authority, and arrival supported so learning time is protected.</w:t>
            </w:r>
          </w:p>
        </w:tc>
        <w:tc>
          <w:tcPr>
            <w:tcW w:type="dxa" w:w="3742"/>
            <w:tcMar>
              <w:top w:w="70" w:type="dxa"/>
              <w:bottom w:w="70" w:type="dxa"/>
              <w:left w:w="90" w:type="dxa"/>
              <w:right w:w="90" w:type="dxa"/>
            </w:tcMar>
            <w:vAlign w:val="top"/>
          </w:tcPr>
          <w:p>
            <w:pPr>
              <w:spacing w:before="0" w:after="80" w:line="259" w:lineRule="auto"/>
            </w:pPr>
            <w:r>
              <w:rPr>
                <w:rFonts w:ascii="Inter" w:hAnsi="Inter" w:cs="Inter" w:eastAsia="Inter"/>
                <w:b w:val="0"/>
                <w:i/>
                <w:color w:val="666666"/>
                <w:sz w:val="16"/>
              </w:rPr>
              <w:t>Which school is accountable for attendance, and does the other school's leadership agree with your answer?</w:t>
            </w:r>
          </w:p>
          <w:p>
            <w:pPr>
              <w:spacing w:before="0" w:after="80" w:line="259" w:lineRule="auto"/>
            </w:pPr>
            <w:r>
              <w:rPr>
                <w:rFonts w:ascii="Inter" w:hAnsi="Inter" w:cs="Inter" w:eastAsia="Inter"/>
                <w:b w:val="0"/>
                <w:i w:val="0"/>
                <w:color w:val="1A1A1A"/>
                <w:sz w:val="18"/>
              </w:rPr>
            </w:r>
          </w:p>
        </w:tc>
        <w:tc>
          <w:tcPr>
            <w:tcW w:type="dxa" w:w="964"/>
            <w:tcMar>
              <w:top w:w="70" w:type="dxa"/>
              <w:bottom w:w="70" w:type="dxa"/>
              <w:left w:w="90" w:type="dxa"/>
              <w:right w:w="90" w:type="dxa"/>
            </w:tcMar>
            <w:shd w:val="clear" w:color="auto" w:fill="FEF6D9"/>
            <w:vAlign w:val="center"/>
          </w:tcPr>
          <w:p>
            <w:pPr>
              <w:spacing w:before="0" w:after="40" w:line="259" w:lineRule="auto"/>
            </w:pPr>
            <w:r>
              <w:rPr>
                <w:rFonts w:ascii="Inter" w:hAnsi="Inter" w:cs="Inter" w:eastAsia="Inter"/>
                <w:b w:val="0"/>
                <w:i w:val="0"/>
                <w:color w:val="1A1A1A"/>
                <w:sz w:val="18"/>
              </w:rPr>
            </w:r>
          </w:p>
          <w:p>
            <w:pPr>
              <w:spacing w:before="0" w:after="40" w:line="259" w:lineRule="auto"/>
            </w:pPr>
            <w:r>
              <w:rPr>
                <w:rFonts w:ascii="Inter" w:hAnsi="Inter" w:cs="Inter" w:eastAsia="Inter"/>
                <w:b w:val="0"/>
                <w:i w:val="0"/>
                <w:color w:val="666666"/>
                <w:sz w:val="15"/>
              </w:rPr>
              <w:t>1 to 5</w:t>
            </w:r>
          </w:p>
        </w:tc>
        <w:tc>
          <w:tcPr>
            <w:tcW w:type="dxa" w:w="3742"/>
            <w:tcMar>
              <w:top w:w="70" w:type="dxa"/>
              <w:bottom w:w="70" w:type="dxa"/>
              <w:left w:w="90" w:type="dxa"/>
              <w:right w:w="90" w:type="dxa"/>
            </w:tcMar>
            <w:vAlign w:val="top"/>
          </w:tcPr>
          <w:p>
            <w:pPr>
              <w:spacing w:before="0" w:after="40" w:line="259" w:lineRule="auto"/>
            </w:pPr>
            <w:r>
              <w:rPr>
                <w:rFonts w:ascii="Inter" w:hAnsi="Inter" w:cs="Inter" w:eastAsia="Inter"/>
                <w:b w:val="0"/>
                <w:i w:val="0"/>
                <w:color w:val="1A1A1A"/>
                <w:sz w:val="17"/>
              </w:rPr>
              <w:t>Where the learner is dual registered they may be eligible for free home-to-school travel to the host school if they meet the statutory criteria, and the local authority needs lead time to arrange it. Raise it before the placement starts, not after. Long or complex journeys affect wellbeing and readiness to learn.</w:t>
            </w:r>
          </w:p>
        </w:tc>
        <w:tc>
          <w:tcPr>
            <w:tcW w:type="dxa" w:w="2948"/>
            <w:tcMar>
              <w:top w:w="70" w:type="dxa"/>
              <w:bottom w:w="70" w:type="dxa"/>
              <w:left w:w="90" w:type="dxa"/>
              <w:right w:w="90" w:type="dxa"/>
            </w:tcMar>
            <w:vAlign w:val="top"/>
          </w:tcPr>
          <w:p>
            <w:pPr>
              <w:spacing w:before="0" w:after="60" w:line="259" w:lineRule="auto"/>
            </w:pPr>
            <w:r>
              <w:rPr>
                <w:rFonts w:ascii="Inter" w:hAnsi="Inter" w:cs="Inter" w:eastAsia="Inter"/>
                <w:b w:val="0"/>
                <w:i w:val="0"/>
                <w:color w:val="666666"/>
                <w:sz w:val="15"/>
              </w:rPr>
              <w:t>Owner</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Target date</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Review date</w:t>
            </w:r>
          </w:p>
          <w:p>
            <w:pPr>
              <w:spacing w:before="0" w:after="60" w:line="259" w:lineRule="auto"/>
            </w:pPr>
            <w:r>
              <w:rPr>
                <w:rFonts w:ascii="Inter" w:hAnsi="Inter" w:cs="Inter" w:eastAsia="Inter"/>
                <w:b w:val="0"/>
                <w:i w:val="0"/>
                <w:color w:val="1A1A1A"/>
                <w:sz w:val="18"/>
              </w:rPr>
            </w:r>
          </w:p>
        </w:tc>
      </w:tr>
      <w:tr>
        <w:trPr>
          <w:cantSplit/>
        </w:trPr>
        <w:tc>
          <w:tcPr>
            <w:tcW w:type="dxa" w:w="15478"/>
            <w:gridSpan w:val="5"/>
            <w:shd w:val="clear" w:color="auto" w:fill="F1F7F6"/>
            <w:tcMar>
              <w:top w:w="80" w:type="dxa"/>
              <w:bottom w:w="80" w:type="dxa"/>
              <w:left w:w="90" w:type="dxa"/>
              <w:right w:w="90" w:type="dxa"/>
            </w:tcMar>
            <w:vAlign w:val="top"/>
          </w:tcPr>
          <w:p>
            <w:pPr>
              <w:spacing w:before="0" w:after="40" w:line="259" w:lineRule="auto"/>
              <w:keepNext/>
            </w:pPr>
            <w:r>
              <w:rPr>
                <w:rFonts w:ascii="Inter" w:hAnsi="Inter" w:cs="Inter" w:eastAsia="Inter"/>
                <w:b/>
                <w:i w:val="0"/>
                <w:color w:val="128770"/>
                <w:sz w:val="19"/>
              </w:rPr>
              <w:t xml:space="preserve">C7.10   </w:t>
            </w:r>
            <w:r>
              <w:rPr>
                <w:rFonts w:ascii="Inter" w:hAnsi="Inter" w:cs="Inter" w:eastAsia="Inter"/>
                <w:b/>
                <w:i w:val="0"/>
                <w:color w:val="1A1A1A"/>
                <w:sz w:val="19"/>
              </w:rPr>
              <w:t>The base, and where applicable the learners accessing it, are accurately recorded in local and national data collections including the school census.</w:t>
            </w:r>
            <w:r>
              <w:rPr>
                <w:rFonts w:ascii="Inter" w:hAnsi="Inter" w:cs="Inter" w:eastAsia="Inter"/>
                <w:b/>
                <w:i w:val="0"/>
                <w:color w:val="D35400"/>
                <w:sz w:val="17"/>
              </w:rPr>
              <w:t xml:space="preserve">   MUST  ·  existing legal duty</w:t>
            </w:r>
          </w:p>
          <w:p>
            <w:pPr>
              <w:spacing w:before="0" w:after="40" w:line="259" w:lineRule="auto"/>
              <w:keepNext/>
            </w:pPr>
            <w:r>
              <w:rPr>
                <w:rFonts w:ascii="Inter" w:hAnsi="Inter" w:cs="Inter" w:eastAsia="Inter"/>
                <w:b w:val="0"/>
                <w:i/>
                <w:color w:val="666666"/>
                <w:sz w:val="15"/>
              </w:rPr>
              <w:t>Whole school  ·  Guidance: “Commissioners and schools must ensure that, where required, the base, and where applicable children and young people accessing the base, is accurately recorded in local and national data collections. For example, in the school census.”</w:t>
            </w:r>
          </w:p>
        </w:tc>
      </w:tr>
      <w:tr>
        <w:trPr>
          <w:trHeight w:val="1701" w:hRule="atLeast"/>
          <w:cantSplit/>
        </w:trPr>
        <w:tc>
          <w:tcPr>
            <w:tcW w:type="dxa" w:w="4082"/>
            <w:tcMar>
              <w:top w:w="70" w:type="dxa"/>
              <w:bottom w:w="70" w:type="dxa"/>
              <w:left w:w="90" w:type="dxa"/>
              <w:right w:w="90" w:type="dxa"/>
            </w:tcMar>
            <w:vAlign w:val="top"/>
          </w:tcPr>
          <w:p>
            <w:pPr>
              <w:spacing w:before="0" w:after="80" w:line="259" w:lineRule="auto"/>
            </w:pPr>
            <w:r>
              <w:rPr>
                <w:rFonts w:ascii="Inter" w:hAnsi="Inter" w:cs="Inter" w:eastAsia="Inter"/>
                <w:b/>
                <w:i w:val="0"/>
                <w:color w:val="128770"/>
                <w:sz w:val="17"/>
              </w:rPr>
              <w:t xml:space="preserve">1  </w:t>
            </w:r>
            <w:r>
              <w:rPr>
                <w:rFonts w:ascii="Inter" w:hAnsi="Inter" w:cs="Inter" w:eastAsia="Inter"/>
                <w:b w:val="0"/>
                <w:i w:val="0"/>
                <w:color w:val="1A1A1A"/>
                <w:sz w:val="17"/>
              </w:rPr>
              <w:t>The base does not appear in census returns, or learners are recorded against the wrong school.</w:t>
            </w:r>
          </w:p>
          <w:p>
            <w:pPr>
              <w:spacing w:before="0" w:after="80" w:line="259" w:lineRule="auto"/>
            </w:pPr>
            <w:r>
              <w:rPr>
                <w:rFonts w:ascii="Inter" w:hAnsi="Inter" w:cs="Inter" w:eastAsia="Inter"/>
                <w:b/>
                <w:i w:val="0"/>
                <w:color w:val="128770"/>
                <w:sz w:val="17"/>
              </w:rPr>
              <w:t xml:space="preserve">3  </w:t>
            </w:r>
            <w:r>
              <w:rPr>
                <w:rFonts w:ascii="Inter" w:hAnsi="Inter" w:cs="Inter" w:eastAsia="Inter"/>
                <w:b w:val="0"/>
                <w:i w:val="0"/>
                <w:color w:val="1A1A1A"/>
                <w:sz w:val="17"/>
              </w:rPr>
              <w:t>Recording happens but has not been checked against the guidance, and dual-registered learners are a known uncertainty.</w:t>
            </w:r>
          </w:p>
          <w:p>
            <w:pPr>
              <w:spacing w:before="0" w:after="80" w:line="259" w:lineRule="auto"/>
            </w:pPr>
            <w:r>
              <w:rPr>
                <w:rFonts w:ascii="Inter" w:hAnsi="Inter" w:cs="Inter" w:eastAsia="Inter"/>
                <w:b/>
                <w:i w:val="0"/>
                <w:color w:val="128770"/>
                <w:sz w:val="17"/>
              </w:rPr>
              <w:t xml:space="preserve">5  </w:t>
            </w:r>
            <w:r>
              <w:rPr>
                <w:rFonts w:ascii="Inter" w:hAnsi="Inter" w:cs="Inter" w:eastAsia="Inter"/>
                <w:b w:val="0"/>
                <w:i w:val="0"/>
                <w:color w:val="1A1A1A"/>
                <w:sz w:val="17"/>
              </w:rPr>
              <w:t>Census and local returns are checked annually against the base's actual roll, and dual registration is recorded correctly at both schools.</w:t>
            </w:r>
          </w:p>
        </w:tc>
        <w:tc>
          <w:tcPr>
            <w:tcW w:type="dxa" w:w="3742"/>
            <w:tcMar>
              <w:top w:w="70" w:type="dxa"/>
              <w:bottom w:w="70" w:type="dxa"/>
              <w:left w:w="90" w:type="dxa"/>
              <w:right w:w="90" w:type="dxa"/>
            </w:tcMar>
            <w:vAlign w:val="top"/>
          </w:tcPr>
          <w:p>
            <w:pPr>
              <w:spacing w:before="0" w:after="80" w:line="259" w:lineRule="auto"/>
            </w:pPr>
            <w:r>
              <w:rPr>
                <w:rFonts w:ascii="Inter" w:hAnsi="Inter" w:cs="Inter" w:eastAsia="Inter"/>
                <w:b w:val="0"/>
                <w:i/>
                <w:color w:val="666666"/>
                <w:sz w:val="16"/>
              </w:rPr>
              <w:t>Does your last census return show the base and its learners as they actually were on census day?</w:t>
            </w:r>
          </w:p>
          <w:p>
            <w:pPr>
              <w:spacing w:before="0" w:after="80" w:line="259" w:lineRule="auto"/>
            </w:pPr>
            <w:r>
              <w:rPr>
                <w:rFonts w:ascii="Inter" w:hAnsi="Inter" w:cs="Inter" w:eastAsia="Inter"/>
                <w:b w:val="0"/>
                <w:i w:val="0"/>
                <w:color w:val="1A1A1A"/>
                <w:sz w:val="18"/>
              </w:rPr>
            </w:r>
          </w:p>
        </w:tc>
        <w:tc>
          <w:tcPr>
            <w:tcW w:type="dxa" w:w="964"/>
            <w:tcMar>
              <w:top w:w="70" w:type="dxa"/>
              <w:bottom w:w="70" w:type="dxa"/>
              <w:left w:w="90" w:type="dxa"/>
              <w:right w:w="90" w:type="dxa"/>
            </w:tcMar>
            <w:shd w:val="clear" w:color="auto" w:fill="FEF6D9"/>
            <w:vAlign w:val="center"/>
          </w:tcPr>
          <w:p>
            <w:pPr>
              <w:spacing w:before="0" w:after="40" w:line="259" w:lineRule="auto"/>
            </w:pPr>
            <w:r>
              <w:rPr>
                <w:rFonts w:ascii="Inter" w:hAnsi="Inter" w:cs="Inter" w:eastAsia="Inter"/>
                <w:b w:val="0"/>
                <w:i w:val="0"/>
                <w:color w:val="1A1A1A"/>
                <w:sz w:val="18"/>
              </w:rPr>
            </w:r>
          </w:p>
          <w:p>
            <w:pPr>
              <w:spacing w:before="0" w:after="40" w:line="259" w:lineRule="auto"/>
            </w:pPr>
            <w:r>
              <w:rPr>
                <w:rFonts w:ascii="Inter" w:hAnsi="Inter" w:cs="Inter" w:eastAsia="Inter"/>
                <w:b w:val="0"/>
                <w:i w:val="0"/>
                <w:color w:val="666666"/>
                <w:sz w:val="15"/>
              </w:rPr>
              <w:t>1 to 5</w:t>
            </w:r>
          </w:p>
        </w:tc>
        <w:tc>
          <w:tcPr>
            <w:tcW w:type="dxa" w:w="3742"/>
            <w:tcMar>
              <w:top w:w="70" w:type="dxa"/>
              <w:bottom w:w="70" w:type="dxa"/>
              <w:left w:w="90" w:type="dxa"/>
              <w:right w:w="90" w:type="dxa"/>
            </w:tcMar>
            <w:vAlign w:val="top"/>
          </w:tcPr>
          <w:p>
            <w:pPr>
              <w:spacing w:before="0" w:after="40" w:line="259" w:lineRule="auto"/>
            </w:pPr>
            <w:r>
              <w:rPr>
                <w:rFonts w:ascii="Inter" w:hAnsi="Inter" w:cs="Inter" w:eastAsia="Inter"/>
                <w:b w:val="0"/>
                <w:i w:val="0"/>
                <w:color w:val="1A1A1A"/>
                <w:sz w:val="17"/>
              </w:rPr>
              <w:t>Get your data manager to cross-check base attendance against the census return before the next submission. This one is a MUST, it is invisible until it is wrong, and it feeds the national picture the whole policy is being planned against.</w:t>
            </w:r>
          </w:p>
        </w:tc>
        <w:tc>
          <w:tcPr>
            <w:tcW w:type="dxa" w:w="2948"/>
            <w:tcMar>
              <w:top w:w="70" w:type="dxa"/>
              <w:bottom w:w="70" w:type="dxa"/>
              <w:left w:w="90" w:type="dxa"/>
              <w:right w:w="90" w:type="dxa"/>
            </w:tcMar>
            <w:vAlign w:val="top"/>
          </w:tcPr>
          <w:p>
            <w:pPr>
              <w:spacing w:before="0" w:after="60" w:line="259" w:lineRule="auto"/>
            </w:pPr>
            <w:r>
              <w:rPr>
                <w:rFonts w:ascii="Inter" w:hAnsi="Inter" w:cs="Inter" w:eastAsia="Inter"/>
                <w:b w:val="0"/>
                <w:i w:val="0"/>
                <w:color w:val="666666"/>
                <w:sz w:val="15"/>
              </w:rPr>
              <w:t>Owner</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Target date</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Review date</w:t>
            </w:r>
          </w:p>
          <w:p>
            <w:pPr>
              <w:spacing w:before="0" w:after="60" w:line="259" w:lineRule="auto"/>
            </w:pPr>
            <w:r>
              <w:rPr>
                <w:rFonts w:ascii="Inter" w:hAnsi="Inter" w:cs="Inter" w:eastAsia="Inter"/>
                <w:b w:val="0"/>
                <w:i w:val="0"/>
                <w:color w:val="1A1A1A"/>
                <w:sz w:val="18"/>
              </w:rPr>
            </w:r>
          </w:p>
        </w:tc>
      </w:tr>
      <w:tr>
        <w:trPr>
          <w:cantSplit/>
        </w:trPr>
        <w:tc>
          <w:tcPr>
            <w:tcW w:type="dxa" w:w="15478"/>
            <w:gridSpan w:val="5"/>
            <w:shd w:val="clear" w:color="auto" w:fill="F1F7F6"/>
            <w:tcMar>
              <w:top w:w="80" w:type="dxa"/>
              <w:bottom w:w="80" w:type="dxa"/>
              <w:left w:w="90" w:type="dxa"/>
              <w:right w:w="90" w:type="dxa"/>
            </w:tcMar>
            <w:vAlign w:val="top"/>
          </w:tcPr>
          <w:p>
            <w:pPr>
              <w:spacing w:before="0" w:after="40" w:line="259" w:lineRule="auto"/>
              <w:keepNext/>
            </w:pPr>
            <w:r>
              <w:rPr>
                <w:rFonts w:ascii="Inter" w:hAnsi="Inter" w:cs="Inter" w:eastAsia="Inter"/>
                <w:b/>
                <w:i w:val="0"/>
                <w:color w:val="128770"/>
                <w:sz w:val="19"/>
              </w:rPr>
              <w:t xml:space="preserve">C7.11   </w:t>
            </w:r>
            <w:r>
              <w:rPr>
                <w:rFonts w:ascii="Inter" w:hAnsi="Inter" w:cs="Inter" w:eastAsia="Inter"/>
                <w:b/>
                <w:i w:val="0"/>
                <w:color w:val="1A1A1A"/>
                <w:sz w:val="19"/>
              </w:rPr>
              <w:t>Where you are opening or expanding a base, the lead-in period allows for staff recruitment and induction, training for both mainstream and base staff, environment setup, communication with families, safeguarding and curriculum planning with specialist input, and a pre-opening review by the commissioner.</w:t>
            </w:r>
          </w:p>
          <w:p>
            <w:pPr>
              <w:spacing w:before="0" w:after="40" w:line="259" w:lineRule="auto"/>
              <w:keepNext/>
            </w:pPr>
            <w:r>
              <w:rPr>
                <w:rFonts w:ascii="Inter" w:hAnsi="Inter" w:cs="Inter" w:eastAsia="Inter"/>
                <w:b w:val="0"/>
                <w:i/>
                <w:color w:val="666666"/>
                <w:sz w:val="15"/>
              </w:rPr>
              <w:t>Whole school  ·  Guidance: “Commissioners should take an evidence-based approach to the implementation of new bases. They should provide sufficient lead-in time and ensure readiness for opening, allowing for: staff recruitment and induction; training and professional development of both mainstream class and base staff as appropriate; environment setup; communication with families and the community; safeguarding and curriculum planning and assessment, including input from professionals such as specialist teachers and therapists where appropriate; pre-opening review by the commissioner. Where possible commissioners should provide long lead-in times for placing new children or young people to support successful transitions.”</w:t>
            </w:r>
          </w:p>
        </w:tc>
      </w:tr>
      <w:tr>
        <w:trPr>
          <w:trHeight w:val="1701" w:hRule="atLeast"/>
          <w:cantSplit/>
        </w:trPr>
        <w:tc>
          <w:tcPr>
            <w:tcW w:type="dxa" w:w="4082"/>
            <w:tcMar>
              <w:top w:w="70" w:type="dxa"/>
              <w:bottom w:w="70" w:type="dxa"/>
              <w:left w:w="90" w:type="dxa"/>
              <w:right w:w="90" w:type="dxa"/>
            </w:tcMar>
            <w:vAlign w:val="top"/>
          </w:tcPr>
          <w:p>
            <w:pPr>
              <w:spacing w:before="0" w:after="80" w:line="259" w:lineRule="auto"/>
            </w:pPr>
            <w:r>
              <w:rPr>
                <w:rFonts w:ascii="Inter" w:hAnsi="Inter" w:cs="Inter" w:eastAsia="Inter"/>
                <w:b/>
                <w:i w:val="0"/>
                <w:color w:val="128770"/>
                <w:sz w:val="17"/>
              </w:rPr>
              <w:t xml:space="preserve">1  </w:t>
            </w:r>
            <w:r>
              <w:rPr>
                <w:rFonts w:ascii="Inter" w:hAnsi="Inter" w:cs="Inter" w:eastAsia="Inter"/>
                <w:b w:val="0"/>
                <w:i w:val="0"/>
                <w:color w:val="1A1A1A"/>
                <w:sz w:val="17"/>
              </w:rPr>
              <w:t>The base opened to a deadline, with staffing and environment completed after children arrived.</w:t>
            </w:r>
          </w:p>
          <w:p>
            <w:pPr>
              <w:spacing w:before="0" w:after="80" w:line="259" w:lineRule="auto"/>
            </w:pPr>
            <w:r>
              <w:rPr>
                <w:rFonts w:ascii="Inter" w:hAnsi="Inter" w:cs="Inter" w:eastAsia="Inter"/>
                <w:b/>
                <w:i w:val="0"/>
                <w:color w:val="128770"/>
                <w:sz w:val="17"/>
              </w:rPr>
              <w:t xml:space="preserve">3  </w:t>
            </w:r>
            <w:r>
              <w:rPr>
                <w:rFonts w:ascii="Inter" w:hAnsi="Inter" w:cs="Inter" w:eastAsia="Inter"/>
                <w:b w:val="0"/>
                <w:i w:val="0"/>
                <w:color w:val="1A1A1A"/>
                <w:sz w:val="17"/>
              </w:rPr>
              <w:t>Most elements were covered, but mainstream staff training or the pre-opening review was skipped.</w:t>
            </w:r>
          </w:p>
          <w:p>
            <w:pPr>
              <w:spacing w:before="0" w:after="80" w:line="259" w:lineRule="auto"/>
            </w:pPr>
            <w:r>
              <w:rPr>
                <w:rFonts w:ascii="Inter" w:hAnsi="Inter" w:cs="Inter" w:eastAsia="Inter"/>
                <w:b/>
                <w:i w:val="0"/>
                <w:color w:val="128770"/>
                <w:sz w:val="17"/>
              </w:rPr>
              <w:t xml:space="preserve">5  </w:t>
            </w:r>
            <w:r>
              <w:rPr>
                <w:rFonts w:ascii="Inter" w:hAnsi="Inter" w:cs="Inter" w:eastAsia="Inter"/>
                <w:b w:val="0"/>
                <w:i w:val="0"/>
                <w:color w:val="1A1A1A"/>
                <w:sz w:val="17"/>
              </w:rPr>
              <w:t>All six elements completed before opening, with long lead-in times for placing the first children.</w:t>
            </w:r>
          </w:p>
        </w:tc>
        <w:tc>
          <w:tcPr>
            <w:tcW w:type="dxa" w:w="3742"/>
            <w:tcMar>
              <w:top w:w="70" w:type="dxa"/>
              <w:bottom w:w="70" w:type="dxa"/>
              <w:left w:w="90" w:type="dxa"/>
              <w:right w:w="90" w:type="dxa"/>
            </w:tcMar>
            <w:vAlign w:val="top"/>
          </w:tcPr>
          <w:p>
            <w:pPr>
              <w:spacing w:before="0" w:after="80" w:line="259" w:lineRule="auto"/>
            </w:pPr>
            <w:r>
              <w:rPr>
                <w:rFonts w:ascii="Inter" w:hAnsi="Inter" w:cs="Inter" w:eastAsia="Inter"/>
                <w:b w:val="0"/>
                <w:i/>
                <w:color w:val="666666"/>
                <w:sz w:val="16"/>
              </w:rPr>
              <w:t>What was the gap between the decision to open and the first child arriving, and what was still unfinished on day one?</w:t>
            </w:r>
          </w:p>
          <w:p>
            <w:pPr>
              <w:spacing w:before="0" w:after="80" w:line="259" w:lineRule="auto"/>
            </w:pPr>
            <w:r>
              <w:rPr>
                <w:rFonts w:ascii="Inter" w:hAnsi="Inter" w:cs="Inter" w:eastAsia="Inter"/>
                <w:b w:val="0"/>
                <w:i w:val="0"/>
                <w:color w:val="1A1A1A"/>
                <w:sz w:val="18"/>
              </w:rPr>
            </w:r>
          </w:p>
        </w:tc>
        <w:tc>
          <w:tcPr>
            <w:tcW w:type="dxa" w:w="964"/>
            <w:tcMar>
              <w:top w:w="70" w:type="dxa"/>
              <w:bottom w:w="70" w:type="dxa"/>
              <w:left w:w="90" w:type="dxa"/>
              <w:right w:w="90" w:type="dxa"/>
            </w:tcMar>
            <w:shd w:val="clear" w:color="auto" w:fill="FEF6D9"/>
            <w:vAlign w:val="center"/>
          </w:tcPr>
          <w:p>
            <w:pPr>
              <w:spacing w:before="0" w:after="40" w:line="259" w:lineRule="auto"/>
            </w:pPr>
            <w:r>
              <w:rPr>
                <w:rFonts w:ascii="Inter" w:hAnsi="Inter" w:cs="Inter" w:eastAsia="Inter"/>
                <w:b w:val="0"/>
                <w:i w:val="0"/>
                <w:color w:val="1A1A1A"/>
                <w:sz w:val="18"/>
              </w:rPr>
            </w:r>
          </w:p>
          <w:p>
            <w:pPr>
              <w:spacing w:before="0" w:after="40" w:line="259" w:lineRule="auto"/>
            </w:pPr>
            <w:r>
              <w:rPr>
                <w:rFonts w:ascii="Inter" w:hAnsi="Inter" w:cs="Inter" w:eastAsia="Inter"/>
                <w:b w:val="0"/>
                <w:i w:val="0"/>
                <w:color w:val="666666"/>
                <w:sz w:val="15"/>
              </w:rPr>
              <w:t>1 to 5</w:t>
            </w:r>
          </w:p>
        </w:tc>
        <w:tc>
          <w:tcPr>
            <w:tcW w:type="dxa" w:w="3742"/>
            <w:tcMar>
              <w:top w:w="70" w:type="dxa"/>
              <w:bottom w:w="70" w:type="dxa"/>
              <w:left w:w="90" w:type="dxa"/>
              <w:right w:w="90" w:type="dxa"/>
            </w:tcMar>
            <w:vAlign w:val="top"/>
          </w:tcPr>
          <w:p>
            <w:pPr>
              <w:spacing w:before="0" w:after="40" w:line="259" w:lineRule="auto"/>
            </w:pPr>
            <w:r>
              <w:rPr>
                <w:rFonts w:ascii="Inter" w:hAnsi="Inter" w:cs="Inter" w:eastAsia="Inter"/>
                <w:b w:val="0"/>
                <w:i w:val="0"/>
                <w:color w:val="1A1A1A"/>
                <w:sz w:val="17"/>
              </w:rPr>
              <w:t>Training for mainstream class staff, not just base staff, is the element most often cut, and it is the one that determines whether the base functions as an inclusive service or a separate space. Protect it.</w:t>
            </w:r>
          </w:p>
        </w:tc>
        <w:tc>
          <w:tcPr>
            <w:tcW w:type="dxa" w:w="2948"/>
            <w:tcMar>
              <w:top w:w="70" w:type="dxa"/>
              <w:bottom w:w="70" w:type="dxa"/>
              <w:left w:w="90" w:type="dxa"/>
              <w:right w:w="90" w:type="dxa"/>
            </w:tcMar>
            <w:vAlign w:val="top"/>
          </w:tcPr>
          <w:p>
            <w:pPr>
              <w:spacing w:before="0" w:after="60" w:line="259" w:lineRule="auto"/>
            </w:pPr>
            <w:r>
              <w:rPr>
                <w:rFonts w:ascii="Inter" w:hAnsi="Inter" w:cs="Inter" w:eastAsia="Inter"/>
                <w:b w:val="0"/>
                <w:i w:val="0"/>
                <w:color w:val="666666"/>
                <w:sz w:val="15"/>
              </w:rPr>
              <w:t>Owner</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Target date</w:t>
            </w:r>
          </w:p>
          <w:p>
            <w:pPr>
              <w:spacing w:before="0" w:after="60" w:line="259" w:lineRule="auto"/>
            </w:pPr>
            <w:r>
              <w:rPr>
                <w:rFonts w:ascii="Inter" w:hAnsi="Inter" w:cs="Inter" w:eastAsia="Inter"/>
                <w:b w:val="0"/>
                <w:i w:val="0"/>
                <w:color w:val="1A1A1A"/>
                <w:sz w:val="18"/>
              </w:rPr>
            </w:r>
          </w:p>
          <w:p>
            <w:pPr>
              <w:spacing w:before="0" w:after="60" w:line="259" w:lineRule="auto"/>
            </w:pPr>
            <w:r>
              <w:rPr>
                <w:rFonts w:ascii="Inter" w:hAnsi="Inter" w:cs="Inter" w:eastAsia="Inter"/>
                <w:b w:val="0"/>
                <w:i w:val="0"/>
                <w:color w:val="666666"/>
                <w:sz w:val="15"/>
              </w:rPr>
              <w:t>Review date</w:t>
            </w:r>
          </w:p>
          <w:p>
            <w:pPr>
              <w:spacing w:before="0" w:after="60" w:line="259" w:lineRule="auto"/>
            </w:pPr>
            <w:r>
              <w:rPr>
                <w:rFonts w:ascii="Inter" w:hAnsi="Inter" w:cs="Inter" w:eastAsia="Inter"/>
                <w:b w:val="0"/>
                <w:i w:val="0"/>
                <w:color w:val="1A1A1A"/>
                <w:sz w:val="18"/>
              </w:rPr>
            </w:r>
          </w:p>
        </w:tc>
      </w:tr>
    </w:tbl>
    <w:p>
      <w:pPr>
        <w:spacing w:after="20" w:before="0" w:line="276" w:lineRule="auto"/>
        <w:pageBreakBefore/>
      </w:pPr>
      <w:r>
        <w:rPr>
          <w:rFonts w:ascii="Lexend" w:hAnsi="Lexend" w:cs="Lexend" w:eastAsia="Lexend"/>
          <w:b/>
          <w:i w:val="0"/>
          <w:color w:val="128770"/>
          <w:sz w:val="16"/>
        </w:rPr>
        <w:t>REFERENCE</w:t>
      </w:r>
    </w:p>
    <w:p>
      <w:pPr>
        <w:spacing w:after="80" w:before="0" w:line="276" w:lineRule="auto"/>
      </w:pPr>
      <w:r>
        <w:rPr>
          <w:rFonts w:ascii="Lexend" w:hAnsi="Lexend" w:cs="Lexend" w:eastAsia="Lexend"/>
          <w:b/>
          <w:i w:val="0"/>
          <w:color w:val="1A1A1A"/>
          <w:sz w:val="44"/>
        </w:rPr>
        <w:t>Where the suggested next steps come from</w:t>
      </w:r>
    </w:p>
    <w:p>
      <w:pPr>
        <w:spacing w:after="160" w:before="40"/>
        <w:pBdr>
          <w:bottom w:val="single" w:sz="12" w:space="1" w:color="128770"/>
        </w:pBdr>
      </w:pPr>
    </w:p>
    <w:p>
      <w:pPr>
        <w:spacing w:after="160" w:before="0" w:line="276" w:lineRule="auto"/>
      </w:pPr>
      <w:r>
        <w:rPr>
          <w:rFonts w:ascii="Inter" w:hAnsi="Inter" w:cs="Inter" w:eastAsia="Inter"/>
          <w:b w:val="0"/>
          <w:i w:val="0"/>
          <w:color w:val="1A1A1A"/>
          <w:sz w:val="20"/>
        </w:rPr>
        <w:t>The next steps in this tool are not our opinion. They are drawn from the Education Endowment Foundation's guidance report below, which sets out five recommendations for mainstream schools. Each section of this audit names the recommendations it draws on.</w:t>
      </w:r>
    </w:p>
    <w:tbl>
      <w:tblPr>
        <w:tblW w:type="auto" w:w="0"/>
        <w:tblLayout w:type="fixed"/>
        <w:tblLook w:firstColumn="1" w:firstRow="1" w:lastColumn="0" w:lastRow="0" w:noHBand="0" w:noVBand="1" w:val="04A0"/>
      </w:tblPr>
      <w:tblGrid>
        <w:gridCol w:w="15478"/>
      </w:tblGrid>
      <w:tr>
        <w:tc>
          <w:tcPr>
            <w:tcW w:type="dxa" w:w="15477"/>
            <w:shd w:val="clear" w:color="auto" w:fill="F1F7F6"/>
            <w:tcMar>
              <w:top w:w="150" w:type="dxa"/>
              <w:bottom w:w="150" w:type="dxa"/>
              <w:left w:w="180" w:type="dxa"/>
              <w:right w:w="180" w:type="dxa"/>
            </w:tcMar>
            <w:vAlign w:val="top"/>
          </w:tcPr>
          <w:p>
            <w:pPr>
              <w:spacing w:before="0" w:after="80" w:line="259" w:lineRule="auto"/>
            </w:pPr>
            <w:r>
              <w:rPr>
                <w:rFonts w:ascii="Lexend" w:hAnsi="Lexend" w:cs="Lexend" w:eastAsia="Lexend"/>
                <w:b/>
                <w:i w:val="0"/>
                <w:color w:val="128770"/>
                <w:sz w:val="26"/>
              </w:rPr>
              <w:t>Special Educational Needs in Mainstream Schools</w:t>
            </w:r>
          </w:p>
          <w:p>
            <w:pPr>
              <w:spacing w:before="0" w:after="80" w:line="259" w:lineRule="auto"/>
            </w:pPr>
            <w:r>
              <w:rPr>
                <w:rFonts w:ascii="Inter" w:hAnsi="Inter" w:cs="Inter" w:eastAsia="Inter"/>
                <w:b w:val="0"/>
                <w:i w:val="0"/>
                <w:color w:val="666666"/>
                <w:sz w:val="18"/>
              </w:rPr>
              <w:t>Education Endowment Foundation  ·  first published 2020-03-20  ·  revised 2025-04-10</w:t>
            </w:r>
          </w:p>
          <w:p>
            <w:pPr>
              <w:spacing w:before="0" w:after="80" w:line="259" w:lineRule="auto"/>
            </w:pPr>
            <w:r>
              <w:rPr>
                <w:rFonts w:ascii="Inter" w:hAnsi="Inter" w:cs="Inter" w:eastAsia="Inter"/>
                <w:b w:val="0"/>
                <w:i w:val="0"/>
                <w:color w:val="1A1A1A"/>
                <w:sz w:val="20"/>
              </w:rPr>
              <w:t>1. Create a positive and supportive environment for all pupils, without exception</w:t>
            </w:r>
          </w:p>
          <w:p>
            <w:pPr>
              <w:spacing w:before="0" w:after="80" w:line="259" w:lineRule="auto"/>
            </w:pPr>
            <w:r>
              <w:rPr>
                <w:rFonts w:ascii="Inter" w:hAnsi="Inter" w:cs="Inter" w:eastAsia="Inter"/>
                <w:b w:val="0"/>
                <w:i w:val="0"/>
                <w:color w:val="1A1A1A"/>
                <w:sz w:val="20"/>
              </w:rPr>
              <w:t>2. Build an ongoing, holistic understanding of your pupils and their needs</w:t>
            </w:r>
          </w:p>
          <w:p>
            <w:pPr>
              <w:spacing w:before="0" w:after="80" w:line="259" w:lineRule="auto"/>
            </w:pPr>
            <w:r>
              <w:rPr>
                <w:rFonts w:ascii="Inter" w:hAnsi="Inter" w:cs="Inter" w:eastAsia="Inter"/>
                <w:b w:val="0"/>
                <w:i w:val="0"/>
                <w:color w:val="1A1A1A"/>
                <w:sz w:val="20"/>
              </w:rPr>
              <w:t>3. Ensure all pupils have access to high quality teaching</w:t>
            </w:r>
          </w:p>
          <w:p>
            <w:pPr>
              <w:spacing w:before="0" w:after="80" w:line="259" w:lineRule="auto"/>
            </w:pPr>
            <w:r>
              <w:rPr>
                <w:rFonts w:ascii="Inter" w:hAnsi="Inter" w:cs="Inter" w:eastAsia="Inter"/>
                <w:b w:val="0"/>
                <w:i w:val="0"/>
                <w:color w:val="1A1A1A"/>
                <w:sz w:val="20"/>
              </w:rPr>
              <w:t>4. Complement high quality teaching with carefully selected small-group and one-to-one interventions</w:t>
            </w:r>
          </w:p>
          <w:p>
            <w:pPr>
              <w:spacing w:before="0" w:after="80" w:line="259" w:lineRule="auto"/>
            </w:pPr>
            <w:r>
              <w:rPr>
                <w:rFonts w:ascii="Inter" w:hAnsi="Inter" w:cs="Inter" w:eastAsia="Inter"/>
                <w:b w:val="0"/>
                <w:i w:val="0"/>
                <w:color w:val="1A1A1A"/>
                <w:sz w:val="20"/>
              </w:rPr>
              <w:t>5. Work effectively with teaching assistants</w:t>
            </w:r>
          </w:p>
        </w:tc>
      </w:tr>
    </w:tbl>
    <w:p>
      <w:pPr>
        <w:spacing w:after="240" w:before="0" w:line="276" w:lineRule="auto"/>
      </w:pPr>
    </w:p>
    <w:p>
      <w:pPr>
        <w:spacing w:after="80" w:before="160" w:line="276" w:lineRule="auto"/>
      </w:pPr>
      <w:r>
        <w:rPr>
          <w:rFonts w:ascii="Lexend" w:hAnsi="Lexend" w:cs="Lexend" w:eastAsia="Lexend"/>
          <w:b/>
          <w:i w:val="0"/>
          <w:color w:val="1A1A1A"/>
          <w:sz w:val="30"/>
        </w:rPr>
        <w:t>What the evidence on inclusion bases actually says</w:t>
      </w:r>
    </w:p>
    <w:p>
      <w:pPr>
        <w:spacing w:after="160" w:before="0" w:line="276" w:lineRule="auto"/>
      </w:pPr>
      <w:r>
        <w:rPr>
          <w:rFonts w:ascii="Inter" w:hAnsi="Inter" w:cs="Inter" w:eastAsia="Inter"/>
          <w:b w:val="0"/>
          <w:i w:val="0"/>
          <w:color w:val="1A1A1A"/>
          <w:sz w:val="20"/>
        </w:rPr>
        <w:t>The guidance is candid that the evidence base is limited. Its own words are that while several academic studies identify strong benefits associated with inclusion bases, their scale and scope are limited. The Department is funding new research. We think you should know the following before you use any self-audit, including this one.</w:t>
      </w:r>
    </w:p>
    <w:tbl>
      <w:tblPr>
        <w:tblW w:type="auto" w:w="0"/>
        <w:tblLayout w:type="fixed"/>
        <w:tblLook w:firstColumn="1" w:firstRow="1" w:lastColumn="0" w:lastRow="0" w:noHBand="0" w:noVBand="1" w:val="04A0"/>
      </w:tblPr>
      <w:tblGrid>
        <w:gridCol w:w="5159"/>
        <w:gridCol w:w="5159"/>
        <w:gridCol w:w="5159"/>
      </w:tblGrid>
      <w:tr>
        <w:tc>
          <w:tcPr>
            <w:tcW w:type="dxa" w:w="5159"/>
            <w:shd w:val="clear" w:color="auto" w:fill="F7F7F7"/>
            <w:tcMar>
              <w:top w:w="140" w:type="dxa"/>
              <w:bottom w:w="140" w:type="dxa"/>
              <w:left w:w="160" w:type="dxa"/>
              <w:right w:w="160" w:type="dxa"/>
            </w:tcMar>
            <w:vAlign w:val="top"/>
          </w:tcPr>
          <w:p>
            <w:pPr>
              <w:spacing w:before="0" w:after="80" w:line="259" w:lineRule="auto"/>
            </w:pPr>
            <w:r>
              <w:rPr>
                <w:rFonts w:ascii="Inter" w:hAnsi="Inter" w:cs="Inter" w:eastAsia="Inter"/>
                <w:b/>
                <w:i w:val="0"/>
                <w:color w:val="128770"/>
                <w:sz w:val="18"/>
              </w:rPr>
              <w:t>Lehane, T. (2016), Educational Review</w:t>
            </w:r>
          </w:p>
          <w:p>
            <w:pPr>
              <w:spacing w:before="0" w:after="80" w:line="259" w:lineRule="auto"/>
            </w:pPr>
            <w:r>
              <w:rPr>
                <w:rFonts w:ascii="Inter" w:hAnsi="Inter" w:cs="Inter" w:eastAsia="Inter"/>
                <w:b w:val="0"/>
                <w:i w:val="0"/>
                <w:color w:val="1A1A1A"/>
                <w:sz w:val="18"/>
              </w:rPr>
              <w:t>Experienced TAs perceive a divide within mainstream schools between 'the mainstream' and the SEN resourced 'base' - whether or not the base is geographically separated.</w:t>
            </w:r>
          </w:p>
        </w:tc>
        <w:tc>
          <w:tcPr>
            <w:tcW w:type="dxa" w:w="5159"/>
            <w:shd w:val="clear" w:color="auto" w:fill="F7F7F7"/>
            <w:tcMar>
              <w:top w:w="140" w:type="dxa"/>
              <w:bottom w:w="140" w:type="dxa"/>
              <w:left w:w="160" w:type="dxa"/>
              <w:right w:w="160" w:type="dxa"/>
            </w:tcMar>
            <w:vAlign w:val="top"/>
          </w:tcPr>
          <w:p>
            <w:pPr>
              <w:spacing w:before="0" w:after="80" w:line="259" w:lineRule="auto"/>
            </w:pPr>
            <w:r>
              <w:rPr>
                <w:rFonts w:ascii="Inter" w:hAnsi="Inter" w:cs="Inter" w:eastAsia="Inter"/>
                <w:b/>
                <w:i w:val="0"/>
                <w:color w:val="128770"/>
                <w:sz w:val="18"/>
              </w:rPr>
              <w:t>Webster, R. et al. (2021), European Journal of Special Needs Education</w:t>
            </w:r>
          </w:p>
          <w:p>
            <w:pPr>
              <w:spacing w:before="0" w:after="80" w:line="259" w:lineRule="auto"/>
            </w:pPr>
            <w:r>
              <w:rPr>
                <w:rFonts w:ascii="Inter" w:hAnsi="Inter" w:cs="Inter" w:eastAsia="Inter"/>
                <w:b w:val="0"/>
                <w:i w:val="0"/>
                <w:color w:val="1A1A1A"/>
                <w:sz w:val="18"/>
              </w:rPr>
              <w:t>TA deployment is the dominant model of inclusion internationally, and its intuitiveness (more individual support for those who struggle most) is why it replicates - despite contested impact.</w:t>
            </w:r>
          </w:p>
        </w:tc>
        <w:tc>
          <w:tcPr>
            <w:tcW w:type="dxa" w:w="5159"/>
            <w:shd w:val="clear" w:color="auto" w:fill="F7F7F7"/>
            <w:tcMar>
              <w:top w:w="140" w:type="dxa"/>
              <w:bottom w:w="140" w:type="dxa"/>
              <w:left w:w="160" w:type="dxa"/>
              <w:right w:w="160" w:type="dxa"/>
            </w:tcMar>
            <w:vAlign w:val="top"/>
          </w:tcPr>
          <w:p>
            <w:pPr>
              <w:spacing w:before="0" w:after="80" w:line="259" w:lineRule="auto"/>
            </w:pPr>
            <w:r>
              <w:rPr>
                <w:rFonts w:ascii="Inter" w:hAnsi="Inter" w:cs="Inter" w:eastAsia="Inter"/>
                <w:b/>
                <w:i w:val="0"/>
                <w:color w:val="128770"/>
                <w:sz w:val="18"/>
              </w:rPr>
              <w:t>Butt, R. (2016), International Journal of Inclusive Education</w:t>
            </w:r>
          </w:p>
          <w:p>
            <w:pPr>
              <w:spacing w:before="0" w:after="80" w:line="259" w:lineRule="auto"/>
            </w:pPr>
            <w:r>
              <w:rPr>
                <w:rFonts w:ascii="Inter" w:hAnsi="Inter" w:cs="Inter" w:eastAsia="Inter"/>
                <w:b w:val="0"/>
                <w:i w:val="0"/>
                <w:color w:val="1A1A1A"/>
                <w:sz w:val="18"/>
              </w:rPr>
              <w:t>TA support can be one of the most restrictive supports a school offers; models are often inequitable, with SEND learners taught by unqualified staff who had no role in planning.</w:t>
            </w:r>
          </w:p>
        </w:tc>
      </w:tr>
    </w:tbl>
    <w:p>
      <w:pPr>
        <w:spacing w:after="200" w:before="0" w:line="276" w:lineRule="auto"/>
      </w:pPr>
    </w:p>
    <w:p>
      <w:pPr>
        <w:spacing w:after="120" w:before="120" w:line="276" w:lineRule="auto"/>
      </w:pPr>
      <w:r>
        <w:rPr>
          <w:rFonts w:ascii="Inter" w:hAnsi="Inter" w:cs="Inter" w:eastAsia="Inter"/>
          <w:b w:val="0"/>
          <w:i/>
          <w:color w:val="1A1A1A"/>
          <w:sz w:val="20"/>
        </w:rPr>
        <w:t>None of this says bases do not work. It says a base is not self-justifying. What the research keeps returning to is relationships and access, not the room. That is why this tool weights participation, curriculum access and workforce quality as heavily as provision.</w:t>
      </w:r>
    </w:p>
    <w:p>
      <w:pPr>
        <w:spacing w:after="200" w:before="0" w:line="276" w:lineRule="auto"/>
      </w:pPr>
    </w:p>
    <w:p>
      <w:pPr>
        <w:spacing w:after="160" w:before="40"/>
        <w:pBdr>
          <w:bottom w:val="single" w:sz="6" w:space="1" w:color="CCCCCC"/>
        </w:pBdr>
      </w:pPr>
    </w:p>
    <w:p>
      <w:pPr>
        <w:spacing w:after="120" w:before="40" w:line="276" w:lineRule="auto"/>
      </w:pPr>
      <w:r>
        <w:rPr>
          <w:rFonts w:ascii="Inter" w:hAnsi="Inter" w:cs="Inter" w:eastAsia="Inter"/>
          <w:b w:val="0"/>
          <w:i w:val="0"/>
          <w:color w:val="666666"/>
          <w:sz w:val="16"/>
        </w:rPr>
        <w:t>Built by Structural Learning from the Inclusion bases in schools guidance (Department for Education, June 2026). Version 0.2-draft, 2026-07-25. Every criterion traces to a sentence in the guidance, quoted beneath it. The guidance is non-statutory: 'should' is a recommendation, 'must' marks an existing legal duty and is flagged in the tool. structural-learning.com</w:t>
      </w:r>
    </w:p>
    <w:sectPr w:rsidR="00FC693F" w:rsidRPr="0006063C" w:rsidSect="00034616">
      <w:footerReference w:type="default" r:id="rId9"/>
      <w:pgSz w:w="16838" w:h="11906" w:orient="landscape"/>
      <w:pgMar w:top="680" w:right="680" w:bottom="680" w:left="6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Inter" w:hAnsi="Inter" w:cs="Inter" w:eastAsia="Inter"/>
        <w:b w:val="0"/>
        <w:i w:val="0"/>
        <w:color w:val="666666"/>
        <w:sz w:val="15"/>
      </w:rPr>
      <w:t>Structural Learning  ·  Inclusion Base Self-Audit and Development Tool  ·  v0.2-draft  ·  structural-learning.com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eastAsia="Inter"/>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