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C6BB" w14:textId="77777777" w:rsidR="0067108D" w:rsidRPr="0067108D" w:rsidRDefault="00550438" w:rsidP="0067108D">
      <w:pPr>
        <w:jc w:val="center"/>
        <w:rPr>
          <w:b/>
          <w:bCs/>
          <w:sz w:val="44"/>
          <w:szCs w:val="44"/>
        </w:rPr>
      </w:pPr>
      <w:proofErr w:type="spellStart"/>
      <w:r>
        <w:rPr>
          <w:rStyle w:val="Heading1Char"/>
          <w:b/>
          <w:bCs/>
          <w:sz w:val="44"/>
          <w:szCs w:val="44"/>
        </w:rPr>
        <w:t>Winback</w:t>
      </w:r>
      <w:proofErr w:type="spellEnd"/>
      <w:r>
        <w:rPr>
          <w:rStyle w:val="Heading1Char"/>
          <w:b/>
          <w:bCs/>
          <w:sz w:val="44"/>
          <w:szCs w:val="44"/>
        </w:rPr>
        <w:t xml:space="preserve"> - </w:t>
      </w:r>
      <w:r w:rsidRPr="00550438">
        <w:rPr>
          <w:rFonts w:ascii="Calibri Light" w:eastAsia="SimSun" w:hAnsi="Calibri Light"/>
          <w:b/>
          <w:bCs/>
          <w:color w:val="1F4E79"/>
          <w:sz w:val="44"/>
          <w:szCs w:val="44"/>
        </w:rPr>
        <w:t>TECAR Therapy (Radiofrequency)</w:t>
      </w:r>
    </w:p>
    <w:p w14:paraId="7F9EB199" w14:textId="77777777" w:rsidR="0067108D" w:rsidRDefault="0067108D" w:rsidP="00E708A1"/>
    <w:p w14:paraId="0610273B" w14:textId="77777777" w:rsidR="0067108D" w:rsidRDefault="0067108D" w:rsidP="0067108D">
      <w:pPr>
        <w:jc w:val="center"/>
        <w:rPr>
          <w:b/>
          <w:bCs/>
          <w:sz w:val="28"/>
          <w:szCs w:val="28"/>
        </w:rPr>
      </w:pPr>
      <w:r w:rsidRPr="0067108D">
        <w:rPr>
          <w:b/>
          <w:bCs/>
          <w:sz w:val="28"/>
          <w:szCs w:val="28"/>
        </w:rPr>
        <w:t>Patient Information</w:t>
      </w:r>
    </w:p>
    <w:p w14:paraId="34BDC499" w14:textId="77777777" w:rsidR="0067108D" w:rsidRPr="00550438" w:rsidRDefault="0067108D" w:rsidP="00E708A1">
      <w:pPr>
        <w:rPr>
          <w:rFonts w:cs="Aptos"/>
          <w:sz w:val="24"/>
          <w:szCs w:val="24"/>
        </w:rPr>
      </w:pPr>
    </w:p>
    <w:p w14:paraId="6F2BE3F7" w14:textId="77777777" w:rsidR="00550438" w:rsidRPr="00550438" w:rsidRDefault="0067108D" w:rsidP="00E708A1">
      <w:pPr>
        <w:rPr>
          <w:rFonts w:cs="Aptos"/>
          <w:sz w:val="24"/>
          <w:szCs w:val="24"/>
        </w:rPr>
      </w:pPr>
      <w:r w:rsidRPr="00550438">
        <w:rPr>
          <w:rFonts w:cs="Aptos"/>
          <w:color w:val="1F497D" w:themeColor="text2"/>
          <w:sz w:val="24"/>
          <w:szCs w:val="24"/>
        </w:rPr>
        <w:t>What can I expect at the appointment?</w:t>
      </w:r>
      <w:r w:rsidRPr="00550438">
        <w:rPr>
          <w:rFonts w:cs="Aptos"/>
          <w:sz w:val="24"/>
          <w:szCs w:val="24"/>
        </w:rPr>
        <w:t xml:space="preserve"> </w:t>
      </w:r>
    </w:p>
    <w:p w14:paraId="01D57864" w14:textId="77777777" w:rsidR="006E65CD" w:rsidRPr="006E65CD" w:rsidRDefault="006E65CD" w:rsidP="006E65CD">
      <w:pPr>
        <w:rPr>
          <w:rFonts w:cs="Aptos"/>
          <w:sz w:val="24"/>
          <w:szCs w:val="24"/>
        </w:rPr>
      </w:pPr>
      <w:proofErr w:type="spellStart"/>
      <w:r>
        <w:rPr>
          <w:rFonts w:cs="Aptos"/>
          <w:sz w:val="24"/>
          <w:szCs w:val="24"/>
        </w:rPr>
        <w:t>Winback</w:t>
      </w:r>
      <w:proofErr w:type="spellEnd"/>
      <w:r>
        <w:rPr>
          <w:rFonts w:cs="Aptos"/>
          <w:sz w:val="24"/>
          <w:szCs w:val="24"/>
        </w:rPr>
        <w:t xml:space="preserve">, </w:t>
      </w:r>
      <w:r w:rsidRPr="006E65CD">
        <w:rPr>
          <w:rFonts w:cs="Aptos"/>
          <w:sz w:val="24"/>
          <w:szCs w:val="24"/>
        </w:rPr>
        <w:t>TECAR therapy</w:t>
      </w:r>
      <w:r>
        <w:rPr>
          <w:rFonts w:cs="Aptos"/>
          <w:sz w:val="24"/>
          <w:szCs w:val="24"/>
        </w:rPr>
        <w:t xml:space="preserve"> will be integrated</w:t>
      </w:r>
      <w:r w:rsidRPr="006E65CD">
        <w:rPr>
          <w:rFonts w:cs="Aptos"/>
          <w:sz w:val="24"/>
          <w:szCs w:val="24"/>
        </w:rPr>
        <w:t xml:space="preserve"> into your existing treatment plan. The adaptability of the TECAR electrodes allows us to seamlessly combine this advanced technology with the expert manual therapy and tailored exercises you </w:t>
      </w:r>
      <w:r>
        <w:rPr>
          <w:rFonts w:cs="Aptos"/>
          <w:sz w:val="24"/>
          <w:szCs w:val="24"/>
        </w:rPr>
        <w:t>will get during your treatment</w:t>
      </w:r>
      <w:r w:rsidRPr="006E65CD">
        <w:rPr>
          <w:rFonts w:cs="Aptos"/>
          <w:sz w:val="24"/>
          <w:szCs w:val="24"/>
        </w:rPr>
        <w:t>. Importantly, there is no additional cost for the use of TECAR within your physiotherapy session.</w:t>
      </w:r>
    </w:p>
    <w:p w14:paraId="757838F7" w14:textId="77777777" w:rsidR="00D760BB" w:rsidRPr="00550438" w:rsidRDefault="006E65CD" w:rsidP="00E708A1">
      <w:pPr>
        <w:rPr>
          <w:rFonts w:cs="Aptos"/>
          <w:sz w:val="24"/>
          <w:szCs w:val="24"/>
        </w:rPr>
      </w:pPr>
      <w:r>
        <w:rPr>
          <w:rFonts w:cs="Aptos"/>
          <w:sz w:val="24"/>
          <w:szCs w:val="24"/>
        </w:rPr>
        <w:t>P</w:t>
      </w:r>
      <w:r w:rsidRPr="006E65CD">
        <w:rPr>
          <w:rFonts w:cs="Aptos"/>
          <w:sz w:val="24"/>
          <w:szCs w:val="24"/>
        </w:rPr>
        <w:t>atients describe TECAR therapy as a deeply soothing experience, with a gentle, warming sensation that can last for several hours post-treatment. This prolonged effect contributes to sustained pain relief and improved mobility.</w:t>
      </w:r>
    </w:p>
    <w:p w14:paraId="202E551E" w14:textId="77777777" w:rsidR="00D760BB" w:rsidRPr="00550438" w:rsidRDefault="0067108D" w:rsidP="00D760BB">
      <w:pPr>
        <w:rPr>
          <w:rFonts w:cs="Aptos"/>
          <w:sz w:val="24"/>
          <w:szCs w:val="24"/>
        </w:rPr>
      </w:pPr>
      <w:r w:rsidRPr="00550438">
        <w:rPr>
          <w:rFonts w:cs="Aptos"/>
          <w:color w:val="1F497D" w:themeColor="text2"/>
          <w:sz w:val="24"/>
          <w:szCs w:val="24"/>
        </w:rPr>
        <w:t>What can</w:t>
      </w:r>
      <w:r w:rsidR="00D760BB" w:rsidRPr="00550438">
        <w:rPr>
          <w:rFonts w:cs="Aptos"/>
          <w:color w:val="1F497D" w:themeColor="text2"/>
          <w:sz w:val="24"/>
          <w:szCs w:val="24"/>
        </w:rPr>
        <w:t xml:space="preserve"> </w:t>
      </w:r>
      <w:proofErr w:type="spellStart"/>
      <w:r w:rsidR="00550438" w:rsidRPr="00550438">
        <w:rPr>
          <w:rFonts w:cs="Aptos"/>
          <w:color w:val="1F497D" w:themeColor="text2"/>
          <w:sz w:val="24"/>
          <w:szCs w:val="24"/>
        </w:rPr>
        <w:t>Winback</w:t>
      </w:r>
      <w:proofErr w:type="spellEnd"/>
      <w:r w:rsidR="00D760BB" w:rsidRPr="00550438">
        <w:rPr>
          <w:rFonts w:cs="Aptos"/>
          <w:color w:val="1F497D" w:themeColor="text2"/>
          <w:sz w:val="24"/>
          <w:szCs w:val="24"/>
        </w:rPr>
        <w:t xml:space="preserve"> treat</w:t>
      </w:r>
      <w:r w:rsidRPr="00550438">
        <w:rPr>
          <w:rFonts w:cs="Aptos"/>
          <w:color w:val="1F497D" w:themeColor="text2"/>
          <w:sz w:val="24"/>
          <w:szCs w:val="24"/>
        </w:rPr>
        <w:t>?</w:t>
      </w:r>
      <w:r w:rsidRPr="00550438">
        <w:rPr>
          <w:rFonts w:cs="Aptos"/>
          <w:sz w:val="24"/>
          <w:szCs w:val="24"/>
        </w:rPr>
        <w:t xml:space="preserve"> </w:t>
      </w:r>
    </w:p>
    <w:p w14:paraId="2C843458" w14:textId="4ECCFC41" w:rsidR="00550438" w:rsidRPr="00550438" w:rsidRDefault="00550438" w:rsidP="00550438">
      <w:pPr>
        <w:rPr>
          <w:rFonts w:cs="Aptos"/>
          <w:sz w:val="24"/>
          <w:szCs w:val="24"/>
        </w:rPr>
      </w:pPr>
      <w:proofErr w:type="spellStart"/>
      <w:r w:rsidRPr="00550438">
        <w:rPr>
          <w:rFonts w:cs="Aptos"/>
          <w:sz w:val="24"/>
          <w:szCs w:val="24"/>
        </w:rPr>
        <w:t>Winback</w:t>
      </w:r>
      <w:proofErr w:type="spellEnd"/>
      <w:r w:rsidRPr="00550438">
        <w:rPr>
          <w:rFonts w:cs="Aptos"/>
          <w:sz w:val="24"/>
          <w:szCs w:val="24"/>
        </w:rPr>
        <w:t xml:space="preserve"> </w:t>
      </w:r>
      <w:r w:rsidR="005E756D">
        <w:rPr>
          <w:rFonts w:cs="Aptos"/>
          <w:sz w:val="24"/>
          <w:szCs w:val="24"/>
        </w:rPr>
        <w:t xml:space="preserve">TECAR </w:t>
      </w:r>
      <w:r w:rsidRPr="00550438">
        <w:rPr>
          <w:rFonts w:cs="Aptos"/>
          <w:sz w:val="24"/>
          <w:szCs w:val="24"/>
        </w:rPr>
        <w:t>therapy</w:t>
      </w:r>
      <w:r w:rsidR="003B4305">
        <w:rPr>
          <w:rFonts w:cs="Aptos"/>
          <w:sz w:val="24"/>
          <w:szCs w:val="24"/>
        </w:rPr>
        <w:t xml:space="preserve"> is</w:t>
      </w:r>
      <w:r w:rsidRPr="00550438">
        <w:rPr>
          <w:rFonts w:cs="Aptos"/>
          <w:sz w:val="24"/>
          <w:szCs w:val="24"/>
        </w:rPr>
        <w:t xml:space="preserve"> used for many injuries, traumatic injuries or post-operative injuries.</w:t>
      </w:r>
    </w:p>
    <w:p w14:paraId="66D8E2A4" w14:textId="4E41F249" w:rsidR="00550438" w:rsidRPr="00550438" w:rsidRDefault="00550438" w:rsidP="00550438">
      <w:pPr>
        <w:rPr>
          <w:rFonts w:cs="Aptos"/>
          <w:sz w:val="24"/>
          <w:szCs w:val="24"/>
        </w:rPr>
      </w:pPr>
      <w:proofErr w:type="spellStart"/>
      <w:r w:rsidRPr="00550438">
        <w:rPr>
          <w:rFonts w:cs="Aptos"/>
          <w:sz w:val="24"/>
          <w:szCs w:val="24"/>
        </w:rPr>
        <w:t>Winback</w:t>
      </w:r>
      <w:proofErr w:type="spellEnd"/>
      <w:r w:rsidRPr="00550438">
        <w:rPr>
          <w:rFonts w:cs="Aptos"/>
          <w:sz w:val="24"/>
          <w:szCs w:val="24"/>
        </w:rPr>
        <w:t xml:space="preserve"> technology can be used from day one. By stimulating the circulatory system, reducing pain and increasing cellular</w:t>
      </w:r>
      <w:r w:rsidR="00341A7E">
        <w:rPr>
          <w:rFonts w:cs="Aptos"/>
          <w:sz w:val="24"/>
          <w:szCs w:val="24"/>
        </w:rPr>
        <w:t xml:space="preserve"> metabolism</w:t>
      </w:r>
      <w:r w:rsidR="005E756D">
        <w:rPr>
          <w:rFonts w:cs="Aptos"/>
          <w:sz w:val="24"/>
          <w:szCs w:val="24"/>
        </w:rPr>
        <w:t xml:space="preserve"> </w:t>
      </w:r>
      <w:r w:rsidRPr="00550438">
        <w:rPr>
          <w:rFonts w:cs="Aptos"/>
          <w:sz w:val="24"/>
          <w:szCs w:val="24"/>
        </w:rPr>
        <w:t xml:space="preserve">exchange, the use of </w:t>
      </w:r>
      <w:proofErr w:type="spellStart"/>
      <w:r w:rsidRPr="00550438">
        <w:rPr>
          <w:rFonts w:cs="Aptos"/>
          <w:sz w:val="24"/>
          <w:szCs w:val="24"/>
        </w:rPr>
        <w:t>Winback</w:t>
      </w:r>
      <w:proofErr w:type="spellEnd"/>
      <w:r w:rsidRPr="00550438">
        <w:rPr>
          <w:rFonts w:cs="Aptos"/>
          <w:sz w:val="24"/>
          <w:szCs w:val="24"/>
        </w:rPr>
        <w:t xml:space="preserve"> </w:t>
      </w:r>
      <w:r w:rsidR="005E756D">
        <w:rPr>
          <w:rFonts w:cs="Aptos"/>
          <w:sz w:val="24"/>
          <w:szCs w:val="24"/>
        </w:rPr>
        <w:t xml:space="preserve">TECAR </w:t>
      </w:r>
      <w:r w:rsidRPr="00550438">
        <w:rPr>
          <w:rFonts w:cs="Aptos"/>
          <w:sz w:val="24"/>
          <w:szCs w:val="24"/>
        </w:rPr>
        <w:t>therapy</w:t>
      </w:r>
      <w:r w:rsidR="00341A7E">
        <w:rPr>
          <w:rFonts w:cs="Aptos"/>
          <w:sz w:val="24"/>
          <w:szCs w:val="24"/>
        </w:rPr>
        <w:t xml:space="preserve"> optimises healing through every phase</w:t>
      </w:r>
      <w:r w:rsidRPr="00550438">
        <w:rPr>
          <w:rFonts w:cs="Aptos"/>
          <w:sz w:val="24"/>
          <w:szCs w:val="24"/>
        </w:rPr>
        <w:t>.</w:t>
      </w:r>
    </w:p>
    <w:p w14:paraId="297BA324" w14:textId="77777777" w:rsidR="00550438" w:rsidRPr="00550438" w:rsidRDefault="00550438" w:rsidP="00550438">
      <w:pPr>
        <w:rPr>
          <w:rFonts w:cs="Aptos"/>
          <w:color w:val="1F497D" w:themeColor="text2"/>
          <w:sz w:val="24"/>
          <w:szCs w:val="24"/>
        </w:rPr>
      </w:pPr>
      <w:r w:rsidRPr="00550438">
        <w:rPr>
          <w:rFonts w:cs="Aptos"/>
          <w:color w:val="1F497D" w:themeColor="text2"/>
          <w:sz w:val="24"/>
          <w:szCs w:val="24"/>
        </w:rPr>
        <w:t xml:space="preserve">Benefits of </w:t>
      </w:r>
      <w:proofErr w:type="spellStart"/>
      <w:r w:rsidRPr="00550438">
        <w:rPr>
          <w:rFonts w:cs="Aptos"/>
          <w:color w:val="1F497D" w:themeColor="text2"/>
          <w:sz w:val="24"/>
          <w:szCs w:val="24"/>
        </w:rPr>
        <w:t>Winback</w:t>
      </w:r>
      <w:proofErr w:type="spellEnd"/>
      <w:r w:rsidRPr="00550438">
        <w:rPr>
          <w:rFonts w:cs="Aptos"/>
          <w:color w:val="1F497D" w:themeColor="text2"/>
          <w:sz w:val="24"/>
          <w:szCs w:val="24"/>
        </w:rPr>
        <w:t xml:space="preserve"> Therapy:</w:t>
      </w:r>
    </w:p>
    <w:p w14:paraId="072E75B2" w14:textId="77777777" w:rsidR="00550438" w:rsidRPr="00550438" w:rsidRDefault="00550438" w:rsidP="00550438">
      <w:pPr>
        <w:numPr>
          <w:ilvl w:val="0"/>
          <w:numId w:val="23"/>
        </w:num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Accelerated Healing:</w:t>
      </w:r>
      <w:r w:rsidR="006E65CD">
        <w:rPr>
          <w:rFonts w:cs="Aptos"/>
          <w:sz w:val="24"/>
          <w:szCs w:val="24"/>
        </w:rPr>
        <w:t xml:space="preserve"> </w:t>
      </w:r>
      <w:r w:rsidRPr="00550438">
        <w:rPr>
          <w:rFonts w:cs="Aptos"/>
          <w:sz w:val="24"/>
          <w:szCs w:val="24"/>
        </w:rPr>
        <w:t>TECAR stimulates cellular metabolism, promoting faster tissue repair and regeneration.</w:t>
      </w:r>
    </w:p>
    <w:p w14:paraId="1C65EA6F" w14:textId="3FC7CFBA" w:rsidR="00550438" w:rsidRPr="00550438" w:rsidRDefault="00550438" w:rsidP="00550438">
      <w:pPr>
        <w:numPr>
          <w:ilvl w:val="0"/>
          <w:numId w:val="23"/>
        </w:num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Collagen Formation: It encourages the production of collagen, essential for repairing tendons, ligaments, and other connective tissues.</w:t>
      </w:r>
    </w:p>
    <w:p w14:paraId="0CDF63B8" w14:textId="15E53D25" w:rsidR="00550438" w:rsidRPr="00550438" w:rsidRDefault="00550438" w:rsidP="00550438">
      <w:pPr>
        <w:numPr>
          <w:ilvl w:val="0"/>
          <w:numId w:val="23"/>
        </w:num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Increased Blood Flow: By enhancing microcirculation, TECAR delivers vital oxygen and nutrients to injured areas, reducing inflammation</w:t>
      </w:r>
      <w:r w:rsidR="00341A7E">
        <w:rPr>
          <w:rFonts w:cs="Aptos"/>
          <w:sz w:val="24"/>
          <w:szCs w:val="24"/>
        </w:rPr>
        <w:t xml:space="preserve"> and optimising function</w:t>
      </w:r>
      <w:r w:rsidRPr="00550438">
        <w:rPr>
          <w:rFonts w:cs="Aptos"/>
          <w:sz w:val="24"/>
          <w:szCs w:val="24"/>
        </w:rPr>
        <w:t>.</w:t>
      </w:r>
    </w:p>
    <w:p w14:paraId="71013094" w14:textId="5C97907D" w:rsidR="00550438" w:rsidRPr="00550438" w:rsidRDefault="00550438" w:rsidP="00550438">
      <w:pPr>
        <w:numPr>
          <w:ilvl w:val="0"/>
          <w:numId w:val="23"/>
        </w:num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lastRenderedPageBreak/>
        <w:t>Rapid Pain Reduction: The deep heating effect of TECAR helps to alleviate pain quickly and effectively</w:t>
      </w:r>
      <w:r w:rsidR="00341A7E">
        <w:rPr>
          <w:rFonts w:cs="Aptos"/>
          <w:sz w:val="24"/>
          <w:szCs w:val="24"/>
        </w:rPr>
        <w:t xml:space="preserve"> while also improving tissue elasticity.</w:t>
      </w:r>
    </w:p>
    <w:p w14:paraId="55B19A72" w14:textId="688FFDC3" w:rsidR="00550438" w:rsidRPr="00550438" w:rsidRDefault="00550438" w:rsidP="00550438">
      <w:pPr>
        <w:numPr>
          <w:ilvl w:val="0"/>
          <w:numId w:val="23"/>
        </w:num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Muscle Spasm Relief: It relaxes tight muscles and reduces spasms, restoring normal muscle function</w:t>
      </w:r>
      <w:r w:rsidR="005E756D">
        <w:rPr>
          <w:rFonts w:cs="Aptos"/>
          <w:sz w:val="24"/>
          <w:szCs w:val="24"/>
        </w:rPr>
        <w:t>.</w:t>
      </w:r>
    </w:p>
    <w:p w14:paraId="197EEAD9" w14:textId="77777777" w:rsidR="00550438" w:rsidRPr="00550438" w:rsidRDefault="00550438" w:rsidP="00550438">
      <w:pPr>
        <w:rPr>
          <w:rFonts w:cs="Aptos"/>
          <w:sz w:val="24"/>
          <w:szCs w:val="24"/>
        </w:rPr>
      </w:pPr>
    </w:p>
    <w:p w14:paraId="35043BBB" w14:textId="77777777" w:rsidR="00550438" w:rsidRPr="00550438" w:rsidRDefault="0067108D" w:rsidP="00550438">
      <w:pPr>
        <w:rPr>
          <w:rFonts w:cs="Aptos"/>
          <w:color w:val="1F497D" w:themeColor="text2"/>
          <w:sz w:val="24"/>
          <w:szCs w:val="24"/>
        </w:rPr>
      </w:pPr>
      <w:r w:rsidRPr="00550438">
        <w:rPr>
          <w:rFonts w:cs="Aptos"/>
          <w:color w:val="1F497D" w:themeColor="text2"/>
          <w:sz w:val="24"/>
          <w:szCs w:val="24"/>
        </w:rPr>
        <w:t>Wh</w:t>
      </w:r>
      <w:r w:rsidR="00D760BB" w:rsidRPr="00550438">
        <w:rPr>
          <w:rFonts w:cs="Aptos"/>
          <w:color w:val="1F497D" w:themeColor="text2"/>
          <w:sz w:val="24"/>
          <w:szCs w:val="24"/>
        </w:rPr>
        <w:t xml:space="preserve">at is </w:t>
      </w:r>
      <w:proofErr w:type="spellStart"/>
      <w:r w:rsidR="00550438" w:rsidRPr="00550438">
        <w:rPr>
          <w:rFonts w:cs="Aptos"/>
          <w:color w:val="1F497D" w:themeColor="text2"/>
          <w:sz w:val="24"/>
          <w:szCs w:val="24"/>
        </w:rPr>
        <w:t>Winback</w:t>
      </w:r>
      <w:proofErr w:type="spellEnd"/>
      <w:r w:rsidRPr="00550438">
        <w:rPr>
          <w:rFonts w:cs="Aptos"/>
          <w:color w:val="1F497D" w:themeColor="text2"/>
          <w:sz w:val="24"/>
          <w:szCs w:val="24"/>
        </w:rPr>
        <w:t xml:space="preserve">? </w:t>
      </w:r>
    </w:p>
    <w:p w14:paraId="7E7457E9" w14:textId="6057F2DA" w:rsidR="00550438" w:rsidRPr="00550438" w:rsidRDefault="00550438" w:rsidP="00550438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It is a</w:t>
      </w:r>
      <w:r w:rsidRPr="00550438">
        <w:rPr>
          <w:rFonts w:cs="Aptos"/>
          <w:color w:val="1F497D" w:themeColor="text2"/>
          <w:sz w:val="24"/>
          <w:szCs w:val="24"/>
        </w:rPr>
        <w:t xml:space="preserve"> </w:t>
      </w:r>
      <w:r w:rsidRPr="00550438">
        <w:rPr>
          <w:rFonts w:cs="Aptos"/>
          <w:sz w:val="24"/>
          <w:szCs w:val="24"/>
        </w:rPr>
        <w:t>cutting-edge treatment</w:t>
      </w:r>
      <w:r w:rsidR="005E756D">
        <w:rPr>
          <w:rFonts w:cs="Aptos"/>
          <w:sz w:val="24"/>
          <w:szCs w:val="24"/>
        </w:rPr>
        <w:t xml:space="preserve"> which</w:t>
      </w:r>
      <w:r w:rsidRPr="00550438">
        <w:rPr>
          <w:rFonts w:cs="Aptos"/>
          <w:sz w:val="24"/>
          <w:szCs w:val="24"/>
        </w:rPr>
        <w:t xml:space="preserve"> accelerate</w:t>
      </w:r>
      <w:r w:rsidR="005E756D">
        <w:rPr>
          <w:rFonts w:cs="Aptos"/>
          <w:sz w:val="24"/>
          <w:szCs w:val="24"/>
        </w:rPr>
        <w:t>s</w:t>
      </w:r>
      <w:r w:rsidRPr="00550438">
        <w:rPr>
          <w:rFonts w:cs="Aptos"/>
          <w:sz w:val="24"/>
          <w:szCs w:val="24"/>
        </w:rPr>
        <w:t xml:space="preserve"> your recovery and improve</w:t>
      </w:r>
      <w:r w:rsidR="005E756D">
        <w:rPr>
          <w:rFonts w:cs="Aptos"/>
          <w:sz w:val="24"/>
          <w:szCs w:val="24"/>
        </w:rPr>
        <w:t>s</w:t>
      </w:r>
      <w:r w:rsidRPr="00550438">
        <w:rPr>
          <w:rFonts w:cs="Aptos"/>
          <w:sz w:val="24"/>
          <w:szCs w:val="24"/>
        </w:rPr>
        <w:t xml:space="preserve"> your well-being </w:t>
      </w:r>
      <w:r w:rsidR="005E756D">
        <w:rPr>
          <w:rFonts w:cs="Aptos"/>
          <w:sz w:val="24"/>
          <w:szCs w:val="24"/>
        </w:rPr>
        <w:t xml:space="preserve">using </w:t>
      </w:r>
      <w:r w:rsidRPr="00550438">
        <w:rPr>
          <w:rFonts w:cs="Aptos"/>
          <w:sz w:val="24"/>
          <w:szCs w:val="24"/>
        </w:rPr>
        <w:t>Radiofrequency.</w:t>
      </w:r>
    </w:p>
    <w:p w14:paraId="505D83D3" w14:textId="6E0C4B1E" w:rsidR="0067108D" w:rsidRPr="00550438" w:rsidRDefault="00550438" w:rsidP="00E708A1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 xml:space="preserve">It is a non-invasive and </w:t>
      </w:r>
      <w:r w:rsidR="003B4305" w:rsidRPr="00550438">
        <w:rPr>
          <w:rFonts w:cs="Aptos"/>
          <w:sz w:val="24"/>
          <w:szCs w:val="24"/>
        </w:rPr>
        <w:t xml:space="preserve">painless, </w:t>
      </w:r>
      <w:proofErr w:type="spellStart"/>
      <w:r w:rsidR="003B4305" w:rsidRPr="00550438">
        <w:rPr>
          <w:rFonts w:cs="Aptos"/>
          <w:sz w:val="24"/>
          <w:szCs w:val="24"/>
        </w:rPr>
        <w:t>Winback</w:t>
      </w:r>
      <w:proofErr w:type="spellEnd"/>
      <w:r w:rsidRPr="00550438">
        <w:rPr>
          <w:rFonts w:cs="Aptos"/>
          <w:sz w:val="24"/>
          <w:szCs w:val="24"/>
        </w:rPr>
        <w:t xml:space="preserve"> technology uses a high-frequency electric current that acts from inside the body. It improves the biological (self-repair of the organism), analgesic and diathermic effects </w:t>
      </w:r>
      <w:r w:rsidR="005E756D">
        <w:rPr>
          <w:rFonts w:cs="Aptos"/>
          <w:sz w:val="24"/>
          <w:szCs w:val="24"/>
        </w:rPr>
        <w:t xml:space="preserve">of tissues </w:t>
      </w:r>
      <w:r w:rsidRPr="00550438">
        <w:rPr>
          <w:rFonts w:cs="Aptos"/>
          <w:sz w:val="24"/>
          <w:szCs w:val="24"/>
        </w:rPr>
        <w:t>along the path between the two electrodes.</w:t>
      </w:r>
    </w:p>
    <w:p w14:paraId="2E970AFF" w14:textId="77777777" w:rsidR="00550438" w:rsidRPr="00550438" w:rsidRDefault="00D760BB" w:rsidP="00550438">
      <w:pPr>
        <w:rPr>
          <w:rFonts w:cs="Aptos"/>
          <w:sz w:val="24"/>
          <w:szCs w:val="24"/>
        </w:rPr>
      </w:pPr>
      <w:r w:rsidRPr="00550438">
        <w:rPr>
          <w:rFonts w:cs="Aptos"/>
          <w:color w:val="1F497D" w:themeColor="text2"/>
          <w:sz w:val="24"/>
          <w:szCs w:val="24"/>
        </w:rPr>
        <w:t>How does it help</w:t>
      </w:r>
      <w:r w:rsidR="00550438" w:rsidRPr="00550438">
        <w:rPr>
          <w:rFonts w:cs="Aptos"/>
          <w:sz w:val="24"/>
          <w:szCs w:val="24"/>
        </w:rPr>
        <w:t xml:space="preserve">?  </w:t>
      </w:r>
    </w:p>
    <w:p w14:paraId="738DAE34" w14:textId="77777777" w:rsidR="00550438" w:rsidRPr="00550438" w:rsidRDefault="00550438" w:rsidP="00550438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Tecar high-frequency current enables membrane depolarization, resulting in increased intra- and extra-cellular exchanges. It targets all tissues and offers three key therapeutic effects in combination:</w:t>
      </w:r>
    </w:p>
    <w:p w14:paraId="1D60EB5E" w14:textId="77777777" w:rsidR="00550438" w:rsidRPr="00550438" w:rsidRDefault="00550438" w:rsidP="00550438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- Analgesic: through saturation of nociceptors and inhibition of transmission</w:t>
      </w:r>
    </w:p>
    <w:p w14:paraId="2A322CF9" w14:textId="77777777" w:rsidR="00550438" w:rsidRPr="00550438" w:rsidRDefault="00550438" w:rsidP="00550438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- Diathermic: delivers endogenous heat and tissue vascularization</w:t>
      </w:r>
    </w:p>
    <w:p w14:paraId="61F40C4B" w14:textId="77777777" w:rsidR="00550438" w:rsidRPr="00550438" w:rsidRDefault="00550438" w:rsidP="00550438">
      <w:pPr>
        <w:rPr>
          <w:rFonts w:cs="Aptos"/>
          <w:sz w:val="24"/>
          <w:szCs w:val="24"/>
        </w:rPr>
      </w:pPr>
      <w:r w:rsidRPr="00550438">
        <w:rPr>
          <w:rFonts w:cs="Aptos"/>
          <w:sz w:val="24"/>
          <w:szCs w:val="24"/>
        </w:rPr>
        <w:t>- Biological: stimulates cellular metabolism</w:t>
      </w:r>
    </w:p>
    <w:p w14:paraId="6A889028" w14:textId="3CA5DD5E" w:rsidR="00550438" w:rsidRPr="00550438" w:rsidRDefault="00550438" w:rsidP="00550438">
      <w:pPr>
        <w:spacing w:after="0"/>
        <w:rPr>
          <w:sz w:val="24"/>
          <w:szCs w:val="24"/>
        </w:rPr>
      </w:pPr>
      <w:r w:rsidRPr="00550438">
        <w:rPr>
          <w:sz w:val="24"/>
          <w:szCs w:val="24"/>
        </w:rPr>
        <w:t>This speeds up patient rehabilitation.</w:t>
      </w:r>
      <w:r>
        <w:rPr>
          <w:sz w:val="24"/>
          <w:szCs w:val="24"/>
        </w:rPr>
        <w:t xml:space="preserve">  It is e</w:t>
      </w:r>
      <w:r w:rsidRPr="00550438">
        <w:rPr>
          <w:sz w:val="24"/>
          <w:szCs w:val="24"/>
        </w:rPr>
        <w:t xml:space="preserve">xtremely versatile, </w:t>
      </w:r>
      <w:r w:rsidR="005E756D">
        <w:rPr>
          <w:sz w:val="24"/>
          <w:szCs w:val="24"/>
        </w:rPr>
        <w:t xml:space="preserve">TECAR </w:t>
      </w:r>
      <w:r w:rsidRPr="00550438">
        <w:rPr>
          <w:sz w:val="24"/>
          <w:szCs w:val="24"/>
        </w:rPr>
        <w:t>therapy is equally well-suited to acute and chronic pathologies involving ligaments, tendons, and muscles...</w:t>
      </w:r>
    </w:p>
    <w:p w14:paraId="140F327D" w14:textId="7716C372" w:rsidR="00550438" w:rsidRDefault="00550438" w:rsidP="00550438">
      <w:pPr>
        <w:spacing w:after="0"/>
        <w:rPr>
          <w:sz w:val="24"/>
          <w:szCs w:val="24"/>
        </w:rPr>
      </w:pPr>
      <w:r w:rsidRPr="00550438">
        <w:rPr>
          <w:sz w:val="24"/>
          <w:szCs w:val="24"/>
        </w:rPr>
        <w:t>- Post-traumatic injuries such as sprains</w:t>
      </w:r>
      <w:r w:rsidR="00997A3A">
        <w:rPr>
          <w:sz w:val="24"/>
          <w:szCs w:val="24"/>
        </w:rPr>
        <w:t xml:space="preserve">, </w:t>
      </w:r>
      <w:r w:rsidR="00341A7E">
        <w:rPr>
          <w:sz w:val="24"/>
          <w:szCs w:val="24"/>
        </w:rPr>
        <w:t>strains and spinal</w:t>
      </w:r>
      <w:r w:rsidRPr="00550438">
        <w:rPr>
          <w:sz w:val="24"/>
          <w:szCs w:val="24"/>
        </w:rPr>
        <w:t xml:space="preserve"> injuries</w:t>
      </w:r>
    </w:p>
    <w:p w14:paraId="7F98358F" w14:textId="0D4B99F3" w:rsidR="00341A7E" w:rsidRDefault="005E756D" w:rsidP="005504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50438">
        <w:rPr>
          <w:sz w:val="24"/>
          <w:szCs w:val="24"/>
        </w:rPr>
        <w:t>post-operative</w:t>
      </w:r>
      <w:r>
        <w:rPr>
          <w:sz w:val="24"/>
          <w:szCs w:val="24"/>
        </w:rPr>
        <w:t xml:space="preserve"> </w:t>
      </w:r>
      <w:r w:rsidR="00341A7E">
        <w:rPr>
          <w:sz w:val="24"/>
          <w:szCs w:val="24"/>
        </w:rPr>
        <w:t>management for pain and mobility in conditions such as spinal fusion/decompression, joint replacements and fracture repairs.</w:t>
      </w:r>
    </w:p>
    <w:p w14:paraId="2610A4BA" w14:textId="39A4BA9F" w:rsidR="00550438" w:rsidRPr="00550438" w:rsidRDefault="00550438" w:rsidP="00550438">
      <w:pPr>
        <w:spacing w:after="0"/>
        <w:rPr>
          <w:sz w:val="24"/>
          <w:szCs w:val="24"/>
        </w:rPr>
      </w:pPr>
      <w:r w:rsidRPr="00550438">
        <w:rPr>
          <w:sz w:val="24"/>
          <w:szCs w:val="24"/>
        </w:rPr>
        <w:t>- Inflammatory pathologies </w:t>
      </w:r>
    </w:p>
    <w:p w14:paraId="678C39B3" w14:textId="77777777" w:rsidR="00550438" w:rsidRPr="00550438" w:rsidRDefault="00550438" w:rsidP="00550438">
      <w:pPr>
        <w:spacing w:after="0"/>
        <w:rPr>
          <w:sz w:val="24"/>
          <w:szCs w:val="24"/>
        </w:rPr>
      </w:pPr>
      <w:r w:rsidRPr="00550438">
        <w:rPr>
          <w:sz w:val="24"/>
          <w:szCs w:val="24"/>
        </w:rPr>
        <w:t>- Local or radiating pain </w:t>
      </w:r>
    </w:p>
    <w:p w14:paraId="4E896153" w14:textId="5AB5950A" w:rsidR="006E65CD" w:rsidRDefault="00550438" w:rsidP="00997A3A">
      <w:pPr>
        <w:spacing w:after="0"/>
        <w:rPr>
          <w:sz w:val="24"/>
          <w:szCs w:val="24"/>
        </w:rPr>
      </w:pPr>
      <w:r w:rsidRPr="00550438">
        <w:rPr>
          <w:sz w:val="24"/>
          <w:szCs w:val="24"/>
        </w:rPr>
        <w:t xml:space="preserve">The effects of </w:t>
      </w:r>
      <w:r w:rsidR="00997A3A">
        <w:rPr>
          <w:sz w:val="24"/>
          <w:szCs w:val="24"/>
        </w:rPr>
        <w:t xml:space="preserve">TECAR </w:t>
      </w:r>
      <w:r w:rsidRPr="00550438">
        <w:rPr>
          <w:sz w:val="24"/>
          <w:szCs w:val="24"/>
        </w:rPr>
        <w:t>therapy have been recognized by thousands of patients. Over 15,000 centres have adopted this technology in recent years. </w:t>
      </w:r>
      <w:r w:rsidR="00997A3A">
        <w:rPr>
          <w:sz w:val="24"/>
          <w:szCs w:val="24"/>
        </w:rPr>
        <w:t>It is w</w:t>
      </w:r>
      <w:r w:rsidRPr="00550438">
        <w:rPr>
          <w:sz w:val="24"/>
          <w:szCs w:val="24"/>
        </w:rPr>
        <w:t>idely used in the treatment of numerous pathologies</w:t>
      </w:r>
      <w:r>
        <w:rPr>
          <w:sz w:val="24"/>
          <w:szCs w:val="24"/>
        </w:rPr>
        <w:t>.</w:t>
      </w:r>
    </w:p>
    <w:p w14:paraId="06659FDF" w14:textId="77777777" w:rsidR="00997A3A" w:rsidRPr="0067108D" w:rsidRDefault="00997A3A" w:rsidP="00997A3A">
      <w:pPr>
        <w:spacing w:after="0"/>
        <w:rPr>
          <w:sz w:val="24"/>
          <w:szCs w:val="24"/>
        </w:rPr>
      </w:pPr>
    </w:p>
    <w:p w14:paraId="07677E61" w14:textId="50298A09" w:rsidR="00E11B8B" w:rsidRDefault="00997A3A" w:rsidP="00D760BB">
      <w:pPr>
        <w:spacing w:after="0"/>
        <w:rPr>
          <w:sz w:val="24"/>
          <w:szCs w:val="24"/>
        </w:rPr>
      </w:pPr>
      <w:r>
        <w:rPr>
          <w:color w:val="1F497D" w:themeColor="text2"/>
          <w:sz w:val="24"/>
          <w:szCs w:val="24"/>
        </w:rPr>
        <w:t>Contraindications (WHO CANNOT USE WINBACK)</w:t>
      </w:r>
    </w:p>
    <w:p w14:paraId="2867FED2" w14:textId="74FE6326" w:rsidR="00550438" w:rsidRDefault="00550438" w:rsidP="00550438">
      <w:pPr>
        <w:spacing w:after="0"/>
        <w:rPr>
          <w:sz w:val="24"/>
          <w:szCs w:val="24"/>
        </w:rPr>
      </w:pPr>
      <w:r>
        <w:rPr>
          <w:sz w:val="24"/>
          <w:szCs w:val="24"/>
        </w:rPr>
        <w:t>I</w:t>
      </w:r>
      <w:r w:rsidRPr="00550438">
        <w:rPr>
          <w:sz w:val="24"/>
          <w:szCs w:val="24"/>
        </w:rPr>
        <w:t xml:space="preserve">t has the advantage of presenting very few contraindications. What's more, </w:t>
      </w:r>
      <w:r w:rsidR="00997A3A">
        <w:rPr>
          <w:sz w:val="24"/>
          <w:szCs w:val="24"/>
        </w:rPr>
        <w:t xml:space="preserve">TECAR </w:t>
      </w:r>
      <w:r w:rsidRPr="00550438">
        <w:rPr>
          <w:sz w:val="24"/>
          <w:szCs w:val="24"/>
        </w:rPr>
        <w:t>therapy has the advantage of being totally pain-free. Providing gentle, comfortable warmth</w:t>
      </w:r>
      <w:r>
        <w:rPr>
          <w:sz w:val="24"/>
          <w:szCs w:val="24"/>
        </w:rPr>
        <w:t xml:space="preserve"> that</w:t>
      </w:r>
      <w:r w:rsidRPr="00550438">
        <w:rPr>
          <w:sz w:val="24"/>
          <w:szCs w:val="24"/>
        </w:rPr>
        <w:t xml:space="preserve"> is appreciated by </w:t>
      </w:r>
      <w:r>
        <w:rPr>
          <w:sz w:val="24"/>
          <w:szCs w:val="24"/>
        </w:rPr>
        <w:t xml:space="preserve">the </w:t>
      </w:r>
      <w:r w:rsidRPr="00550438">
        <w:rPr>
          <w:sz w:val="24"/>
          <w:szCs w:val="24"/>
        </w:rPr>
        <w:t>patient.</w:t>
      </w:r>
    </w:p>
    <w:p w14:paraId="38A77EE1" w14:textId="77777777" w:rsidR="00550438" w:rsidRDefault="00550438" w:rsidP="00550438">
      <w:pPr>
        <w:spacing w:after="0"/>
        <w:rPr>
          <w:sz w:val="24"/>
          <w:szCs w:val="24"/>
        </w:rPr>
      </w:pPr>
    </w:p>
    <w:p w14:paraId="0CBB473F" w14:textId="39E6E289" w:rsidR="00550438" w:rsidRDefault="00997A3A" w:rsidP="00550438">
      <w:pPr>
        <w:spacing w:after="0"/>
        <w:rPr>
          <w:sz w:val="24"/>
          <w:szCs w:val="24"/>
        </w:rPr>
      </w:pPr>
      <w:r>
        <w:rPr>
          <w:sz w:val="24"/>
          <w:szCs w:val="24"/>
        </w:rPr>
        <w:t>We are unable to utilise this treatment if</w:t>
      </w:r>
      <w:r w:rsidR="00550438">
        <w:rPr>
          <w:sz w:val="24"/>
          <w:szCs w:val="24"/>
        </w:rPr>
        <w:t xml:space="preserve"> you are/have</w:t>
      </w:r>
      <w:r>
        <w:rPr>
          <w:sz w:val="24"/>
          <w:szCs w:val="24"/>
        </w:rPr>
        <w:t>:</w:t>
      </w:r>
    </w:p>
    <w:p w14:paraId="07A8F6A2" w14:textId="1CC4A11D" w:rsidR="00D760BB" w:rsidRPr="00D760BB" w:rsidRDefault="00D760BB" w:rsidP="00550438">
      <w:pPr>
        <w:numPr>
          <w:ilvl w:val="0"/>
          <w:numId w:val="22"/>
        </w:numPr>
        <w:spacing w:after="0"/>
        <w:rPr>
          <w:sz w:val="24"/>
          <w:szCs w:val="24"/>
        </w:rPr>
      </w:pPr>
      <w:r w:rsidRPr="00D760BB">
        <w:rPr>
          <w:sz w:val="24"/>
          <w:szCs w:val="24"/>
        </w:rPr>
        <w:t>Pregnan</w:t>
      </w:r>
      <w:r w:rsidR="00997A3A">
        <w:rPr>
          <w:sz w:val="24"/>
          <w:szCs w:val="24"/>
        </w:rPr>
        <w:t>t</w:t>
      </w:r>
    </w:p>
    <w:p w14:paraId="5FE4D046" w14:textId="454711DC" w:rsidR="00997A3A" w:rsidRDefault="00D760BB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 w:rsidRPr="00D760BB">
        <w:rPr>
          <w:sz w:val="24"/>
          <w:szCs w:val="24"/>
        </w:rPr>
        <w:t>Lack of sensation</w:t>
      </w:r>
      <w:r w:rsidR="00997A3A">
        <w:rPr>
          <w:sz w:val="24"/>
          <w:szCs w:val="24"/>
        </w:rPr>
        <w:t xml:space="preserve"> </w:t>
      </w:r>
    </w:p>
    <w:p w14:paraId="52620DEC" w14:textId="45A44740" w:rsidR="00997A3A" w:rsidRDefault="00997A3A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Active Cancer</w:t>
      </w:r>
    </w:p>
    <w:p w14:paraId="386698E1" w14:textId="5E8C34DF" w:rsidR="00997A3A" w:rsidRDefault="00997A3A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Active Growth plates in the region of treatment</w:t>
      </w:r>
    </w:p>
    <w:p w14:paraId="653671BA" w14:textId="5EFBB93C" w:rsidR="00997A3A" w:rsidRDefault="00997A3A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Known Deep vein Thrombosis, Phlebitis or Thrombophlebitis </w:t>
      </w:r>
    </w:p>
    <w:p w14:paraId="226878B1" w14:textId="2E6D55FB" w:rsidR="00997A3A" w:rsidRDefault="00997A3A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 wounds or active bleeding</w:t>
      </w:r>
    </w:p>
    <w:p w14:paraId="7161DA97" w14:textId="610CCB41" w:rsidR="00997A3A" w:rsidRPr="00997A3A" w:rsidRDefault="00997A3A" w:rsidP="00997A3A">
      <w:pPr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Bleeding disorders (haemophilia) </w:t>
      </w:r>
    </w:p>
    <w:p w14:paraId="4241454A" w14:textId="77777777" w:rsidR="00D760BB" w:rsidRDefault="00D760BB" w:rsidP="00D760BB">
      <w:pPr>
        <w:spacing w:after="0"/>
        <w:ind w:left="720"/>
        <w:rPr>
          <w:sz w:val="24"/>
          <w:szCs w:val="24"/>
        </w:rPr>
      </w:pPr>
    </w:p>
    <w:p w14:paraId="5D0BF43C" w14:textId="77777777" w:rsidR="00D760BB" w:rsidRDefault="00D760BB" w:rsidP="00D760BB">
      <w:pPr>
        <w:spacing w:after="0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Precautions which need to be talked through with your Physiotherapist</w:t>
      </w:r>
    </w:p>
    <w:p w14:paraId="2EA57F29" w14:textId="77777777" w:rsidR="00D760BB" w:rsidRPr="00D760BB" w:rsidRDefault="00D760BB" w:rsidP="00D760BB">
      <w:pPr>
        <w:numPr>
          <w:ilvl w:val="0"/>
          <w:numId w:val="20"/>
        </w:numPr>
        <w:spacing w:after="0"/>
        <w:rPr>
          <w:sz w:val="24"/>
          <w:szCs w:val="24"/>
        </w:rPr>
      </w:pPr>
      <w:r w:rsidRPr="00D760BB">
        <w:rPr>
          <w:sz w:val="24"/>
          <w:szCs w:val="24"/>
        </w:rPr>
        <w:t>Blood thinners</w:t>
      </w:r>
    </w:p>
    <w:p w14:paraId="1E0C07D0" w14:textId="3E658F75" w:rsidR="00D760BB" w:rsidRPr="00D760BB" w:rsidRDefault="00D760BB" w:rsidP="00D760BB">
      <w:pPr>
        <w:numPr>
          <w:ilvl w:val="0"/>
          <w:numId w:val="20"/>
        </w:numPr>
        <w:spacing w:after="0"/>
        <w:rPr>
          <w:sz w:val="24"/>
          <w:szCs w:val="24"/>
        </w:rPr>
      </w:pPr>
      <w:r w:rsidRPr="00D760BB">
        <w:rPr>
          <w:sz w:val="24"/>
          <w:szCs w:val="24"/>
        </w:rPr>
        <w:t>Cardiac pacemaker</w:t>
      </w:r>
      <w:r w:rsidR="00997A3A">
        <w:rPr>
          <w:sz w:val="24"/>
          <w:szCs w:val="24"/>
        </w:rPr>
        <w:t xml:space="preserve"> or electrical implants in the region of treatment</w:t>
      </w:r>
    </w:p>
    <w:p w14:paraId="2E5BB751" w14:textId="17A66D86" w:rsidR="00550438" w:rsidRPr="00997A3A" w:rsidRDefault="00D760BB" w:rsidP="00997A3A">
      <w:pPr>
        <w:numPr>
          <w:ilvl w:val="0"/>
          <w:numId w:val="20"/>
        </w:numPr>
        <w:spacing w:after="0"/>
        <w:rPr>
          <w:sz w:val="24"/>
          <w:szCs w:val="24"/>
        </w:rPr>
      </w:pPr>
      <w:r w:rsidRPr="00D760BB">
        <w:rPr>
          <w:sz w:val="24"/>
          <w:szCs w:val="24"/>
        </w:rPr>
        <w:t>Have a history of Cancer</w:t>
      </w:r>
      <w:r w:rsidR="00550438" w:rsidRPr="00997A3A">
        <w:rPr>
          <w:rFonts w:ascii="Aptos" w:hAnsi="Aptos"/>
          <w:color w:val="000000"/>
          <w:bdr w:val="none" w:sz="0" w:space="0" w:color="auto" w:frame="1"/>
        </w:rPr>
        <w:br/>
      </w:r>
    </w:p>
    <w:p w14:paraId="0F945E1E" w14:textId="77777777" w:rsidR="00550438" w:rsidRPr="00550438" w:rsidRDefault="00550438" w:rsidP="00550438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bdr w:val="none" w:sz="0" w:space="0" w:color="auto" w:frame="1"/>
        </w:rPr>
      </w:pPr>
      <w:r>
        <w:rPr>
          <w:rFonts w:ascii="Aptos" w:hAnsi="Aptos"/>
          <w:color w:val="1F497D" w:themeColor="text2"/>
          <w:bdr w:val="none" w:sz="0" w:space="0" w:color="auto" w:frame="1"/>
        </w:rPr>
        <w:t>More information can be found at:</w:t>
      </w:r>
      <w:r>
        <w:rPr>
          <w:rFonts w:ascii="Aptos" w:hAnsi="Aptos"/>
          <w:color w:val="000000"/>
          <w:bdr w:val="none" w:sz="0" w:space="0" w:color="auto" w:frame="1"/>
        </w:rPr>
        <w:br/>
        <w:t> </w:t>
      </w:r>
    </w:p>
    <w:p w14:paraId="49EB6782" w14:textId="6FA91416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If you'd like to find out more, please contact </w:t>
      </w:r>
      <w:r w:rsidR="00997A3A">
        <w:rPr>
          <w:rFonts w:ascii="Aptos" w:hAnsi="Aptos"/>
          <w:color w:val="000000"/>
          <w:bdr w:val="none" w:sz="0" w:space="0" w:color="auto" w:frame="1"/>
        </w:rPr>
        <w:t>us</w:t>
      </w:r>
      <w:r>
        <w:rPr>
          <w:rFonts w:ascii="Aptos" w:hAnsi="Aptos"/>
          <w:color w:val="000000"/>
          <w:bdr w:val="none" w:sz="0" w:space="0" w:color="auto" w:frame="1"/>
        </w:rPr>
        <w:t xml:space="preserve"> or visit winback-academy.org, where you'll find numerous studies, case studies and explanations of</w:t>
      </w:r>
      <w:r w:rsidR="00997A3A">
        <w:rPr>
          <w:rFonts w:ascii="Aptos" w:hAnsi="Aptos"/>
          <w:color w:val="000000"/>
          <w:bdr w:val="none" w:sz="0" w:space="0" w:color="auto" w:frame="1"/>
        </w:rPr>
        <w:t xml:space="preserve"> TECAR </w:t>
      </w:r>
      <w:r>
        <w:rPr>
          <w:rFonts w:ascii="Aptos" w:hAnsi="Aptos"/>
          <w:color w:val="000000"/>
          <w:bdr w:val="none" w:sz="0" w:space="0" w:color="auto" w:frame="1"/>
        </w:rPr>
        <w:t>therapy.</w:t>
      </w:r>
    </w:p>
    <w:p w14:paraId="00BD63D4" w14:textId="77777777" w:rsidR="00997A3A" w:rsidRDefault="00997A3A" w:rsidP="00997A3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bdr w:val="none" w:sz="0" w:space="0" w:color="auto" w:frame="1"/>
        </w:rPr>
      </w:pPr>
    </w:p>
    <w:p w14:paraId="306A94D5" w14:textId="77777777" w:rsidR="00997A3A" w:rsidRDefault="00997A3A" w:rsidP="00997A3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  <w:bdr w:val="none" w:sz="0" w:space="0" w:color="auto" w:frame="1"/>
        </w:rPr>
      </w:pPr>
    </w:p>
    <w:p w14:paraId="66EED26C" w14:textId="05412D11" w:rsidR="00550438" w:rsidRDefault="00550438" w:rsidP="00997A3A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>References:</w:t>
      </w:r>
    </w:p>
    <w:p w14:paraId="730B5E29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[1] Bohnert J,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Dössel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O. Effects of time varying currents and magnetic fields in the frequency range of 1 kHz to 1 MHz to the human body - a simulation study. Annu Int Conf IEEE Eng Med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Biol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Soc. 2010; 2010:6805-8.</w:t>
      </w:r>
    </w:p>
    <w:p w14:paraId="16283E70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[2] Trillo MA, Martinez MA, Ubeda A. Effects of the signal modulation on the response of human fibroblasts to in vitro stimulation with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subthermal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RF currents.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Electromagn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Biol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Med. 2021;40(1):201-209.</w:t>
      </w:r>
    </w:p>
    <w:p w14:paraId="20F005C3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lastRenderedPageBreak/>
        <w:t xml:space="preserve">[3] Bretelle F, Fabre C, Golka M, Pauly V, Roth B,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Bechadergue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V, Blanc J. Capacitive-resistive radiofrequency therapy to treat postpartum perineal pain: a randomized study.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PLoS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One. 2020; 15(4</w:t>
      </w:r>
      <w:proofErr w:type="gramStart"/>
      <w:r>
        <w:rPr>
          <w:rFonts w:ascii="Aptos" w:hAnsi="Aptos"/>
          <w:color w:val="000000"/>
          <w:bdr w:val="none" w:sz="0" w:space="0" w:color="auto" w:frame="1"/>
        </w:rPr>
        <w:t>):e</w:t>
      </w:r>
      <w:proofErr w:type="gramEnd"/>
      <w:r>
        <w:rPr>
          <w:rFonts w:ascii="Aptos" w:hAnsi="Aptos"/>
          <w:color w:val="000000"/>
          <w:bdr w:val="none" w:sz="0" w:space="0" w:color="auto" w:frame="1"/>
        </w:rPr>
        <w:t>0231869.</w:t>
      </w:r>
    </w:p>
    <w:p w14:paraId="3319D0B9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>[4] Park S-E, Lee H-R, Park S-J. The effect of corrective exercise and TECAR therapy on neck alignments and pain in forward head posture patients. Journal of Digital Convergence. 2018; 16(11):543-551.</w:t>
      </w:r>
    </w:p>
    <w:p w14:paraId="00691C9B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[5] Cau N,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Cimolin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V, Aspesi V, Galli M, Postiglione F, Todisco A,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Tacchini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E,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Darno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D,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Capodaglio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P. Preliminary evidence of effectiveness of TECAR in lymphedema. Lymphology. 2019; 52(1):35-43.</w:t>
      </w:r>
    </w:p>
    <w:p w14:paraId="5B7B2027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>[6] Lee H-r, Shim J-h, Oh D-w. Effects of high-frequency diathermy integrated into suboccipital release on tenderness and neck mobility and disability in people with chronic tension-type headache. Phys Ther Korea. 2017; 24(2):37-47.</w:t>
      </w:r>
    </w:p>
    <w:p w14:paraId="1D8D5AB4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>[7] Kim J-h, Park J-h, Yoon H-b, Lee J-h and Jeon H-s. Immediate effects of high-frequency diathermy on muscle architecture and flexibility in subjects with gastrocnemius tightness. Phys Ther Korea. 2020; 27(2):133-139.</w:t>
      </w:r>
    </w:p>
    <w:p w14:paraId="52DD67C8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[8] Kim YJ, Park J-H, Kim J-h, Moon GA, Jeon H-S. Effect of high-frequency diathermy on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harmstring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tightness. Phys Ther Korea. 2021; 28(1):65-71.</w:t>
      </w:r>
    </w:p>
    <w:p w14:paraId="12E34CEF" w14:textId="77777777" w:rsidR="00550438" w:rsidRDefault="00550438" w:rsidP="00550438">
      <w:pPr>
        <w:pStyle w:val="x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000000"/>
          <w:bdr w:val="none" w:sz="0" w:space="0" w:color="auto" w:frame="1"/>
        </w:rPr>
        <w:t xml:space="preserve">[9] Davari A, Sohani SM,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Sarrafzadeh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J,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Nikjooy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A. Evaluation of the effects of </w:t>
      </w:r>
      <w:proofErr w:type="spellStart"/>
      <w:r>
        <w:rPr>
          <w:rFonts w:ascii="Aptos" w:hAnsi="Aptos"/>
          <w:color w:val="000000"/>
          <w:bdr w:val="none" w:sz="0" w:space="0" w:color="auto" w:frame="1"/>
        </w:rPr>
        <w:t>tecar</w:t>
      </w:r>
      <w:proofErr w:type="spellEnd"/>
      <w:r>
        <w:rPr>
          <w:rFonts w:ascii="Aptos" w:hAnsi="Aptos"/>
          <w:color w:val="000000"/>
          <w:bdr w:val="none" w:sz="0" w:space="0" w:color="auto" w:frame="1"/>
        </w:rPr>
        <w:t xml:space="preserve"> therapy on acute symptoms of athletes following lateral ankle ligament sprain conflict of interest. Func Disabil J. 2021; 4(1):1-11</w:t>
      </w:r>
    </w:p>
    <w:p w14:paraId="350B282B" w14:textId="77777777" w:rsidR="00550438" w:rsidRPr="00550438" w:rsidRDefault="00550438" w:rsidP="00550438">
      <w:pPr>
        <w:spacing w:after="0"/>
        <w:rPr>
          <w:sz w:val="24"/>
          <w:szCs w:val="24"/>
        </w:rPr>
      </w:pPr>
    </w:p>
    <w:sectPr w:rsidR="00550438" w:rsidRPr="00550438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925A" w14:textId="77777777" w:rsidR="00502A77" w:rsidRDefault="00502A77">
      <w:r>
        <w:separator/>
      </w:r>
    </w:p>
  </w:endnote>
  <w:endnote w:type="continuationSeparator" w:id="0">
    <w:p w14:paraId="30321950" w14:textId="77777777" w:rsidR="00502A77" w:rsidRDefault="0050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E6A3" w14:textId="77777777" w:rsidR="00CD38ED" w:rsidRDefault="00CD38ED" w:rsidP="00CD38ED">
    <w:pPr>
      <w:pStyle w:val="Footer"/>
      <w:jc w:val="right"/>
      <w:rPr>
        <w:rFonts w:ascii="Tunga" w:hAnsi="Tunga" w:cs="Tunga"/>
      </w:rPr>
    </w:pPr>
    <w:r>
      <w:rPr>
        <w:rFonts w:ascii="Tunga" w:hAnsi="Tunga" w:cs="Tunga"/>
      </w:rPr>
      <w:t>The Boathouse Surgery</w:t>
    </w:r>
  </w:p>
  <w:p w14:paraId="1E82D787" w14:textId="77777777" w:rsidR="00CD38ED" w:rsidRDefault="00CD38ED" w:rsidP="00CD38ED">
    <w:pPr>
      <w:pStyle w:val="Footer"/>
      <w:jc w:val="right"/>
      <w:rPr>
        <w:rFonts w:ascii="Tunga" w:hAnsi="Tunga" w:cs="Tunga"/>
      </w:rPr>
    </w:pPr>
    <w:smartTag w:uri="urn:schemas-microsoft-com:office:smarttags" w:element="address">
      <w:smartTag w:uri="urn:schemas-microsoft-com:office:smarttags" w:element="Street">
        <w:r>
          <w:rPr>
            <w:rFonts w:ascii="Tunga" w:hAnsi="Tunga" w:cs="Tunga"/>
          </w:rPr>
          <w:t>Whitchurch Road</w:t>
        </w:r>
      </w:smartTag>
    </w:smartTag>
    <w:r>
      <w:rPr>
        <w:rFonts w:ascii="Tunga" w:hAnsi="Tunga" w:cs="Tunga"/>
      </w:rPr>
      <w:t>, Pangbourne</w:t>
    </w:r>
  </w:p>
  <w:p w14:paraId="1C93277E" w14:textId="77777777" w:rsidR="00CD38ED" w:rsidRDefault="00CD38ED" w:rsidP="00CD38ED">
    <w:pPr>
      <w:pStyle w:val="Footer"/>
      <w:jc w:val="right"/>
      <w:rPr>
        <w:rFonts w:ascii="Tunga" w:hAnsi="Tunga" w:cs="Tunga"/>
      </w:rPr>
    </w:pPr>
    <w:smartTag w:uri="urn:schemas-microsoft-com:office:smarttags" w:element="place">
      <w:smartTag w:uri="urn:schemas-microsoft-com:office:smarttags" w:element="City">
        <w:r>
          <w:rPr>
            <w:rFonts w:ascii="Tunga" w:hAnsi="Tunga" w:cs="Tunga"/>
          </w:rPr>
          <w:t>Reading</w:t>
        </w:r>
      </w:smartTag>
      <w:r>
        <w:rPr>
          <w:rFonts w:ascii="Tunga" w:hAnsi="Tunga" w:cs="Tunga"/>
        </w:rPr>
        <w:t xml:space="preserve">, </w:t>
      </w:r>
      <w:smartTag w:uri="urn:schemas-microsoft-com:office:smarttags" w:element="PostalCode">
        <w:r>
          <w:rPr>
            <w:rFonts w:ascii="Tunga" w:hAnsi="Tunga" w:cs="Tunga"/>
          </w:rPr>
          <w:t>RG8 7DP</w:t>
        </w:r>
      </w:smartTag>
    </w:smartTag>
  </w:p>
  <w:p w14:paraId="545ED142" w14:textId="77777777" w:rsidR="00CD38ED" w:rsidRPr="00CD38ED" w:rsidRDefault="00CD38ED" w:rsidP="00CD38ED">
    <w:pPr>
      <w:pStyle w:val="Footer"/>
      <w:jc w:val="right"/>
      <w:rPr>
        <w:rFonts w:ascii="Tunga" w:hAnsi="Tunga" w:cs="Tunga"/>
      </w:rPr>
    </w:pPr>
    <w:r>
      <w:rPr>
        <w:rFonts w:ascii="Tunga" w:hAnsi="Tunga" w:cs="Tunga"/>
      </w:rPr>
      <w:t>Ph: 0118 976 7189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8147" w14:textId="77777777" w:rsidR="00502A77" w:rsidRDefault="00502A77">
      <w:r>
        <w:separator/>
      </w:r>
    </w:p>
  </w:footnote>
  <w:footnote w:type="continuationSeparator" w:id="0">
    <w:p w14:paraId="02429DED" w14:textId="77777777" w:rsidR="00502A77" w:rsidRDefault="00502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30F" w14:textId="560A043B" w:rsidR="00CD38ED" w:rsidRDefault="009F590C" w:rsidP="00CD38ED">
    <w:pPr>
      <w:pStyle w:val="Header"/>
      <w:jc w:val="right"/>
    </w:pPr>
    <w:r>
      <w:rPr>
        <w:noProof/>
      </w:rPr>
      <w:drawing>
        <wp:inline distT="0" distB="0" distL="0" distR="0" wp14:anchorId="63A41AE0" wp14:editId="2DDEC3CB">
          <wp:extent cx="2059940" cy="96456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FF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42005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40E4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675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46C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F972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B12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9F4944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43D6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48023">
    <w:abstractNumId w:val="0"/>
  </w:num>
  <w:num w:numId="2" w16cid:durableId="671612936">
    <w:abstractNumId w:val="0"/>
  </w:num>
  <w:num w:numId="3" w16cid:durableId="1430543180">
    <w:abstractNumId w:val="0"/>
  </w:num>
  <w:num w:numId="4" w16cid:durableId="828641890">
    <w:abstractNumId w:val="0"/>
  </w:num>
  <w:num w:numId="5" w16cid:durableId="1815289189">
    <w:abstractNumId w:val="0"/>
  </w:num>
  <w:num w:numId="6" w16cid:durableId="1374502342">
    <w:abstractNumId w:val="0"/>
  </w:num>
  <w:num w:numId="7" w16cid:durableId="281811112">
    <w:abstractNumId w:val="0"/>
  </w:num>
  <w:num w:numId="8" w16cid:durableId="670064712">
    <w:abstractNumId w:val="0"/>
  </w:num>
  <w:num w:numId="9" w16cid:durableId="1937134630">
    <w:abstractNumId w:val="0"/>
  </w:num>
  <w:num w:numId="10" w16cid:durableId="63375322">
    <w:abstractNumId w:val="0"/>
  </w:num>
  <w:num w:numId="11" w16cid:durableId="1607619886">
    <w:abstractNumId w:val="0"/>
  </w:num>
  <w:num w:numId="12" w16cid:durableId="21055107">
    <w:abstractNumId w:val="0"/>
  </w:num>
  <w:num w:numId="13" w16cid:durableId="1697266005">
    <w:abstractNumId w:val="0"/>
  </w:num>
  <w:num w:numId="14" w16cid:durableId="548347158">
    <w:abstractNumId w:val="0"/>
  </w:num>
  <w:num w:numId="15" w16cid:durableId="252980784">
    <w:abstractNumId w:val="0"/>
  </w:num>
  <w:num w:numId="16" w16cid:durableId="830826854">
    <w:abstractNumId w:val="0"/>
  </w:num>
  <w:num w:numId="17" w16cid:durableId="1213268501">
    <w:abstractNumId w:val="0"/>
  </w:num>
  <w:num w:numId="18" w16cid:durableId="515391317">
    <w:abstractNumId w:val="2"/>
  </w:num>
  <w:num w:numId="19" w16cid:durableId="1632635678">
    <w:abstractNumId w:val="6"/>
  </w:num>
  <w:num w:numId="20" w16cid:durableId="613708553">
    <w:abstractNumId w:val="7"/>
  </w:num>
  <w:num w:numId="21" w16cid:durableId="22287214">
    <w:abstractNumId w:val="8"/>
  </w:num>
  <w:num w:numId="22" w16cid:durableId="195897549">
    <w:abstractNumId w:val="1"/>
  </w:num>
  <w:num w:numId="23" w16cid:durableId="16010099">
    <w:abstractNumId w:val="3"/>
  </w:num>
  <w:num w:numId="24" w16cid:durableId="935361219">
    <w:abstractNumId w:val="5"/>
  </w:num>
  <w:num w:numId="25" w16cid:durableId="1381514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ED"/>
    <w:rsid w:val="000112EB"/>
    <w:rsid w:val="00044231"/>
    <w:rsid w:val="00053F92"/>
    <w:rsid w:val="000A7415"/>
    <w:rsid w:val="000B417B"/>
    <w:rsid w:val="000C420B"/>
    <w:rsid w:val="000D0E2D"/>
    <w:rsid w:val="000E4662"/>
    <w:rsid w:val="00122D49"/>
    <w:rsid w:val="00123E01"/>
    <w:rsid w:val="0014134D"/>
    <w:rsid w:val="0015502E"/>
    <w:rsid w:val="00171261"/>
    <w:rsid w:val="001729DF"/>
    <w:rsid w:val="001B0E8E"/>
    <w:rsid w:val="001C6610"/>
    <w:rsid w:val="001D5C6B"/>
    <w:rsid w:val="001E7735"/>
    <w:rsid w:val="00207484"/>
    <w:rsid w:val="002124DF"/>
    <w:rsid w:val="00241D33"/>
    <w:rsid w:val="00242616"/>
    <w:rsid w:val="00245C5A"/>
    <w:rsid w:val="0027681B"/>
    <w:rsid w:val="002A6551"/>
    <w:rsid w:val="002A6EF2"/>
    <w:rsid w:val="002C12E8"/>
    <w:rsid w:val="002C2375"/>
    <w:rsid w:val="002F684A"/>
    <w:rsid w:val="00341A7E"/>
    <w:rsid w:val="003930DE"/>
    <w:rsid w:val="003B4305"/>
    <w:rsid w:val="003D606D"/>
    <w:rsid w:val="00423273"/>
    <w:rsid w:val="00440F93"/>
    <w:rsid w:val="004461B7"/>
    <w:rsid w:val="004A1043"/>
    <w:rsid w:val="004D3A4F"/>
    <w:rsid w:val="00502A77"/>
    <w:rsid w:val="0054682B"/>
    <w:rsid w:val="00550438"/>
    <w:rsid w:val="00585A15"/>
    <w:rsid w:val="005A0420"/>
    <w:rsid w:val="005C37AC"/>
    <w:rsid w:val="005E756D"/>
    <w:rsid w:val="006138C4"/>
    <w:rsid w:val="0062327F"/>
    <w:rsid w:val="0064656F"/>
    <w:rsid w:val="00664797"/>
    <w:rsid w:val="0066699F"/>
    <w:rsid w:val="0067108D"/>
    <w:rsid w:val="006924AA"/>
    <w:rsid w:val="006E65CD"/>
    <w:rsid w:val="006F5154"/>
    <w:rsid w:val="00734E35"/>
    <w:rsid w:val="0077290F"/>
    <w:rsid w:val="007945AA"/>
    <w:rsid w:val="007B1AED"/>
    <w:rsid w:val="007C7C88"/>
    <w:rsid w:val="00800E44"/>
    <w:rsid w:val="00812DF1"/>
    <w:rsid w:val="0083596E"/>
    <w:rsid w:val="00837A5B"/>
    <w:rsid w:val="00863FA0"/>
    <w:rsid w:val="00875C7F"/>
    <w:rsid w:val="008C0F47"/>
    <w:rsid w:val="008E41C3"/>
    <w:rsid w:val="00906E52"/>
    <w:rsid w:val="009427B0"/>
    <w:rsid w:val="00947BD0"/>
    <w:rsid w:val="009737C8"/>
    <w:rsid w:val="00982963"/>
    <w:rsid w:val="00997A3A"/>
    <w:rsid w:val="009C51BB"/>
    <w:rsid w:val="009F590C"/>
    <w:rsid w:val="00A507D1"/>
    <w:rsid w:val="00AF0096"/>
    <w:rsid w:val="00B3388A"/>
    <w:rsid w:val="00B60B69"/>
    <w:rsid w:val="00B67DCD"/>
    <w:rsid w:val="00B75676"/>
    <w:rsid w:val="00B86092"/>
    <w:rsid w:val="00C60089"/>
    <w:rsid w:val="00CA19F5"/>
    <w:rsid w:val="00CD38ED"/>
    <w:rsid w:val="00CE0E5A"/>
    <w:rsid w:val="00D2202C"/>
    <w:rsid w:val="00D54C4A"/>
    <w:rsid w:val="00D642ED"/>
    <w:rsid w:val="00D760BB"/>
    <w:rsid w:val="00D93258"/>
    <w:rsid w:val="00DB42C5"/>
    <w:rsid w:val="00DC73B3"/>
    <w:rsid w:val="00E07EC8"/>
    <w:rsid w:val="00E11B8B"/>
    <w:rsid w:val="00E33631"/>
    <w:rsid w:val="00E605C7"/>
    <w:rsid w:val="00E708A1"/>
    <w:rsid w:val="00E9393B"/>
    <w:rsid w:val="00EF3C54"/>
    <w:rsid w:val="00F0664A"/>
    <w:rsid w:val="00F23D29"/>
    <w:rsid w:val="00F33058"/>
    <w:rsid w:val="00F83E67"/>
    <w:rsid w:val="00FB5009"/>
    <w:rsid w:val="00FC5203"/>
    <w:rsid w:val="00FE0929"/>
    <w:rsid w:val="00FE24CB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6BF7336"/>
  <w14:defaultImageDpi w14:val="0"/>
  <w15:docId w15:val="{3EB1783D-3317-4F18-9D14-00D63266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08D"/>
  </w:style>
  <w:style w:type="paragraph" w:styleId="Heading1">
    <w:name w:val="heading 1"/>
    <w:basedOn w:val="Normal"/>
    <w:next w:val="Normal"/>
    <w:link w:val="Heading1Char"/>
    <w:uiPriority w:val="9"/>
    <w:qFormat/>
    <w:rsid w:val="0067108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08D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08D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08D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08D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08D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08D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08D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08D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08D"/>
    <w:rPr>
      <w:rFonts w:ascii="Calibri Light" w:eastAsia="SimSun" w:hAnsi="Calibri Light" w:cs="Times New Roman"/>
      <w:color w:val="1F4E79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08D"/>
    <w:rPr>
      <w:rFonts w:ascii="Calibri Light" w:eastAsia="SimSun" w:hAnsi="Calibri Light" w:cs="Times New Roman"/>
      <w:color w:val="2E74B5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08D"/>
    <w:rPr>
      <w:rFonts w:ascii="Calibri Light" w:eastAsia="SimSun" w:hAnsi="Calibri Light" w:cs="Times New Roman"/>
      <w:color w:val="2E74B5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08D"/>
    <w:rPr>
      <w:rFonts w:ascii="Calibri Light" w:eastAsia="SimSun" w:hAnsi="Calibri Light" w:cs="Times New Roman"/>
      <w:color w:val="2E74B5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08D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08D"/>
    <w:rPr>
      <w:rFonts w:ascii="Calibri Light" w:eastAsia="SimSun" w:hAnsi="Calibri Light" w:cs="Times New Roman"/>
      <w:i/>
      <w:caps/>
      <w:color w:val="1F4E7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08D"/>
    <w:rPr>
      <w:rFonts w:ascii="Calibri Light" w:eastAsia="SimSun" w:hAnsi="Calibri Light" w:cs="Times New Roman"/>
      <w:b/>
      <w:color w:val="1F4E7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08D"/>
    <w:rPr>
      <w:rFonts w:ascii="Calibri Light" w:eastAsia="SimSun" w:hAnsi="Calibri Light" w:cs="Times New Roman"/>
      <w:b/>
      <w:i/>
      <w:color w:val="1F4E7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08D"/>
    <w:rPr>
      <w:rFonts w:ascii="Calibri Light" w:eastAsia="SimSun" w:hAnsi="Calibri Light" w:cs="Times New Roman"/>
      <w:i/>
      <w:color w:val="1F4E79"/>
    </w:rPr>
  </w:style>
  <w:style w:type="paragraph" w:styleId="Header">
    <w:name w:val="header"/>
    <w:basedOn w:val="Normal"/>
    <w:link w:val="HeaderChar"/>
    <w:uiPriority w:val="99"/>
    <w:rsid w:val="00CD38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D38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E11B8B"/>
    <w:pPr>
      <w:numPr>
        <w:numId w:val="2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7108D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67108D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108D"/>
    <w:rPr>
      <w:rFonts w:ascii="Calibri Light" w:eastAsia="SimSun" w:hAnsi="Calibri Light" w:cs="Times New Roman"/>
      <w:caps/>
      <w:color w:val="44546A"/>
      <w:spacing w:val="-15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08D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08D"/>
    <w:rPr>
      <w:rFonts w:ascii="Calibri Light" w:eastAsia="SimSun" w:hAnsi="Calibri Light" w:cs="Times New Roman"/>
      <w:color w:val="5B9BD5"/>
      <w:sz w:val="28"/>
    </w:rPr>
  </w:style>
  <w:style w:type="character" w:styleId="Strong">
    <w:name w:val="Strong"/>
    <w:basedOn w:val="DefaultParagraphFont"/>
    <w:uiPriority w:val="22"/>
    <w:qFormat/>
    <w:rsid w:val="0067108D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67108D"/>
    <w:rPr>
      <w:rFonts w:cs="Times New Roman"/>
      <w:i/>
    </w:rPr>
  </w:style>
  <w:style w:type="paragraph" w:styleId="NoSpacing">
    <w:name w:val="No Spacing"/>
    <w:uiPriority w:val="1"/>
    <w:qFormat/>
    <w:rsid w:val="006710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108D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108D"/>
    <w:rPr>
      <w:rFonts w:cs="Times New Roman"/>
      <w:color w:val="44546A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08D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08D"/>
    <w:rPr>
      <w:rFonts w:ascii="Calibri Light" w:eastAsia="SimSun" w:hAnsi="Calibri Light" w:cs="Times New Roman"/>
      <w:color w:val="44546A"/>
      <w:spacing w:val="-6"/>
      <w:sz w:val="32"/>
    </w:rPr>
  </w:style>
  <w:style w:type="character" w:styleId="SubtleEmphasis">
    <w:name w:val="Subtle Emphasis"/>
    <w:basedOn w:val="DefaultParagraphFont"/>
    <w:uiPriority w:val="19"/>
    <w:qFormat/>
    <w:rsid w:val="0067108D"/>
    <w:rPr>
      <w:rFonts w:cs="Times New Roman"/>
      <w:i/>
      <w:color w:val="595959"/>
    </w:rPr>
  </w:style>
  <w:style w:type="character" w:styleId="IntenseEmphasis">
    <w:name w:val="Intense Emphasis"/>
    <w:basedOn w:val="DefaultParagraphFont"/>
    <w:uiPriority w:val="21"/>
    <w:qFormat/>
    <w:rsid w:val="0067108D"/>
    <w:rPr>
      <w:rFonts w:cs="Times New Roman"/>
      <w:b/>
      <w:i/>
    </w:rPr>
  </w:style>
  <w:style w:type="character" w:styleId="SubtleReference">
    <w:name w:val="Subtle Reference"/>
    <w:basedOn w:val="DefaultParagraphFont"/>
    <w:uiPriority w:val="31"/>
    <w:qFormat/>
    <w:rsid w:val="0067108D"/>
    <w:rPr>
      <w:rFonts w:cs="Times New Roman"/>
      <w:smallCaps/>
      <w:color w:val="595959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67108D"/>
    <w:rPr>
      <w:rFonts w:cs="Times New Roman"/>
      <w:b/>
      <w:smallCaps/>
      <w:color w:val="44546A"/>
      <w:u w:val="single"/>
    </w:rPr>
  </w:style>
  <w:style w:type="character" w:styleId="BookTitle">
    <w:name w:val="Book Title"/>
    <w:basedOn w:val="DefaultParagraphFont"/>
    <w:uiPriority w:val="33"/>
    <w:qFormat/>
    <w:rsid w:val="0067108D"/>
    <w:rPr>
      <w:rFonts w:cs="Times New Roman"/>
      <w:b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108D"/>
    <w:pPr>
      <w:outlineLvl w:val="9"/>
    </w:pPr>
  </w:style>
  <w:style w:type="paragraph" w:customStyle="1" w:styleId="xxmsonormal">
    <w:name w:val="x_x_msonormal"/>
    <w:basedOn w:val="Normal"/>
    <w:rsid w:val="005504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ementor-icon-list-item">
    <w:name w:val="elementor-icon-list-item"/>
    <w:basedOn w:val="Normal"/>
    <w:rsid w:val="006E6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DefaultParagraphFont"/>
    <w:rsid w:val="006E65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2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Shared Services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 User</dc:creator>
  <cp:keywords/>
  <dc:description/>
  <cp:lastModifiedBy>Tim Sidwell</cp:lastModifiedBy>
  <cp:revision>2</cp:revision>
  <cp:lastPrinted>2024-09-16T08:21:00Z</cp:lastPrinted>
  <dcterms:created xsi:type="dcterms:W3CDTF">2026-09-15T14:22:00Z</dcterms:created>
  <dcterms:modified xsi:type="dcterms:W3CDTF">2026-09-15T14:22:00Z</dcterms:modified>
</cp:coreProperties>
</file>