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w:drawing>
          <wp:inline distT="0" distB="0" distL="0" distR="0">
            <wp:extent cx="1538001" cy="97640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8001" cy="976407"/>
                    </a:xfrm>
                    <a:prstGeom prst="rect">
                      <a:avLst/>
                    </a:prstGeom>
                  </pic:spPr>
                </pic:pic>
              </a:graphicData>
            </a:graphic>
          </wp:inline>
        </w:drawing>
      </w:r>
      <w:r>
        <w:rPr>
          <w:rFonts w:ascii="Times New Roman"/>
          <w:sz w:val="20"/>
        </w:rPr>
      </w:r>
    </w:p>
    <w:p>
      <w:pPr>
        <w:pStyle w:val="BodyText"/>
        <w:rPr>
          <w:rFonts w:ascii="Times New Roman"/>
        </w:rPr>
      </w:pPr>
    </w:p>
    <w:p>
      <w:pPr>
        <w:pStyle w:val="BodyText"/>
        <w:spacing w:before="144"/>
        <w:rPr>
          <w:rFonts w:ascii="Times New Roman"/>
        </w:rPr>
      </w:pPr>
    </w:p>
    <w:p>
      <w:pPr>
        <w:pStyle w:val="BodyText"/>
      </w:pPr>
      <w:r>
        <w:rPr>
          <w:w w:val="105"/>
        </w:rPr>
        <w:t>September</w:t>
      </w:r>
      <w:r>
        <w:rPr>
          <w:spacing w:val="-5"/>
          <w:w w:val="105"/>
        </w:rPr>
        <w:t> </w:t>
      </w:r>
      <w:r>
        <w:rPr>
          <w:w w:val="105"/>
        </w:rPr>
        <w:t>14,</w:t>
      </w:r>
      <w:r>
        <w:rPr>
          <w:spacing w:val="-4"/>
          <w:w w:val="105"/>
        </w:rPr>
        <w:t> 2026</w:t>
      </w:r>
    </w:p>
    <w:p>
      <w:pPr>
        <w:pStyle w:val="BodyText"/>
        <w:spacing w:before="207"/>
      </w:pPr>
      <w:r>
        <w:rPr/>
        <w:t>FOR</w:t>
      </w:r>
      <w:r>
        <w:rPr>
          <w:spacing w:val="16"/>
        </w:rPr>
        <w:t> </w:t>
      </w:r>
      <w:r>
        <w:rPr/>
        <w:t>IMMEDIATE</w:t>
      </w:r>
      <w:r>
        <w:rPr>
          <w:spacing w:val="17"/>
        </w:rPr>
        <w:t> </w:t>
      </w:r>
      <w:r>
        <w:rPr>
          <w:spacing w:val="-2"/>
        </w:rPr>
        <w:t>RELEASE</w:t>
      </w:r>
    </w:p>
    <w:p>
      <w:pPr>
        <w:pStyle w:val="BodyText"/>
      </w:pPr>
    </w:p>
    <w:p>
      <w:pPr>
        <w:pStyle w:val="BodyText"/>
        <w:spacing w:before="119"/>
      </w:pPr>
    </w:p>
    <w:p>
      <w:pPr>
        <w:pStyle w:val="Heading1"/>
      </w:pPr>
      <w:r>
        <w:rPr>
          <w:w w:val="110"/>
        </w:rPr>
        <w:t>Ksi</w:t>
      </w:r>
      <w:r>
        <w:rPr>
          <w:spacing w:val="-10"/>
          <w:w w:val="110"/>
        </w:rPr>
        <w:t> </w:t>
      </w:r>
      <w:r>
        <w:rPr>
          <w:w w:val="110"/>
        </w:rPr>
        <w:t>Lisims</w:t>
      </w:r>
      <w:r>
        <w:rPr>
          <w:spacing w:val="-9"/>
          <w:w w:val="110"/>
        </w:rPr>
        <w:t> </w:t>
      </w:r>
      <w:r>
        <w:rPr>
          <w:w w:val="110"/>
        </w:rPr>
        <w:t>LNG</w:t>
      </w:r>
      <w:r>
        <w:rPr>
          <w:spacing w:val="-10"/>
          <w:w w:val="110"/>
        </w:rPr>
        <w:t> </w:t>
      </w:r>
      <w:r>
        <w:rPr>
          <w:w w:val="110"/>
        </w:rPr>
        <w:t>signs</w:t>
      </w:r>
      <w:r>
        <w:rPr>
          <w:spacing w:val="-9"/>
          <w:w w:val="110"/>
        </w:rPr>
        <w:t> </w:t>
      </w:r>
      <w:r>
        <w:rPr>
          <w:w w:val="110"/>
        </w:rPr>
        <w:t>20-year</w:t>
      </w:r>
      <w:r>
        <w:rPr>
          <w:spacing w:val="-11"/>
          <w:w w:val="110"/>
        </w:rPr>
        <w:t> </w:t>
      </w:r>
      <w:r>
        <w:rPr>
          <w:w w:val="110"/>
        </w:rPr>
        <w:t>LNG</w:t>
      </w:r>
      <w:r>
        <w:rPr>
          <w:spacing w:val="-9"/>
          <w:w w:val="110"/>
        </w:rPr>
        <w:t> </w:t>
      </w:r>
      <w:r>
        <w:rPr>
          <w:w w:val="110"/>
        </w:rPr>
        <w:t>supply</w:t>
      </w:r>
      <w:r>
        <w:rPr>
          <w:spacing w:val="-11"/>
          <w:w w:val="110"/>
        </w:rPr>
        <w:t> </w:t>
      </w:r>
      <w:r>
        <w:rPr>
          <w:w w:val="110"/>
        </w:rPr>
        <w:t>agreement</w:t>
      </w:r>
      <w:r>
        <w:rPr>
          <w:spacing w:val="-9"/>
          <w:w w:val="110"/>
        </w:rPr>
        <w:t> </w:t>
      </w:r>
      <w:r>
        <w:rPr>
          <w:w w:val="110"/>
        </w:rPr>
        <w:t>with</w:t>
      </w:r>
      <w:r>
        <w:rPr>
          <w:spacing w:val="-10"/>
          <w:w w:val="110"/>
        </w:rPr>
        <w:t> </w:t>
      </w:r>
      <w:r>
        <w:rPr>
          <w:w w:val="110"/>
        </w:rPr>
        <w:t>Australia’s</w:t>
      </w:r>
      <w:r>
        <w:rPr>
          <w:spacing w:val="-9"/>
          <w:w w:val="110"/>
        </w:rPr>
        <w:t> </w:t>
      </w:r>
      <w:r>
        <w:rPr>
          <w:spacing w:val="-2"/>
          <w:w w:val="110"/>
        </w:rPr>
        <w:t>Santos</w:t>
      </w:r>
    </w:p>
    <w:p>
      <w:pPr>
        <w:pStyle w:val="BodyText"/>
        <w:spacing w:before="207"/>
      </w:pPr>
      <w:r>
        <w:rPr>
          <w:w w:val="105"/>
        </w:rPr>
        <w:t>VANCOUVER</w:t>
      </w:r>
      <w:r>
        <w:rPr>
          <w:spacing w:val="8"/>
          <w:w w:val="105"/>
        </w:rPr>
        <w:t> </w:t>
      </w:r>
      <w:r>
        <w:rPr>
          <w:w w:val="105"/>
        </w:rPr>
        <w:t>–</w:t>
      </w:r>
      <w:r>
        <w:rPr>
          <w:spacing w:val="5"/>
          <w:w w:val="105"/>
        </w:rPr>
        <w:t> </w:t>
      </w:r>
      <w:r>
        <w:rPr>
          <w:w w:val="105"/>
        </w:rPr>
        <w:t>Ksi</w:t>
      </w:r>
      <w:r>
        <w:rPr>
          <w:spacing w:val="7"/>
          <w:w w:val="105"/>
        </w:rPr>
        <w:t> </w:t>
      </w:r>
      <w:r>
        <w:rPr>
          <w:w w:val="105"/>
        </w:rPr>
        <w:t>Lisims</w:t>
      </w:r>
      <w:r>
        <w:rPr>
          <w:spacing w:val="8"/>
          <w:w w:val="105"/>
        </w:rPr>
        <w:t> </w:t>
      </w:r>
      <w:r>
        <w:rPr>
          <w:w w:val="105"/>
        </w:rPr>
        <w:t>LNG</w:t>
      </w:r>
      <w:r>
        <w:rPr>
          <w:spacing w:val="7"/>
          <w:w w:val="105"/>
        </w:rPr>
        <w:t> </w:t>
      </w:r>
      <w:r>
        <w:rPr>
          <w:w w:val="105"/>
        </w:rPr>
        <w:t>LP</w:t>
      </w:r>
      <w:r>
        <w:rPr>
          <w:spacing w:val="7"/>
          <w:w w:val="105"/>
        </w:rPr>
        <w:t> </w:t>
      </w:r>
      <w:r>
        <w:rPr>
          <w:w w:val="105"/>
        </w:rPr>
        <w:t>("Ksi</w:t>
      </w:r>
      <w:r>
        <w:rPr>
          <w:spacing w:val="7"/>
          <w:w w:val="105"/>
        </w:rPr>
        <w:t> </w:t>
      </w:r>
      <w:r>
        <w:rPr>
          <w:w w:val="105"/>
        </w:rPr>
        <w:t>Lisims</w:t>
      </w:r>
      <w:r>
        <w:rPr>
          <w:spacing w:val="8"/>
          <w:w w:val="105"/>
        </w:rPr>
        <w:t> </w:t>
      </w:r>
      <w:r>
        <w:rPr>
          <w:w w:val="105"/>
        </w:rPr>
        <w:t>LNG")</w:t>
      </w:r>
      <w:r>
        <w:rPr>
          <w:spacing w:val="6"/>
          <w:w w:val="105"/>
        </w:rPr>
        <w:t> </w:t>
      </w:r>
      <w:r>
        <w:rPr>
          <w:w w:val="105"/>
        </w:rPr>
        <w:t>has</w:t>
      </w:r>
      <w:r>
        <w:rPr>
          <w:spacing w:val="6"/>
          <w:w w:val="105"/>
        </w:rPr>
        <w:t> </w:t>
      </w:r>
      <w:r>
        <w:rPr>
          <w:w w:val="105"/>
        </w:rPr>
        <w:t>entered</w:t>
      </w:r>
      <w:r>
        <w:rPr>
          <w:spacing w:val="7"/>
          <w:w w:val="105"/>
        </w:rPr>
        <w:t> </w:t>
      </w:r>
      <w:r>
        <w:rPr>
          <w:w w:val="105"/>
        </w:rPr>
        <w:t>into</w:t>
      </w:r>
      <w:r>
        <w:rPr>
          <w:spacing w:val="6"/>
          <w:w w:val="105"/>
        </w:rPr>
        <w:t> </w:t>
      </w:r>
      <w:r>
        <w:rPr>
          <w:w w:val="105"/>
        </w:rPr>
        <w:t>a</w:t>
      </w:r>
      <w:r>
        <w:rPr>
          <w:spacing w:val="5"/>
          <w:w w:val="105"/>
        </w:rPr>
        <w:t> </w:t>
      </w:r>
      <w:r>
        <w:rPr>
          <w:w w:val="105"/>
        </w:rPr>
        <w:t>Heads</w:t>
      </w:r>
      <w:r>
        <w:rPr>
          <w:spacing w:val="7"/>
          <w:w w:val="105"/>
        </w:rPr>
        <w:t> </w:t>
      </w:r>
      <w:r>
        <w:rPr>
          <w:spacing w:val="-5"/>
          <w:w w:val="105"/>
        </w:rPr>
        <w:t>of</w:t>
      </w:r>
    </w:p>
    <w:p>
      <w:pPr>
        <w:pStyle w:val="BodyText"/>
        <w:spacing w:line="278" w:lineRule="auto" w:before="45"/>
        <w:ind w:right="104"/>
        <w:jc w:val="both"/>
      </w:pPr>
      <w:r>
        <w:rPr>
          <w:w w:val="105"/>
        </w:rPr>
        <w:t>Agreement</w:t>
      </w:r>
      <w:r>
        <w:rPr>
          <w:spacing w:val="-10"/>
          <w:w w:val="105"/>
        </w:rPr>
        <w:t> </w:t>
      </w:r>
      <w:r>
        <w:rPr>
          <w:w w:val="105"/>
        </w:rPr>
        <w:t>("HOA")</w:t>
      </w:r>
      <w:r>
        <w:rPr>
          <w:spacing w:val="-10"/>
          <w:w w:val="105"/>
        </w:rPr>
        <w:t> </w:t>
      </w:r>
      <w:r>
        <w:rPr>
          <w:w w:val="105"/>
        </w:rPr>
        <w:t>with</w:t>
      </w:r>
      <w:r>
        <w:rPr>
          <w:spacing w:val="-7"/>
          <w:w w:val="105"/>
        </w:rPr>
        <w:t> </w:t>
      </w:r>
      <w:r>
        <w:rPr>
          <w:w w:val="105"/>
        </w:rPr>
        <w:t>Santos</w:t>
      </w:r>
      <w:r>
        <w:rPr>
          <w:spacing w:val="-9"/>
          <w:w w:val="105"/>
        </w:rPr>
        <w:t> </w:t>
      </w:r>
      <w:r>
        <w:rPr>
          <w:w w:val="105"/>
        </w:rPr>
        <w:t>for</w:t>
      </w:r>
      <w:r>
        <w:rPr>
          <w:spacing w:val="-11"/>
          <w:w w:val="105"/>
        </w:rPr>
        <w:t> </w:t>
      </w:r>
      <w:r>
        <w:rPr>
          <w:w w:val="105"/>
        </w:rPr>
        <w:t>the</w:t>
      </w:r>
      <w:r>
        <w:rPr>
          <w:spacing w:val="-9"/>
          <w:w w:val="105"/>
        </w:rPr>
        <w:t> </w:t>
      </w:r>
      <w:r>
        <w:rPr>
          <w:w w:val="105"/>
        </w:rPr>
        <w:t>sale</w:t>
      </w:r>
      <w:r>
        <w:rPr>
          <w:spacing w:val="-9"/>
          <w:w w:val="105"/>
        </w:rPr>
        <w:t> </w:t>
      </w:r>
      <w:r>
        <w:rPr>
          <w:w w:val="105"/>
        </w:rPr>
        <w:t>and</w:t>
      </w:r>
      <w:r>
        <w:rPr>
          <w:spacing w:val="-7"/>
          <w:w w:val="105"/>
        </w:rPr>
        <w:t> </w:t>
      </w:r>
      <w:r>
        <w:rPr>
          <w:w w:val="105"/>
        </w:rPr>
        <w:t>purchase</w:t>
      </w:r>
      <w:r>
        <w:rPr>
          <w:spacing w:val="-9"/>
          <w:w w:val="105"/>
        </w:rPr>
        <w:t> </w:t>
      </w:r>
      <w:r>
        <w:rPr>
          <w:w w:val="105"/>
        </w:rPr>
        <w:t>of</w:t>
      </w:r>
      <w:r>
        <w:rPr>
          <w:spacing w:val="-8"/>
          <w:w w:val="105"/>
        </w:rPr>
        <w:t> </w:t>
      </w:r>
      <w:r>
        <w:rPr>
          <w:w w:val="105"/>
        </w:rPr>
        <w:t>1</w:t>
      </w:r>
      <w:r>
        <w:rPr>
          <w:spacing w:val="-10"/>
          <w:w w:val="105"/>
        </w:rPr>
        <w:t> </w:t>
      </w:r>
      <w:r>
        <w:rPr>
          <w:w w:val="105"/>
        </w:rPr>
        <w:t>million</w:t>
      </w:r>
      <w:r>
        <w:rPr>
          <w:spacing w:val="-7"/>
          <w:w w:val="105"/>
        </w:rPr>
        <w:t> </w:t>
      </w:r>
      <w:r>
        <w:rPr>
          <w:w w:val="105"/>
        </w:rPr>
        <w:t>tonnes</w:t>
      </w:r>
      <w:r>
        <w:rPr>
          <w:spacing w:val="-8"/>
          <w:w w:val="105"/>
        </w:rPr>
        <w:t> </w:t>
      </w:r>
      <w:r>
        <w:rPr>
          <w:w w:val="105"/>
        </w:rPr>
        <w:t>per</w:t>
      </w:r>
      <w:r>
        <w:rPr>
          <w:spacing w:val="-10"/>
          <w:w w:val="105"/>
        </w:rPr>
        <w:t> </w:t>
      </w:r>
      <w:r>
        <w:rPr>
          <w:w w:val="105"/>
        </w:rPr>
        <w:t>annum</w:t>
      </w:r>
      <w:r>
        <w:rPr>
          <w:spacing w:val="-10"/>
          <w:w w:val="105"/>
        </w:rPr>
        <w:t> </w:t>
      </w:r>
      <w:r>
        <w:rPr>
          <w:w w:val="105"/>
        </w:rPr>
        <w:t>of LNG for a term of 20 years.</w:t>
      </w:r>
    </w:p>
    <w:p>
      <w:pPr>
        <w:pStyle w:val="BodyText"/>
        <w:spacing w:line="278" w:lineRule="auto" w:before="160"/>
        <w:ind w:right="119"/>
        <w:jc w:val="both"/>
      </w:pPr>
      <w:r>
        <w:rPr>
          <w:w w:val="105"/>
        </w:rPr>
        <w:t>"Santos has built one of the most significant LNG businesses in the Asia-Pacific, and their decision to secure long-term supply from Ksi Lisims LNG reflects a shared commitment to responsible</w:t>
      </w:r>
      <w:r>
        <w:rPr>
          <w:spacing w:val="-2"/>
          <w:w w:val="105"/>
        </w:rPr>
        <w:t> </w:t>
      </w:r>
      <w:r>
        <w:rPr>
          <w:w w:val="105"/>
        </w:rPr>
        <w:t>energy</w:t>
      </w:r>
      <w:r>
        <w:rPr>
          <w:spacing w:val="-3"/>
          <w:w w:val="105"/>
        </w:rPr>
        <w:t> </w:t>
      </w:r>
      <w:r>
        <w:rPr>
          <w:w w:val="105"/>
        </w:rPr>
        <w:t>development</w:t>
      </w:r>
      <w:r>
        <w:rPr>
          <w:spacing w:val="-3"/>
          <w:w w:val="105"/>
        </w:rPr>
        <w:t> </w:t>
      </w:r>
      <w:r>
        <w:rPr>
          <w:w w:val="105"/>
        </w:rPr>
        <w:t>and</w:t>
      </w:r>
      <w:r>
        <w:rPr>
          <w:spacing w:val="-1"/>
          <w:w w:val="105"/>
        </w:rPr>
        <w:t> </w:t>
      </w:r>
      <w:r>
        <w:rPr>
          <w:w w:val="105"/>
        </w:rPr>
        <w:t>a</w:t>
      </w:r>
      <w:r>
        <w:rPr>
          <w:spacing w:val="-3"/>
          <w:w w:val="105"/>
        </w:rPr>
        <w:t> </w:t>
      </w:r>
      <w:r>
        <w:rPr>
          <w:w w:val="105"/>
        </w:rPr>
        <w:t>clear</w:t>
      </w:r>
      <w:r>
        <w:rPr>
          <w:spacing w:val="-3"/>
          <w:w w:val="105"/>
        </w:rPr>
        <w:t> </w:t>
      </w:r>
      <w:r>
        <w:rPr>
          <w:w w:val="105"/>
        </w:rPr>
        <w:t>view</w:t>
      </w:r>
      <w:r>
        <w:rPr>
          <w:spacing w:val="-2"/>
          <w:w w:val="105"/>
        </w:rPr>
        <w:t> </w:t>
      </w:r>
      <w:r>
        <w:rPr>
          <w:w w:val="105"/>
        </w:rPr>
        <w:t>that</w:t>
      </w:r>
      <w:r>
        <w:rPr>
          <w:spacing w:val="-4"/>
          <w:w w:val="105"/>
        </w:rPr>
        <w:t> </w:t>
      </w:r>
      <w:r>
        <w:rPr>
          <w:w w:val="105"/>
        </w:rPr>
        <w:t>supply</w:t>
      </w:r>
      <w:r>
        <w:rPr>
          <w:spacing w:val="-3"/>
          <w:w w:val="105"/>
        </w:rPr>
        <w:t> </w:t>
      </w:r>
      <w:r>
        <w:rPr>
          <w:w w:val="105"/>
        </w:rPr>
        <w:t>diversity</w:t>
      </w:r>
      <w:r>
        <w:rPr>
          <w:spacing w:val="-1"/>
          <w:w w:val="105"/>
        </w:rPr>
        <w:t> </w:t>
      </w:r>
      <w:r>
        <w:rPr>
          <w:w w:val="105"/>
        </w:rPr>
        <w:t>is</w:t>
      </w:r>
      <w:r>
        <w:rPr>
          <w:spacing w:val="-2"/>
          <w:w w:val="105"/>
        </w:rPr>
        <w:t> </w:t>
      </w:r>
      <w:r>
        <w:rPr>
          <w:w w:val="105"/>
        </w:rPr>
        <w:t>essential</w:t>
      </w:r>
      <w:r>
        <w:rPr>
          <w:spacing w:val="-3"/>
          <w:w w:val="105"/>
        </w:rPr>
        <w:t> </w:t>
      </w:r>
      <w:r>
        <w:rPr>
          <w:w w:val="105"/>
        </w:rPr>
        <w:t>to</w:t>
      </w:r>
      <w:r>
        <w:rPr>
          <w:spacing w:val="-1"/>
          <w:w w:val="105"/>
        </w:rPr>
        <w:t> </w:t>
      </w:r>
      <w:r>
        <w:rPr>
          <w:w w:val="105"/>
        </w:rPr>
        <w:t>long- term energy security,”</w:t>
      </w:r>
      <w:r>
        <w:rPr>
          <w:spacing w:val="-10"/>
          <w:w w:val="105"/>
        </w:rPr>
        <w:t> </w:t>
      </w:r>
      <w:r>
        <w:rPr>
          <w:w w:val="105"/>
        </w:rPr>
        <w:t>said Davis Thames, Founder, President, and Chief Executive Officer of</w:t>
      </w:r>
      <w:r>
        <w:rPr>
          <w:spacing w:val="-13"/>
          <w:w w:val="105"/>
        </w:rPr>
        <w:t> </w:t>
      </w:r>
      <w:r>
        <w:rPr>
          <w:w w:val="105"/>
        </w:rPr>
        <w:t>Western</w:t>
      </w:r>
      <w:r>
        <w:rPr>
          <w:spacing w:val="-9"/>
          <w:w w:val="105"/>
        </w:rPr>
        <w:t> </w:t>
      </w:r>
      <w:r>
        <w:rPr>
          <w:w w:val="105"/>
        </w:rPr>
        <w:t>LNG.</w:t>
      </w:r>
      <w:r>
        <w:rPr>
          <w:spacing w:val="-15"/>
          <w:w w:val="105"/>
        </w:rPr>
        <w:t> </w:t>
      </w:r>
      <w:r>
        <w:rPr>
          <w:w w:val="105"/>
        </w:rPr>
        <w:t>“The</w:t>
      </w:r>
      <w:r>
        <w:rPr>
          <w:spacing w:val="-7"/>
          <w:w w:val="105"/>
        </w:rPr>
        <w:t> </w:t>
      </w:r>
      <w:r>
        <w:rPr>
          <w:w w:val="105"/>
        </w:rPr>
        <w:t>level</w:t>
      </w:r>
      <w:r>
        <w:rPr>
          <w:spacing w:val="-8"/>
          <w:w w:val="105"/>
        </w:rPr>
        <w:t> </w:t>
      </w:r>
      <w:r>
        <w:rPr>
          <w:w w:val="105"/>
        </w:rPr>
        <w:t>of</w:t>
      </w:r>
      <w:r>
        <w:rPr>
          <w:spacing w:val="-9"/>
          <w:w w:val="105"/>
        </w:rPr>
        <w:t> </w:t>
      </w:r>
      <w:r>
        <w:rPr>
          <w:w w:val="105"/>
        </w:rPr>
        <w:t>interest</w:t>
      </w:r>
      <w:r>
        <w:rPr>
          <w:spacing w:val="-10"/>
          <w:w w:val="105"/>
        </w:rPr>
        <w:t> </w:t>
      </w:r>
      <w:r>
        <w:rPr>
          <w:w w:val="105"/>
        </w:rPr>
        <w:t>we</w:t>
      </w:r>
      <w:r>
        <w:rPr>
          <w:spacing w:val="-6"/>
          <w:w w:val="105"/>
        </w:rPr>
        <w:t> </w:t>
      </w:r>
      <w:r>
        <w:rPr>
          <w:w w:val="105"/>
        </w:rPr>
        <w:t>are</w:t>
      </w:r>
      <w:r>
        <w:rPr>
          <w:spacing w:val="-8"/>
          <w:w w:val="105"/>
        </w:rPr>
        <w:t> </w:t>
      </w:r>
      <w:r>
        <w:rPr>
          <w:w w:val="105"/>
        </w:rPr>
        <w:t>seeing</w:t>
      </w:r>
      <w:r>
        <w:rPr>
          <w:spacing w:val="-9"/>
          <w:w w:val="105"/>
        </w:rPr>
        <w:t> </w:t>
      </w:r>
      <w:r>
        <w:rPr>
          <w:w w:val="105"/>
        </w:rPr>
        <w:t>from</w:t>
      </w:r>
      <w:r>
        <w:rPr>
          <w:spacing w:val="-9"/>
          <w:w w:val="105"/>
        </w:rPr>
        <w:t> </w:t>
      </w:r>
      <w:r>
        <w:rPr>
          <w:w w:val="105"/>
        </w:rPr>
        <w:t>leading</w:t>
      </w:r>
      <w:r>
        <w:rPr>
          <w:spacing w:val="-9"/>
          <w:w w:val="105"/>
        </w:rPr>
        <w:t> </w:t>
      </w:r>
      <w:r>
        <w:rPr>
          <w:w w:val="105"/>
        </w:rPr>
        <w:t>global</w:t>
      </w:r>
      <w:r>
        <w:rPr>
          <w:spacing w:val="-9"/>
          <w:w w:val="105"/>
        </w:rPr>
        <w:t> </w:t>
      </w:r>
      <w:r>
        <w:rPr>
          <w:w w:val="105"/>
        </w:rPr>
        <w:t>energy</w:t>
      </w:r>
      <w:r>
        <w:rPr>
          <w:spacing w:val="-9"/>
          <w:w w:val="105"/>
        </w:rPr>
        <w:t> </w:t>
      </w:r>
      <w:r>
        <w:rPr>
          <w:w w:val="105"/>
        </w:rPr>
        <w:t>companies like Santos reflects a growing global role for reliable, low-carbon Canadian LNG. This HOA is a strong signal of confidence in our project as we move into the final stages of</w:t>
      </w:r>
    </w:p>
    <w:p>
      <w:pPr>
        <w:pStyle w:val="BodyText"/>
        <w:spacing w:line="288" w:lineRule="exact"/>
        <w:jc w:val="both"/>
      </w:pPr>
      <w:r>
        <w:rPr>
          <w:w w:val="105"/>
        </w:rPr>
        <w:t>commercialization</w:t>
      </w:r>
      <w:r>
        <w:rPr>
          <w:spacing w:val="-8"/>
          <w:w w:val="105"/>
        </w:rPr>
        <w:t> </w:t>
      </w:r>
      <w:r>
        <w:rPr>
          <w:w w:val="105"/>
        </w:rPr>
        <w:t>and</w:t>
      </w:r>
      <w:r>
        <w:rPr>
          <w:spacing w:val="-8"/>
          <w:w w:val="105"/>
        </w:rPr>
        <w:t> </w:t>
      </w:r>
      <w:r>
        <w:rPr>
          <w:w w:val="105"/>
        </w:rPr>
        <w:t>toward</w:t>
      </w:r>
      <w:r>
        <w:rPr>
          <w:spacing w:val="-9"/>
          <w:w w:val="105"/>
        </w:rPr>
        <w:t> </w:t>
      </w:r>
      <w:r>
        <w:rPr>
          <w:w w:val="105"/>
        </w:rPr>
        <w:t>a</w:t>
      </w:r>
      <w:r>
        <w:rPr>
          <w:spacing w:val="-9"/>
          <w:w w:val="105"/>
        </w:rPr>
        <w:t> </w:t>
      </w:r>
      <w:r>
        <w:rPr>
          <w:w w:val="105"/>
        </w:rPr>
        <w:t>final</w:t>
      </w:r>
      <w:r>
        <w:rPr>
          <w:spacing w:val="-10"/>
          <w:w w:val="105"/>
        </w:rPr>
        <w:t> </w:t>
      </w:r>
      <w:r>
        <w:rPr>
          <w:w w:val="105"/>
        </w:rPr>
        <w:t>investment</w:t>
      </w:r>
      <w:r>
        <w:rPr>
          <w:spacing w:val="-10"/>
          <w:w w:val="105"/>
        </w:rPr>
        <w:t> </w:t>
      </w:r>
      <w:r>
        <w:rPr>
          <w:spacing w:val="-2"/>
          <w:w w:val="105"/>
        </w:rPr>
        <w:t>decision.”</w:t>
      </w:r>
    </w:p>
    <w:p>
      <w:pPr>
        <w:pStyle w:val="BodyText"/>
        <w:spacing w:line="278" w:lineRule="auto" w:before="209"/>
        <w:ind w:right="175"/>
      </w:pPr>
      <w:r>
        <w:rPr>
          <w:w w:val="105"/>
        </w:rPr>
        <w:t>Ksi Lisims LNG is designed to be one of the lowest-emissions LNG facilities in the world, leveraging clean hydroelectric power, significantly reducing lifecycle emissions compared to legacy facilities.</w:t>
      </w:r>
    </w:p>
    <w:p>
      <w:pPr>
        <w:pStyle w:val="BodyText"/>
        <w:spacing w:line="278" w:lineRule="auto" w:before="157"/>
      </w:pPr>
      <w:r>
        <w:rPr>
          <w:w w:val="105"/>
        </w:rPr>
        <w:t>Sales</w:t>
      </w:r>
      <w:r>
        <w:rPr>
          <w:spacing w:val="40"/>
          <w:w w:val="105"/>
        </w:rPr>
        <w:t> </w:t>
      </w:r>
      <w:r>
        <w:rPr>
          <w:w w:val="105"/>
        </w:rPr>
        <w:t>to</w:t>
      </w:r>
      <w:r>
        <w:rPr>
          <w:spacing w:val="-5"/>
          <w:w w:val="105"/>
        </w:rPr>
        <w:t> </w:t>
      </w:r>
      <w:r>
        <w:rPr>
          <w:w w:val="105"/>
        </w:rPr>
        <w:t>Santos</w:t>
      </w:r>
      <w:r>
        <w:rPr>
          <w:spacing w:val="-3"/>
          <w:w w:val="105"/>
        </w:rPr>
        <w:t> </w:t>
      </w:r>
      <w:r>
        <w:rPr>
          <w:w w:val="105"/>
        </w:rPr>
        <w:t>will</w:t>
      </w:r>
      <w:r>
        <w:rPr>
          <w:spacing w:val="-4"/>
          <w:w w:val="105"/>
        </w:rPr>
        <w:t> </w:t>
      </w:r>
      <w:r>
        <w:rPr>
          <w:w w:val="105"/>
        </w:rPr>
        <w:t>be</w:t>
      </w:r>
      <w:r>
        <w:rPr>
          <w:spacing w:val="-1"/>
          <w:w w:val="105"/>
        </w:rPr>
        <w:t> </w:t>
      </w:r>
      <w:r>
        <w:rPr>
          <w:w w:val="105"/>
        </w:rPr>
        <w:t>on</w:t>
      </w:r>
      <w:r>
        <w:rPr>
          <w:spacing w:val="-5"/>
          <w:w w:val="105"/>
        </w:rPr>
        <w:t> </w:t>
      </w:r>
      <w:r>
        <w:rPr>
          <w:w w:val="105"/>
        </w:rPr>
        <w:t>a</w:t>
      </w:r>
      <w:r>
        <w:rPr>
          <w:spacing w:val="-4"/>
          <w:w w:val="105"/>
        </w:rPr>
        <w:t> </w:t>
      </w:r>
      <w:r>
        <w:rPr>
          <w:w w:val="105"/>
        </w:rPr>
        <w:t>Free</w:t>
      </w:r>
      <w:r>
        <w:rPr>
          <w:spacing w:val="-2"/>
          <w:w w:val="105"/>
        </w:rPr>
        <w:t> </w:t>
      </w:r>
      <w:r>
        <w:rPr>
          <w:w w:val="105"/>
        </w:rPr>
        <w:t>On</w:t>
      </w:r>
      <w:r>
        <w:rPr>
          <w:spacing w:val="-4"/>
          <w:w w:val="105"/>
        </w:rPr>
        <w:t> </w:t>
      </w:r>
      <w:r>
        <w:rPr>
          <w:w w:val="105"/>
        </w:rPr>
        <w:t>Board</w:t>
      </w:r>
      <w:r>
        <w:rPr>
          <w:spacing w:val="-4"/>
          <w:w w:val="105"/>
        </w:rPr>
        <w:t> </w:t>
      </w:r>
      <w:r>
        <w:rPr>
          <w:w w:val="105"/>
        </w:rPr>
        <w:t>basis</w:t>
      </w:r>
      <w:r>
        <w:rPr>
          <w:spacing w:val="-2"/>
          <w:w w:val="105"/>
        </w:rPr>
        <w:t> </w:t>
      </w:r>
      <w:r>
        <w:rPr>
          <w:w w:val="105"/>
        </w:rPr>
        <w:t>for</w:t>
      </w:r>
      <w:r>
        <w:rPr>
          <w:spacing w:val="-5"/>
          <w:w w:val="105"/>
        </w:rPr>
        <w:t> </w:t>
      </w:r>
      <w:r>
        <w:rPr>
          <w:w w:val="105"/>
        </w:rPr>
        <w:t>up</w:t>
      </w:r>
      <w:r>
        <w:rPr>
          <w:spacing w:val="-4"/>
          <w:w w:val="105"/>
        </w:rPr>
        <w:t> </w:t>
      </w:r>
      <w:r>
        <w:rPr>
          <w:w w:val="105"/>
        </w:rPr>
        <w:t>to</w:t>
      </w:r>
      <w:r>
        <w:rPr>
          <w:spacing w:val="-2"/>
          <w:w w:val="105"/>
        </w:rPr>
        <w:t> </w:t>
      </w:r>
      <w:r>
        <w:rPr>
          <w:w w:val="105"/>
        </w:rPr>
        <w:t>20</w:t>
      </w:r>
      <w:r>
        <w:rPr>
          <w:spacing w:val="-3"/>
          <w:w w:val="105"/>
        </w:rPr>
        <w:t> </w:t>
      </w:r>
      <w:r>
        <w:rPr>
          <w:w w:val="105"/>
        </w:rPr>
        <w:t>years</w:t>
      </w:r>
      <w:r>
        <w:rPr>
          <w:spacing w:val="-2"/>
          <w:w w:val="105"/>
        </w:rPr>
        <w:t> </w:t>
      </w:r>
      <w:r>
        <w:rPr>
          <w:w w:val="105"/>
        </w:rPr>
        <w:t>and are</w:t>
      </w:r>
      <w:r>
        <w:rPr>
          <w:spacing w:val="-3"/>
          <w:w w:val="105"/>
        </w:rPr>
        <w:t> </w:t>
      </w:r>
      <w:r>
        <w:rPr>
          <w:w w:val="105"/>
        </w:rPr>
        <w:t>subject</w:t>
      </w:r>
      <w:r>
        <w:rPr>
          <w:spacing w:val="-5"/>
          <w:w w:val="105"/>
        </w:rPr>
        <w:t> </w:t>
      </w:r>
      <w:r>
        <w:rPr>
          <w:w w:val="105"/>
        </w:rPr>
        <w:t>to</w:t>
      </w:r>
      <w:r>
        <w:rPr>
          <w:spacing w:val="-3"/>
          <w:w w:val="105"/>
        </w:rPr>
        <w:t> </w:t>
      </w:r>
      <w:r>
        <w:rPr>
          <w:w w:val="105"/>
        </w:rPr>
        <w:t>the completion of a Sales and Purchase Agreement (“SPA”).</w:t>
      </w:r>
    </w:p>
    <w:p>
      <w:pPr>
        <w:pStyle w:val="BodyText"/>
        <w:spacing w:before="160"/>
      </w:pPr>
      <w:r>
        <w:rPr>
          <w:w w:val="105"/>
        </w:rPr>
        <w:t>Today’s agreement builds on Ksi Lisims LNG’s strong commercial momentum. The project has entered into SPAs with Shell, TotalEnergies, and Uniper for 6 mtpa, and we anticipate completing commercialization of its planned 12 mtpa capacity this year.</w:t>
      </w:r>
    </w:p>
    <w:p>
      <w:pPr>
        <w:pStyle w:val="BodyText"/>
        <w:spacing w:before="293"/>
      </w:pPr>
      <w:r>
        <w:rPr/>
        <w:t>Media</w:t>
      </w:r>
      <w:r>
        <w:rPr>
          <w:spacing w:val="2"/>
        </w:rPr>
        <w:t> </w:t>
      </w:r>
      <w:r>
        <w:rPr>
          <w:spacing w:val="-2"/>
        </w:rPr>
        <w:t>enquiries:</w:t>
      </w:r>
    </w:p>
    <w:p>
      <w:pPr>
        <w:pStyle w:val="BodyText"/>
        <w:ind w:right="7197"/>
      </w:pPr>
      <w:r>
        <w:rPr>
          <w:w w:val="110"/>
        </w:rPr>
        <w:t>Leah</w:t>
      </w:r>
      <w:r>
        <w:rPr>
          <w:spacing w:val="-15"/>
          <w:w w:val="110"/>
        </w:rPr>
        <w:t> </w:t>
      </w:r>
      <w:r>
        <w:rPr>
          <w:w w:val="110"/>
        </w:rPr>
        <w:t>Caldow </w:t>
      </w:r>
      <w:r>
        <w:rPr/>
        <w:t>Western</w:t>
      </w:r>
      <w:r>
        <w:rPr>
          <w:spacing w:val="7"/>
          <w:w w:val="110"/>
        </w:rPr>
        <w:t> </w:t>
      </w:r>
      <w:r>
        <w:rPr>
          <w:spacing w:val="-5"/>
          <w:w w:val="110"/>
        </w:rPr>
        <w:t>LNG</w:t>
      </w:r>
    </w:p>
    <w:p>
      <w:pPr>
        <w:pStyle w:val="BodyText"/>
        <w:spacing w:line="293" w:lineRule="exact"/>
      </w:pPr>
      <w:hyperlink r:id="rId6">
        <w:r>
          <w:rPr>
            <w:color w:val="BDE0D9"/>
            <w:spacing w:val="-2"/>
            <w:w w:val="110"/>
            <w:u w:val="single" w:color="BDE0D9"/>
          </w:rPr>
          <w:t>lcaldow@westernlng.com</w:t>
        </w:r>
      </w:hyperlink>
    </w:p>
    <w:p>
      <w:pPr>
        <w:pStyle w:val="BodyText"/>
        <w:spacing w:after="0" w:line="293" w:lineRule="exact"/>
        <w:sectPr>
          <w:type w:val="continuous"/>
          <w:pgSz w:w="12240" w:h="15840"/>
          <w:pgMar w:top="1440" w:bottom="280" w:left="1440" w:right="1440"/>
        </w:sectPr>
      </w:pPr>
    </w:p>
    <w:p>
      <w:pPr>
        <w:pStyle w:val="Heading1"/>
        <w:spacing w:before="116"/>
      </w:pPr>
      <w:r>
        <w:rPr>
          <w:w w:val="110"/>
        </w:rPr>
        <w:t>About</w:t>
      </w:r>
      <w:r>
        <w:rPr>
          <w:spacing w:val="-3"/>
          <w:w w:val="110"/>
        </w:rPr>
        <w:t> </w:t>
      </w:r>
      <w:r>
        <w:rPr>
          <w:w w:val="110"/>
        </w:rPr>
        <w:t>Ksi</w:t>
      </w:r>
      <w:r>
        <w:rPr>
          <w:spacing w:val="-3"/>
          <w:w w:val="110"/>
        </w:rPr>
        <w:t> </w:t>
      </w:r>
      <w:r>
        <w:rPr>
          <w:w w:val="110"/>
        </w:rPr>
        <w:t>Lisims</w:t>
      </w:r>
      <w:r>
        <w:rPr>
          <w:spacing w:val="-1"/>
          <w:w w:val="110"/>
        </w:rPr>
        <w:t> </w:t>
      </w:r>
      <w:r>
        <w:rPr>
          <w:spacing w:val="-5"/>
          <w:w w:val="110"/>
        </w:rPr>
        <w:t>LNG</w:t>
      </w:r>
    </w:p>
    <w:p>
      <w:pPr>
        <w:pStyle w:val="BodyText"/>
        <w:spacing w:line="278" w:lineRule="auto" w:before="207"/>
        <w:ind w:right="175"/>
      </w:pPr>
      <w:r>
        <w:rPr>
          <w:w w:val="105"/>
        </w:rPr>
        <w:t>Ksi Lisims LNG, meaning</w:t>
      </w:r>
      <w:r>
        <w:rPr>
          <w:spacing w:val="-11"/>
          <w:w w:val="105"/>
        </w:rPr>
        <w:t> </w:t>
      </w:r>
      <w:r>
        <w:rPr>
          <w:w w:val="105"/>
        </w:rPr>
        <w:t>“from the Nass River”</w:t>
      </w:r>
      <w:r>
        <w:rPr>
          <w:spacing w:val="-9"/>
          <w:w w:val="105"/>
        </w:rPr>
        <w:t> </w:t>
      </w:r>
      <w:r>
        <w:rPr>
          <w:w w:val="105"/>
        </w:rPr>
        <w:t>in the Nisga’a language, is a proposed net- zero liquefied natural gas project in British Columbia, Canada. It will be sited on Nisga’a Nation-owned land on the northern tip of Pearse Island. Powered by renewable</w:t>
      </w:r>
    </w:p>
    <w:p>
      <w:pPr>
        <w:pStyle w:val="BodyText"/>
        <w:spacing w:line="278" w:lineRule="auto"/>
      </w:pPr>
      <w:r>
        <w:rPr>
          <w:w w:val="105"/>
        </w:rPr>
        <w:t>hydroelectricity, Ksi Lisims LNG is designed to be the lowest emission intensity LNG facility in</w:t>
      </w:r>
      <w:r>
        <w:rPr>
          <w:spacing w:val="-2"/>
          <w:w w:val="105"/>
        </w:rPr>
        <w:t> </w:t>
      </w:r>
      <w:r>
        <w:rPr>
          <w:w w:val="105"/>
        </w:rPr>
        <w:t>the</w:t>
      </w:r>
      <w:r>
        <w:rPr>
          <w:spacing w:val="-2"/>
          <w:w w:val="105"/>
        </w:rPr>
        <w:t> </w:t>
      </w:r>
      <w:r>
        <w:rPr>
          <w:w w:val="105"/>
        </w:rPr>
        <w:t>world</w:t>
      </w:r>
      <w:r>
        <w:rPr>
          <w:spacing w:val="-4"/>
          <w:w w:val="105"/>
        </w:rPr>
        <w:t> </w:t>
      </w:r>
      <w:r>
        <w:rPr>
          <w:w w:val="105"/>
        </w:rPr>
        <w:t>with</w:t>
      </w:r>
      <w:r>
        <w:rPr>
          <w:spacing w:val="-1"/>
          <w:w w:val="105"/>
        </w:rPr>
        <w:t> </w:t>
      </w:r>
      <w:r>
        <w:rPr>
          <w:w w:val="105"/>
        </w:rPr>
        <w:t>a</w:t>
      </w:r>
      <w:r>
        <w:rPr>
          <w:spacing w:val="-4"/>
          <w:w w:val="105"/>
        </w:rPr>
        <w:t> </w:t>
      </w:r>
      <w:r>
        <w:rPr>
          <w:w w:val="105"/>
        </w:rPr>
        <w:t>pathway</w:t>
      </w:r>
      <w:r>
        <w:rPr>
          <w:spacing w:val="-4"/>
          <w:w w:val="105"/>
        </w:rPr>
        <w:t> </w:t>
      </w:r>
      <w:r>
        <w:rPr>
          <w:w w:val="105"/>
        </w:rPr>
        <w:t>to</w:t>
      </w:r>
      <w:r>
        <w:rPr>
          <w:spacing w:val="-4"/>
          <w:w w:val="105"/>
        </w:rPr>
        <w:t> </w:t>
      </w:r>
      <w:r>
        <w:rPr>
          <w:w w:val="105"/>
        </w:rPr>
        <w:t>net-zero.</w:t>
      </w:r>
      <w:r>
        <w:rPr>
          <w:spacing w:val="-2"/>
          <w:w w:val="105"/>
        </w:rPr>
        <w:t> </w:t>
      </w:r>
      <w:r>
        <w:rPr>
          <w:w w:val="105"/>
        </w:rPr>
        <w:t>The</w:t>
      </w:r>
      <w:r>
        <w:rPr>
          <w:spacing w:val="-2"/>
          <w:w w:val="105"/>
        </w:rPr>
        <w:t> </w:t>
      </w:r>
      <w:r>
        <w:rPr>
          <w:w w:val="105"/>
        </w:rPr>
        <w:t>facility</w:t>
      </w:r>
      <w:r>
        <w:rPr>
          <w:spacing w:val="-4"/>
          <w:w w:val="105"/>
        </w:rPr>
        <w:t> </w:t>
      </w:r>
      <w:r>
        <w:rPr>
          <w:w w:val="105"/>
        </w:rPr>
        <w:t>will</w:t>
      </w:r>
      <w:r>
        <w:rPr>
          <w:spacing w:val="-4"/>
          <w:w w:val="105"/>
        </w:rPr>
        <w:t> </w:t>
      </w:r>
      <w:r>
        <w:rPr>
          <w:w w:val="105"/>
        </w:rPr>
        <w:t>produce</w:t>
      </w:r>
      <w:r>
        <w:rPr>
          <w:spacing w:val="-1"/>
          <w:w w:val="105"/>
        </w:rPr>
        <w:t> </w:t>
      </w:r>
      <w:r>
        <w:rPr>
          <w:w w:val="105"/>
        </w:rPr>
        <w:t>12</w:t>
      </w:r>
      <w:r>
        <w:rPr>
          <w:spacing w:val="-1"/>
          <w:w w:val="105"/>
        </w:rPr>
        <w:t> </w:t>
      </w:r>
      <w:r>
        <w:rPr>
          <w:w w:val="105"/>
        </w:rPr>
        <w:t>million</w:t>
      </w:r>
      <w:r>
        <w:rPr>
          <w:spacing w:val="-4"/>
          <w:w w:val="105"/>
        </w:rPr>
        <w:t> </w:t>
      </w:r>
      <w:r>
        <w:rPr>
          <w:w w:val="105"/>
        </w:rPr>
        <w:t>tonnes</w:t>
      </w:r>
      <w:r>
        <w:rPr>
          <w:spacing w:val="-1"/>
          <w:w w:val="105"/>
        </w:rPr>
        <w:t> </w:t>
      </w:r>
      <w:r>
        <w:rPr>
          <w:w w:val="105"/>
        </w:rPr>
        <w:t>per annum of LNG from two floating LNG production and storage facilities.</w:t>
      </w:r>
    </w:p>
    <w:p>
      <w:pPr>
        <w:pStyle w:val="Heading1"/>
        <w:spacing w:before="157"/>
      </w:pPr>
      <w:r>
        <w:rPr>
          <w:w w:val="110"/>
        </w:rPr>
        <w:t>About</w:t>
      </w:r>
      <w:r>
        <w:rPr>
          <w:spacing w:val="-7"/>
          <w:w w:val="110"/>
        </w:rPr>
        <w:t> </w:t>
      </w:r>
      <w:r>
        <w:rPr>
          <w:w w:val="110"/>
        </w:rPr>
        <w:t>the</w:t>
      </w:r>
      <w:r>
        <w:rPr>
          <w:spacing w:val="-5"/>
          <w:w w:val="110"/>
        </w:rPr>
        <w:t> </w:t>
      </w:r>
      <w:r>
        <w:rPr>
          <w:w w:val="110"/>
        </w:rPr>
        <w:t>Ksi</w:t>
      </w:r>
      <w:r>
        <w:rPr>
          <w:spacing w:val="-6"/>
          <w:w w:val="110"/>
        </w:rPr>
        <w:t> </w:t>
      </w:r>
      <w:r>
        <w:rPr>
          <w:w w:val="110"/>
        </w:rPr>
        <w:t>Lisims</w:t>
      </w:r>
      <w:r>
        <w:rPr>
          <w:spacing w:val="-5"/>
          <w:w w:val="110"/>
        </w:rPr>
        <w:t> </w:t>
      </w:r>
      <w:r>
        <w:rPr>
          <w:w w:val="110"/>
        </w:rPr>
        <w:t>LNG</w:t>
      </w:r>
      <w:r>
        <w:rPr>
          <w:spacing w:val="-6"/>
          <w:w w:val="110"/>
        </w:rPr>
        <w:t> </w:t>
      </w:r>
      <w:r>
        <w:rPr>
          <w:spacing w:val="-2"/>
          <w:w w:val="110"/>
        </w:rPr>
        <w:t>Proponents</w:t>
      </w:r>
    </w:p>
    <w:p>
      <w:pPr>
        <w:pStyle w:val="BodyText"/>
        <w:spacing w:line="278" w:lineRule="auto" w:before="206"/>
        <w:ind w:right="175"/>
      </w:pPr>
      <w:r>
        <w:rPr>
          <w:b/>
          <w:w w:val="105"/>
        </w:rPr>
        <w:t>The</w:t>
      </w:r>
      <w:r>
        <w:rPr>
          <w:b/>
          <w:spacing w:val="-4"/>
          <w:w w:val="105"/>
        </w:rPr>
        <w:t> </w:t>
      </w:r>
      <w:r>
        <w:rPr>
          <w:b/>
          <w:w w:val="105"/>
        </w:rPr>
        <w:t>Nisga’a</w:t>
      </w:r>
      <w:r>
        <w:rPr>
          <w:b/>
          <w:spacing w:val="-6"/>
          <w:w w:val="105"/>
        </w:rPr>
        <w:t> </w:t>
      </w:r>
      <w:r>
        <w:rPr>
          <w:b/>
          <w:w w:val="105"/>
        </w:rPr>
        <w:t>Nation</w:t>
      </w:r>
      <w:r>
        <w:rPr>
          <w:b/>
          <w:spacing w:val="-4"/>
          <w:w w:val="105"/>
        </w:rPr>
        <w:t> </w:t>
      </w:r>
      <w:r>
        <w:rPr>
          <w:w w:val="105"/>
        </w:rPr>
        <w:t>is</w:t>
      </w:r>
      <w:r>
        <w:rPr>
          <w:spacing w:val="-4"/>
          <w:w w:val="105"/>
        </w:rPr>
        <w:t> </w:t>
      </w:r>
      <w:r>
        <w:rPr>
          <w:w w:val="105"/>
        </w:rPr>
        <w:t>a</w:t>
      </w:r>
      <w:r>
        <w:rPr>
          <w:spacing w:val="-8"/>
          <w:w w:val="105"/>
        </w:rPr>
        <w:t> </w:t>
      </w:r>
      <w:r>
        <w:rPr>
          <w:w w:val="105"/>
        </w:rPr>
        <w:t>self-governing,</w:t>
      </w:r>
      <w:r>
        <w:rPr>
          <w:spacing w:val="-3"/>
          <w:w w:val="105"/>
        </w:rPr>
        <w:t> </w:t>
      </w:r>
      <w:r>
        <w:rPr>
          <w:w w:val="105"/>
        </w:rPr>
        <w:t>modern</w:t>
      </w:r>
      <w:r>
        <w:rPr>
          <w:spacing w:val="-3"/>
          <w:w w:val="105"/>
        </w:rPr>
        <w:t> </w:t>
      </w:r>
      <w:r>
        <w:rPr>
          <w:w w:val="105"/>
        </w:rPr>
        <w:t>treaty</w:t>
      </w:r>
      <w:r>
        <w:rPr>
          <w:spacing w:val="-4"/>
          <w:w w:val="105"/>
        </w:rPr>
        <w:t> </w:t>
      </w:r>
      <w:r>
        <w:rPr>
          <w:w w:val="105"/>
        </w:rPr>
        <w:t>Nation</w:t>
      </w:r>
      <w:r>
        <w:rPr>
          <w:spacing w:val="-6"/>
          <w:w w:val="105"/>
        </w:rPr>
        <w:t> </w:t>
      </w:r>
      <w:r>
        <w:rPr>
          <w:w w:val="105"/>
        </w:rPr>
        <w:t>with</w:t>
      </w:r>
      <w:r>
        <w:rPr>
          <w:spacing w:val="-3"/>
          <w:w w:val="105"/>
        </w:rPr>
        <w:t> </w:t>
      </w:r>
      <w:r>
        <w:rPr>
          <w:w w:val="105"/>
        </w:rPr>
        <w:t>significant,</w:t>
      </w:r>
      <w:r>
        <w:rPr>
          <w:spacing w:val="-4"/>
          <w:w w:val="105"/>
        </w:rPr>
        <w:t> </w:t>
      </w:r>
      <w:r>
        <w:rPr>
          <w:w w:val="105"/>
        </w:rPr>
        <w:t>defined control of and rights over their lands. The Ksi Lisims LNG project will be sited on land owned by the Nisga’a Nation at the northeastern tip of Pearse Island in British</w:t>
      </w:r>
    </w:p>
    <w:p>
      <w:pPr>
        <w:pStyle w:val="BodyText"/>
        <w:spacing w:line="291" w:lineRule="exact"/>
      </w:pPr>
      <w:r>
        <w:rPr>
          <w:w w:val="110"/>
        </w:rPr>
        <w:t>Columbia.</w:t>
      </w:r>
      <w:r>
        <w:rPr>
          <w:spacing w:val="-14"/>
          <w:w w:val="110"/>
        </w:rPr>
        <w:t> </w:t>
      </w:r>
      <w:hyperlink r:id="rId7">
        <w:r>
          <w:rPr>
            <w:color w:val="004578"/>
            <w:spacing w:val="-2"/>
            <w:w w:val="110"/>
            <w:u w:val="single" w:color="004578"/>
          </w:rPr>
          <w:t>https://www.nisgaanation.ca</w:t>
        </w:r>
      </w:hyperlink>
    </w:p>
    <w:p>
      <w:pPr>
        <w:pStyle w:val="BodyText"/>
        <w:spacing w:line="278" w:lineRule="auto" w:before="209"/>
        <w:ind w:right="175"/>
      </w:pPr>
      <w:r>
        <w:rPr>
          <w:b/>
          <w:w w:val="105"/>
        </w:rPr>
        <w:t>Rockies LNG Partners </w:t>
      </w:r>
      <w:r>
        <w:rPr>
          <w:w w:val="105"/>
        </w:rPr>
        <w:t>is a limited partnership comprised of Canadian natural gas producers formed to advance LNG market access opportunities on</w:t>
      </w:r>
      <w:r>
        <w:rPr>
          <w:spacing w:val="-1"/>
          <w:w w:val="105"/>
        </w:rPr>
        <w:t> </w:t>
      </w:r>
      <w:r>
        <w:rPr>
          <w:w w:val="105"/>
        </w:rPr>
        <w:t>the west</w:t>
      </w:r>
      <w:r>
        <w:rPr>
          <w:spacing w:val="-1"/>
          <w:w w:val="105"/>
        </w:rPr>
        <w:t> </w:t>
      </w:r>
      <w:r>
        <w:rPr>
          <w:w w:val="105"/>
        </w:rPr>
        <w:t>coast</w:t>
      </w:r>
      <w:r>
        <w:rPr>
          <w:spacing w:val="-1"/>
          <w:w w:val="105"/>
        </w:rPr>
        <w:t> </w:t>
      </w:r>
      <w:r>
        <w:rPr>
          <w:w w:val="105"/>
        </w:rPr>
        <w:t>of British Columbia. Rockies LNG’s partners collectively produce approximately half of</w:t>
      </w:r>
    </w:p>
    <w:p>
      <w:pPr>
        <w:pStyle w:val="BodyText"/>
        <w:spacing w:line="278" w:lineRule="auto"/>
      </w:pPr>
      <w:r>
        <w:rPr>
          <w:w w:val="105"/>
        </w:rPr>
        <w:t>Canada’s natural gas and are committed to responsible development of Canadian natural gas resources. </w:t>
      </w:r>
      <w:hyperlink r:id="rId8">
        <w:r>
          <w:rPr>
            <w:color w:val="004578"/>
            <w:w w:val="105"/>
            <w:u w:val="single" w:color="004578"/>
          </w:rPr>
          <w:t>http://www.rockieslng.com</w:t>
        </w:r>
      </w:hyperlink>
    </w:p>
    <w:p>
      <w:pPr>
        <w:pStyle w:val="BodyText"/>
        <w:spacing w:line="278" w:lineRule="auto" w:before="156"/>
        <w:ind w:right="175"/>
      </w:pPr>
      <w:r>
        <w:rPr>
          <w:b/>
          <w:w w:val="105"/>
        </w:rPr>
        <w:t>Western LNG</w:t>
      </w:r>
      <w:r>
        <w:rPr>
          <w:w w:val="105"/>
        </w:rPr>
        <w:t>, with offices in Houston Texas, Vancouver, and Calgary, is a midstream project development company with an experienced management team in the development,</w:t>
      </w:r>
      <w:r>
        <w:rPr>
          <w:spacing w:val="-1"/>
          <w:w w:val="105"/>
        </w:rPr>
        <w:t> </w:t>
      </w:r>
      <w:r>
        <w:rPr>
          <w:w w:val="105"/>
        </w:rPr>
        <w:t>construction</w:t>
      </w:r>
      <w:r>
        <w:rPr>
          <w:spacing w:val="-1"/>
          <w:w w:val="105"/>
        </w:rPr>
        <w:t> </w:t>
      </w:r>
      <w:r>
        <w:rPr>
          <w:w w:val="105"/>
        </w:rPr>
        <w:t>and operation</w:t>
      </w:r>
      <w:r>
        <w:rPr>
          <w:spacing w:val="-3"/>
          <w:w w:val="105"/>
        </w:rPr>
        <w:t> </w:t>
      </w:r>
      <w:r>
        <w:rPr>
          <w:w w:val="105"/>
        </w:rPr>
        <w:t>of LNG</w:t>
      </w:r>
      <w:r>
        <w:rPr>
          <w:spacing w:val="-1"/>
          <w:w w:val="105"/>
        </w:rPr>
        <w:t> </w:t>
      </w:r>
      <w:r>
        <w:rPr>
          <w:w w:val="105"/>
        </w:rPr>
        <w:t>facilities, pipelines, and</w:t>
      </w:r>
      <w:r>
        <w:rPr>
          <w:spacing w:val="-3"/>
          <w:w w:val="105"/>
        </w:rPr>
        <w:t> </w:t>
      </w:r>
      <w:r>
        <w:rPr>
          <w:w w:val="105"/>
        </w:rPr>
        <w:t>related</w:t>
      </w:r>
      <w:r>
        <w:rPr>
          <w:spacing w:val="-3"/>
          <w:w w:val="105"/>
        </w:rPr>
        <w:t> </w:t>
      </w:r>
      <w:r>
        <w:rPr>
          <w:w w:val="105"/>
        </w:rPr>
        <w:t>energy infrastructure. </w:t>
      </w:r>
      <w:hyperlink r:id="rId9">
        <w:r>
          <w:rPr>
            <w:color w:val="004578"/>
            <w:w w:val="105"/>
            <w:u w:val="single" w:color="004578"/>
          </w:rPr>
          <w:t>https://www.westernlng.com</w:t>
        </w:r>
      </w:hyperlink>
    </w:p>
    <w:sectPr>
      <w:pgSz w:w="12240" w:h="15840"/>
      <w:pgMar w:top="182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lcaldow@westernlng.com" TargetMode="External"/><Relationship Id="rId7" Type="http://schemas.openxmlformats.org/officeDocument/2006/relationships/hyperlink" Target="https://www.nisgaanation.ca/" TargetMode="External"/><Relationship Id="rId8" Type="http://schemas.openxmlformats.org/officeDocument/2006/relationships/hyperlink" Target="http://www.rockieslng.com/" TargetMode="External"/><Relationship Id="rId9" Type="http://schemas.openxmlformats.org/officeDocument/2006/relationships/hyperlink" Target="https://www.westernl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Scott</dc:creator>
  <dcterms:created xsi:type="dcterms:W3CDTF">2026-09-14T14:22:43Z</dcterms:created>
  <dcterms:modified xsi:type="dcterms:W3CDTF">2026-09-14T14:22:43Z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0x010100BBCCE09FF626994899855A602AE2A016</vt:lpwstr>
  </property>
  <property fmtid="{D5CDD505-2E9C-101B-9397-08002B2CF9AE}" pid="3" name="Created">
    <vt:filetime>2026-09-14T00:00:00Z</vt:filetime>
  </property>
  <property fmtid="{D5CDD505-2E9C-101B-9397-08002B2CF9AE}" pid="4" name="Creator">
    <vt:lpwstr>Foxit Software Inc.</vt:lpwstr>
  </property>
  <property fmtid="{D5CDD505-2E9C-101B-9397-08002B2CF9AE}" pid="5" name="LastSaved">
    <vt:filetime>2026-09-14T00:00:00Z</vt:filetime>
  </property>
  <property fmtid="{D5CDD505-2E9C-101B-9397-08002B2CF9AE}" pid="6" name="Producer">
    <vt:lpwstr>Foxit PDF Creator Version 2025.2.0.16160</vt:lpwstr>
  </property>
</Properties>
</file>