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CB641D">
        <w:rPr>
          <w:b/>
          <w:color w:val="000000" w:themeColor="text1"/>
          <w:sz w:val="32"/>
          <w:szCs w:val="32"/>
        </w:rPr>
        <w:t>CEDaCI</w:t>
      </w:r>
      <w:proofErr w:type="spellEnd"/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41A4BF8D" w14:textId="6C32A43F" w:rsidR="00501EC6" w:rsidRPr="00F75EE1" w:rsidRDefault="00F75EE1" w:rsidP="00F75EE1">
      <w:pPr>
        <w:jc w:val="center"/>
        <w:rPr>
          <w:b/>
          <w:color w:val="55C1C2"/>
          <w:sz w:val="32"/>
          <w:szCs w:val="32"/>
        </w:rPr>
      </w:pPr>
      <w:r>
        <w:rPr>
          <w:b/>
          <w:color w:val="55C1C2"/>
          <w:sz w:val="32"/>
          <w:szCs w:val="32"/>
        </w:rPr>
        <w:t>UK Working Group Meeting III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6D2C8EE9" w14:textId="3091AEC2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>05/03/2020</w:t>
      </w:r>
    </w:p>
    <w:p w14:paraId="6173747B" w14:textId="77777777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13:00 – 17:00 BST </w:t>
      </w:r>
    </w:p>
    <w:p w14:paraId="77ABE942" w14:textId="77777777" w:rsidR="00F75EE1" w:rsidRDefault="08F744F3" w:rsidP="00F75EE1">
      <w:pPr>
        <w:rPr>
          <w:rFonts w:ascii="Arial" w:hAnsi="Arial" w:cs="Arial"/>
          <w:color w:val="000000" w:themeColor="text1"/>
          <w:sz w:val="24"/>
          <w:szCs w:val="24"/>
        </w:rPr>
      </w:pPr>
      <w:r w:rsidRPr="08F744F3">
        <w:rPr>
          <w:rFonts w:ascii="Arial" w:hAnsi="Arial" w:cs="Arial"/>
          <w:b/>
          <w:bCs/>
          <w:color w:val="000000" w:themeColor="text1"/>
          <w:sz w:val="24"/>
          <w:szCs w:val="24"/>
        </w:rPr>
        <w:t>Address:</w:t>
      </w:r>
      <w:r w:rsidRPr="08F744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E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F6C08" w14:textId="540CD3E4" w:rsidR="00757EF5" w:rsidRPr="00F75EE1" w:rsidRDefault="00F75EE1" w:rsidP="00757EF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CEREB – 8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Floor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F75EE1">
        <w:rPr>
          <w:rFonts w:ascii="Arial" w:hAnsi="Arial" w:cs="Arial"/>
          <w:bCs/>
          <w:color w:val="000000"/>
          <w:sz w:val="24"/>
          <w:szCs w:val="24"/>
        </w:rPr>
        <w:t>K2 Building</w:t>
      </w:r>
      <w:r w:rsidRPr="00F75EE1">
        <w:rPr>
          <w:rFonts w:ascii="Times New Roman" w:hAnsi="Times New Roman" w:cs="Times New Roman"/>
          <w:sz w:val="24"/>
          <w:szCs w:val="24"/>
          <w:lang w:eastAsia="en-GB"/>
        </w:rPr>
        <w:br/>
      </w:r>
      <w:r w:rsidRPr="00F75EE1">
        <w:rPr>
          <w:rFonts w:ascii="Arial" w:hAnsi="Arial" w:cs="Arial"/>
          <w:bCs/>
          <w:color w:val="000000"/>
          <w:sz w:val="24"/>
          <w:szCs w:val="24"/>
        </w:rPr>
        <w:t>Keyworth St, London SE1 6NJ</w:t>
      </w:r>
    </w:p>
    <w:p w14:paraId="15506A2B" w14:textId="6DD3EAB6" w:rsidR="00757EF5" w:rsidRPr="00F75EE1" w:rsidRDefault="00F75EE1" w:rsidP="00757EF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95615" w:rsidRPr="00F75EE1">
        <w:rPr>
          <w:rFonts w:ascii="Arial" w:hAnsi="Arial" w:cs="Arial"/>
          <w:b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77777777" w:rsidR="00757EF5" w:rsidRPr="0054108A" w:rsidRDefault="00CB641D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3D96AB3D" w14:textId="7E15C6A3" w:rsidR="00F75EE1" w:rsidRPr="005C4873" w:rsidRDefault="00F75EE1" w:rsidP="00F75EE1">
      <w:pPr>
        <w:rPr>
          <w:color w:val="000000" w:themeColor="text1"/>
          <w:sz w:val="24"/>
          <w:szCs w:val="24"/>
        </w:rPr>
      </w:pPr>
    </w:p>
    <w:p w14:paraId="73945396" w14:textId="77777777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>1.   Introduction of new project and working group members</w:t>
      </w:r>
    </w:p>
    <w:p w14:paraId="316DDAB9" w14:textId="2A06AB1E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>2.   Data Sanitisation – the developer’s perspective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F75EE1">
        <w:rPr>
          <w:rFonts w:ascii="Arial" w:hAnsi="Arial" w:cs="Arial"/>
          <w:color w:val="222222"/>
          <w:sz w:val="24"/>
          <w:szCs w:val="24"/>
        </w:rPr>
        <w:t>What is data sanitisation?</w:t>
      </w:r>
      <w:r>
        <w:rPr>
          <w:rFonts w:ascii="Times New Roman" w:hAnsi="Times New Roman" w:cs="Times New Roman"/>
          <w:sz w:val="24"/>
          <w:szCs w:val="24"/>
        </w:rPr>
        <w:br/>
      </w:r>
      <w:r w:rsidRPr="00F75EE1">
        <w:rPr>
          <w:rFonts w:ascii="Arial" w:hAnsi="Arial" w:cs="Arial"/>
          <w:color w:val="222222"/>
          <w:sz w:val="24"/>
          <w:szCs w:val="24"/>
        </w:rPr>
        <w:t>Barriers (perceptual vs technological) and opportunities</w:t>
      </w:r>
      <w:r>
        <w:rPr>
          <w:rFonts w:ascii="Times New Roman" w:hAnsi="Times New Roman" w:cs="Times New Roman"/>
          <w:sz w:val="24"/>
          <w:szCs w:val="24"/>
        </w:rPr>
        <w:br/>
      </w:r>
      <w:r w:rsidRPr="00F75EE1">
        <w:rPr>
          <w:rFonts w:ascii="Arial" w:hAnsi="Arial" w:cs="Arial"/>
          <w:color w:val="222222"/>
          <w:sz w:val="24"/>
          <w:szCs w:val="24"/>
        </w:rPr>
        <w:t>How a decision-making tool could help data sanitisation outcomes</w:t>
      </w:r>
    </w:p>
    <w:p w14:paraId="17C92B5D" w14:textId="50F2DF3C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>3.   Data Sanitisation – the user’s perspective</w:t>
      </w:r>
      <w:r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75EE1">
        <w:rPr>
          <w:rFonts w:ascii="Arial" w:hAnsi="Arial" w:cs="Arial"/>
          <w:color w:val="222222"/>
          <w:sz w:val="24"/>
          <w:szCs w:val="24"/>
        </w:rPr>
        <w:t>Barriers (perceptual vs technological) and opportunities</w:t>
      </w:r>
      <w:r>
        <w:rPr>
          <w:rFonts w:ascii="Times New Roman" w:hAnsi="Times New Roman" w:cs="Times New Roman"/>
          <w:sz w:val="24"/>
          <w:szCs w:val="24"/>
        </w:rPr>
        <w:br/>
      </w:r>
      <w:r w:rsidRPr="00F75EE1">
        <w:rPr>
          <w:rFonts w:ascii="Arial" w:hAnsi="Arial" w:cs="Arial"/>
          <w:color w:val="222222"/>
          <w:sz w:val="24"/>
          <w:szCs w:val="24"/>
        </w:rPr>
        <w:t>How a decision-making tool could help data sanitisation outcomes</w:t>
      </w:r>
    </w:p>
    <w:p w14:paraId="5A8C013B" w14:textId="77777777" w:rsid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Arial" w:hAnsi="Arial" w:cs="Arial"/>
          <w:color w:val="222222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>4.    Data Sanitisation discussion</w:t>
      </w:r>
    </w:p>
    <w:p w14:paraId="303D23C7" w14:textId="6F9C4EE8" w:rsidR="00F75EE1" w:rsidRPr="00F75EE1" w:rsidRDefault="00F75EE1" w:rsidP="00F75EE1">
      <w:pPr>
        <w:shd w:val="clear" w:color="auto" w:fill="FFFFFF"/>
        <w:autoSpaceDE w:val="0"/>
        <w:autoSpaceDN w:val="0"/>
        <w:adjustRightInd w:val="0"/>
        <w:spacing w:before="280"/>
        <w:rPr>
          <w:rFonts w:ascii="Times New Roman" w:hAnsi="Times New Roman" w:cs="Times New Roman"/>
          <w:sz w:val="24"/>
          <w:szCs w:val="24"/>
        </w:rPr>
      </w:pPr>
      <w:r w:rsidRPr="00F75EE1">
        <w:rPr>
          <w:rFonts w:ascii="Arial" w:hAnsi="Arial" w:cs="Arial"/>
          <w:color w:val="222222"/>
          <w:sz w:val="24"/>
          <w:szCs w:val="24"/>
        </w:rPr>
        <w:t xml:space="preserve"> Pilot reflection and any other topics</w:t>
      </w:r>
    </w:p>
    <w:p w14:paraId="739DB375" w14:textId="0D725F41" w:rsidR="005C4873" w:rsidRPr="00F75EE1" w:rsidRDefault="005C4873" w:rsidP="00F75EE1">
      <w:pPr>
        <w:rPr>
          <w:color w:val="000000" w:themeColor="text1"/>
          <w:sz w:val="24"/>
          <w:szCs w:val="24"/>
        </w:rPr>
      </w:pPr>
    </w:p>
    <w:sectPr w:rsidR="005C4873" w:rsidRPr="00F75EE1" w:rsidSect="00B85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39BE" w14:textId="77777777" w:rsidR="00D66F3E" w:rsidRDefault="00D66F3E" w:rsidP="00757EF5">
      <w:pPr>
        <w:spacing w:after="0" w:line="240" w:lineRule="auto"/>
      </w:pPr>
      <w:r>
        <w:separator/>
      </w:r>
    </w:p>
  </w:endnote>
  <w:endnote w:type="continuationSeparator" w:id="0">
    <w:p w14:paraId="7321325D" w14:textId="77777777" w:rsidR="00D66F3E" w:rsidRDefault="00D66F3E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DF75" w14:textId="77777777" w:rsidR="00D66F3E" w:rsidRDefault="00D66F3E" w:rsidP="00757EF5">
      <w:pPr>
        <w:spacing w:after="0" w:line="240" w:lineRule="auto"/>
      </w:pPr>
      <w:r>
        <w:separator/>
      </w:r>
    </w:p>
  </w:footnote>
  <w:footnote w:type="continuationSeparator" w:id="0">
    <w:p w14:paraId="72E20DFC" w14:textId="77777777" w:rsidR="00D66F3E" w:rsidRDefault="00D66F3E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6C7"/>
    <w:multiLevelType w:val="hybridMultilevel"/>
    <w:tmpl w:val="C442BC2C"/>
    <w:lvl w:ilvl="0" w:tplc="6EC26390">
      <w:start w:val="1"/>
      <w:numFmt w:val="decimal"/>
      <w:lvlText w:val="%1."/>
      <w:lvlJc w:val="left"/>
      <w:pPr>
        <w:ind w:left="720" w:hanging="360"/>
      </w:pPr>
    </w:lvl>
    <w:lvl w:ilvl="1" w:tplc="ED08D03C">
      <w:start w:val="1"/>
      <w:numFmt w:val="lowerLetter"/>
      <w:lvlText w:val="%2."/>
      <w:lvlJc w:val="left"/>
      <w:pPr>
        <w:ind w:left="1440" w:hanging="360"/>
      </w:pPr>
    </w:lvl>
    <w:lvl w:ilvl="2" w:tplc="36AE1868">
      <w:start w:val="1"/>
      <w:numFmt w:val="lowerRoman"/>
      <w:lvlText w:val="%3."/>
      <w:lvlJc w:val="right"/>
      <w:pPr>
        <w:ind w:left="2160" w:hanging="180"/>
      </w:pPr>
    </w:lvl>
    <w:lvl w:ilvl="3" w:tplc="B8728EFA">
      <w:start w:val="1"/>
      <w:numFmt w:val="decimal"/>
      <w:lvlText w:val="%4."/>
      <w:lvlJc w:val="left"/>
      <w:pPr>
        <w:ind w:left="2880" w:hanging="360"/>
      </w:pPr>
    </w:lvl>
    <w:lvl w:ilvl="4" w:tplc="8BB88422">
      <w:start w:val="1"/>
      <w:numFmt w:val="lowerLetter"/>
      <w:lvlText w:val="%5."/>
      <w:lvlJc w:val="left"/>
      <w:pPr>
        <w:ind w:left="3600" w:hanging="360"/>
      </w:pPr>
    </w:lvl>
    <w:lvl w:ilvl="5" w:tplc="B08089DE">
      <w:start w:val="1"/>
      <w:numFmt w:val="lowerRoman"/>
      <w:lvlText w:val="%6."/>
      <w:lvlJc w:val="right"/>
      <w:pPr>
        <w:ind w:left="4320" w:hanging="180"/>
      </w:pPr>
    </w:lvl>
    <w:lvl w:ilvl="6" w:tplc="7CB47760">
      <w:start w:val="1"/>
      <w:numFmt w:val="decimal"/>
      <w:lvlText w:val="%7."/>
      <w:lvlJc w:val="left"/>
      <w:pPr>
        <w:ind w:left="5040" w:hanging="360"/>
      </w:pPr>
    </w:lvl>
    <w:lvl w:ilvl="7" w:tplc="FE30FCDE">
      <w:start w:val="1"/>
      <w:numFmt w:val="lowerLetter"/>
      <w:lvlText w:val="%8."/>
      <w:lvlJc w:val="left"/>
      <w:pPr>
        <w:ind w:left="5760" w:hanging="360"/>
      </w:pPr>
    </w:lvl>
    <w:lvl w:ilvl="8" w:tplc="7BC83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77FB4"/>
    <w:rsid w:val="001B72EE"/>
    <w:rsid w:val="001E3BAB"/>
    <w:rsid w:val="00204327"/>
    <w:rsid w:val="00280C9A"/>
    <w:rsid w:val="002B6BB9"/>
    <w:rsid w:val="002D069F"/>
    <w:rsid w:val="003B096B"/>
    <w:rsid w:val="003E20D4"/>
    <w:rsid w:val="004E41CE"/>
    <w:rsid w:val="00501EC6"/>
    <w:rsid w:val="0054108A"/>
    <w:rsid w:val="00553FD3"/>
    <w:rsid w:val="005C4873"/>
    <w:rsid w:val="00624E0F"/>
    <w:rsid w:val="00757EF5"/>
    <w:rsid w:val="008867B3"/>
    <w:rsid w:val="00895615"/>
    <w:rsid w:val="009440B4"/>
    <w:rsid w:val="00AB4872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D66F3E"/>
    <w:rsid w:val="00DB78CC"/>
    <w:rsid w:val="00DC68A1"/>
    <w:rsid w:val="00E00CAC"/>
    <w:rsid w:val="00F56189"/>
    <w:rsid w:val="00F75EE1"/>
    <w:rsid w:val="00F838E7"/>
    <w:rsid w:val="08F744F3"/>
    <w:rsid w:val="0CAC6D86"/>
    <w:rsid w:val="2BD1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3</cp:revision>
  <dcterms:created xsi:type="dcterms:W3CDTF">2019-12-18T10:53:00Z</dcterms:created>
  <dcterms:modified xsi:type="dcterms:W3CDTF">2020-03-04T17:50:00Z</dcterms:modified>
</cp:coreProperties>
</file>