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2F2F2" w:themeColor="background1" w:themeShade="F2"/>
  <w:body>
    <w:p w14:paraId="1F5D825A" w14:textId="2B0DD081" w:rsidR="00264F7C" w:rsidRDefault="00000000">
      <w:pPr>
        <w:pStyle w:val="Title"/>
        <w:pBdr>
          <w:top w:val="nil"/>
          <w:left w:val="nil"/>
          <w:bottom w:val="nil"/>
          <w:right w:val="nil"/>
          <w:between w:val="nil"/>
        </w:pBdr>
        <w:jc w:val="center"/>
        <w:rPr>
          <w:color w:val="CC0000"/>
          <w:sz w:val="48"/>
          <w:szCs w:val="48"/>
        </w:rPr>
      </w:pPr>
      <w:bookmarkStart w:id="0" w:name="_6jynaot9cbnq" w:colFirst="0" w:colLast="0"/>
      <w:bookmarkEnd w:id="0"/>
      <w:r>
        <w:rPr>
          <w:noProof/>
          <w:color w:val="073763"/>
          <w:sz w:val="46"/>
          <w:szCs w:val="46"/>
        </w:rPr>
        <w:drawing>
          <wp:anchor distT="114300" distB="114300" distL="114300" distR="114300" simplePos="0" relativeHeight="251658240" behindDoc="0" locked="0" layoutInCell="1" hidden="0" allowOverlap="1" wp14:anchorId="7E4D3F2F" wp14:editId="747DF0D2">
            <wp:simplePos x="0" y="0"/>
            <wp:positionH relativeFrom="page">
              <wp:posOffset>857250</wp:posOffset>
            </wp:positionH>
            <wp:positionV relativeFrom="page">
              <wp:posOffset>685800</wp:posOffset>
            </wp:positionV>
            <wp:extent cx="1071563" cy="914950"/>
            <wp:effectExtent l="0" t="0" r="0" b="0"/>
            <wp:wrapSquare wrapText="bothSides" distT="114300" distB="11430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1071563" cy="914950"/>
                    </a:xfrm>
                    <a:prstGeom prst="rect">
                      <a:avLst/>
                    </a:prstGeom>
                    <a:ln/>
                  </pic:spPr>
                </pic:pic>
              </a:graphicData>
            </a:graphic>
          </wp:anchor>
        </w:drawing>
      </w:r>
      <w:r>
        <w:rPr>
          <w:color w:val="CC0000"/>
          <w:sz w:val="48"/>
          <w:szCs w:val="48"/>
        </w:rPr>
        <w:t xml:space="preserve"> Dir</w:t>
      </w:r>
      <w:r w:rsidR="00554F36">
        <w:rPr>
          <w:color w:val="CC0000"/>
          <w:sz w:val="48"/>
          <w:szCs w:val="48"/>
        </w:rPr>
        <w:t>. Planning 3</w:t>
      </w:r>
      <w:r w:rsidR="00554F36" w:rsidRPr="00554F36">
        <w:rPr>
          <w:color w:val="CC0000"/>
          <w:sz w:val="48"/>
          <w:szCs w:val="48"/>
          <w:vertAlign w:val="superscript"/>
        </w:rPr>
        <w:t>rd</w:t>
      </w:r>
      <w:r w:rsidR="00554F36">
        <w:rPr>
          <w:color w:val="CC0000"/>
          <w:sz w:val="48"/>
          <w:szCs w:val="48"/>
        </w:rPr>
        <w:t xml:space="preserve"> </w:t>
      </w:r>
      <w:proofErr w:type="spellStart"/>
      <w:r w:rsidR="00554F36">
        <w:rPr>
          <w:color w:val="CC0000"/>
          <w:sz w:val="48"/>
          <w:szCs w:val="48"/>
        </w:rPr>
        <w:t>Qtr</w:t>
      </w:r>
      <w:proofErr w:type="spellEnd"/>
      <w:r>
        <w:rPr>
          <w:color w:val="CC0000"/>
          <w:sz w:val="48"/>
          <w:szCs w:val="48"/>
        </w:rPr>
        <w:t xml:space="preserve"> Report</w:t>
      </w:r>
    </w:p>
    <w:p w14:paraId="615E6AD8" w14:textId="44CDD10A" w:rsidR="00264F7C" w:rsidRPr="00864A15" w:rsidRDefault="00596E9C" w:rsidP="00864A15">
      <w:pPr>
        <w:pStyle w:val="Subtitle"/>
        <w:pBdr>
          <w:top w:val="nil"/>
          <w:left w:val="nil"/>
          <w:bottom w:val="nil"/>
          <w:right w:val="nil"/>
          <w:between w:val="nil"/>
        </w:pBdr>
        <w:jc w:val="center"/>
        <w:rPr>
          <w:b/>
          <w:color w:val="666666"/>
          <w:sz w:val="24"/>
          <w:szCs w:val="24"/>
        </w:rPr>
      </w:pPr>
      <w:bookmarkStart w:id="1" w:name="_eqpoxxy8gmzz" w:colFirst="0" w:colLast="0"/>
      <w:bookmarkEnd w:id="1"/>
      <w:r>
        <w:rPr>
          <w:b/>
          <w:color w:val="666666"/>
          <w:sz w:val="24"/>
          <w:szCs w:val="24"/>
        </w:rPr>
        <w:t>October 2025</w:t>
      </w:r>
    </w:p>
    <w:p w14:paraId="7E35CA7D" w14:textId="12633CC6" w:rsidR="00264F7C" w:rsidRDefault="00264F7C" w:rsidP="004148C9">
      <w:pPr>
        <w:pBdr>
          <w:top w:val="nil"/>
          <w:left w:val="nil"/>
          <w:bottom w:val="nil"/>
          <w:right w:val="nil"/>
          <w:between w:val="nil"/>
        </w:pBdr>
        <w:spacing w:line="240" w:lineRule="auto"/>
        <w:rPr>
          <w:b/>
          <w:u w:val="single"/>
        </w:rPr>
      </w:pPr>
    </w:p>
    <w:p w14:paraId="25F70D2F" w14:textId="083E3757" w:rsidR="00596E9C" w:rsidRPr="00596E9C" w:rsidRDefault="00596E9C" w:rsidP="00596E9C">
      <w:pPr>
        <w:spacing w:before="100" w:beforeAutospacing="1" w:after="100" w:afterAutospacing="1" w:line="240" w:lineRule="auto"/>
        <w:ind w:left="0"/>
        <w:rPr>
          <w:rFonts w:ascii="Times New Roman" w:eastAsia="Times New Roman" w:hAnsi="Times New Roman" w:cs="Times New Roman"/>
          <w:color w:val="auto"/>
          <w:sz w:val="24"/>
          <w:szCs w:val="24"/>
          <w:lang w:val="en-US"/>
        </w:rPr>
      </w:pPr>
      <w:r w:rsidRPr="00596E9C">
        <w:rPr>
          <w:rFonts w:ascii="Times New Roman" w:eastAsia="Times New Roman" w:hAnsi="Times New Roman" w:cs="Times New Roman"/>
          <w:color w:val="auto"/>
          <w:sz w:val="24"/>
          <w:szCs w:val="24"/>
          <w:lang w:val="en-US"/>
        </w:rPr>
        <w:t>The third quarter of Fiscal Year 2025 has been defined by continued resilience, steady performance, and forward progress amid ongoing uncertainty in the federal funding environment. Across Central Mississippi, member agencies have remained steadfast in advancing the CoC’s shared mission—to prevent and end homelessness through coordinated and data-informed systems.</w:t>
      </w:r>
    </w:p>
    <w:p w14:paraId="11C179F3" w14:textId="77777777" w:rsidR="00596E9C" w:rsidRPr="00596E9C" w:rsidRDefault="00596E9C" w:rsidP="00596E9C">
      <w:pPr>
        <w:spacing w:before="100" w:beforeAutospacing="1" w:after="100" w:afterAutospacing="1" w:line="240" w:lineRule="auto"/>
        <w:ind w:left="0"/>
        <w:rPr>
          <w:rFonts w:ascii="Times New Roman" w:eastAsia="Times New Roman" w:hAnsi="Times New Roman" w:cs="Times New Roman"/>
          <w:color w:val="auto"/>
          <w:sz w:val="24"/>
          <w:szCs w:val="24"/>
          <w:lang w:val="en-US"/>
        </w:rPr>
      </w:pPr>
      <w:r w:rsidRPr="00596E9C">
        <w:rPr>
          <w:rFonts w:ascii="Times New Roman" w:eastAsia="Times New Roman" w:hAnsi="Times New Roman" w:cs="Times New Roman"/>
          <w:color w:val="auto"/>
          <w:sz w:val="24"/>
          <w:szCs w:val="24"/>
          <w:lang w:val="en-US"/>
        </w:rPr>
        <w:t>Despite national fiscal pressures, the Central Mississippi CoC sustained strong program outcomes and continued to implement the strategies outlined in our Five-Year Strategic Plan. Planning funds were leveraged to support system evaluation, provider capacity building, and regional coordination with state and municipal partners.</w:t>
      </w:r>
    </w:p>
    <w:p w14:paraId="467029C2" w14:textId="77777777" w:rsidR="00596E9C" w:rsidRPr="00596E9C" w:rsidRDefault="00596E9C" w:rsidP="00596E9C">
      <w:pPr>
        <w:spacing w:before="100" w:beforeAutospacing="1" w:after="100" w:afterAutospacing="1" w:line="240" w:lineRule="auto"/>
        <w:ind w:left="0"/>
        <w:rPr>
          <w:rFonts w:ascii="Times New Roman" w:eastAsia="Times New Roman" w:hAnsi="Times New Roman" w:cs="Times New Roman"/>
          <w:b/>
          <w:bCs/>
          <w:color w:val="auto"/>
          <w:sz w:val="24"/>
          <w:szCs w:val="24"/>
          <w:lang w:val="en-US"/>
        </w:rPr>
      </w:pPr>
      <w:r w:rsidRPr="00596E9C">
        <w:rPr>
          <w:rFonts w:ascii="Times New Roman" w:eastAsia="Times New Roman" w:hAnsi="Times New Roman" w:cs="Times New Roman"/>
          <w:b/>
          <w:bCs/>
          <w:color w:val="auto"/>
          <w:sz w:val="24"/>
          <w:szCs w:val="24"/>
          <w:lang w:val="en-US"/>
        </w:rPr>
        <w:t>Key highlights for Q3 FY2025 include:</w:t>
      </w:r>
    </w:p>
    <w:p w14:paraId="57FEC015" w14:textId="77777777" w:rsidR="00596E9C" w:rsidRPr="00B8611B" w:rsidRDefault="00596E9C" w:rsidP="00B8611B">
      <w:pPr>
        <w:pStyle w:val="ListParagraph"/>
        <w:numPr>
          <w:ilvl w:val="0"/>
          <w:numId w:val="12"/>
        </w:numPr>
        <w:spacing w:before="100" w:beforeAutospacing="1" w:after="100" w:afterAutospacing="1" w:line="240" w:lineRule="auto"/>
        <w:rPr>
          <w:rFonts w:ascii="Times New Roman" w:eastAsia="Times New Roman" w:hAnsi="Times New Roman" w:cs="Times New Roman"/>
          <w:color w:val="auto"/>
          <w:sz w:val="24"/>
          <w:szCs w:val="24"/>
          <w:lang w:val="en-US"/>
        </w:rPr>
      </w:pPr>
      <w:r w:rsidRPr="00B8611B">
        <w:rPr>
          <w:rFonts w:ascii="Times New Roman" w:eastAsia="Times New Roman" w:hAnsi="Times New Roman" w:cs="Times New Roman"/>
          <w:color w:val="auto"/>
          <w:sz w:val="24"/>
          <w:szCs w:val="24"/>
          <w:lang w:val="en-US"/>
        </w:rPr>
        <w:t>4% overall reduction in homelessness since Q2, driven by expanded housing placements and prevention interventions.</w:t>
      </w:r>
    </w:p>
    <w:p w14:paraId="631BBFD7" w14:textId="786B81A6" w:rsidR="00596E9C" w:rsidRPr="00B8611B" w:rsidRDefault="00596E9C" w:rsidP="00B8611B">
      <w:pPr>
        <w:pStyle w:val="ListParagraph"/>
        <w:numPr>
          <w:ilvl w:val="0"/>
          <w:numId w:val="12"/>
        </w:numPr>
        <w:spacing w:before="100" w:beforeAutospacing="1" w:after="100" w:afterAutospacing="1" w:line="240" w:lineRule="auto"/>
        <w:rPr>
          <w:rFonts w:ascii="Times New Roman" w:eastAsia="Times New Roman" w:hAnsi="Times New Roman" w:cs="Times New Roman"/>
          <w:color w:val="auto"/>
          <w:sz w:val="24"/>
          <w:szCs w:val="24"/>
          <w:lang w:val="en-US"/>
        </w:rPr>
      </w:pPr>
      <w:r w:rsidRPr="00B8611B">
        <w:rPr>
          <w:rFonts w:ascii="Times New Roman" w:eastAsia="Times New Roman" w:hAnsi="Times New Roman" w:cs="Times New Roman"/>
          <w:color w:val="auto"/>
          <w:sz w:val="24"/>
          <w:szCs w:val="24"/>
          <w:lang w:val="en-US"/>
        </w:rPr>
        <w:t xml:space="preserve">92% </w:t>
      </w:r>
      <w:r w:rsidR="00B8611B" w:rsidRPr="00B8611B">
        <w:rPr>
          <w:rFonts w:ascii="Times New Roman" w:eastAsia="Times New Roman" w:hAnsi="Times New Roman" w:cs="Times New Roman"/>
          <w:color w:val="auto"/>
          <w:sz w:val="24"/>
          <w:szCs w:val="24"/>
          <w:lang w:val="en-US"/>
        </w:rPr>
        <w:t>of the housing</w:t>
      </w:r>
      <w:r w:rsidRPr="00B8611B">
        <w:rPr>
          <w:rFonts w:ascii="Times New Roman" w:eastAsia="Times New Roman" w:hAnsi="Times New Roman" w:cs="Times New Roman"/>
          <w:color w:val="auto"/>
          <w:sz w:val="24"/>
          <w:szCs w:val="24"/>
          <w:lang w:val="en-US"/>
        </w:rPr>
        <w:t xml:space="preserve"> retention rate among CoC-funded permanent supportive housing (PSH) programs.</w:t>
      </w:r>
    </w:p>
    <w:p w14:paraId="3A9B8F9F" w14:textId="77777777" w:rsidR="00596E9C" w:rsidRPr="00B8611B" w:rsidRDefault="00596E9C" w:rsidP="00B8611B">
      <w:pPr>
        <w:pStyle w:val="ListParagraph"/>
        <w:numPr>
          <w:ilvl w:val="0"/>
          <w:numId w:val="12"/>
        </w:numPr>
        <w:spacing w:before="100" w:beforeAutospacing="1" w:after="100" w:afterAutospacing="1" w:line="240" w:lineRule="auto"/>
        <w:rPr>
          <w:rFonts w:ascii="Times New Roman" w:eastAsia="Times New Roman" w:hAnsi="Times New Roman" w:cs="Times New Roman"/>
          <w:color w:val="auto"/>
          <w:sz w:val="24"/>
          <w:szCs w:val="24"/>
          <w:lang w:val="en-US"/>
        </w:rPr>
      </w:pPr>
      <w:r w:rsidRPr="00B8611B">
        <w:rPr>
          <w:rFonts w:ascii="Times New Roman" w:eastAsia="Times New Roman" w:hAnsi="Times New Roman" w:cs="Times New Roman"/>
          <w:color w:val="auto"/>
          <w:sz w:val="24"/>
          <w:szCs w:val="24"/>
          <w:lang w:val="en-US"/>
        </w:rPr>
        <w:t>15% increase in coordinated entry referrals to rapid rehousing and PSH combined.</w:t>
      </w:r>
    </w:p>
    <w:p w14:paraId="7CE18B8B" w14:textId="77777777" w:rsidR="00596E9C" w:rsidRPr="00B8611B" w:rsidRDefault="00596E9C" w:rsidP="00B8611B">
      <w:pPr>
        <w:pStyle w:val="ListParagraph"/>
        <w:numPr>
          <w:ilvl w:val="0"/>
          <w:numId w:val="12"/>
        </w:numPr>
        <w:spacing w:before="100" w:beforeAutospacing="1" w:after="100" w:afterAutospacing="1" w:line="240" w:lineRule="auto"/>
        <w:rPr>
          <w:rFonts w:ascii="Times New Roman" w:eastAsia="Times New Roman" w:hAnsi="Times New Roman" w:cs="Times New Roman"/>
          <w:color w:val="auto"/>
          <w:sz w:val="24"/>
          <w:szCs w:val="24"/>
          <w:lang w:val="en-US"/>
        </w:rPr>
      </w:pPr>
      <w:r w:rsidRPr="00B8611B">
        <w:rPr>
          <w:rFonts w:ascii="Times New Roman" w:eastAsia="Times New Roman" w:hAnsi="Times New Roman" w:cs="Times New Roman"/>
          <w:color w:val="auto"/>
          <w:sz w:val="24"/>
          <w:szCs w:val="24"/>
          <w:lang w:val="en-US"/>
        </w:rPr>
        <w:t>Strengthened partnerships with Mississippi Home Corporation, City of Jackson, and faith-based organizations to align efforts with state housing initiatives.</w:t>
      </w:r>
    </w:p>
    <w:p w14:paraId="73B349F4" w14:textId="4A52B6B3" w:rsidR="00596E9C" w:rsidRPr="00596E9C" w:rsidRDefault="00596E9C" w:rsidP="00596E9C">
      <w:pPr>
        <w:numPr>
          <w:ilvl w:val="0"/>
          <w:numId w:val="3"/>
        </w:numPr>
        <w:spacing w:before="100" w:beforeAutospacing="1" w:after="100" w:afterAutospacing="1" w:line="240" w:lineRule="auto"/>
        <w:rPr>
          <w:rFonts w:ascii="Times New Roman" w:eastAsia="Times New Roman" w:hAnsi="Times New Roman" w:cs="Times New Roman"/>
          <w:color w:val="auto"/>
          <w:sz w:val="24"/>
          <w:szCs w:val="24"/>
          <w:lang w:val="en-US"/>
        </w:rPr>
      </w:pPr>
      <w:r w:rsidRPr="00596E9C">
        <w:rPr>
          <w:rFonts w:ascii="Times New Roman" w:eastAsia="Times New Roman" w:hAnsi="Times New Roman" w:cs="Times New Roman"/>
          <w:color w:val="auto"/>
          <w:sz w:val="24"/>
          <w:szCs w:val="24"/>
          <w:lang w:val="en-US"/>
        </w:rPr>
        <w:t>Initiation of FY202</w:t>
      </w:r>
      <w:r w:rsidR="0084261C" w:rsidRPr="0084261C">
        <w:rPr>
          <w:rFonts w:ascii="Times New Roman" w:eastAsia="Times New Roman" w:hAnsi="Times New Roman" w:cs="Times New Roman"/>
          <w:color w:val="auto"/>
          <w:sz w:val="24"/>
          <w:szCs w:val="24"/>
          <w:lang w:val="en-US"/>
        </w:rPr>
        <w:t>6</w:t>
      </w:r>
      <w:r w:rsidRPr="00596E9C">
        <w:rPr>
          <w:rFonts w:ascii="Times New Roman" w:eastAsia="Times New Roman" w:hAnsi="Times New Roman" w:cs="Times New Roman"/>
          <w:color w:val="auto"/>
          <w:sz w:val="24"/>
          <w:szCs w:val="24"/>
          <w:lang w:val="en-US"/>
        </w:rPr>
        <w:t xml:space="preserve"> Point-in-Time (PIT) Count planning, with volunteer recruitment and venue confirmation completed.</w:t>
      </w:r>
    </w:p>
    <w:p w14:paraId="40291C96" w14:textId="77777777" w:rsidR="00596E9C" w:rsidRPr="00596E9C" w:rsidRDefault="00596E9C" w:rsidP="00596E9C">
      <w:pPr>
        <w:numPr>
          <w:ilvl w:val="0"/>
          <w:numId w:val="3"/>
        </w:numPr>
        <w:spacing w:before="100" w:beforeAutospacing="1" w:after="100" w:afterAutospacing="1" w:line="240" w:lineRule="auto"/>
        <w:rPr>
          <w:rFonts w:ascii="Times New Roman" w:eastAsia="Times New Roman" w:hAnsi="Times New Roman" w:cs="Times New Roman"/>
          <w:color w:val="auto"/>
          <w:sz w:val="24"/>
          <w:szCs w:val="24"/>
          <w:lang w:val="en-US"/>
        </w:rPr>
      </w:pPr>
      <w:r w:rsidRPr="00596E9C">
        <w:rPr>
          <w:rFonts w:ascii="Times New Roman" w:eastAsia="Times New Roman" w:hAnsi="Times New Roman" w:cs="Times New Roman"/>
          <w:color w:val="auto"/>
          <w:sz w:val="24"/>
          <w:szCs w:val="24"/>
          <w:lang w:val="en-US"/>
        </w:rPr>
        <w:t>Ongoing work to diversify funding and explore partnerships with healthcare and philanthropic sectors.</w:t>
      </w:r>
    </w:p>
    <w:p w14:paraId="043A8595" w14:textId="77777777" w:rsidR="00596E9C" w:rsidRPr="00596E9C" w:rsidRDefault="00596E9C" w:rsidP="00596E9C">
      <w:pPr>
        <w:spacing w:before="100" w:beforeAutospacing="1" w:after="100" w:afterAutospacing="1" w:line="240" w:lineRule="auto"/>
        <w:ind w:left="0"/>
        <w:rPr>
          <w:rFonts w:ascii="Times New Roman" w:eastAsia="Times New Roman" w:hAnsi="Times New Roman" w:cs="Times New Roman"/>
          <w:color w:val="auto"/>
          <w:sz w:val="24"/>
          <w:szCs w:val="24"/>
          <w:lang w:val="en-US"/>
        </w:rPr>
      </w:pPr>
      <w:r w:rsidRPr="00596E9C">
        <w:rPr>
          <w:rFonts w:ascii="Times New Roman" w:eastAsia="Times New Roman" w:hAnsi="Times New Roman" w:cs="Times New Roman"/>
          <w:color w:val="auto"/>
          <w:sz w:val="24"/>
          <w:szCs w:val="24"/>
          <w:lang w:val="en-US"/>
        </w:rPr>
        <w:t>This quarter reaffirmed that the CoC’s collective capacity—rooted in data, collaboration, and shared accountability—is the foundation for progress, even as external funding challenges persist.</w:t>
      </w:r>
    </w:p>
    <w:p w14:paraId="48811374" w14:textId="77777777" w:rsidR="00596E9C" w:rsidRPr="00596E9C" w:rsidRDefault="00596E9C" w:rsidP="00596E9C">
      <w:pPr>
        <w:spacing w:before="100" w:beforeAutospacing="1" w:after="100" w:afterAutospacing="1" w:line="240" w:lineRule="auto"/>
        <w:ind w:left="0"/>
        <w:rPr>
          <w:rFonts w:ascii="Times New Roman" w:eastAsia="Times New Roman" w:hAnsi="Times New Roman" w:cs="Times New Roman"/>
          <w:color w:val="auto"/>
          <w:sz w:val="24"/>
          <w:szCs w:val="24"/>
          <w:lang w:val="en-US"/>
        </w:rPr>
      </w:pPr>
      <w:r w:rsidRPr="00596E9C">
        <w:rPr>
          <w:rFonts w:ascii="Times New Roman" w:eastAsia="Times New Roman" w:hAnsi="Times New Roman" w:cs="Times New Roman"/>
          <w:color w:val="auto"/>
          <w:sz w:val="24"/>
          <w:szCs w:val="24"/>
          <w:lang w:val="en-US"/>
        </w:rPr>
        <w:t>The national HUD landscape continues to be shaped by delayed federal appropriations and uncertainty surrounding FY2025 CoC Program funding levels. Continuing resolutions in Congress have extended temporary budgets, creating challenges for CoCs to forecast renewal awards and project start dates.</w:t>
      </w:r>
    </w:p>
    <w:p w14:paraId="1AD42AED" w14:textId="77777777" w:rsidR="00596E9C" w:rsidRPr="00596E9C" w:rsidRDefault="00596E9C" w:rsidP="00596E9C">
      <w:pPr>
        <w:spacing w:before="100" w:beforeAutospacing="1" w:after="100" w:afterAutospacing="1" w:line="240" w:lineRule="auto"/>
        <w:ind w:left="0"/>
        <w:rPr>
          <w:rFonts w:ascii="Times New Roman" w:eastAsia="Times New Roman" w:hAnsi="Times New Roman" w:cs="Times New Roman"/>
          <w:color w:val="auto"/>
          <w:sz w:val="24"/>
          <w:szCs w:val="24"/>
          <w:lang w:val="en-US"/>
        </w:rPr>
      </w:pPr>
      <w:r w:rsidRPr="00596E9C">
        <w:rPr>
          <w:rFonts w:ascii="Times New Roman" w:eastAsia="Times New Roman" w:hAnsi="Times New Roman" w:cs="Times New Roman"/>
          <w:color w:val="auto"/>
          <w:sz w:val="24"/>
          <w:szCs w:val="24"/>
          <w:lang w:val="en-US"/>
        </w:rPr>
        <w:t>While HUD remains committed to the Continuum of Care Program, potential reallocations and competitive scoring shifts mean local performance metrics carry greater weight than ever. The Central Mississippi CoC has positioned itself well through consistent data quality, compliance readiness, and demonstrated community coordination.</w:t>
      </w:r>
    </w:p>
    <w:p w14:paraId="4DF4F321" w14:textId="77777777" w:rsidR="00596E9C" w:rsidRPr="00596E9C" w:rsidRDefault="00596E9C" w:rsidP="00596E9C">
      <w:pPr>
        <w:spacing w:before="100" w:beforeAutospacing="1" w:after="100" w:afterAutospacing="1" w:line="240" w:lineRule="auto"/>
        <w:ind w:left="0"/>
        <w:rPr>
          <w:rFonts w:ascii="Times New Roman" w:eastAsia="Times New Roman" w:hAnsi="Times New Roman" w:cs="Times New Roman"/>
          <w:color w:val="auto"/>
          <w:sz w:val="24"/>
          <w:szCs w:val="24"/>
          <w:lang w:val="en-US"/>
        </w:rPr>
      </w:pPr>
      <w:r w:rsidRPr="00596E9C">
        <w:rPr>
          <w:rFonts w:ascii="Times New Roman" w:eastAsia="Times New Roman" w:hAnsi="Times New Roman" w:cs="Times New Roman"/>
          <w:color w:val="auto"/>
          <w:sz w:val="24"/>
          <w:szCs w:val="24"/>
          <w:lang w:val="en-US"/>
        </w:rPr>
        <w:lastRenderedPageBreak/>
        <w:t>While funding decisions remain pending, early communications from HUD Regional Leadership indicate continued support for CoCs demonstrating measurable outcomes, fiscal accountability, and system-level coordination—all of which the Central Mississippi CoC has strengthened this year.</w:t>
      </w:r>
    </w:p>
    <w:p w14:paraId="2B710FB7" w14:textId="77777777" w:rsidR="00596E9C" w:rsidRPr="00596E9C" w:rsidRDefault="00596E9C" w:rsidP="00596E9C">
      <w:pPr>
        <w:spacing w:before="100" w:beforeAutospacing="1" w:after="100" w:afterAutospacing="1" w:line="240" w:lineRule="auto"/>
        <w:ind w:left="0"/>
        <w:rPr>
          <w:rFonts w:ascii="Times New Roman" w:eastAsia="Times New Roman" w:hAnsi="Times New Roman" w:cs="Times New Roman"/>
          <w:color w:val="auto"/>
          <w:sz w:val="24"/>
          <w:szCs w:val="24"/>
          <w:lang w:val="en-US"/>
        </w:rPr>
      </w:pPr>
      <w:r w:rsidRPr="00596E9C">
        <w:rPr>
          <w:rFonts w:ascii="Times New Roman" w:eastAsia="Times New Roman" w:hAnsi="Times New Roman" w:cs="Times New Roman"/>
          <w:color w:val="auto"/>
          <w:sz w:val="24"/>
          <w:szCs w:val="24"/>
          <w:lang w:val="en-US"/>
        </w:rPr>
        <w:t>Between July and September 2025, the CoC reported a 4% decrease in overall homelessness compared to the previous quarter, continuing a downward trend that began in late FY2024. Unsheltered homelessness decreased by 6%, largely due to enhanced outreach and diversion efforts.</w:t>
      </w:r>
    </w:p>
    <w:p w14:paraId="2B74B580" w14:textId="77777777" w:rsidR="00596E9C" w:rsidRPr="00596E9C" w:rsidRDefault="00596E9C" w:rsidP="00596E9C">
      <w:pPr>
        <w:spacing w:before="100" w:beforeAutospacing="1" w:after="100" w:afterAutospacing="1" w:line="240" w:lineRule="auto"/>
        <w:ind w:left="0"/>
        <w:rPr>
          <w:rFonts w:ascii="Times New Roman" w:eastAsia="Times New Roman" w:hAnsi="Times New Roman" w:cs="Times New Roman"/>
          <w:b/>
          <w:bCs/>
          <w:color w:val="auto"/>
          <w:sz w:val="24"/>
          <w:szCs w:val="24"/>
          <w:lang w:val="en-US"/>
        </w:rPr>
      </w:pPr>
      <w:r w:rsidRPr="00596E9C">
        <w:rPr>
          <w:rFonts w:ascii="Times New Roman" w:eastAsia="Times New Roman" w:hAnsi="Times New Roman" w:cs="Times New Roman"/>
          <w:b/>
          <w:bCs/>
          <w:color w:val="auto"/>
          <w:sz w:val="24"/>
          <w:szCs w:val="24"/>
          <w:lang w:val="en-US"/>
        </w:rPr>
        <w:t>System performance metrics for Q3 FY2025:</w:t>
      </w:r>
    </w:p>
    <w:p w14:paraId="3763B70F" w14:textId="77777777" w:rsidR="00596E9C" w:rsidRPr="00596E9C" w:rsidRDefault="00596E9C" w:rsidP="00596E9C">
      <w:pPr>
        <w:numPr>
          <w:ilvl w:val="0"/>
          <w:numId w:val="5"/>
        </w:numPr>
        <w:spacing w:before="100" w:beforeAutospacing="1" w:after="100" w:afterAutospacing="1" w:line="240" w:lineRule="auto"/>
        <w:rPr>
          <w:rFonts w:ascii="Times New Roman" w:eastAsia="Times New Roman" w:hAnsi="Times New Roman" w:cs="Times New Roman"/>
          <w:color w:val="auto"/>
          <w:sz w:val="24"/>
          <w:szCs w:val="24"/>
          <w:lang w:val="en-US"/>
        </w:rPr>
      </w:pPr>
      <w:r w:rsidRPr="00596E9C">
        <w:rPr>
          <w:rFonts w:ascii="Times New Roman" w:eastAsia="Times New Roman" w:hAnsi="Times New Roman" w:cs="Times New Roman"/>
          <w:color w:val="auto"/>
          <w:sz w:val="24"/>
          <w:szCs w:val="24"/>
          <w:lang w:val="en-US"/>
        </w:rPr>
        <w:t>Housing Placements: 138 individuals and families moved into permanent housing (up 12% from Q2).</w:t>
      </w:r>
    </w:p>
    <w:p w14:paraId="07727FD6" w14:textId="6ADC58C7" w:rsidR="00596E9C" w:rsidRPr="00596E9C" w:rsidRDefault="00596E9C" w:rsidP="00596E9C">
      <w:pPr>
        <w:numPr>
          <w:ilvl w:val="0"/>
          <w:numId w:val="5"/>
        </w:numPr>
        <w:spacing w:before="100" w:beforeAutospacing="1" w:after="100" w:afterAutospacing="1" w:line="240" w:lineRule="auto"/>
        <w:rPr>
          <w:rFonts w:ascii="Times New Roman" w:eastAsia="Times New Roman" w:hAnsi="Times New Roman" w:cs="Times New Roman"/>
          <w:color w:val="auto"/>
          <w:sz w:val="24"/>
          <w:szCs w:val="24"/>
          <w:lang w:val="en-US"/>
        </w:rPr>
      </w:pPr>
      <w:r w:rsidRPr="00596E9C">
        <w:rPr>
          <w:rFonts w:ascii="Times New Roman" w:eastAsia="Times New Roman" w:hAnsi="Times New Roman" w:cs="Times New Roman"/>
          <w:color w:val="auto"/>
          <w:sz w:val="24"/>
          <w:szCs w:val="24"/>
          <w:lang w:val="en-US"/>
        </w:rPr>
        <w:t xml:space="preserve">Rapid Rehousing Outcomes: 82% of participants </w:t>
      </w:r>
      <w:r w:rsidRPr="00596E9C">
        <w:rPr>
          <w:rFonts w:ascii="Times New Roman" w:eastAsia="Times New Roman" w:hAnsi="Times New Roman" w:cs="Times New Roman"/>
          <w:color w:val="auto"/>
          <w:sz w:val="24"/>
          <w:szCs w:val="24"/>
          <w:lang w:val="en-US"/>
        </w:rPr>
        <w:t>exited</w:t>
      </w:r>
      <w:r w:rsidRPr="00596E9C">
        <w:rPr>
          <w:rFonts w:ascii="Times New Roman" w:eastAsia="Times New Roman" w:hAnsi="Times New Roman" w:cs="Times New Roman"/>
          <w:color w:val="auto"/>
          <w:sz w:val="24"/>
          <w:szCs w:val="24"/>
          <w:lang w:val="en-US"/>
        </w:rPr>
        <w:t xml:space="preserve"> permanent destinations.</w:t>
      </w:r>
    </w:p>
    <w:p w14:paraId="4E9EEFDC" w14:textId="0C04F33D" w:rsidR="00596E9C" w:rsidRPr="00596E9C" w:rsidRDefault="00596E9C" w:rsidP="00596E9C">
      <w:pPr>
        <w:numPr>
          <w:ilvl w:val="0"/>
          <w:numId w:val="5"/>
        </w:numPr>
        <w:spacing w:before="100" w:beforeAutospacing="1" w:after="100" w:afterAutospacing="1" w:line="240" w:lineRule="auto"/>
        <w:rPr>
          <w:rFonts w:ascii="Times New Roman" w:eastAsia="Times New Roman" w:hAnsi="Times New Roman" w:cs="Times New Roman"/>
          <w:color w:val="auto"/>
          <w:sz w:val="24"/>
          <w:szCs w:val="24"/>
          <w:lang w:val="en-US"/>
        </w:rPr>
      </w:pPr>
      <w:r w:rsidRPr="00596E9C">
        <w:rPr>
          <w:rFonts w:ascii="Times New Roman" w:eastAsia="Times New Roman" w:hAnsi="Times New Roman" w:cs="Times New Roman"/>
          <w:color w:val="auto"/>
          <w:sz w:val="24"/>
          <w:szCs w:val="24"/>
          <w:lang w:val="en-US"/>
        </w:rPr>
        <w:t xml:space="preserve">PSH Retention: 92% of </w:t>
      </w:r>
      <w:r w:rsidRPr="00596E9C">
        <w:rPr>
          <w:rFonts w:ascii="Times New Roman" w:eastAsia="Times New Roman" w:hAnsi="Times New Roman" w:cs="Times New Roman"/>
          <w:color w:val="auto"/>
          <w:sz w:val="24"/>
          <w:szCs w:val="24"/>
          <w:lang w:val="en-US"/>
        </w:rPr>
        <w:t>households-maintained</w:t>
      </w:r>
      <w:r w:rsidRPr="00596E9C">
        <w:rPr>
          <w:rFonts w:ascii="Times New Roman" w:eastAsia="Times New Roman" w:hAnsi="Times New Roman" w:cs="Times New Roman"/>
          <w:color w:val="auto"/>
          <w:sz w:val="24"/>
          <w:szCs w:val="24"/>
          <w:lang w:val="en-US"/>
        </w:rPr>
        <w:t xml:space="preserve"> housing for six months or longer.</w:t>
      </w:r>
    </w:p>
    <w:p w14:paraId="4264B0D3" w14:textId="77777777" w:rsidR="00596E9C" w:rsidRPr="00596E9C" w:rsidRDefault="00596E9C" w:rsidP="00596E9C">
      <w:pPr>
        <w:numPr>
          <w:ilvl w:val="0"/>
          <w:numId w:val="5"/>
        </w:numPr>
        <w:spacing w:before="100" w:beforeAutospacing="1" w:after="100" w:afterAutospacing="1" w:line="240" w:lineRule="auto"/>
        <w:rPr>
          <w:rFonts w:ascii="Times New Roman" w:eastAsia="Times New Roman" w:hAnsi="Times New Roman" w:cs="Times New Roman"/>
          <w:color w:val="auto"/>
          <w:sz w:val="24"/>
          <w:szCs w:val="24"/>
          <w:lang w:val="en-US"/>
        </w:rPr>
      </w:pPr>
      <w:r w:rsidRPr="00596E9C">
        <w:rPr>
          <w:rFonts w:ascii="Times New Roman" w:eastAsia="Times New Roman" w:hAnsi="Times New Roman" w:cs="Times New Roman"/>
          <w:color w:val="auto"/>
          <w:sz w:val="24"/>
          <w:szCs w:val="24"/>
          <w:lang w:val="en-US"/>
        </w:rPr>
        <w:t>Returns to Homelessness: Down 7% compared to Q3 FY2024.</w:t>
      </w:r>
    </w:p>
    <w:p w14:paraId="2BE069B1" w14:textId="77777777" w:rsidR="00596E9C" w:rsidRPr="00596E9C" w:rsidRDefault="00596E9C" w:rsidP="00596E9C">
      <w:pPr>
        <w:numPr>
          <w:ilvl w:val="0"/>
          <w:numId w:val="5"/>
        </w:numPr>
        <w:spacing w:before="100" w:beforeAutospacing="1" w:after="100" w:afterAutospacing="1" w:line="240" w:lineRule="auto"/>
        <w:rPr>
          <w:rFonts w:ascii="Times New Roman" w:eastAsia="Times New Roman" w:hAnsi="Times New Roman" w:cs="Times New Roman"/>
          <w:color w:val="auto"/>
          <w:sz w:val="24"/>
          <w:szCs w:val="24"/>
          <w:lang w:val="en-US"/>
        </w:rPr>
      </w:pPr>
      <w:r w:rsidRPr="00596E9C">
        <w:rPr>
          <w:rFonts w:ascii="Times New Roman" w:eastAsia="Times New Roman" w:hAnsi="Times New Roman" w:cs="Times New Roman"/>
          <w:color w:val="auto"/>
          <w:sz w:val="24"/>
          <w:szCs w:val="24"/>
          <w:lang w:val="en-US"/>
        </w:rPr>
        <w:t>Average CES Referral Time: Reduced from 19 to 14 days—a 26% improvement.</w:t>
      </w:r>
    </w:p>
    <w:p w14:paraId="5B437960" w14:textId="77777777" w:rsidR="00596E9C" w:rsidRPr="00596E9C" w:rsidRDefault="00596E9C" w:rsidP="00596E9C">
      <w:pPr>
        <w:spacing w:before="100" w:beforeAutospacing="1" w:after="100" w:afterAutospacing="1" w:line="240" w:lineRule="auto"/>
        <w:ind w:left="0"/>
        <w:rPr>
          <w:rFonts w:ascii="Times New Roman" w:eastAsia="Times New Roman" w:hAnsi="Times New Roman" w:cs="Times New Roman"/>
          <w:color w:val="auto"/>
          <w:sz w:val="24"/>
          <w:szCs w:val="24"/>
          <w:lang w:val="en-US"/>
        </w:rPr>
      </w:pPr>
      <w:r w:rsidRPr="00596E9C">
        <w:rPr>
          <w:rFonts w:ascii="Times New Roman" w:eastAsia="Times New Roman" w:hAnsi="Times New Roman" w:cs="Times New Roman"/>
          <w:color w:val="auto"/>
          <w:sz w:val="24"/>
          <w:szCs w:val="24"/>
          <w:lang w:val="en-US"/>
        </w:rPr>
        <w:t>These outcomes reflect a maturing system with stronger coordination, data-driven decision-making, and alignment among service providers.</w:t>
      </w:r>
    </w:p>
    <w:p w14:paraId="3FD0B94E" w14:textId="7AF9B4D1" w:rsidR="00596E9C" w:rsidRPr="00596E9C" w:rsidRDefault="00596E9C" w:rsidP="00596E9C">
      <w:pPr>
        <w:spacing w:before="100" w:beforeAutospacing="1" w:after="100" w:afterAutospacing="1" w:line="240" w:lineRule="auto"/>
        <w:ind w:left="0"/>
        <w:rPr>
          <w:rFonts w:ascii="Times New Roman" w:eastAsia="Times New Roman" w:hAnsi="Times New Roman" w:cs="Times New Roman"/>
          <w:color w:val="auto"/>
          <w:sz w:val="24"/>
          <w:szCs w:val="24"/>
          <w:lang w:val="en-US"/>
        </w:rPr>
      </w:pPr>
      <w:r w:rsidRPr="00596E9C">
        <w:rPr>
          <w:rFonts w:ascii="Times New Roman" w:eastAsia="Times New Roman" w:hAnsi="Times New Roman" w:cs="Times New Roman"/>
          <w:color w:val="auto"/>
          <w:sz w:val="24"/>
          <w:szCs w:val="24"/>
          <w:lang w:val="en-US"/>
        </w:rPr>
        <w:t xml:space="preserve">The CoC’s </w:t>
      </w:r>
      <w:r w:rsidRPr="00596E9C">
        <w:rPr>
          <w:rFonts w:ascii="Times New Roman" w:eastAsia="Times New Roman" w:hAnsi="Times New Roman" w:cs="Times New Roman"/>
          <w:b/>
          <w:bCs/>
          <w:color w:val="auto"/>
          <w:sz w:val="24"/>
          <w:szCs w:val="24"/>
          <w:lang w:val="en-US"/>
        </w:rPr>
        <w:t>Coordinated Entry System (CES)</w:t>
      </w:r>
      <w:r w:rsidRPr="00596E9C">
        <w:rPr>
          <w:rFonts w:ascii="Times New Roman" w:eastAsia="Times New Roman" w:hAnsi="Times New Roman" w:cs="Times New Roman"/>
          <w:color w:val="auto"/>
          <w:sz w:val="24"/>
          <w:szCs w:val="24"/>
          <w:lang w:val="en-US"/>
        </w:rPr>
        <w:t xml:space="preserve"> continued to demonstrate efficiency gains and improved client flow. Updated assessment tools and prioritization protocols, implemented in partnership with the CES Workgroup, allowed more accurate identification of high-need clients and </w:t>
      </w:r>
      <w:r w:rsidR="0084261C">
        <w:rPr>
          <w:rFonts w:ascii="Times New Roman" w:eastAsia="Times New Roman" w:hAnsi="Times New Roman" w:cs="Times New Roman"/>
          <w:color w:val="auto"/>
          <w:sz w:val="24"/>
          <w:szCs w:val="24"/>
          <w:lang w:val="en-US"/>
        </w:rPr>
        <w:t>fair</w:t>
      </w:r>
      <w:r w:rsidRPr="00596E9C">
        <w:rPr>
          <w:rFonts w:ascii="Times New Roman" w:eastAsia="Times New Roman" w:hAnsi="Times New Roman" w:cs="Times New Roman"/>
          <w:color w:val="auto"/>
          <w:sz w:val="24"/>
          <w:szCs w:val="24"/>
          <w:lang w:val="en-US"/>
        </w:rPr>
        <w:t xml:space="preserve"> distribution of housing resources.</w:t>
      </w:r>
    </w:p>
    <w:p w14:paraId="4561C578" w14:textId="21658A42" w:rsidR="00596E9C" w:rsidRPr="00596E9C" w:rsidRDefault="00596E9C" w:rsidP="00596E9C">
      <w:pPr>
        <w:spacing w:before="100" w:beforeAutospacing="1" w:after="100" w:afterAutospacing="1" w:line="240" w:lineRule="auto"/>
        <w:ind w:left="0"/>
        <w:rPr>
          <w:rFonts w:ascii="Times New Roman" w:eastAsia="Times New Roman" w:hAnsi="Times New Roman" w:cs="Times New Roman"/>
          <w:color w:val="auto"/>
          <w:sz w:val="24"/>
          <w:szCs w:val="24"/>
          <w:lang w:val="en-US"/>
        </w:rPr>
      </w:pPr>
      <w:r w:rsidRPr="00596E9C">
        <w:rPr>
          <w:rFonts w:ascii="Times New Roman" w:eastAsia="Times New Roman" w:hAnsi="Times New Roman" w:cs="Times New Roman"/>
          <w:color w:val="auto"/>
          <w:sz w:val="24"/>
          <w:szCs w:val="24"/>
          <w:lang w:val="en-US"/>
        </w:rPr>
        <w:t xml:space="preserve">The </w:t>
      </w:r>
      <w:r w:rsidRPr="00596E9C">
        <w:rPr>
          <w:rFonts w:ascii="Times New Roman" w:eastAsia="Times New Roman" w:hAnsi="Times New Roman" w:cs="Times New Roman"/>
          <w:b/>
          <w:bCs/>
          <w:color w:val="auto"/>
          <w:sz w:val="24"/>
          <w:szCs w:val="24"/>
          <w:lang w:val="en-US"/>
        </w:rPr>
        <w:t>Homeless Management Information System (HMIS)</w:t>
      </w:r>
      <w:r w:rsidRPr="00596E9C">
        <w:rPr>
          <w:rFonts w:ascii="Times New Roman" w:eastAsia="Times New Roman" w:hAnsi="Times New Roman" w:cs="Times New Roman"/>
          <w:color w:val="auto"/>
          <w:sz w:val="24"/>
          <w:szCs w:val="24"/>
          <w:lang w:val="en-US"/>
        </w:rPr>
        <w:t xml:space="preserve"> achieved 97% data completeness for Universal Data Elements (UDEs)</w:t>
      </w:r>
      <w:r w:rsidR="00B8611B">
        <w:rPr>
          <w:rFonts w:ascii="Times New Roman" w:eastAsia="Times New Roman" w:hAnsi="Times New Roman" w:cs="Times New Roman"/>
          <w:color w:val="auto"/>
          <w:sz w:val="24"/>
          <w:szCs w:val="24"/>
          <w:lang w:val="en-US"/>
        </w:rPr>
        <w:t>.</w:t>
      </w:r>
    </w:p>
    <w:p w14:paraId="52E16828" w14:textId="1D5D61D1" w:rsidR="00596E9C" w:rsidRPr="00596E9C" w:rsidRDefault="00596E9C" w:rsidP="00596E9C">
      <w:pPr>
        <w:spacing w:before="100" w:beforeAutospacing="1" w:after="100" w:afterAutospacing="1" w:line="240" w:lineRule="auto"/>
        <w:ind w:left="0"/>
        <w:rPr>
          <w:rFonts w:ascii="Times New Roman" w:eastAsia="Times New Roman" w:hAnsi="Times New Roman" w:cs="Times New Roman"/>
          <w:color w:val="auto"/>
          <w:sz w:val="24"/>
          <w:szCs w:val="24"/>
          <w:lang w:val="en-US"/>
        </w:rPr>
      </w:pPr>
      <w:r w:rsidRPr="00596E9C">
        <w:rPr>
          <w:rFonts w:ascii="Times New Roman" w:eastAsia="Times New Roman" w:hAnsi="Times New Roman" w:cs="Times New Roman"/>
          <w:color w:val="auto"/>
          <w:sz w:val="24"/>
          <w:szCs w:val="24"/>
          <w:lang w:val="en-US"/>
        </w:rPr>
        <w:t xml:space="preserve">The CoC’s Data and </w:t>
      </w:r>
      <w:r w:rsidR="00B8611B" w:rsidRPr="00B8611B">
        <w:rPr>
          <w:rFonts w:ascii="Times New Roman" w:eastAsia="Times New Roman" w:hAnsi="Times New Roman" w:cs="Times New Roman"/>
          <w:color w:val="auto"/>
          <w:sz w:val="24"/>
          <w:szCs w:val="24"/>
          <w:lang w:val="en-US"/>
        </w:rPr>
        <w:t>HMIS t</w:t>
      </w:r>
      <w:r w:rsidRPr="00596E9C">
        <w:rPr>
          <w:rFonts w:ascii="Times New Roman" w:eastAsia="Times New Roman" w:hAnsi="Times New Roman" w:cs="Times New Roman"/>
          <w:color w:val="auto"/>
          <w:sz w:val="24"/>
          <w:szCs w:val="24"/>
          <w:lang w:val="en-US"/>
        </w:rPr>
        <w:t>eam conducted targeted training for agencies with data entry errors or performance gaps, resulting in measurable improvement across the system.</w:t>
      </w:r>
    </w:p>
    <w:p w14:paraId="66D4B98E" w14:textId="3DDEB81A" w:rsidR="00596E9C" w:rsidRPr="00596E9C" w:rsidRDefault="00596E9C" w:rsidP="00596E9C">
      <w:pPr>
        <w:spacing w:before="100" w:beforeAutospacing="1" w:after="100" w:afterAutospacing="1" w:line="240" w:lineRule="auto"/>
        <w:ind w:left="0"/>
        <w:rPr>
          <w:rFonts w:ascii="Times New Roman" w:eastAsia="Times New Roman" w:hAnsi="Times New Roman" w:cs="Times New Roman"/>
          <w:color w:val="auto"/>
          <w:sz w:val="24"/>
          <w:szCs w:val="24"/>
          <w:lang w:val="en-US"/>
        </w:rPr>
      </w:pPr>
      <w:r w:rsidRPr="00596E9C">
        <w:rPr>
          <w:rFonts w:ascii="Times New Roman" w:eastAsia="Times New Roman" w:hAnsi="Times New Roman" w:cs="Times New Roman"/>
          <w:color w:val="auto"/>
          <w:sz w:val="24"/>
          <w:szCs w:val="24"/>
          <w:lang w:val="en-US"/>
        </w:rPr>
        <w:t xml:space="preserve">Recognizing ongoing uncertainty in federal funding, the CoC continued implementation of its Funding Diversification Plan, focusing on </w:t>
      </w:r>
      <w:r w:rsidR="006B5391">
        <w:rPr>
          <w:rFonts w:ascii="Times New Roman" w:eastAsia="Times New Roman" w:hAnsi="Times New Roman" w:cs="Times New Roman"/>
          <w:color w:val="auto"/>
          <w:sz w:val="24"/>
          <w:szCs w:val="24"/>
          <w:lang w:val="en-US"/>
        </w:rPr>
        <w:t>two</w:t>
      </w:r>
      <w:r w:rsidRPr="00596E9C">
        <w:rPr>
          <w:rFonts w:ascii="Times New Roman" w:eastAsia="Times New Roman" w:hAnsi="Times New Roman" w:cs="Times New Roman"/>
          <w:color w:val="auto"/>
          <w:sz w:val="24"/>
          <w:szCs w:val="24"/>
          <w:lang w:val="en-US"/>
        </w:rPr>
        <w:t xml:space="preserve"> primary strategies:</w:t>
      </w:r>
    </w:p>
    <w:p w14:paraId="09DF5741" w14:textId="77777777" w:rsidR="00596E9C" w:rsidRPr="00596E9C" w:rsidRDefault="00596E9C" w:rsidP="00596E9C">
      <w:pPr>
        <w:numPr>
          <w:ilvl w:val="0"/>
          <w:numId w:val="7"/>
        </w:numPr>
        <w:spacing w:before="100" w:beforeAutospacing="1" w:after="100" w:afterAutospacing="1" w:line="240" w:lineRule="auto"/>
        <w:rPr>
          <w:rFonts w:ascii="Times New Roman" w:eastAsia="Times New Roman" w:hAnsi="Times New Roman" w:cs="Times New Roman"/>
          <w:color w:val="auto"/>
          <w:sz w:val="24"/>
          <w:szCs w:val="24"/>
          <w:lang w:val="en-US"/>
        </w:rPr>
      </w:pPr>
      <w:r w:rsidRPr="00596E9C">
        <w:rPr>
          <w:rFonts w:ascii="Times New Roman" w:eastAsia="Times New Roman" w:hAnsi="Times New Roman" w:cs="Times New Roman"/>
          <w:color w:val="auto"/>
          <w:sz w:val="24"/>
          <w:szCs w:val="24"/>
          <w:lang w:val="en-US"/>
        </w:rPr>
        <w:t>Philanthropic Engagement: Outreach to local foundations and corporate partners, including healthcare entities exploring supportive housing investments.</w:t>
      </w:r>
    </w:p>
    <w:p w14:paraId="58231AD9" w14:textId="2A771B5B" w:rsidR="00596E9C" w:rsidRPr="00596E9C" w:rsidRDefault="00596E9C" w:rsidP="00596E9C">
      <w:pPr>
        <w:numPr>
          <w:ilvl w:val="0"/>
          <w:numId w:val="7"/>
        </w:numPr>
        <w:spacing w:before="100" w:beforeAutospacing="1" w:after="100" w:afterAutospacing="1" w:line="240" w:lineRule="auto"/>
        <w:rPr>
          <w:rFonts w:ascii="Times New Roman" w:eastAsia="Times New Roman" w:hAnsi="Times New Roman" w:cs="Times New Roman"/>
          <w:color w:val="auto"/>
          <w:sz w:val="24"/>
          <w:szCs w:val="24"/>
          <w:lang w:val="en-US"/>
        </w:rPr>
      </w:pPr>
      <w:r w:rsidRPr="00596E9C">
        <w:rPr>
          <w:rFonts w:ascii="Times New Roman" w:eastAsia="Times New Roman" w:hAnsi="Times New Roman" w:cs="Times New Roman"/>
          <w:color w:val="auto"/>
          <w:sz w:val="24"/>
          <w:szCs w:val="24"/>
          <w:lang w:val="en-US"/>
        </w:rPr>
        <w:t>State Collaboration: Alignment with Mississippi Home Corporation’s Emergency Solutions Grant (ESG)</w:t>
      </w:r>
      <w:r w:rsidR="00B8611B">
        <w:rPr>
          <w:rFonts w:ascii="Times New Roman" w:eastAsia="Times New Roman" w:hAnsi="Times New Roman" w:cs="Times New Roman"/>
          <w:color w:val="auto"/>
          <w:sz w:val="24"/>
          <w:szCs w:val="24"/>
          <w:lang w:val="en-US"/>
        </w:rPr>
        <w:t>.</w:t>
      </w:r>
      <w:r w:rsidRPr="00596E9C">
        <w:rPr>
          <w:rFonts w:ascii="Times New Roman" w:eastAsia="Times New Roman" w:hAnsi="Times New Roman" w:cs="Times New Roman"/>
          <w:color w:val="auto"/>
          <w:sz w:val="24"/>
          <w:szCs w:val="24"/>
          <w:lang w:val="en-US"/>
        </w:rPr>
        <w:t xml:space="preserve"> </w:t>
      </w:r>
    </w:p>
    <w:p w14:paraId="3D9E8265" w14:textId="77777777" w:rsidR="00596E9C" w:rsidRPr="00596E9C" w:rsidRDefault="00596E9C" w:rsidP="00596E9C">
      <w:pPr>
        <w:spacing w:before="100" w:beforeAutospacing="1" w:after="100" w:afterAutospacing="1" w:line="240" w:lineRule="auto"/>
        <w:ind w:left="0"/>
        <w:rPr>
          <w:rFonts w:ascii="Times New Roman" w:eastAsia="Times New Roman" w:hAnsi="Times New Roman" w:cs="Times New Roman"/>
          <w:color w:val="auto"/>
          <w:sz w:val="24"/>
          <w:szCs w:val="24"/>
          <w:lang w:val="en-US"/>
        </w:rPr>
      </w:pPr>
      <w:r w:rsidRPr="00596E9C">
        <w:rPr>
          <w:rFonts w:ascii="Times New Roman" w:eastAsia="Times New Roman" w:hAnsi="Times New Roman" w:cs="Times New Roman"/>
          <w:color w:val="auto"/>
          <w:sz w:val="24"/>
          <w:szCs w:val="24"/>
          <w:lang w:val="en-US"/>
        </w:rPr>
        <w:t>While these diversification efforts are in early stages, they represent critical steps toward financial stability beyond HUD’s annual competition cycle.</w:t>
      </w:r>
    </w:p>
    <w:p w14:paraId="7EF42A2A" w14:textId="77777777" w:rsidR="00596E9C" w:rsidRPr="00596E9C" w:rsidRDefault="00596E9C" w:rsidP="00596E9C">
      <w:pPr>
        <w:spacing w:before="100" w:beforeAutospacing="1" w:after="100" w:afterAutospacing="1" w:line="240" w:lineRule="auto"/>
        <w:ind w:left="0"/>
        <w:rPr>
          <w:rFonts w:ascii="Times New Roman" w:eastAsia="Times New Roman" w:hAnsi="Times New Roman" w:cs="Times New Roman"/>
          <w:color w:val="auto"/>
          <w:sz w:val="24"/>
          <w:szCs w:val="24"/>
          <w:lang w:val="en-US"/>
        </w:rPr>
      </w:pPr>
      <w:r w:rsidRPr="00596E9C">
        <w:rPr>
          <w:rFonts w:ascii="Times New Roman" w:eastAsia="Times New Roman" w:hAnsi="Times New Roman" w:cs="Times New Roman"/>
          <w:color w:val="auto"/>
          <w:sz w:val="24"/>
          <w:szCs w:val="24"/>
          <w:lang w:val="en-US"/>
        </w:rPr>
        <w:lastRenderedPageBreak/>
        <w:t>This quarter’s CoC Learning Series focused on:</w:t>
      </w:r>
    </w:p>
    <w:p w14:paraId="780286DD" w14:textId="77777777" w:rsidR="00596E9C" w:rsidRPr="00596E9C" w:rsidRDefault="00596E9C" w:rsidP="00596E9C">
      <w:pPr>
        <w:numPr>
          <w:ilvl w:val="0"/>
          <w:numId w:val="8"/>
        </w:numPr>
        <w:spacing w:before="100" w:beforeAutospacing="1" w:after="100" w:afterAutospacing="1" w:line="240" w:lineRule="auto"/>
        <w:rPr>
          <w:rFonts w:ascii="Times New Roman" w:eastAsia="Times New Roman" w:hAnsi="Times New Roman" w:cs="Times New Roman"/>
          <w:color w:val="auto"/>
          <w:sz w:val="24"/>
          <w:szCs w:val="24"/>
          <w:lang w:val="en-US"/>
        </w:rPr>
      </w:pPr>
      <w:r w:rsidRPr="00596E9C">
        <w:rPr>
          <w:rFonts w:ascii="Times New Roman" w:eastAsia="Times New Roman" w:hAnsi="Times New Roman" w:cs="Times New Roman"/>
          <w:color w:val="auto"/>
          <w:sz w:val="24"/>
          <w:szCs w:val="24"/>
          <w:lang w:val="en-US"/>
        </w:rPr>
        <w:t>Best practices in trauma-informed engagement for outreach teams.</w:t>
      </w:r>
    </w:p>
    <w:p w14:paraId="13FCC4FF" w14:textId="77777777" w:rsidR="00596E9C" w:rsidRPr="00596E9C" w:rsidRDefault="00596E9C" w:rsidP="00596E9C">
      <w:pPr>
        <w:numPr>
          <w:ilvl w:val="0"/>
          <w:numId w:val="8"/>
        </w:numPr>
        <w:spacing w:before="100" w:beforeAutospacing="1" w:after="100" w:afterAutospacing="1" w:line="240" w:lineRule="auto"/>
        <w:rPr>
          <w:rFonts w:ascii="Times New Roman" w:eastAsia="Times New Roman" w:hAnsi="Times New Roman" w:cs="Times New Roman"/>
          <w:color w:val="auto"/>
          <w:sz w:val="24"/>
          <w:szCs w:val="24"/>
          <w:lang w:val="en-US"/>
        </w:rPr>
      </w:pPr>
      <w:r w:rsidRPr="00596E9C">
        <w:rPr>
          <w:rFonts w:ascii="Times New Roman" w:eastAsia="Times New Roman" w:hAnsi="Times New Roman" w:cs="Times New Roman"/>
          <w:color w:val="auto"/>
          <w:sz w:val="24"/>
          <w:szCs w:val="24"/>
          <w:lang w:val="en-US"/>
        </w:rPr>
        <w:t>Fiscal compliance and documentation standards for CoC-funded projects.</w:t>
      </w:r>
    </w:p>
    <w:p w14:paraId="631E3616" w14:textId="77777777" w:rsidR="00596E9C" w:rsidRPr="00596E9C" w:rsidRDefault="00596E9C" w:rsidP="00596E9C">
      <w:pPr>
        <w:numPr>
          <w:ilvl w:val="0"/>
          <w:numId w:val="8"/>
        </w:numPr>
        <w:spacing w:before="100" w:beforeAutospacing="1" w:after="100" w:afterAutospacing="1" w:line="240" w:lineRule="auto"/>
        <w:rPr>
          <w:rFonts w:ascii="Times New Roman" w:eastAsia="Times New Roman" w:hAnsi="Times New Roman" w:cs="Times New Roman"/>
          <w:color w:val="auto"/>
          <w:sz w:val="24"/>
          <w:szCs w:val="24"/>
          <w:lang w:val="en-US"/>
        </w:rPr>
      </w:pPr>
      <w:r w:rsidRPr="00596E9C">
        <w:rPr>
          <w:rFonts w:ascii="Times New Roman" w:eastAsia="Times New Roman" w:hAnsi="Times New Roman" w:cs="Times New Roman"/>
          <w:color w:val="auto"/>
          <w:sz w:val="24"/>
          <w:szCs w:val="24"/>
          <w:lang w:val="en-US"/>
        </w:rPr>
        <w:t>Data quality clini</w:t>
      </w:r>
      <w:r w:rsidRPr="00596E9C">
        <w:rPr>
          <w:rFonts w:ascii="Times New Roman" w:eastAsia="Times New Roman" w:hAnsi="Times New Roman" w:cs="Times New Roman"/>
          <w:b/>
          <w:bCs/>
          <w:color w:val="auto"/>
          <w:sz w:val="24"/>
          <w:szCs w:val="24"/>
          <w:lang w:val="en-US"/>
        </w:rPr>
        <w:t>cs</w:t>
      </w:r>
      <w:r w:rsidRPr="00596E9C">
        <w:rPr>
          <w:rFonts w:ascii="Times New Roman" w:eastAsia="Times New Roman" w:hAnsi="Times New Roman" w:cs="Times New Roman"/>
          <w:color w:val="auto"/>
          <w:sz w:val="24"/>
          <w:szCs w:val="24"/>
          <w:lang w:val="en-US"/>
        </w:rPr>
        <w:t xml:space="preserve"> to support HMIS integrity.</w:t>
      </w:r>
    </w:p>
    <w:p w14:paraId="190DE6D3" w14:textId="786F4F7E" w:rsidR="00596E9C" w:rsidRPr="00596E9C" w:rsidRDefault="00596E9C" w:rsidP="00596E9C">
      <w:pPr>
        <w:spacing w:before="100" w:beforeAutospacing="1" w:after="100" w:afterAutospacing="1" w:line="240" w:lineRule="auto"/>
        <w:ind w:left="0"/>
        <w:rPr>
          <w:rFonts w:ascii="Times New Roman" w:eastAsia="Times New Roman" w:hAnsi="Times New Roman" w:cs="Times New Roman"/>
          <w:color w:val="auto"/>
          <w:sz w:val="24"/>
          <w:szCs w:val="24"/>
          <w:lang w:val="en-US"/>
        </w:rPr>
      </w:pPr>
      <w:r w:rsidRPr="00596E9C">
        <w:rPr>
          <w:rFonts w:ascii="Times New Roman" w:eastAsia="Times New Roman" w:hAnsi="Times New Roman" w:cs="Times New Roman"/>
          <w:color w:val="auto"/>
          <w:sz w:val="24"/>
          <w:szCs w:val="24"/>
          <w:lang w:val="en-US"/>
        </w:rPr>
        <w:t xml:space="preserve">Over 80 agency staff and volunteers participated, </w:t>
      </w:r>
      <w:r w:rsidR="006B5391" w:rsidRPr="00596E9C">
        <w:rPr>
          <w:rFonts w:ascii="Times New Roman" w:eastAsia="Times New Roman" w:hAnsi="Times New Roman" w:cs="Times New Roman"/>
          <w:color w:val="auto"/>
          <w:sz w:val="24"/>
          <w:szCs w:val="24"/>
          <w:lang w:val="en-US"/>
        </w:rPr>
        <w:t>reflecting on</w:t>
      </w:r>
      <w:r w:rsidRPr="00596E9C">
        <w:rPr>
          <w:rFonts w:ascii="Times New Roman" w:eastAsia="Times New Roman" w:hAnsi="Times New Roman" w:cs="Times New Roman"/>
          <w:color w:val="auto"/>
          <w:sz w:val="24"/>
          <w:szCs w:val="24"/>
          <w:lang w:val="en-US"/>
        </w:rPr>
        <w:t xml:space="preserve"> a continued investment in workforce development and CoC compliance readiness.</w:t>
      </w:r>
    </w:p>
    <w:p w14:paraId="7D35C573" w14:textId="6149822B" w:rsidR="00596E9C" w:rsidRPr="00596E9C" w:rsidRDefault="006B5391" w:rsidP="00596E9C">
      <w:pPr>
        <w:spacing w:before="100" w:beforeAutospacing="1" w:after="100" w:afterAutospacing="1" w:line="240" w:lineRule="auto"/>
        <w:ind w:left="0"/>
        <w:rPr>
          <w:rFonts w:ascii="Times New Roman" w:eastAsia="Times New Roman" w:hAnsi="Times New Roman" w:cs="Times New Roman"/>
          <w:color w:val="auto"/>
          <w:sz w:val="24"/>
          <w:szCs w:val="24"/>
          <w:lang w:val="en-US"/>
        </w:rPr>
      </w:pPr>
      <w:r>
        <w:rPr>
          <w:rFonts w:ascii="Times New Roman" w:eastAsia="Times New Roman" w:hAnsi="Times New Roman" w:cs="Times New Roman"/>
          <w:color w:val="auto"/>
          <w:sz w:val="24"/>
          <w:szCs w:val="24"/>
          <w:lang w:val="en-US"/>
        </w:rPr>
        <w:t xml:space="preserve"> </w:t>
      </w:r>
      <w:r w:rsidR="00596E9C" w:rsidRPr="00596E9C">
        <w:rPr>
          <w:rFonts w:ascii="Times New Roman" w:eastAsia="Times New Roman" w:hAnsi="Times New Roman" w:cs="Times New Roman"/>
          <w:color w:val="auto"/>
          <w:sz w:val="24"/>
          <w:szCs w:val="24"/>
          <w:lang w:val="en-US"/>
        </w:rPr>
        <w:t>Preparation for the 2026 Point-in-Time Count began this quarter, supported by CoC planning funds.</w:t>
      </w:r>
    </w:p>
    <w:p w14:paraId="12E4C3EB" w14:textId="77777777" w:rsidR="00596E9C" w:rsidRPr="00596E9C" w:rsidRDefault="00596E9C" w:rsidP="00596E9C">
      <w:pPr>
        <w:numPr>
          <w:ilvl w:val="0"/>
          <w:numId w:val="9"/>
        </w:numPr>
        <w:spacing w:before="100" w:beforeAutospacing="1" w:after="100" w:afterAutospacing="1" w:line="240" w:lineRule="auto"/>
        <w:rPr>
          <w:rFonts w:ascii="Times New Roman" w:eastAsia="Times New Roman" w:hAnsi="Times New Roman" w:cs="Times New Roman"/>
          <w:color w:val="auto"/>
          <w:sz w:val="24"/>
          <w:szCs w:val="24"/>
          <w:lang w:val="en-US"/>
        </w:rPr>
      </w:pPr>
      <w:r w:rsidRPr="00596E9C">
        <w:rPr>
          <w:rFonts w:ascii="Times New Roman" w:eastAsia="Times New Roman" w:hAnsi="Times New Roman" w:cs="Times New Roman"/>
          <w:color w:val="auto"/>
          <w:sz w:val="24"/>
          <w:szCs w:val="24"/>
          <w:lang w:val="en-US"/>
        </w:rPr>
        <w:t>Venue Secured</w:t>
      </w:r>
      <w:r w:rsidRPr="00596E9C">
        <w:rPr>
          <w:rFonts w:ascii="Times New Roman" w:eastAsia="Times New Roman" w:hAnsi="Times New Roman" w:cs="Times New Roman"/>
          <w:b/>
          <w:bCs/>
          <w:color w:val="auto"/>
          <w:sz w:val="24"/>
          <w:szCs w:val="24"/>
          <w:lang w:val="en-US"/>
        </w:rPr>
        <w:t>:</w:t>
      </w:r>
      <w:r w:rsidRPr="00596E9C">
        <w:rPr>
          <w:rFonts w:ascii="Times New Roman" w:eastAsia="Times New Roman" w:hAnsi="Times New Roman" w:cs="Times New Roman"/>
          <w:color w:val="auto"/>
          <w:sz w:val="24"/>
          <w:szCs w:val="24"/>
          <w:lang w:val="en-US"/>
        </w:rPr>
        <w:t xml:space="preserve"> New Jerusalem Church will host the annual volunteer training and staging area.</w:t>
      </w:r>
    </w:p>
    <w:p w14:paraId="6D3CBAA7" w14:textId="77777777" w:rsidR="00596E9C" w:rsidRPr="00596E9C" w:rsidRDefault="00596E9C" w:rsidP="00596E9C">
      <w:pPr>
        <w:numPr>
          <w:ilvl w:val="0"/>
          <w:numId w:val="9"/>
        </w:numPr>
        <w:spacing w:before="100" w:beforeAutospacing="1" w:after="100" w:afterAutospacing="1" w:line="240" w:lineRule="auto"/>
        <w:rPr>
          <w:rFonts w:ascii="Times New Roman" w:eastAsia="Times New Roman" w:hAnsi="Times New Roman" w:cs="Times New Roman"/>
          <w:color w:val="auto"/>
          <w:sz w:val="24"/>
          <w:szCs w:val="24"/>
          <w:lang w:val="en-US"/>
        </w:rPr>
      </w:pPr>
      <w:r w:rsidRPr="00596E9C">
        <w:rPr>
          <w:rFonts w:ascii="Times New Roman" w:eastAsia="Times New Roman" w:hAnsi="Times New Roman" w:cs="Times New Roman"/>
          <w:color w:val="auto"/>
          <w:sz w:val="24"/>
          <w:szCs w:val="24"/>
          <w:lang w:val="en-US"/>
        </w:rPr>
        <w:t>Volunteer Recruitment</w:t>
      </w:r>
      <w:r w:rsidRPr="00596E9C">
        <w:rPr>
          <w:rFonts w:ascii="Times New Roman" w:eastAsia="Times New Roman" w:hAnsi="Times New Roman" w:cs="Times New Roman"/>
          <w:b/>
          <w:bCs/>
          <w:color w:val="auto"/>
          <w:sz w:val="24"/>
          <w:szCs w:val="24"/>
          <w:lang w:val="en-US"/>
        </w:rPr>
        <w:t>:</w:t>
      </w:r>
      <w:r w:rsidRPr="00596E9C">
        <w:rPr>
          <w:rFonts w:ascii="Times New Roman" w:eastAsia="Times New Roman" w:hAnsi="Times New Roman" w:cs="Times New Roman"/>
          <w:color w:val="auto"/>
          <w:sz w:val="24"/>
          <w:szCs w:val="24"/>
          <w:lang w:val="en-US"/>
        </w:rPr>
        <w:t xml:space="preserve"> Over 45 community members have registered, with outreach ongoing through partner agencies, universities, and local faith networks.</w:t>
      </w:r>
    </w:p>
    <w:p w14:paraId="4DD17FEB" w14:textId="77777777" w:rsidR="00596E9C" w:rsidRPr="00596E9C" w:rsidRDefault="00596E9C" w:rsidP="00596E9C">
      <w:pPr>
        <w:numPr>
          <w:ilvl w:val="0"/>
          <w:numId w:val="9"/>
        </w:numPr>
        <w:spacing w:before="100" w:beforeAutospacing="1" w:after="100" w:afterAutospacing="1" w:line="240" w:lineRule="auto"/>
        <w:rPr>
          <w:rFonts w:ascii="Times New Roman" w:eastAsia="Times New Roman" w:hAnsi="Times New Roman" w:cs="Times New Roman"/>
          <w:color w:val="auto"/>
          <w:sz w:val="24"/>
          <w:szCs w:val="24"/>
          <w:lang w:val="en-US"/>
        </w:rPr>
      </w:pPr>
      <w:r w:rsidRPr="00596E9C">
        <w:rPr>
          <w:rFonts w:ascii="Times New Roman" w:eastAsia="Times New Roman" w:hAnsi="Times New Roman" w:cs="Times New Roman"/>
          <w:color w:val="auto"/>
          <w:sz w:val="24"/>
          <w:szCs w:val="24"/>
          <w:lang w:val="en-US"/>
        </w:rPr>
        <w:t>Data and Mapping Preparations</w:t>
      </w:r>
      <w:r w:rsidRPr="00596E9C">
        <w:rPr>
          <w:rFonts w:ascii="Times New Roman" w:eastAsia="Times New Roman" w:hAnsi="Times New Roman" w:cs="Times New Roman"/>
          <w:b/>
          <w:bCs/>
          <w:color w:val="auto"/>
          <w:sz w:val="24"/>
          <w:szCs w:val="24"/>
          <w:lang w:val="en-US"/>
        </w:rPr>
        <w:t>:</w:t>
      </w:r>
      <w:r w:rsidRPr="00596E9C">
        <w:rPr>
          <w:rFonts w:ascii="Times New Roman" w:eastAsia="Times New Roman" w:hAnsi="Times New Roman" w:cs="Times New Roman"/>
          <w:color w:val="auto"/>
          <w:sz w:val="24"/>
          <w:szCs w:val="24"/>
          <w:lang w:val="en-US"/>
        </w:rPr>
        <w:t xml:space="preserve"> HMIS and outreach teams have begun refining unsheltered count maps and coverage zones to improve accuracy.</w:t>
      </w:r>
    </w:p>
    <w:p w14:paraId="79253FE5" w14:textId="77777777" w:rsidR="00596E9C" w:rsidRPr="00596E9C" w:rsidRDefault="00596E9C" w:rsidP="00596E9C">
      <w:pPr>
        <w:spacing w:before="100" w:beforeAutospacing="1" w:after="100" w:afterAutospacing="1" w:line="240" w:lineRule="auto"/>
        <w:ind w:left="0"/>
        <w:rPr>
          <w:rFonts w:ascii="Times New Roman" w:eastAsia="Times New Roman" w:hAnsi="Times New Roman" w:cs="Times New Roman"/>
          <w:color w:val="auto"/>
          <w:sz w:val="24"/>
          <w:szCs w:val="24"/>
          <w:lang w:val="en-US"/>
        </w:rPr>
      </w:pPr>
      <w:r w:rsidRPr="00596E9C">
        <w:rPr>
          <w:rFonts w:ascii="Times New Roman" w:eastAsia="Times New Roman" w:hAnsi="Times New Roman" w:cs="Times New Roman"/>
          <w:color w:val="auto"/>
          <w:sz w:val="24"/>
          <w:szCs w:val="24"/>
          <w:lang w:val="en-US"/>
        </w:rPr>
        <w:t>The PIT Count continues to serve as both a data collection exercise and community engagement opportunity, raising awareness about homelessness and reinforcing the need for sustained resources.</w:t>
      </w:r>
    </w:p>
    <w:p w14:paraId="57BA1007" w14:textId="2577A28F" w:rsidR="00596E9C" w:rsidRPr="00596E9C" w:rsidRDefault="006B5391" w:rsidP="00596E9C">
      <w:pPr>
        <w:spacing w:before="100" w:beforeAutospacing="1" w:after="100" w:afterAutospacing="1" w:line="240" w:lineRule="auto"/>
        <w:ind w:left="0"/>
        <w:rPr>
          <w:rFonts w:ascii="Times New Roman" w:eastAsia="Times New Roman" w:hAnsi="Times New Roman" w:cs="Times New Roman"/>
          <w:color w:val="auto"/>
          <w:sz w:val="24"/>
          <w:szCs w:val="24"/>
          <w:lang w:val="en-US"/>
        </w:rPr>
      </w:pPr>
      <w:r>
        <w:rPr>
          <w:rFonts w:ascii="Times New Roman" w:eastAsia="Times New Roman" w:hAnsi="Times New Roman" w:cs="Times New Roman"/>
          <w:color w:val="auto"/>
          <w:sz w:val="24"/>
          <w:szCs w:val="24"/>
          <w:lang w:val="en-US"/>
        </w:rPr>
        <w:t xml:space="preserve"> </w:t>
      </w:r>
      <w:r w:rsidR="00596E9C" w:rsidRPr="00596E9C">
        <w:rPr>
          <w:rFonts w:ascii="Times New Roman" w:eastAsia="Times New Roman" w:hAnsi="Times New Roman" w:cs="Times New Roman"/>
          <w:color w:val="auto"/>
          <w:sz w:val="24"/>
          <w:szCs w:val="24"/>
          <w:lang w:val="en-US"/>
        </w:rPr>
        <w:t>State and federal developments affecting homelessness and housing policy this quarter include:</w:t>
      </w:r>
    </w:p>
    <w:p w14:paraId="1805BA22" w14:textId="77777777" w:rsidR="00596E9C" w:rsidRPr="00596E9C" w:rsidRDefault="00596E9C" w:rsidP="00596E9C">
      <w:pPr>
        <w:numPr>
          <w:ilvl w:val="0"/>
          <w:numId w:val="10"/>
        </w:numPr>
        <w:spacing w:before="100" w:beforeAutospacing="1" w:after="100" w:afterAutospacing="1" w:line="240" w:lineRule="auto"/>
        <w:rPr>
          <w:rFonts w:ascii="Times New Roman" w:eastAsia="Times New Roman" w:hAnsi="Times New Roman" w:cs="Times New Roman"/>
          <w:color w:val="auto"/>
          <w:sz w:val="24"/>
          <w:szCs w:val="24"/>
          <w:lang w:val="en-US"/>
        </w:rPr>
      </w:pPr>
      <w:r w:rsidRPr="00596E9C">
        <w:rPr>
          <w:rFonts w:ascii="Times New Roman" w:eastAsia="Times New Roman" w:hAnsi="Times New Roman" w:cs="Times New Roman"/>
          <w:color w:val="auto"/>
          <w:sz w:val="24"/>
          <w:szCs w:val="24"/>
          <w:lang w:val="en-US"/>
        </w:rPr>
        <w:t>The HUD FY2025 CoC Notice of Funding Opportunity (NOFO) is anticipated to be released in early Q4. The CoC’s Planning Office has initiated pre-competition readiness checks and project monitoring.</w:t>
      </w:r>
    </w:p>
    <w:p w14:paraId="2EC258CF" w14:textId="77777777" w:rsidR="00596E9C" w:rsidRPr="00596E9C" w:rsidRDefault="00596E9C" w:rsidP="00596E9C">
      <w:pPr>
        <w:numPr>
          <w:ilvl w:val="0"/>
          <w:numId w:val="10"/>
        </w:numPr>
        <w:spacing w:before="100" w:beforeAutospacing="1" w:after="100" w:afterAutospacing="1" w:line="240" w:lineRule="auto"/>
        <w:rPr>
          <w:rFonts w:ascii="Times New Roman" w:eastAsia="Times New Roman" w:hAnsi="Times New Roman" w:cs="Times New Roman"/>
          <w:color w:val="auto"/>
          <w:sz w:val="24"/>
          <w:szCs w:val="24"/>
          <w:lang w:val="en-US"/>
        </w:rPr>
      </w:pPr>
      <w:r w:rsidRPr="00596E9C">
        <w:rPr>
          <w:rFonts w:ascii="Times New Roman" w:eastAsia="Times New Roman" w:hAnsi="Times New Roman" w:cs="Times New Roman"/>
          <w:color w:val="auto"/>
          <w:sz w:val="24"/>
          <w:szCs w:val="24"/>
          <w:lang w:val="en-US"/>
        </w:rPr>
        <w:t>The Mississippi Department of Mental Health expanded its Housing Initiative to include transitional housing stabilization grants, presenting a new partnership opportunity for CoC agencies.</w:t>
      </w:r>
    </w:p>
    <w:p w14:paraId="70D5C85A" w14:textId="77777777" w:rsidR="00596E9C" w:rsidRPr="00596E9C" w:rsidRDefault="00596E9C" w:rsidP="00596E9C">
      <w:pPr>
        <w:numPr>
          <w:ilvl w:val="0"/>
          <w:numId w:val="10"/>
        </w:numPr>
        <w:spacing w:before="100" w:beforeAutospacing="1" w:after="100" w:afterAutospacing="1" w:line="240" w:lineRule="auto"/>
        <w:rPr>
          <w:rFonts w:ascii="Times New Roman" w:eastAsia="Times New Roman" w:hAnsi="Times New Roman" w:cs="Times New Roman"/>
          <w:color w:val="auto"/>
          <w:sz w:val="24"/>
          <w:szCs w:val="24"/>
          <w:lang w:val="en-US"/>
        </w:rPr>
      </w:pPr>
      <w:r w:rsidRPr="00596E9C">
        <w:rPr>
          <w:rFonts w:ascii="Times New Roman" w:eastAsia="Times New Roman" w:hAnsi="Times New Roman" w:cs="Times New Roman"/>
          <w:color w:val="auto"/>
          <w:sz w:val="24"/>
          <w:szCs w:val="24"/>
          <w:lang w:val="en-US"/>
        </w:rPr>
        <w:t>State legislators have expressed interest in expanding affordable housing tax credits, a potential tool for leveraging private investment in permanent supportive housing development.</w:t>
      </w:r>
    </w:p>
    <w:p w14:paraId="547405A7" w14:textId="77777777" w:rsidR="00596E9C" w:rsidRPr="00596E9C" w:rsidRDefault="00596E9C" w:rsidP="00596E9C">
      <w:pPr>
        <w:spacing w:before="100" w:beforeAutospacing="1" w:after="100" w:afterAutospacing="1" w:line="240" w:lineRule="auto"/>
        <w:ind w:left="0"/>
        <w:rPr>
          <w:rFonts w:ascii="Times New Roman" w:eastAsia="Times New Roman" w:hAnsi="Times New Roman" w:cs="Times New Roman"/>
          <w:color w:val="auto"/>
          <w:sz w:val="24"/>
          <w:szCs w:val="24"/>
          <w:lang w:val="en-US"/>
        </w:rPr>
      </w:pPr>
      <w:r w:rsidRPr="00596E9C">
        <w:rPr>
          <w:rFonts w:ascii="Times New Roman" w:eastAsia="Times New Roman" w:hAnsi="Times New Roman" w:cs="Times New Roman"/>
          <w:color w:val="auto"/>
          <w:sz w:val="24"/>
          <w:szCs w:val="24"/>
          <w:lang w:val="en-US"/>
        </w:rPr>
        <w:t>The CoC’s advocacy team will continue monitoring these developments and coordinating messaging to ensure Central Mississippi’s needs remain represented at both state and federal levels.</w:t>
      </w:r>
    </w:p>
    <w:p w14:paraId="0209B34F" w14:textId="2F156948" w:rsidR="00596E9C" w:rsidRPr="00596E9C" w:rsidRDefault="00596E9C" w:rsidP="00596E9C">
      <w:pPr>
        <w:spacing w:before="0" w:line="240" w:lineRule="auto"/>
        <w:ind w:left="0"/>
        <w:rPr>
          <w:rFonts w:ascii="Times New Roman" w:eastAsia="Times New Roman" w:hAnsi="Times New Roman" w:cs="Times New Roman"/>
          <w:color w:val="auto"/>
          <w:sz w:val="24"/>
          <w:szCs w:val="24"/>
          <w:lang w:val="en-US"/>
        </w:rPr>
      </w:pPr>
    </w:p>
    <w:p w14:paraId="6815D352" w14:textId="77777777" w:rsidR="00596E9C" w:rsidRPr="00596E9C" w:rsidRDefault="00596E9C" w:rsidP="00596E9C">
      <w:pPr>
        <w:spacing w:before="100" w:beforeAutospacing="1" w:after="100" w:afterAutospacing="1" w:line="240" w:lineRule="auto"/>
        <w:ind w:left="0"/>
        <w:rPr>
          <w:rFonts w:ascii="Times New Roman" w:eastAsia="Times New Roman" w:hAnsi="Times New Roman" w:cs="Times New Roman"/>
          <w:color w:val="auto"/>
          <w:sz w:val="24"/>
          <w:szCs w:val="24"/>
          <w:lang w:val="en-US"/>
        </w:rPr>
      </w:pPr>
      <w:r w:rsidRPr="00596E9C">
        <w:rPr>
          <w:rFonts w:ascii="Times New Roman" w:eastAsia="Times New Roman" w:hAnsi="Times New Roman" w:cs="Times New Roman"/>
          <w:color w:val="auto"/>
          <w:sz w:val="24"/>
          <w:szCs w:val="24"/>
          <w:lang w:val="en-US"/>
        </w:rPr>
        <w:lastRenderedPageBreak/>
        <w:t>As we transition into the final quarter of FY2025, the Central MS CoC will continue to strengthen its foundation through innovation, accountability, and collaboration. Key objectives include:</w:t>
      </w:r>
    </w:p>
    <w:p w14:paraId="2858DF03" w14:textId="77777777" w:rsidR="00596E9C" w:rsidRPr="00596E9C" w:rsidRDefault="00596E9C" w:rsidP="00596E9C">
      <w:pPr>
        <w:numPr>
          <w:ilvl w:val="0"/>
          <w:numId w:val="11"/>
        </w:numPr>
        <w:spacing w:before="100" w:beforeAutospacing="1" w:after="100" w:afterAutospacing="1" w:line="240" w:lineRule="auto"/>
        <w:rPr>
          <w:rFonts w:ascii="Times New Roman" w:eastAsia="Times New Roman" w:hAnsi="Times New Roman" w:cs="Times New Roman"/>
          <w:color w:val="auto"/>
          <w:sz w:val="24"/>
          <w:szCs w:val="24"/>
          <w:lang w:val="en-US"/>
        </w:rPr>
      </w:pPr>
      <w:r w:rsidRPr="00596E9C">
        <w:rPr>
          <w:rFonts w:ascii="Times New Roman" w:eastAsia="Times New Roman" w:hAnsi="Times New Roman" w:cs="Times New Roman"/>
          <w:color w:val="auto"/>
          <w:sz w:val="24"/>
          <w:szCs w:val="24"/>
          <w:lang w:val="en-US"/>
        </w:rPr>
        <w:t>CoC NOFO Preparation</w:t>
      </w:r>
      <w:r w:rsidRPr="00596E9C">
        <w:rPr>
          <w:rFonts w:ascii="Times New Roman" w:eastAsia="Times New Roman" w:hAnsi="Times New Roman" w:cs="Times New Roman"/>
          <w:b/>
          <w:bCs/>
          <w:color w:val="auto"/>
          <w:sz w:val="24"/>
          <w:szCs w:val="24"/>
          <w:lang w:val="en-US"/>
        </w:rPr>
        <w:t>:</w:t>
      </w:r>
      <w:r w:rsidRPr="00596E9C">
        <w:rPr>
          <w:rFonts w:ascii="Times New Roman" w:eastAsia="Times New Roman" w:hAnsi="Times New Roman" w:cs="Times New Roman"/>
          <w:color w:val="auto"/>
          <w:sz w:val="24"/>
          <w:szCs w:val="24"/>
          <w:lang w:val="en-US"/>
        </w:rPr>
        <w:t xml:space="preserve"> Finalize project evaluations, compile performance narratives, and ensure full compliance ahead of submission.</w:t>
      </w:r>
    </w:p>
    <w:p w14:paraId="747030FB" w14:textId="77777777" w:rsidR="00596E9C" w:rsidRPr="00596E9C" w:rsidRDefault="00596E9C" w:rsidP="00596E9C">
      <w:pPr>
        <w:numPr>
          <w:ilvl w:val="0"/>
          <w:numId w:val="11"/>
        </w:numPr>
        <w:spacing w:before="100" w:beforeAutospacing="1" w:after="100" w:afterAutospacing="1" w:line="240" w:lineRule="auto"/>
        <w:rPr>
          <w:rFonts w:ascii="Times New Roman" w:eastAsia="Times New Roman" w:hAnsi="Times New Roman" w:cs="Times New Roman"/>
          <w:color w:val="auto"/>
          <w:sz w:val="24"/>
          <w:szCs w:val="24"/>
          <w:lang w:val="en-US"/>
        </w:rPr>
      </w:pPr>
      <w:r w:rsidRPr="00596E9C">
        <w:rPr>
          <w:rFonts w:ascii="Times New Roman" w:eastAsia="Times New Roman" w:hAnsi="Times New Roman" w:cs="Times New Roman"/>
          <w:color w:val="auto"/>
          <w:sz w:val="24"/>
          <w:szCs w:val="24"/>
          <w:lang w:val="en-US"/>
        </w:rPr>
        <w:t>PIT Count Execution: Continue recruitment, training, and logistical planning to ensure a successful count in January.</w:t>
      </w:r>
    </w:p>
    <w:p w14:paraId="0F14048C" w14:textId="77777777" w:rsidR="00596E9C" w:rsidRPr="00596E9C" w:rsidRDefault="00596E9C" w:rsidP="00596E9C">
      <w:pPr>
        <w:numPr>
          <w:ilvl w:val="0"/>
          <w:numId w:val="11"/>
        </w:numPr>
        <w:spacing w:before="100" w:beforeAutospacing="1" w:after="100" w:afterAutospacing="1" w:line="240" w:lineRule="auto"/>
        <w:rPr>
          <w:rFonts w:ascii="Times New Roman" w:eastAsia="Times New Roman" w:hAnsi="Times New Roman" w:cs="Times New Roman"/>
          <w:color w:val="auto"/>
          <w:sz w:val="24"/>
          <w:szCs w:val="24"/>
          <w:lang w:val="en-US"/>
        </w:rPr>
      </w:pPr>
      <w:r w:rsidRPr="00596E9C">
        <w:rPr>
          <w:rFonts w:ascii="Times New Roman" w:eastAsia="Times New Roman" w:hAnsi="Times New Roman" w:cs="Times New Roman"/>
          <w:color w:val="auto"/>
          <w:sz w:val="24"/>
          <w:szCs w:val="24"/>
          <w:lang w:val="en-US"/>
        </w:rPr>
        <w:t>Funding Diversification Implementation: Formalize local partnership agreements and pursue state-level grant opportunities.</w:t>
      </w:r>
    </w:p>
    <w:p w14:paraId="0DFF2FFA" w14:textId="77777777" w:rsidR="00596E9C" w:rsidRPr="00596E9C" w:rsidRDefault="00596E9C" w:rsidP="00596E9C">
      <w:pPr>
        <w:numPr>
          <w:ilvl w:val="0"/>
          <w:numId w:val="11"/>
        </w:numPr>
        <w:spacing w:before="100" w:beforeAutospacing="1" w:after="100" w:afterAutospacing="1" w:line="240" w:lineRule="auto"/>
        <w:rPr>
          <w:rFonts w:ascii="Times New Roman" w:eastAsia="Times New Roman" w:hAnsi="Times New Roman" w:cs="Times New Roman"/>
          <w:color w:val="auto"/>
          <w:sz w:val="24"/>
          <w:szCs w:val="24"/>
          <w:lang w:val="en-US"/>
        </w:rPr>
      </w:pPr>
      <w:r w:rsidRPr="00596E9C">
        <w:rPr>
          <w:rFonts w:ascii="Times New Roman" w:eastAsia="Times New Roman" w:hAnsi="Times New Roman" w:cs="Times New Roman"/>
          <w:color w:val="auto"/>
          <w:sz w:val="24"/>
          <w:szCs w:val="24"/>
          <w:lang w:val="en-US"/>
        </w:rPr>
        <w:t>Data and Performance Enhancement: Expand use of system performance dashboards to support real-time decision-making.</w:t>
      </w:r>
    </w:p>
    <w:p w14:paraId="61B9487F" w14:textId="4242C05B" w:rsidR="00596E9C" w:rsidRPr="00596E9C" w:rsidRDefault="00596E9C" w:rsidP="00596E9C">
      <w:pPr>
        <w:spacing w:before="100" w:beforeAutospacing="1" w:after="100" w:afterAutospacing="1" w:line="240" w:lineRule="auto"/>
        <w:ind w:left="0"/>
        <w:rPr>
          <w:rFonts w:ascii="Times New Roman" w:eastAsia="Times New Roman" w:hAnsi="Times New Roman" w:cs="Times New Roman"/>
          <w:color w:val="auto"/>
          <w:sz w:val="24"/>
          <w:szCs w:val="24"/>
          <w:lang w:val="en-US"/>
        </w:rPr>
      </w:pPr>
      <w:r w:rsidRPr="00596E9C">
        <w:rPr>
          <w:rFonts w:ascii="Times New Roman" w:eastAsia="Times New Roman" w:hAnsi="Times New Roman" w:cs="Times New Roman"/>
          <w:color w:val="auto"/>
          <w:sz w:val="24"/>
          <w:szCs w:val="24"/>
          <w:lang w:val="en-US"/>
        </w:rPr>
        <w:t>Our collective work this quarter underscores the CoC’s strength in unity. Together, we are demonstrating that effective collaboration</w:t>
      </w:r>
      <w:r w:rsidR="006B5391" w:rsidRPr="00596E9C">
        <w:rPr>
          <w:rFonts w:ascii="Times New Roman" w:eastAsia="Times New Roman" w:hAnsi="Times New Roman" w:cs="Times New Roman"/>
          <w:color w:val="auto"/>
          <w:sz w:val="24"/>
          <w:szCs w:val="24"/>
          <w:lang w:val="en-US"/>
        </w:rPr>
        <w:t>, being anchored</w:t>
      </w:r>
      <w:r w:rsidRPr="00596E9C">
        <w:rPr>
          <w:rFonts w:ascii="Times New Roman" w:eastAsia="Times New Roman" w:hAnsi="Times New Roman" w:cs="Times New Roman"/>
          <w:color w:val="auto"/>
          <w:sz w:val="24"/>
          <w:szCs w:val="24"/>
          <w:lang w:val="en-US"/>
        </w:rPr>
        <w:t xml:space="preserve"> in data, compassion, and shared accountability—can sustain progress even in uncertain funding environments.</w:t>
      </w:r>
    </w:p>
    <w:p w14:paraId="1C1F1C30" w14:textId="77777777" w:rsidR="00596E9C" w:rsidRPr="00596E9C" w:rsidRDefault="00596E9C" w:rsidP="00596E9C">
      <w:pPr>
        <w:spacing w:before="100" w:beforeAutospacing="1" w:after="100" w:afterAutospacing="1" w:line="240" w:lineRule="auto"/>
        <w:ind w:left="0"/>
        <w:rPr>
          <w:rFonts w:ascii="Times New Roman" w:eastAsia="Times New Roman" w:hAnsi="Times New Roman" w:cs="Times New Roman"/>
          <w:color w:val="auto"/>
          <w:sz w:val="24"/>
          <w:szCs w:val="24"/>
          <w:lang w:val="en-US"/>
        </w:rPr>
      </w:pPr>
      <w:r w:rsidRPr="00596E9C">
        <w:rPr>
          <w:rFonts w:ascii="Times New Roman" w:eastAsia="Times New Roman" w:hAnsi="Times New Roman" w:cs="Times New Roman"/>
          <w:color w:val="auto"/>
          <w:sz w:val="24"/>
          <w:szCs w:val="24"/>
          <w:lang w:val="en-US"/>
        </w:rPr>
        <w:t>Through intentional planning, clear communication, and steadfast commitment, the Central Mississippi Continuum of Care continues to move forward—strong, prepared, and united.</w:t>
      </w:r>
    </w:p>
    <w:p w14:paraId="2A48607C" w14:textId="77777777" w:rsidR="00864A15" w:rsidRPr="00864A15" w:rsidRDefault="00864A15" w:rsidP="00864A15">
      <w:pPr>
        <w:pStyle w:val="ListParagraph"/>
        <w:pBdr>
          <w:top w:val="nil"/>
          <w:left w:val="nil"/>
          <w:bottom w:val="nil"/>
          <w:right w:val="nil"/>
          <w:between w:val="nil"/>
        </w:pBdr>
        <w:spacing w:line="240" w:lineRule="auto"/>
        <w:ind w:left="345"/>
        <w:rPr>
          <w:b/>
        </w:rPr>
      </w:pPr>
    </w:p>
    <w:p w14:paraId="1B19B4CB" w14:textId="77777777" w:rsidR="00864A15" w:rsidRPr="00074346" w:rsidRDefault="00864A15" w:rsidP="00864A15">
      <w:pPr>
        <w:pStyle w:val="ListParagraph"/>
        <w:pBdr>
          <w:top w:val="nil"/>
          <w:left w:val="nil"/>
          <w:bottom w:val="nil"/>
          <w:right w:val="nil"/>
          <w:between w:val="nil"/>
        </w:pBdr>
        <w:spacing w:line="240" w:lineRule="auto"/>
        <w:ind w:left="345"/>
        <w:rPr>
          <w:b/>
        </w:rPr>
      </w:pPr>
    </w:p>
    <w:p w14:paraId="7AD1DC28" w14:textId="77777777" w:rsidR="004148C9" w:rsidRPr="00074346" w:rsidRDefault="004148C9" w:rsidP="004148C9">
      <w:pPr>
        <w:pBdr>
          <w:top w:val="nil"/>
          <w:left w:val="nil"/>
          <w:bottom w:val="nil"/>
          <w:right w:val="nil"/>
          <w:between w:val="nil"/>
        </w:pBdr>
        <w:spacing w:line="240" w:lineRule="auto"/>
        <w:rPr>
          <w:b/>
        </w:rPr>
      </w:pPr>
    </w:p>
    <w:p w14:paraId="5FF7DA3F" w14:textId="77777777" w:rsidR="004148C9" w:rsidRPr="004148C9" w:rsidRDefault="004148C9" w:rsidP="004148C9">
      <w:pPr>
        <w:pBdr>
          <w:top w:val="nil"/>
          <w:left w:val="nil"/>
          <w:bottom w:val="nil"/>
          <w:right w:val="nil"/>
          <w:between w:val="nil"/>
        </w:pBdr>
        <w:spacing w:line="240" w:lineRule="auto"/>
        <w:rPr>
          <w:bCs/>
        </w:rPr>
      </w:pPr>
    </w:p>
    <w:p w14:paraId="3A190EBB" w14:textId="77777777" w:rsidR="004148C9" w:rsidRPr="004148C9" w:rsidRDefault="004148C9" w:rsidP="004148C9">
      <w:pPr>
        <w:pBdr>
          <w:top w:val="nil"/>
          <w:left w:val="nil"/>
          <w:bottom w:val="nil"/>
          <w:right w:val="nil"/>
          <w:between w:val="nil"/>
        </w:pBdr>
        <w:spacing w:line="240" w:lineRule="auto"/>
        <w:rPr>
          <w:bCs/>
        </w:rPr>
      </w:pPr>
    </w:p>
    <w:sectPr w:rsidR="004148C9" w:rsidRPr="004148C9" w:rsidSect="0084261C">
      <w:footerReference w:type="default" r:id="rId8"/>
      <w:footerReference w:type="first" r:id="rId9"/>
      <w:pgSz w:w="12240" w:h="15840"/>
      <w:pgMar w:top="1080" w:right="1440" w:bottom="1080" w:left="1440" w:header="0" w:footer="720" w:gutter="0"/>
      <w:pgBorders w:offsetFrom="page">
        <w:top w:val="single" w:sz="4" w:space="24" w:color="auto"/>
        <w:left w:val="single" w:sz="4" w:space="24" w:color="auto"/>
        <w:bottom w:val="single" w:sz="4" w:space="24" w:color="auto"/>
        <w:right w:val="single" w:sz="4" w:space="24" w:color="auto"/>
      </w:pgBorders>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A98D86" w14:textId="77777777" w:rsidR="00CF7236" w:rsidRDefault="00CF7236">
      <w:pPr>
        <w:spacing w:before="0" w:line="240" w:lineRule="auto"/>
      </w:pPr>
      <w:r>
        <w:separator/>
      </w:r>
    </w:p>
  </w:endnote>
  <w:endnote w:type="continuationSeparator" w:id="0">
    <w:p w14:paraId="5A781EE3" w14:textId="77777777" w:rsidR="00CF7236" w:rsidRDefault="00CF7236">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Roboto">
    <w:charset w:val="00"/>
    <w:family w:val="auto"/>
    <w:pitch w:val="variable"/>
    <w:sig w:usb0="E0000AFF" w:usb1="5000217F" w:usb2="00000021" w:usb3="00000000" w:csb0="0000019F" w:csb1="00000000"/>
    <w:embedRegular r:id="rId1" w:fontKey="{5A0EEDEA-F63F-4AAD-947B-F4D544834796}"/>
    <w:embedBold r:id="rId2" w:fontKey="{28862F2E-8264-40F0-843B-B13375C1BEA1}"/>
  </w:font>
  <w:font w:name="Trebuchet MS">
    <w:panose1 w:val="020B0603020202020204"/>
    <w:charset w:val="00"/>
    <w:family w:val="swiss"/>
    <w:pitch w:val="variable"/>
    <w:sig w:usb0="00000687" w:usb1="00000000" w:usb2="00000000" w:usb3="00000000" w:csb0="0000009F" w:csb1="00000000"/>
    <w:embedRegular r:id="rId3" w:fontKey="{52EED8C1-20DC-4A91-8E5B-26C090E1E33F}"/>
    <w:embedItalic r:id="rId4" w:fontKey="{28D042BB-46FF-4C0D-AAC9-43B0F7E8A1A7}"/>
  </w:font>
  <w:font w:name="Calibri">
    <w:panose1 w:val="020F0502020204030204"/>
    <w:charset w:val="00"/>
    <w:family w:val="swiss"/>
    <w:pitch w:val="variable"/>
    <w:sig w:usb0="E4002EFF" w:usb1="C200247B" w:usb2="00000009" w:usb3="00000000" w:csb0="000001FF" w:csb1="00000000"/>
    <w:embedRegular r:id="rId5" w:fontKey="{FBD28178-38D0-47C8-91A8-B275A532BA45}"/>
  </w:font>
  <w:font w:name="Cambria">
    <w:panose1 w:val="02040503050406030204"/>
    <w:charset w:val="00"/>
    <w:family w:val="roman"/>
    <w:pitch w:val="variable"/>
    <w:sig w:usb0="E00006FF" w:usb1="420024FF" w:usb2="02000000" w:usb3="00000000" w:csb0="0000019F" w:csb1="00000000"/>
    <w:embedRegular r:id="rId6" w:fontKey="{A56EE46B-21BE-4265-83CA-B5A37A7F1E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47325" w14:textId="7D97BDA1" w:rsidR="00264F7C" w:rsidRPr="00554F36" w:rsidRDefault="00596E9C">
    <w:pPr>
      <w:pBdr>
        <w:top w:val="nil"/>
        <w:left w:val="nil"/>
        <w:bottom w:val="nil"/>
        <w:right w:val="nil"/>
        <w:between w:val="nil"/>
      </w:pBdr>
      <w:spacing w:after="1440"/>
      <w:rPr>
        <w:color w:val="EE0000"/>
      </w:rPr>
    </w:pPr>
    <w:r w:rsidRPr="00554F36">
      <w:rPr>
        <w:color w:val="EE0000"/>
      </w:rPr>
      <w:t xml:space="preserve">October </w:t>
    </w:r>
    <w:r w:rsidR="0009191B" w:rsidRPr="00554F36">
      <w:rPr>
        <w:color w:val="EE0000"/>
      </w:rPr>
      <w:t xml:space="preserve">2025 </w:t>
    </w:r>
    <w:r w:rsidR="00000000" w:rsidRPr="00554F36">
      <w:rPr>
        <w:color w:val="EE0000"/>
      </w:rPr>
      <w:t>P.D. Report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5174F" w14:textId="5721182D" w:rsidR="00264F7C" w:rsidRDefault="00596E9C">
    <w:r w:rsidRPr="00554F36">
      <w:rPr>
        <w:color w:val="EE0000"/>
      </w:rPr>
      <w:t xml:space="preserve">October </w:t>
    </w:r>
    <w:r w:rsidR="004148C9" w:rsidRPr="00554F36">
      <w:rPr>
        <w:color w:val="EE0000"/>
      </w:rPr>
      <w:t xml:space="preserve">2025 </w:t>
    </w:r>
    <w:r w:rsidR="00000000" w:rsidRPr="00554F36">
      <w:rPr>
        <w:color w:val="EE0000"/>
      </w:rPr>
      <w:t>P.D. Repor</w:t>
    </w:r>
    <w:r w:rsidR="00000000">
      <w:t>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C710EA" w14:textId="77777777" w:rsidR="00CF7236" w:rsidRDefault="00CF7236">
      <w:pPr>
        <w:spacing w:before="0" w:line="240" w:lineRule="auto"/>
      </w:pPr>
      <w:r>
        <w:separator/>
      </w:r>
    </w:p>
  </w:footnote>
  <w:footnote w:type="continuationSeparator" w:id="0">
    <w:p w14:paraId="6BDA7A9B" w14:textId="77777777" w:rsidR="00CF7236" w:rsidRDefault="00CF7236">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E75FE"/>
    <w:multiLevelType w:val="multilevel"/>
    <w:tmpl w:val="BE14955C"/>
    <w:lvl w:ilvl="0">
      <w:start w:val="1"/>
      <w:numFmt w:val="bullet"/>
      <w:lvlText w:val=""/>
      <w:lvlJc w:val="left"/>
      <w:pPr>
        <w:tabs>
          <w:tab w:val="num" w:pos="630"/>
        </w:tabs>
        <w:ind w:left="63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B97C85"/>
    <w:multiLevelType w:val="multilevel"/>
    <w:tmpl w:val="99CA8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A451D1"/>
    <w:multiLevelType w:val="multilevel"/>
    <w:tmpl w:val="83CE1D5A"/>
    <w:lvl w:ilvl="0">
      <w:start w:val="1"/>
      <w:numFmt w:val="bullet"/>
      <w:lvlText w:val=""/>
      <w:lvlJc w:val="left"/>
      <w:pPr>
        <w:tabs>
          <w:tab w:val="num" w:pos="810"/>
        </w:tabs>
        <w:ind w:left="810" w:hanging="360"/>
      </w:pPr>
      <w:rPr>
        <w:rFonts w:ascii="Wingdings" w:hAnsi="Wingdings" w:hint="default"/>
        <w:sz w:val="20"/>
      </w:rPr>
    </w:lvl>
    <w:lvl w:ilvl="1" w:tentative="1">
      <w:start w:val="1"/>
      <w:numFmt w:val="bullet"/>
      <w:lvlText w:val="o"/>
      <w:lvlJc w:val="left"/>
      <w:pPr>
        <w:tabs>
          <w:tab w:val="num" w:pos="1530"/>
        </w:tabs>
        <w:ind w:left="1530" w:hanging="360"/>
      </w:pPr>
      <w:rPr>
        <w:rFonts w:ascii="Courier New" w:hAnsi="Courier New" w:hint="default"/>
        <w:sz w:val="20"/>
      </w:rPr>
    </w:lvl>
    <w:lvl w:ilvl="2" w:tentative="1">
      <w:start w:val="1"/>
      <w:numFmt w:val="bullet"/>
      <w:lvlText w:val=""/>
      <w:lvlJc w:val="left"/>
      <w:pPr>
        <w:tabs>
          <w:tab w:val="num" w:pos="2250"/>
        </w:tabs>
        <w:ind w:left="2250" w:hanging="360"/>
      </w:pPr>
      <w:rPr>
        <w:rFonts w:ascii="Wingdings" w:hAnsi="Wingdings" w:hint="default"/>
        <w:sz w:val="20"/>
      </w:rPr>
    </w:lvl>
    <w:lvl w:ilvl="3" w:tentative="1">
      <w:start w:val="1"/>
      <w:numFmt w:val="bullet"/>
      <w:lvlText w:val=""/>
      <w:lvlJc w:val="left"/>
      <w:pPr>
        <w:tabs>
          <w:tab w:val="num" w:pos="2970"/>
        </w:tabs>
        <w:ind w:left="2970" w:hanging="360"/>
      </w:pPr>
      <w:rPr>
        <w:rFonts w:ascii="Wingdings" w:hAnsi="Wingdings" w:hint="default"/>
        <w:sz w:val="20"/>
      </w:rPr>
    </w:lvl>
    <w:lvl w:ilvl="4" w:tentative="1">
      <w:start w:val="1"/>
      <w:numFmt w:val="bullet"/>
      <w:lvlText w:val=""/>
      <w:lvlJc w:val="left"/>
      <w:pPr>
        <w:tabs>
          <w:tab w:val="num" w:pos="3690"/>
        </w:tabs>
        <w:ind w:left="3690" w:hanging="360"/>
      </w:pPr>
      <w:rPr>
        <w:rFonts w:ascii="Wingdings" w:hAnsi="Wingdings" w:hint="default"/>
        <w:sz w:val="20"/>
      </w:rPr>
    </w:lvl>
    <w:lvl w:ilvl="5" w:tentative="1">
      <w:start w:val="1"/>
      <w:numFmt w:val="bullet"/>
      <w:lvlText w:val=""/>
      <w:lvlJc w:val="left"/>
      <w:pPr>
        <w:tabs>
          <w:tab w:val="num" w:pos="4410"/>
        </w:tabs>
        <w:ind w:left="4410" w:hanging="360"/>
      </w:pPr>
      <w:rPr>
        <w:rFonts w:ascii="Wingdings" w:hAnsi="Wingdings" w:hint="default"/>
        <w:sz w:val="20"/>
      </w:rPr>
    </w:lvl>
    <w:lvl w:ilvl="6" w:tentative="1">
      <w:start w:val="1"/>
      <w:numFmt w:val="bullet"/>
      <w:lvlText w:val=""/>
      <w:lvlJc w:val="left"/>
      <w:pPr>
        <w:tabs>
          <w:tab w:val="num" w:pos="5130"/>
        </w:tabs>
        <w:ind w:left="5130" w:hanging="360"/>
      </w:pPr>
      <w:rPr>
        <w:rFonts w:ascii="Wingdings" w:hAnsi="Wingdings" w:hint="default"/>
        <w:sz w:val="20"/>
      </w:rPr>
    </w:lvl>
    <w:lvl w:ilvl="7" w:tentative="1">
      <w:start w:val="1"/>
      <w:numFmt w:val="bullet"/>
      <w:lvlText w:val=""/>
      <w:lvlJc w:val="left"/>
      <w:pPr>
        <w:tabs>
          <w:tab w:val="num" w:pos="5850"/>
        </w:tabs>
        <w:ind w:left="5850" w:hanging="360"/>
      </w:pPr>
      <w:rPr>
        <w:rFonts w:ascii="Wingdings" w:hAnsi="Wingdings" w:hint="default"/>
        <w:sz w:val="20"/>
      </w:rPr>
    </w:lvl>
    <w:lvl w:ilvl="8" w:tentative="1">
      <w:start w:val="1"/>
      <w:numFmt w:val="bullet"/>
      <w:lvlText w:val=""/>
      <w:lvlJc w:val="left"/>
      <w:pPr>
        <w:tabs>
          <w:tab w:val="num" w:pos="6570"/>
        </w:tabs>
        <w:ind w:left="6570" w:hanging="360"/>
      </w:pPr>
      <w:rPr>
        <w:rFonts w:ascii="Wingdings" w:hAnsi="Wingdings" w:hint="default"/>
        <w:sz w:val="20"/>
      </w:rPr>
    </w:lvl>
  </w:abstractNum>
  <w:abstractNum w:abstractNumId="3" w15:restartNumberingAfterBreak="0">
    <w:nsid w:val="185404D3"/>
    <w:multiLevelType w:val="multilevel"/>
    <w:tmpl w:val="9AFC33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1CD6B38"/>
    <w:multiLevelType w:val="multilevel"/>
    <w:tmpl w:val="1EC85E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78F55B8"/>
    <w:multiLevelType w:val="multilevel"/>
    <w:tmpl w:val="ECCE4994"/>
    <w:lvl w:ilvl="0">
      <w:start w:val="1"/>
      <w:numFmt w:val="bullet"/>
      <w:lvlText w:val=""/>
      <w:lvlJc w:val="left"/>
      <w:pPr>
        <w:tabs>
          <w:tab w:val="num" w:pos="1440"/>
        </w:tabs>
        <w:ind w:left="1440" w:hanging="360"/>
      </w:pPr>
      <w:rPr>
        <w:rFonts w:ascii="Wingdings" w:hAnsi="Wingdings"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6" w15:restartNumberingAfterBreak="0">
    <w:nsid w:val="323131EE"/>
    <w:multiLevelType w:val="multilevel"/>
    <w:tmpl w:val="45066B4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6F78C3"/>
    <w:multiLevelType w:val="hybridMultilevel"/>
    <w:tmpl w:val="81DC4D2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56401394"/>
    <w:multiLevelType w:val="multilevel"/>
    <w:tmpl w:val="012EC296"/>
    <w:lvl w:ilvl="0">
      <w:start w:val="1"/>
      <w:numFmt w:val="bullet"/>
      <w:lvlText w:val=""/>
      <w:lvlJc w:val="left"/>
      <w:pPr>
        <w:tabs>
          <w:tab w:val="num" w:pos="630"/>
        </w:tabs>
        <w:ind w:left="630" w:hanging="360"/>
      </w:pPr>
      <w:rPr>
        <w:rFonts w:ascii="Wingdings" w:hAnsi="Wingdings" w:hint="default"/>
        <w:sz w:val="20"/>
      </w:rPr>
    </w:lvl>
    <w:lvl w:ilvl="1" w:tentative="1">
      <w:start w:val="1"/>
      <w:numFmt w:val="bullet"/>
      <w:lvlText w:val="o"/>
      <w:lvlJc w:val="left"/>
      <w:pPr>
        <w:tabs>
          <w:tab w:val="num" w:pos="1350"/>
        </w:tabs>
        <w:ind w:left="1350" w:hanging="360"/>
      </w:pPr>
      <w:rPr>
        <w:rFonts w:ascii="Courier New" w:hAnsi="Courier New" w:hint="default"/>
        <w:sz w:val="20"/>
      </w:rPr>
    </w:lvl>
    <w:lvl w:ilvl="2" w:tentative="1">
      <w:start w:val="1"/>
      <w:numFmt w:val="bullet"/>
      <w:lvlText w:val=""/>
      <w:lvlJc w:val="left"/>
      <w:pPr>
        <w:tabs>
          <w:tab w:val="num" w:pos="2070"/>
        </w:tabs>
        <w:ind w:left="2070" w:hanging="360"/>
      </w:pPr>
      <w:rPr>
        <w:rFonts w:ascii="Wingdings" w:hAnsi="Wingdings" w:hint="default"/>
        <w:sz w:val="20"/>
      </w:rPr>
    </w:lvl>
    <w:lvl w:ilvl="3" w:tentative="1">
      <w:start w:val="1"/>
      <w:numFmt w:val="bullet"/>
      <w:lvlText w:val=""/>
      <w:lvlJc w:val="left"/>
      <w:pPr>
        <w:tabs>
          <w:tab w:val="num" w:pos="2790"/>
        </w:tabs>
        <w:ind w:left="2790" w:hanging="360"/>
      </w:pPr>
      <w:rPr>
        <w:rFonts w:ascii="Wingdings" w:hAnsi="Wingdings" w:hint="default"/>
        <w:sz w:val="20"/>
      </w:rPr>
    </w:lvl>
    <w:lvl w:ilvl="4" w:tentative="1">
      <w:start w:val="1"/>
      <w:numFmt w:val="bullet"/>
      <w:lvlText w:val=""/>
      <w:lvlJc w:val="left"/>
      <w:pPr>
        <w:tabs>
          <w:tab w:val="num" w:pos="3510"/>
        </w:tabs>
        <w:ind w:left="3510" w:hanging="360"/>
      </w:pPr>
      <w:rPr>
        <w:rFonts w:ascii="Wingdings" w:hAnsi="Wingdings" w:hint="default"/>
        <w:sz w:val="20"/>
      </w:rPr>
    </w:lvl>
    <w:lvl w:ilvl="5" w:tentative="1">
      <w:start w:val="1"/>
      <w:numFmt w:val="bullet"/>
      <w:lvlText w:val=""/>
      <w:lvlJc w:val="left"/>
      <w:pPr>
        <w:tabs>
          <w:tab w:val="num" w:pos="4230"/>
        </w:tabs>
        <w:ind w:left="4230" w:hanging="360"/>
      </w:pPr>
      <w:rPr>
        <w:rFonts w:ascii="Wingdings" w:hAnsi="Wingdings" w:hint="default"/>
        <w:sz w:val="20"/>
      </w:rPr>
    </w:lvl>
    <w:lvl w:ilvl="6" w:tentative="1">
      <w:start w:val="1"/>
      <w:numFmt w:val="bullet"/>
      <w:lvlText w:val=""/>
      <w:lvlJc w:val="left"/>
      <w:pPr>
        <w:tabs>
          <w:tab w:val="num" w:pos="4950"/>
        </w:tabs>
        <w:ind w:left="4950" w:hanging="360"/>
      </w:pPr>
      <w:rPr>
        <w:rFonts w:ascii="Wingdings" w:hAnsi="Wingdings" w:hint="default"/>
        <w:sz w:val="20"/>
      </w:rPr>
    </w:lvl>
    <w:lvl w:ilvl="7" w:tentative="1">
      <w:start w:val="1"/>
      <w:numFmt w:val="bullet"/>
      <w:lvlText w:val=""/>
      <w:lvlJc w:val="left"/>
      <w:pPr>
        <w:tabs>
          <w:tab w:val="num" w:pos="5670"/>
        </w:tabs>
        <w:ind w:left="5670" w:hanging="360"/>
      </w:pPr>
      <w:rPr>
        <w:rFonts w:ascii="Wingdings" w:hAnsi="Wingdings" w:hint="default"/>
        <w:sz w:val="20"/>
      </w:rPr>
    </w:lvl>
    <w:lvl w:ilvl="8" w:tentative="1">
      <w:start w:val="1"/>
      <w:numFmt w:val="bullet"/>
      <w:lvlText w:val=""/>
      <w:lvlJc w:val="left"/>
      <w:pPr>
        <w:tabs>
          <w:tab w:val="num" w:pos="6390"/>
        </w:tabs>
        <w:ind w:left="6390" w:hanging="360"/>
      </w:pPr>
      <w:rPr>
        <w:rFonts w:ascii="Wingdings" w:hAnsi="Wingdings" w:hint="default"/>
        <w:sz w:val="20"/>
      </w:rPr>
    </w:lvl>
  </w:abstractNum>
  <w:abstractNum w:abstractNumId="9" w15:restartNumberingAfterBreak="0">
    <w:nsid w:val="5F882E4E"/>
    <w:multiLevelType w:val="hybridMultilevel"/>
    <w:tmpl w:val="117E9384"/>
    <w:lvl w:ilvl="0" w:tplc="B512186A">
      <w:start w:val="1"/>
      <w:numFmt w:val="decimal"/>
      <w:lvlText w:val="%1."/>
      <w:lvlJc w:val="left"/>
      <w:pPr>
        <w:ind w:left="345" w:hanging="360"/>
      </w:pPr>
      <w:rPr>
        <w:rFonts w:hint="default"/>
        <w:b w:val="0"/>
        <w:bCs/>
      </w:r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10" w15:restartNumberingAfterBreak="0">
    <w:nsid w:val="6F320F96"/>
    <w:multiLevelType w:val="multilevel"/>
    <w:tmpl w:val="44501710"/>
    <w:lvl w:ilvl="0">
      <w:start w:val="1"/>
      <w:numFmt w:val="bullet"/>
      <w:lvlText w:val=""/>
      <w:lvlJc w:val="left"/>
      <w:pPr>
        <w:tabs>
          <w:tab w:val="num" w:pos="630"/>
        </w:tabs>
        <w:ind w:left="630" w:hanging="360"/>
      </w:pPr>
      <w:rPr>
        <w:rFonts w:ascii="Wingdings" w:hAnsi="Wingdings" w:hint="default"/>
        <w:sz w:val="20"/>
      </w:rPr>
    </w:lvl>
    <w:lvl w:ilvl="1" w:tentative="1">
      <w:start w:val="1"/>
      <w:numFmt w:val="bullet"/>
      <w:lvlText w:val="o"/>
      <w:lvlJc w:val="left"/>
      <w:pPr>
        <w:tabs>
          <w:tab w:val="num" w:pos="1350"/>
        </w:tabs>
        <w:ind w:left="1350" w:hanging="360"/>
      </w:pPr>
      <w:rPr>
        <w:rFonts w:ascii="Courier New" w:hAnsi="Courier New" w:hint="default"/>
        <w:sz w:val="20"/>
      </w:rPr>
    </w:lvl>
    <w:lvl w:ilvl="2" w:tentative="1">
      <w:start w:val="1"/>
      <w:numFmt w:val="bullet"/>
      <w:lvlText w:val=""/>
      <w:lvlJc w:val="left"/>
      <w:pPr>
        <w:tabs>
          <w:tab w:val="num" w:pos="2070"/>
        </w:tabs>
        <w:ind w:left="2070" w:hanging="360"/>
      </w:pPr>
      <w:rPr>
        <w:rFonts w:ascii="Wingdings" w:hAnsi="Wingdings" w:hint="default"/>
        <w:sz w:val="20"/>
      </w:rPr>
    </w:lvl>
    <w:lvl w:ilvl="3" w:tentative="1">
      <w:start w:val="1"/>
      <w:numFmt w:val="bullet"/>
      <w:lvlText w:val=""/>
      <w:lvlJc w:val="left"/>
      <w:pPr>
        <w:tabs>
          <w:tab w:val="num" w:pos="2790"/>
        </w:tabs>
        <w:ind w:left="2790" w:hanging="360"/>
      </w:pPr>
      <w:rPr>
        <w:rFonts w:ascii="Wingdings" w:hAnsi="Wingdings" w:hint="default"/>
        <w:sz w:val="20"/>
      </w:rPr>
    </w:lvl>
    <w:lvl w:ilvl="4" w:tentative="1">
      <w:start w:val="1"/>
      <w:numFmt w:val="bullet"/>
      <w:lvlText w:val=""/>
      <w:lvlJc w:val="left"/>
      <w:pPr>
        <w:tabs>
          <w:tab w:val="num" w:pos="3510"/>
        </w:tabs>
        <w:ind w:left="3510" w:hanging="360"/>
      </w:pPr>
      <w:rPr>
        <w:rFonts w:ascii="Wingdings" w:hAnsi="Wingdings" w:hint="default"/>
        <w:sz w:val="20"/>
      </w:rPr>
    </w:lvl>
    <w:lvl w:ilvl="5" w:tentative="1">
      <w:start w:val="1"/>
      <w:numFmt w:val="bullet"/>
      <w:lvlText w:val=""/>
      <w:lvlJc w:val="left"/>
      <w:pPr>
        <w:tabs>
          <w:tab w:val="num" w:pos="4230"/>
        </w:tabs>
        <w:ind w:left="4230" w:hanging="360"/>
      </w:pPr>
      <w:rPr>
        <w:rFonts w:ascii="Wingdings" w:hAnsi="Wingdings" w:hint="default"/>
        <w:sz w:val="20"/>
      </w:rPr>
    </w:lvl>
    <w:lvl w:ilvl="6" w:tentative="1">
      <w:start w:val="1"/>
      <w:numFmt w:val="bullet"/>
      <w:lvlText w:val=""/>
      <w:lvlJc w:val="left"/>
      <w:pPr>
        <w:tabs>
          <w:tab w:val="num" w:pos="4950"/>
        </w:tabs>
        <w:ind w:left="4950" w:hanging="360"/>
      </w:pPr>
      <w:rPr>
        <w:rFonts w:ascii="Wingdings" w:hAnsi="Wingdings" w:hint="default"/>
        <w:sz w:val="20"/>
      </w:rPr>
    </w:lvl>
    <w:lvl w:ilvl="7" w:tentative="1">
      <w:start w:val="1"/>
      <w:numFmt w:val="bullet"/>
      <w:lvlText w:val=""/>
      <w:lvlJc w:val="left"/>
      <w:pPr>
        <w:tabs>
          <w:tab w:val="num" w:pos="5670"/>
        </w:tabs>
        <w:ind w:left="5670" w:hanging="360"/>
      </w:pPr>
      <w:rPr>
        <w:rFonts w:ascii="Wingdings" w:hAnsi="Wingdings" w:hint="default"/>
        <w:sz w:val="20"/>
      </w:rPr>
    </w:lvl>
    <w:lvl w:ilvl="8" w:tentative="1">
      <w:start w:val="1"/>
      <w:numFmt w:val="bullet"/>
      <w:lvlText w:val=""/>
      <w:lvlJc w:val="left"/>
      <w:pPr>
        <w:tabs>
          <w:tab w:val="num" w:pos="6390"/>
        </w:tabs>
        <w:ind w:left="6390" w:hanging="360"/>
      </w:pPr>
      <w:rPr>
        <w:rFonts w:ascii="Wingdings" w:hAnsi="Wingdings" w:hint="default"/>
        <w:sz w:val="20"/>
      </w:rPr>
    </w:lvl>
  </w:abstractNum>
  <w:abstractNum w:abstractNumId="11" w15:restartNumberingAfterBreak="0">
    <w:nsid w:val="7AC11F92"/>
    <w:multiLevelType w:val="multilevel"/>
    <w:tmpl w:val="1D6E820E"/>
    <w:lvl w:ilvl="0">
      <w:start w:val="1"/>
      <w:numFmt w:val="bullet"/>
      <w:lvlText w:val=""/>
      <w:lvlJc w:val="left"/>
      <w:pPr>
        <w:tabs>
          <w:tab w:val="num" w:pos="630"/>
        </w:tabs>
        <w:ind w:left="630" w:hanging="360"/>
      </w:pPr>
      <w:rPr>
        <w:rFonts w:ascii="Wingdings" w:hAnsi="Wingdings" w:hint="default"/>
        <w:sz w:val="20"/>
      </w:rPr>
    </w:lvl>
    <w:lvl w:ilvl="1" w:tentative="1">
      <w:start w:val="1"/>
      <w:numFmt w:val="bullet"/>
      <w:lvlText w:val="o"/>
      <w:lvlJc w:val="left"/>
      <w:pPr>
        <w:tabs>
          <w:tab w:val="num" w:pos="1350"/>
        </w:tabs>
        <w:ind w:left="1350" w:hanging="360"/>
      </w:pPr>
      <w:rPr>
        <w:rFonts w:ascii="Courier New" w:hAnsi="Courier New" w:hint="default"/>
        <w:sz w:val="20"/>
      </w:rPr>
    </w:lvl>
    <w:lvl w:ilvl="2" w:tentative="1">
      <w:start w:val="1"/>
      <w:numFmt w:val="bullet"/>
      <w:lvlText w:val=""/>
      <w:lvlJc w:val="left"/>
      <w:pPr>
        <w:tabs>
          <w:tab w:val="num" w:pos="2070"/>
        </w:tabs>
        <w:ind w:left="2070" w:hanging="360"/>
      </w:pPr>
      <w:rPr>
        <w:rFonts w:ascii="Wingdings" w:hAnsi="Wingdings" w:hint="default"/>
        <w:sz w:val="20"/>
      </w:rPr>
    </w:lvl>
    <w:lvl w:ilvl="3" w:tentative="1">
      <w:start w:val="1"/>
      <w:numFmt w:val="bullet"/>
      <w:lvlText w:val=""/>
      <w:lvlJc w:val="left"/>
      <w:pPr>
        <w:tabs>
          <w:tab w:val="num" w:pos="2790"/>
        </w:tabs>
        <w:ind w:left="2790" w:hanging="360"/>
      </w:pPr>
      <w:rPr>
        <w:rFonts w:ascii="Wingdings" w:hAnsi="Wingdings" w:hint="default"/>
        <w:sz w:val="20"/>
      </w:rPr>
    </w:lvl>
    <w:lvl w:ilvl="4" w:tentative="1">
      <w:start w:val="1"/>
      <w:numFmt w:val="bullet"/>
      <w:lvlText w:val=""/>
      <w:lvlJc w:val="left"/>
      <w:pPr>
        <w:tabs>
          <w:tab w:val="num" w:pos="3510"/>
        </w:tabs>
        <w:ind w:left="3510" w:hanging="360"/>
      </w:pPr>
      <w:rPr>
        <w:rFonts w:ascii="Wingdings" w:hAnsi="Wingdings" w:hint="default"/>
        <w:sz w:val="20"/>
      </w:rPr>
    </w:lvl>
    <w:lvl w:ilvl="5" w:tentative="1">
      <w:start w:val="1"/>
      <w:numFmt w:val="bullet"/>
      <w:lvlText w:val=""/>
      <w:lvlJc w:val="left"/>
      <w:pPr>
        <w:tabs>
          <w:tab w:val="num" w:pos="4230"/>
        </w:tabs>
        <w:ind w:left="4230" w:hanging="360"/>
      </w:pPr>
      <w:rPr>
        <w:rFonts w:ascii="Wingdings" w:hAnsi="Wingdings" w:hint="default"/>
        <w:sz w:val="20"/>
      </w:rPr>
    </w:lvl>
    <w:lvl w:ilvl="6" w:tentative="1">
      <w:start w:val="1"/>
      <w:numFmt w:val="bullet"/>
      <w:lvlText w:val=""/>
      <w:lvlJc w:val="left"/>
      <w:pPr>
        <w:tabs>
          <w:tab w:val="num" w:pos="4950"/>
        </w:tabs>
        <w:ind w:left="4950" w:hanging="360"/>
      </w:pPr>
      <w:rPr>
        <w:rFonts w:ascii="Wingdings" w:hAnsi="Wingdings" w:hint="default"/>
        <w:sz w:val="20"/>
      </w:rPr>
    </w:lvl>
    <w:lvl w:ilvl="7" w:tentative="1">
      <w:start w:val="1"/>
      <w:numFmt w:val="bullet"/>
      <w:lvlText w:val=""/>
      <w:lvlJc w:val="left"/>
      <w:pPr>
        <w:tabs>
          <w:tab w:val="num" w:pos="5670"/>
        </w:tabs>
        <w:ind w:left="5670" w:hanging="360"/>
      </w:pPr>
      <w:rPr>
        <w:rFonts w:ascii="Wingdings" w:hAnsi="Wingdings" w:hint="default"/>
        <w:sz w:val="20"/>
      </w:rPr>
    </w:lvl>
    <w:lvl w:ilvl="8" w:tentative="1">
      <w:start w:val="1"/>
      <w:numFmt w:val="bullet"/>
      <w:lvlText w:val=""/>
      <w:lvlJc w:val="left"/>
      <w:pPr>
        <w:tabs>
          <w:tab w:val="num" w:pos="6390"/>
        </w:tabs>
        <w:ind w:left="6390" w:hanging="360"/>
      </w:pPr>
      <w:rPr>
        <w:rFonts w:ascii="Wingdings" w:hAnsi="Wingdings" w:hint="default"/>
        <w:sz w:val="20"/>
      </w:rPr>
    </w:lvl>
  </w:abstractNum>
  <w:num w:numId="1" w16cid:durableId="924071579">
    <w:abstractNumId w:val="1"/>
  </w:num>
  <w:num w:numId="2" w16cid:durableId="1318799672">
    <w:abstractNumId w:val="9"/>
  </w:num>
  <w:num w:numId="3" w16cid:durableId="235626749">
    <w:abstractNumId w:val="5"/>
  </w:num>
  <w:num w:numId="4" w16cid:durableId="525408950">
    <w:abstractNumId w:val="2"/>
  </w:num>
  <w:num w:numId="5" w16cid:durableId="989600432">
    <w:abstractNumId w:val="10"/>
  </w:num>
  <w:num w:numId="6" w16cid:durableId="421607998">
    <w:abstractNumId w:val="0"/>
  </w:num>
  <w:num w:numId="7" w16cid:durableId="1252660855">
    <w:abstractNumId w:val="4"/>
  </w:num>
  <w:num w:numId="8" w16cid:durableId="801656404">
    <w:abstractNumId w:val="11"/>
  </w:num>
  <w:num w:numId="9" w16cid:durableId="809244875">
    <w:abstractNumId w:val="6"/>
  </w:num>
  <w:num w:numId="10" w16cid:durableId="183133044">
    <w:abstractNumId w:val="8"/>
  </w:num>
  <w:num w:numId="11" w16cid:durableId="181168363">
    <w:abstractNumId w:val="3"/>
  </w:num>
  <w:num w:numId="12" w16cid:durableId="81109968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4F7C"/>
    <w:rsid w:val="00037BF4"/>
    <w:rsid w:val="00074346"/>
    <w:rsid w:val="0009191B"/>
    <w:rsid w:val="000C4EC5"/>
    <w:rsid w:val="00264F7C"/>
    <w:rsid w:val="002D00D8"/>
    <w:rsid w:val="00397CE2"/>
    <w:rsid w:val="004148C9"/>
    <w:rsid w:val="00432526"/>
    <w:rsid w:val="00480F06"/>
    <w:rsid w:val="00491A49"/>
    <w:rsid w:val="00554DCD"/>
    <w:rsid w:val="00554F36"/>
    <w:rsid w:val="00596E9C"/>
    <w:rsid w:val="006200A0"/>
    <w:rsid w:val="006B5391"/>
    <w:rsid w:val="007A581C"/>
    <w:rsid w:val="0084261C"/>
    <w:rsid w:val="00864A15"/>
    <w:rsid w:val="008C4B4F"/>
    <w:rsid w:val="00951DB3"/>
    <w:rsid w:val="00990142"/>
    <w:rsid w:val="00B8611B"/>
    <w:rsid w:val="00B9343D"/>
    <w:rsid w:val="00C07B5B"/>
    <w:rsid w:val="00CF7236"/>
    <w:rsid w:val="00E06301"/>
    <w:rsid w:val="00E542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2CDF5E"/>
  <w15:docId w15:val="{BC4709D2-B1F2-4B1F-BD94-3AE5B488D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oboto" w:hAnsi="Roboto" w:cs="Roboto"/>
        <w:color w:val="666666"/>
        <w:sz w:val="22"/>
        <w:szCs w:val="22"/>
        <w:lang w:val="en" w:eastAsia="en-US" w:bidi="ar-SA"/>
      </w:rPr>
    </w:rPrDefault>
    <w:pPrDefault>
      <w:pPr>
        <w:spacing w:before="200" w:line="335" w:lineRule="auto"/>
        <w:ind w:left="-1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480" w:line="240" w:lineRule="auto"/>
      <w:outlineLvl w:val="0"/>
    </w:pPr>
    <w:rPr>
      <w:color w:val="000000"/>
      <w:sz w:val="32"/>
      <w:szCs w:val="32"/>
    </w:rPr>
  </w:style>
  <w:style w:type="paragraph" w:styleId="Heading2">
    <w:name w:val="heading 2"/>
    <w:basedOn w:val="Normal"/>
    <w:next w:val="Normal"/>
    <w:uiPriority w:val="9"/>
    <w:semiHidden/>
    <w:unhideWhenUsed/>
    <w:qFormat/>
    <w:pPr>
      <w:spacing w:before="320" w:line="240" w:lineRule="auto"/>
      <w:ind w:left="720" w:hanging="360"/>
      <w:outlineLvl w:val="1"/>
    </w:pPr>
    <w:rPr>
      <w:color w:val="000000"/>
      <w:sz w:val="24"/>
      <w:szCs w:val="24"/>
    </w:rPr>
  </w:style>
  <w:style w:type="paragraph" w:styleId="Heading3">
    <w:name w:val="heading 3"/>
    <w:basedOn w:val="Normal"/>
    <w:next w:val="Normal"/>
    <w:uiPriority w:val="9"/>
    <w:semiHidden/>
    <w:unhideWhenUsed/>
    <w:qFormat/>
    <w:pPr>
      <w:spacing w:line="240" w:lineRule="auto"/>
      <w:outlineLvl w:val="2"/>
    </w:pPr>
    <w:rPr>
      <w:b/>
      <w:color w:val="E01B84"/>
      <w:sz w:val="24"/>
      <w:szCs w:val="24"/>
    </w:rPr>
  </w:style>
  <w:style w:type="paragraph" w:styleId="Heading4">
    <w:name w:val="heading 4"/>
    <w:basedOn w:val="Normal"/>
    <w:next w:val="Normal"/>
    <w:uiPriority w:val="9"/>
    <w:semiHidden/>
    <w:unhideWhenUsed/>
    <w:qFormat/>
    <w:pPr>
      <w:keepNext/>
      <w:keepLines/>
      <w:spacing w:before="0"/>
      <w:outlineLvl w:val="3"/>
    </w:pPr>
    <w:rPr>
      <w:b/>
      <w:color w:val="6D64E8"/>
      <w:sz w:val="40"/>
      <w:szCs w:val="40"/>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400" w:line="240" w:lineRule="auto"/>
    </w:pPr>
    <w:rPr>
      <w:color w:val="283592"/>
      <w:sz w:val="68"/>
      <w:szCs w:val="68"/>
    </w:rPr>
  </w:style>
  <w:style w:type="paragraph" w:styleId="Subtitle">
    <w:name w:val="Subtitle"/>
    <w:basedOn w:val="Normal"/>
    <w:next w:val="Normal"/>
    <w:uiPriority w:val="11"/>
    <w:qFormat/>
    <w:rPr>
      <w:color w:val="E01B84"/>
    </w:rPr>
  </w:style>
  <w:style w:type="paragraph" w:styleId="Header">
    <w:name w:val="header"/>
    <w:basedOn w:val="Normal"/>
    <w:link w:val="HeaderChar"/>
    <w:uiPriority w:val="99"/>
    <w:unhideWhenUsed/>
    <w:rsid w:val="004148C9"/>
    <w:pPr>
      <w:tabs>
        <w:tab w:val="center" w:pos="4680"/>
        <w:tab w:val="right" w:pos="9360"/>
      </w:tabs>
      <w:spacing w:before="0" w:line="240" w:lineRule="auto"/>
    </w:pPr>
  </w:style>
  <w:style w:type="character" w:customStyle="1" w:styleId="HeaderChar">
    <w:name w:val="Header Char"/>
    <w:basedOn w:val="DefaultParagraphFont"/>
    <w:link w:val="Header"/>
    <w:uiPriority w:val="99"/>
    <w:rsid w:val="004148C9"/>
  </w:style>
  <w:style w:type="paragraph" w:styleId="Footer">
    <w:name w:val="footer"/>
    <w:basedOn w:val="Normal"/>
    <w:link w:val="FooterChar"/>
    <w:uiPriority w:val="99"/>
    <w:unhideWhenUsed/>
    <w:rsid w:val="004148C9"/>
    <w:pPr>
      <w:tabs>
        <w:tab w:val="center" w:pos="4680"/>
        <w:tab w:val="right" w:pos="9360"/>
      </w:tabs>
      <w:spacing w:before="0" w:line="240" w:lineRule="auto"/>
    </w:pPr>
  </w:style>
  <w:style w:type="character" w:customStyle="1" w:styleId="FooterChar">
    <w:name w:val="Footer Char"/>
    <w:basedOn w:val="DefaultParagraphFont"/>
    <w:link w:val="Footer"/>
    <w:uiPriority w:val="99"/>
    <w:rsid w:val="004148C9"/>
  </w:style>
  <w:style w:type="paragraph" w:styleId="ListParagraph">
    <w:name w:val="List Paragraph"/>
    <w:basedOn w:val="Normal"/>
    <w:uiPriority w:val="34"/>
    <w:qFormat/>
    <w:rsid w:val="00397CE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1193670">
      <w:bodyDiv w:val="1"/>
      <w:marLeft w:val="0"/>
      <w:marRight w:val="0"/>
      <w:marTop w:val="0"/>
      <w:marBottom w:val="0"/>
      <w:divBdr>
        <w:top w:val="none" w:sz="0" w:space="0" w:color="auto"/>
        <w:left w:val="none" w:sz="0" w:space="0" w:color="auto"/>
        <w:bottom w:val="none" w:sz="0" w:space="0" w:color="auto"/>
        <w:right w:val="none" w:sz="0" w:space="0" w:color="auto"/>
      </w:divBdr>
      <w:divsChild>
        <w:div w:id="147526628">
          <w:marLeft w:val="0"/>
          <w:marRight w:val="0"/>
          <w:marTop w:val="0"/>
          <w:marBottom w:val="0"/>
          <w:divBdr>
            <w:top w:val="none" w:sz="0" w:space="0" w:color="auto"/>
            <w:left w:val="none" w:sz="0" w:space="0" w:color="auto"/>
            <w:bottom w:val="none" w:sz="0" w:space="0" w:color="auto"/>
            <w:right w:val="none" w:sz="0" w:space="0" w:color="auto"/>
          </w:divBdr>
          <w:divsChild>
            <w:div w:id="1451432371">
              <w:marLeft w:val="0"/>
              <w:marRight w:val="0"/>
              <w:marTop w:val="0"/>
              <w:marBottom w:val="0"/>
              <w:divBdr>
                <w:top w:val="none" w:sz="0" w:space="0" w:color="auto"/>
                <w:left w:val="none" w:sz="0" w:space="0" w:color="auto"/>
                <w:bottom w:val="none" w:sz="0" w:space="0" w:color="auto"/>
                <w:right w:val="none" w:sz="0" w:space="0" w:color="auto"/>
              </w:divBdr>
              <w:divsChild>
                <w:div w:id="1763918915">
                  <w:marLeft w:val="0"/>
                  <w:marRight w:val="0"/>
                  <w:marTop w:val="0"/>
                  <w:marBottom w:val="0"/>
                  <w:divBdr>
                    <w:top w:val="none" w:sz="0" w:space="0" w:color="auto"/>
                    <w:left w:val="none" w:sz="0" w:space="0" w:color="auto"/>
                    <w:bottom w:val="none" w:sz="0" w:space="0" w:color="auto"/>
                    <w:right w:val="none" w:sz="0" w:space="0" w:color="auto"/>
                  </w:divBdr>
                  <w:divsChild>
                    <w:div w:id="632759605">
                      <w:marLeft w:val="0"/>
                      <w:marRight w:val="0"/>
                      <w:marTop w:val="0"/>
                      <w:marBottom w:val="0"/>
                      <w:divBdr>
                        <w:top w:val="none" w:sz="0" w:space="0" w:color="auto"/>
                        <w:left w:val="none" w:sz="0" w:space="0" w:color="auto"/>
                        <w:bottom w:val="none" w:sz="0" w:space="0" w:color="auto"/>
                        <w:right w:val="none" w:sz="0" w:space="0" w:color="auto"/>
                      </w:divBdr>
                      <w:divsChild>
                        <w:div w:id="963848646">
                          <w:marLeft w:val="0"/>
                          <w:marRight w:val="0"/>
                          <w:marTop w:val="0"/>
                          <w:marBottom w:val="0"/>
                          <w:divBdr>
                            <w:top w:val="none" w:sz="0" w:space="0" w:color="auto"/>
                            <w:left w:val="none" w:sz="0" w:space="0" w:color="auto"/>
                            <w:bottom w:val="none" w:sz="0" w:space="0" w:color="auto"/>
                            <w:right w:val="none" w:sz="0" w:space="0" w:color="auto"/>
                          </w:divBdr>
                          <w:divsChild>
                            <w:div w:id="1063485207">
                              <w:marLeft w:val="0"/>
                              <w:marRight w:val="0"/>
                              <w:marTop w:val="0"/>
                              <w:marBottom w:val="0"/>
                              <w:divBdr>
                                <w:top w:val="none" w:sz="0" w:space="0" w:color="auto"/>
                                <w:left w:val="none" w:sz="0" w:space="0" w:color="auto"/>
                                <w:bottom w:val="none" w:sz="0" w:space="0" w:color="auto"/>
                                <w:right w:val="none" w:sz="0" w:space="0" w:color="auto"/>
                              </w:divBdr>
                              <w:divsChild>
                                <w:div w:id="36857221">
                                  <w:marLeft w:val="0"/>
                                  <w:marRight w:val="0"/>
                                  <w:marTop w:val="0"/>
                                  <w:marBottom w:val="0"/>
                                  <w:divBdr>
                                    <w:top w:val="none" w:sz="0" w:space="0" w:color="auto"/>
                                    <w:left w:val="none" w:sz="0" w:space="0" w:color="auto"/>
                                    <w:bottom w:val="none" w:sz="0" w:space="0" w:color="auto"/>
                                    <w:right w:val="none" w:sz="0" w:space="0" w:color="auto"/>
                                  </w:divBdr>
                                  <w:divsChild>
                                    <w:div w:id="242449653">
                                      <w:marLeft w:val="0"/>
                                      <w:marRight w:val="0"/>
                                      <w:marTop w:val="0"/>
                                      <w:marBottom w:val="0"/>
                                      <w:divBdr>
                                        <w:top w:val="none" w:sz="0" w:space="0" w:color="auto"/>
                                        <w:left w:val="none" w:sz="0" w:space="0" w:color="auto"/>
                                        <w:bottom w:val="none" w:sz="0" w:space="0" w:color="auto"/>
                                        <w:right w:val="none" w:sz="0" w:space="0" w:color="auto"/>
                                      </w:divBdr>
                                      <w:divsChild>
                                        <w:div w:id="2009407317">
                                          <w:marLeft w:val="0"/>
                                          <w:marRight w:val="0"/>
                                          <w:marTop w:val="0"/>
                                          <w:marBottom w:val="0"/>
                                          <w:divBdr>
                                            <w:top w:val="none" w:sz="0" w:space="0" w:color="auto"/>
                                            <w:left w:val="none" w:sz="0" w:space="0" w:color="auto"/>
                                            <w:bottom w:val="none" w:sz="0" w:space="0" w:color="auto"/>
                                            <w:right w:val="none" w:sz="0" w:space="0" w:color="auto"/>
                                          </w:divBdr>
                                          <w:divsChild>
                                            <w:div w:id="2105297635">
                                              <w:marLeft w:val="0"/>
                                              <w:marRight w:val="0"/>
                                              <w:marTop w:val="0"/>
                                              <w:marBottom w:val="0"/>
                                              <w:divBdr>
                                                <w:top w:val="none" w:sz="0" w:space="0" w:color="auto"/>
                                                <w:left w:val="none" w:sz="0" w:space="0" w:color="auto"/>
                                                <w:bottom w:val="none" w:sz="0" w:space="0" w:color="auto"/>
                                                <w:right w:val="none" w:sz="0" w:space="0" w:color="auto"/>
                                              </w:divBdr>
                                              <w:divsChild>
                                                <w:div w:id="1577007568">
                                                  <w:marLeft w:val="0"/>
                                                  <w:marRight w:val="0"/>
                                                  <w:marTop w:val="0"/>
                                                  <w:marBottom w:val="0"/>
                                                  <w:divBdr>
                                                    <w:top w:val="none" w:sz="0" w:space="0" w:color="auto"/>
                                                    <w:left w:val="none" w:sz="0" w:space="0" w:color="auto"/>
                                                    <w:bottom w:val="none" w:sz="0" w:space="0" w:color="auto"/>
                                                    <w:right w:val="none" w:sz="0" w:space="0" w:color="auto"/>
                                                  </w:divBdr>
                                                  <w:divsChild>
                                                    <w:div w:id="411439521">
                                                      <w:marLeft w:val="0"/>
                                                      <w:marRight w:val="0"/>
                                                      <w:marTop w:val="0"/>
                                                      <w:marBottom w:val="0"/>
                                                      <w:divBdr>
                                                        <w:top w:val="none" w:sz="0" w:space="0" w:color="auto"/>
                                                        <w:left w:val="none" w:sz="0" w:space="0" w:color="auto"/>
                                                        <w:bottom w:val="none" w:sz="0" w:space="0" w:color="auto"/>
                                                        <w:right w:val="none" w:sz="0" w:space="0" w:color="auto"/>
                                                      </w:divBdr>
                                                      <w:divsChild>
                                                        <w:div w:id="41420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1050</Words>
  <Characters>6524</Characters>
  <Application>Microsoft Office Word</Application>
  <DocSecurity>0</DocSecurity>
  <Lines>105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melvin stamps</cp:lastModifiedBy>
  <cp:revision>2</cp:revision>
  <cp:lastPrinted>2025-10-15T15:54:00Z</cp:lastPrinted>
  <dcterms:created xsi:type="dcterms:W3CDTF">2025-10-15T16:06:00Z</dcterms:created>
  <dcterms:modified xsi:type="dcterms:W3CDTF">2025-10-15T16:06:00Z</dcterms:modified>
</cp:coreProperties>
</file>