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1E466" w14:textId="3FC00140" w:rsidR="00AB3A1B" w:rsidRPr="0002169C" w:rsidRDefault="00AB3A1B" w:rsidP="00AB3A1B">
      <w:pPr>
        <w:rPr>
          <w:rFonts w:ascii="Microsoft YaHei UI Light" w:eastAsia="Microsoft YaHei UI Light" w:hAnsi="Microsoft YaHei UI Light"/>
          <w:b/>
          <w:bCs/>
          <w:color w:val="44546A" w:themeColor="text2"/>
          <w:spacing w:val="20"/>
          <w:sz w:val="18"/>
          <w:szCs w:val="18"/>
        </w:rPr>
      </w:pPr>
      <w:r>
        <w:rPr>
          <w:rFonts w:ascii="Microsoft YaHei UI Light" w:eastAsia="Microsoft YaHei UI Light" w:hAnsi="Microsoft YaHei UI Light"/>
          <w:b/>
          <w:bCs/>
          <w:color w:val="44546A" w:themeColor="text2"/>
          <w:spacing w:val="20"/>
          <w:sz w:val="18"/>
          <w:szCs w:val="18"/>
        </w:rPr>
        <w:t>CURRICULUM VITAE</w:t>
      </w:r>
    </w:p>
    <w:p w14:paraId="47540894" w14:textId="77777777" w:rsidR="00AB3A1B" w:rsidRDefault="00AB3A1B" w:rsidP="00AB3A1B"/>
    <w:p w14:paraId="7E7302AF" w14:textId="62818996" w:rsidR="008C1EB8" w:rsidRDefault="00AB3A1B" w:rsidP="002D6C72">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 xml:space="preserve">Michael is a highly regarded commercial litigator with extensive experience as senior counsel appearing in the High Court and Court of Appeal. Michael also appears before arbitrators and tribunals and regularly represents clients in mediations.  </w:t>
      </w:r>
    </w:p>
    <w:p w14:paraId="67E450AB" w14:textId="77777777" w:rsidR="001969EE" w:rsidRDefault="001969EE" w:rsidP="002D6C72">
      <w:pPr>
        <w:rPr>
          <w:rFonts w:ascii="Microsoft YaHei UI Light" w:eastAsia="Microsoft YaHei UI Light" w:hAnsi="Microsoft YaHei UI Light"/>
          <w:color w:val="44546A" w:themeColor="text2"/>
          <w:spacing w:val="20"/>
          <w:sz w:val="16"/>
          <w:szCs w:val="16"/>
        </w:rPr>
      </w:pPr>
    </w:p>
    <w:p w14:paraId="785DB66D" w14:textId="77777777" w:rsidR="008C1EB8" w:rsidRPr="008C1EB8" w:rsidRDefault="008C1EB8" w:rsidP="008C1EB8">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 xml:space="preserve">He practices across the full range of commercial litigation, but has particular expertise in contractual disputes, civil fraud, corporate law, joint venture/fiduciary duties, finance and securities, insolvency, professional negligence, trust and property disputes, and with extensive experience in the primary sector.  </w:t>
      </w:r>
    </w:p>
    <w:p w14:paraId="3E2C5D9F" w14:textId="77777777" w:rsidR="008C1EB8" w:rsidRPr="008C1EB8" w:rsidRDefault="008C1EB8" w:rsidP="008C1EB8">
      <w:pPr>
        <w:rPr>
          <w:rFonts w:ascii="Microsoft YaHei UI Light" w:eastAsia="Microsoft YaHei UI Light" w:hAnsi="Microsoft YaHei UI Light"/>
          <w:color w:val="44546A" w:themeColor="text2"/>
          <w:spacing w:val="20"/>
          <w:sz w:val="16"/>
          <w:szCs w:val="16"/>
        </w:rPr>
      </w:pPr>
    </w:p>
    <w:p w14:paraId="47107780" w14:textId="746B7BB1" w:rsidR="008C1EB8" w:rsidRPr="008C1EB8" w:rsidRDefault="008C1EB8" w:rsidP="008C1EB8">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In addition to his outstanding advocacy skills, Michael has broad commercial experience and excellent judgment, uniquely combined with his ability to win the trust of his clients and manage the human relationship dynamics of difficult conflicts.</w:t>
      </w:r>
    </w:p>
    <w:p w14:paraId="5DC54210" w14:textId="77777777" w:rsidR="008C1EB8" w:rsidRPr="008C1EB8" w:rsidRDefault="008C1EB8" w:rsidP="008C1EB8">
      <w:pPr>
        <w:rPr>
          <w:rFonts w:ascii="Microsoft YaHei UI Light" w:eastAsia="Microsoft YaHei UI Light" w:hAnsi="Microsoft YaHei UI Light"/>
          <w:color w:val="44546A" w:themeColor="text2"/>
          <w:spacing w:val="20"/>
          <w:sz w:val="16"/>
          <w:szCs w:val="16"/>
        </w:rPr>
      </w:pPr>
    </w:p>
    <w:p w14:paraId="73845479" w14:textId="77777777" w:rsidR="008C1EB8" w:rsidRPr="008C1EB8" w:rsidRDefault="008C1EB8" w:rsidP="008C1EB8">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Michael has acted for many corporate clients including StockCo Limited, Farmers Trading Co Limited,  Barkers Clothing Limited, Couplands Bakeries Limited, Mudajaya Corporation Berhad, Berkshire Fund III, Trimex PTY Limited (Groupe Clarins), Wanaka Medical Centre Limited,   SKP Incorporated, Blue Star Group (New Zealand) Limited,  Ford Pastoral Holdings Limited, Grazcare NZ Limited, Westland Milk Products,  Shell Oil NZ Limited, the Kuwait Investment Office and the state of Saudi Arabia.  He has also acted for various private clients in significant High Court proceedings and arbitrations.</w:t>
      </w:r>
    </w:p>
    <w:p w14:paraId="36A99F0B" w14:textId="77777777" w:rsidR="008C1EB8" w:rsidRPr="008C1EB8" w:rsidRDefault="008C1EB8" w:rsidP="008C1EB8">
      <w:pPr>
        <w:rPr>
          <w:rFonts w:ascii="Microsoft YaHei UI Light" w:eastAsia="Microsoft YaHei UI Light" w:hAnsi="Microsoft YaHei UI Light"/>
          <w:color w:val="44546A" w:themeColor="text2"/>
          <w:spacing w:val="20"/>
          <w:sz w:val="16"/>
          <w:szCs w:val="16"/>
        </w:rPr>
      </w:pPr>
    </w:p>
    <w:p w14:paraId="244730DB" w14:textId="77777777" w:rsidR="008C1EB8" w:rsidRPr="008C1EB8" w:rsidRDefault="008C1EB8" w:rsidP="008C1EB8">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 xml:space="preserve">Michael graduated from Victoria University of Wellington and was admitted as a barrister and solicitor of the New Zealand High Court in 1996.  He worked as a commercial litigator at Minter Ellison and from 2000 in London at the global firm of Baker &amp; McKenzie, having also been admitted to practise in England and Wales. </w:t>
      </w:r>
    </w:p>
    <w:p w14:paraId="5A29FC73" w14:textId="77777777" w:rsidR="008C1EB8" w:rsidRPr="008C1EB8" w:rsidRDefault="008C1EB8" w:rsidP="008C1EB8">
      <w:pPr>
        <w:rPr>
          <w:rFonts w:ascii="Microsoft YaHei UI Light" w:eastAsia="Microsoft YaHei UI Light" w:hAnsi="Microsoft YaHei UI Light"/>
          <w:color w:val="44546A" w:themeColor="text2"/>
          <w:spacing w:val="20"/>
          <w:sz w:val="16"/>
          <w:szCs w:val="16"/>
        </w:rPr>
      </w:pPr>
    </w:p>
    <w:p w14:paraId="17C6BF24" w14:textId="2ACFD5C1" w:rsidR="008C1EB8" w:rsidRPr="008C1EB8" w:rsidRDefault="008C1EB8" w:rsidP="008C1EB8">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 xml:space="preserve">Michael returned to New Zealand in late 2004 and since 2007 was the senior partner heading commercial/civil litigation teams in widely respected commercial law firms, including having established the key Auckland office of top commercial boutique firm, Morrison Mallett, in late 2016 (now Morrison Partners).   He moved to the independent bar when he joined Bankside Chambers in October 2023.  He was appointed to the Board of Directors of Bankside Chambers in 2025. </w:t>
      </w:r>
    </w:p>
    <w:p w14:paraId="3E9F891E" w14:textId="77777777" w:rsidR="008C1EB8" w:rsidRPr="008C1EB8" w:rsidRDefault="008C1EB8" w:rsidP="008C1EB8">
      <w:pPr>
        <w:rPr>
          <w:rFonts w:ascii="Microsoft YaHei UI Light" w:eastAsia="Microsoft YaHei UI Light" w:hAnsi="Microsoft YaHei UI Light"/>
          <w:color w:val="44546A" w:themeColor="text2"/>
          <w:spacing w:val="20"/>
          <w:sz w:val="16"/>
          <w:szCs w:val="16"/>
        </w:rPr>
      </w:pPr>
    </w:p>
    <w:p w14:paraId="4DF69B9D" w14:textId="77777777" w:rsidR="00D8768F" w:rsidRDefault="008C1EB8" w:rsidP="008C1EB8">
      <w:r>
        <w:rPr>
          <w:rFonts w:ascii="Microsoft YaHei UI Light" w:eastAsia="Microsoft YaHei UI Light" w:hAnsi="Microsoft YaHei UI Light"/>
          <w:color w:val="44546A" w:themeColor="text2"/>
          <w:spacing w:val="20"/>
          <w:sz w:val="16"/>
          <w:szCs w:val="16"/>
        </w:rPr>
        <w:t>In addition to Michael’s legal experience, he has played cricket to regional representative level in New Zealand and at premiere club and county (Middlesex) conference level in the UK.  Michael retains an involvement in cricket as a trustee of the Cornwall Cricket Development Foundation and vice president of the Cornwall Cricket Club. He is also an active and participating sailor at the Wakatere Boating Club on the North Shore in Auckland.</w:t>
      </w:r>
      <w:r>
        <w:t xml:space="preserve"> </w:t>
      </w:r>
    </w:p>
    <w:p w14:paraId="43C16B7E" w14:textId="77777777" w:rsidR="000D40E4" w:rsidRDefault="000D40E4" w:rsidP="008C1EB8"/>
    <w:p w14:paraId="2EAA1BBE" w14:textId="5A753700" w:rsidR="00CC4D90" w:rsidRDefault="00D8768F" w:rsidP="002D6C72">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 xml:space="preserve">Through his family Michael has an ongoing involvement and close interest in health and disability services, in particular through Starship Children’s Hospital.  </w:t>
      </w:r>
    </w:p>
    <w:p w14:paraId="75985A69" w14:textId="6245E68A" w:rsidR="00AB3A1B" w:rsidRPr="002D6C72" w:rsidRDefault="00AB3A1B" w:rsidP="002D6C72">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b/>
          <w:bCs/>
          <w:color w:val="44546A" w:themeColor="text2"/>
          <w:spacing w:val="20"/>
          <w:sz w:val="18"/>
          <w:szCs w:val="18"/>
        </w:rPr>
        <w:t>EDUCATION AND QUALIFICATIONS</w:t>
      </w:r>
    </w:p>
    <w:p w14:paraId="70D15DA3" w14:textId="77777777" w:rsidR="00AB3A1B" w:rsidRPr="005B3D48"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LLB, BA (Victoria University)</w:t>
      </w:r>
      <w:r>
        <w:rPr>
          <w:rFonts w:ascii="Microsoft YaHei UI Light" w:eastAsia="Microsoft YaHei UI Light" w:hAnsi="Microsoft YaHei UI Light"/>
          <w:color w:val="44546A" w:themeColor="text2"/>
          <w:spacing w:val="20"/>
          <w:sz w:val="16"/>
          <w:szCs w:val="16"/>
        </w:rPr>
        <w:br/>
      </w:r>
    </w:p>
    <w:p w14:paraId="2B021AD8" w14:textId="77777777" w:rsidR="00AB3A1B" w:rsidRPr="005B3D48"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Barrister and Solicitor of the High Court of New Zealand</w:t>
      </w:r>
      <w:r>
        <w:rPr>
          <w:rFonts w:ascii="Microsoft YaHei UI Light" w:eastAsia="Microsoft YaHei UI Light" w:hAnsi="Microsoft YaHei UI Light"/>
          <w:color w:val="44546A" w:themeColor="text2"/>
          <w:spacing w:val="20"/>
          <w:sz w:val="16"/>
          <w:szCs w:val="16"/>
        </w:rPr>
        <w:br/>
      </w:r>
    </w:p>
    <w:p w14:paraId="1946FEE8" w14:textId="77777777" w:rsidR="002D6C72" w:rsidRDefault="00AB3A1B" w:rsidP="002D6C72">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Admitted to practice in England and Wales</w:t>
      </w:r>
    </w:p>
    <w:p w14:paraId="4D88F3CD" w14:textId="77777777" w:rsidR="002D6C72" w:rsidRDefault="002D6C72" w:rsidP="002D6C72">
      <w:pPr>
        <w:rPr>
          <w:rFonts w:ascii="Microsoft YaHei UI Light" w:eastAsia="Microsoft YaHei UI Light" w:hAnsi="Microsoft YaHei UI Light"/>
          <w:color w:val="44546A" w:themeColor="text2"/>
          <w:spacing w:val="20"/>
          <w:sz w:val="16"/>
          <w:szCs w:val="16"/>
        </w:rPr>
      </w:pPr>
    </w:p>
    <w:p w14:paraId="768002F6" w14:textId="53ADCC71" w:rsidR="00AB3A1B" w:rsidRPr="002D6C72" w:rsidRDefault="00AB3A1B" w:rsidP="002D6C72">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b/>
          <w:bCs/>
          <w:color w:val="44546A" w:themeColor="text2"/>
          <w:spacing w:val="20"/>
          <w:sz w:val="18"/>
          <w:szCs w:val="18"/>
        </w:rPr>
        <w:t>WORK EXPERIENCE</w:t>
      </w:r>
    </w:p>
    <w:p w14:paraId="27FE8178" w14:textId="77777777" w:rsidR="00AB3A1B" w:rsidRPr="008007DB" w:rsidRDefault="00AB3A1B" w:rsidP="00AB3A1B">
      <w:pPr>
        <w:rPr>
          <w:rFonts w:ascii="Microsoft YaHei UI Light" w:eastAsia="Microsoft YaHei UI Light" w:hAnsi="Microsoft YaHei UI Light"/>
          <w:b/>
          <w:bCs/>
          <w:color w:val="44546A" w:themeColor="text2"/>
          <w:spacing w:val="20"/>
          <w:sz w:val="16"/>
          <w:szCs w:val="16"/>
        </w:rPr>
      </w:pPr>
      <w:r>
        <w:rPr>
          <w:rFonts w:ascii="Microsoft YaHei UI Light" w:eastAsia="Microsoft YaHei UI Light" w:hAnsi="Microsoft YaHei UI Light"/>
          <w:b/>
          <w:bCs/>
          <w:color w:val="44546A" w:themeColor="text2"/>
          <w:spacing w:val="20"/>
          <w:sz w:val="16"/>
          <w:szCs w:val="16"/>
        </w:rPr>
        <w:t>Litigation Senior Partner • 2016 - 2023</w:t>
      </w:r>
    </w:p>
    <w:p w14:paraId="69B993DC" w14:textId="77777777" w:rsidR="00AB3A1B" w:rsidRPr="008007DB" w:rsidRDefault="00AB3A1B" w:rsidP="00AB3A1B">
      <w:pPr>
        <w:rPr>
          <w:rFonts w:ascii="Microsoft YaHei UI Light" w:eastAsia="Microsoft YaHei UI Light" w:hAnsi="Microsoft YaHei UI Light"/>
          <w:b/>
          <w:bCs/>
          <w:color w:val="44546A" w:themeColor="text2"/>
          <w:spacing w:val="20"/>
          <w:sz w:val="16"/>
          <w:szCs w:val="16"/>
        </w:rPr>
      </w:pPr>
      <w:r>
        <w:rPr>
          <w:rFonts w:ascii="Microsoft YaHei UI Light" w:eastAsia="Microsoft YaHei UI Light" w:hAnsi="Microsoft YaHei UI Light"/>
          <w:b/>
          <w:bCs/>
          <w:color w:val="44546A" w:themeColor="text2"/>
          <w:spacing w:val="20"/>
          <w:sz w:val="16"/>
          <w:szCs w:val="16"/>
        </w:rPr>
        <w:t>Morrison Mallett Law firm   Auckland/Wellington</w:t>
      </w:r>
    </w:p>
    <w:p w14:paraId="0F6A52C4" w14:textId="121BC17C" w:rsidR="00AB3A1B" w:rsidRPr="005B3D48"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 xml:space="preserve">Michael established the Auckland office of Morrison Mallett in December 2016, joining the existing Wellington office to create a top boutique commercial firm with offices in Auckland and Wellington.  Michael led the firm’s commercial/civil litigation team </w:t>
      </w:r>
      <w:hyperlink r:id="rId8" w:history="1">
        <w:r>
          <w:rPr>
            <w:rFonts w:ascii="Microsoft YaHei UI Light" w:eastAsia="Microsoft YaHei UI Light" w:hAnsi="Microsoft YaHei UI Light"/>
            <w:color w:val="44546A" w:themeColor="text2"/>
            <w:spacing w:val="20"/>
            <w:sz w:val="16"/>
            <w:szCs w:val="16"/>
          </w:rPr>
          <w:t>www.morrisonmallett.co.nz</w:t>
        </w:r>
      </w:hyperlink>
      <w:r>
        <w:rPr>
          <w:rFonts w:ascii="Microsoft YaHei UI Light" w:eastAsia="Microsoft YaHei UI Light" w:hAnsi="Microsoft YaHei UI Light"/>
          <w:color w:val="44546A" w:themeColor="text2"/>
          <w:spacing w:val="20"/>
          <w:sz w:val="16"/>
          <w:szCs w:val="16"/>
        </w:rPr>
        <w:t xml:space="preserve">  (Tier 3 Benchmark Litigation 2023 and Firm to Watch in Legal 500 Asia Pacific 2023). The key Auckland office has now been established as Morrison Partners.</w:t>
      </w:r>
    </w:p>
    <w:p w14:paraId="7CF5D5A2" w14:textId="77777777" w:rsidR="00AB3A1B" w:rsidRPr="005B3D48" w:rsidRDefault="00AB3A1B" w:rsidP="00AB3A1B">
      <w:pPr>
        <w:rPr>
          <w:rFonts w:ascii="Microsoft YaHei UI Light" w:eastAsia="Microsoft YaHei UI Light" w:hAnsi="Microsoft YaHei UI Light"/>
          <w:color w:val="44546A" w:themeColor="text2"/>
          <w:spacing w:val="20"/>
          <w:sz w:val="16"/>
          <w:szCs w:val="16"/>
        </w:rPr>
      </w:pPr>
    </w:p>
    <w:p w14:paraId="7E119D09" w14:textId="77777777" w:rsidR="00AB3A1B" w:rsidRPr="008007DB" w:rsidRDefault="00AB3A1B" w:rsidP="00AB3A1B">
      <w:pPr>
        <w:rPr>
          <w:rFonts w:ascii="Microsoft YaHei UI Light" w:eastAsia="Microsoft YaHei UI Light" w:hAnsi="Microsoft YaHei UI Light"/>
          <w:b/>
          <w:bCs/>
          <w:color w:val="44546A" w:themeColor="text2"/>
          <w:spacing w:val="20"/>
          <w:sz w:val="16"/>
          <w:szCs w:val="16"/>
        </w:rPr>
      </w:pPr>
      <w:r>
        <w:rPr>
          <w:rFonts w:ascii="Microsoft YaHei UI Light" w:eastAsia="Microsoft YaHei UI Light" w:hAnsi="Microsoft YaHei UI Light"/>
          <w:b/>
          <w:bCs/>
          <w:color w:val="44546A" w:themeColor="text2"/>
          <w:spacing w:val="20"/>
          <w:sz w:val="16"/>
          <w:szCs w:val="16"/>
        </w:rPr>
        <w:t>Senior Associate – Senior Partner • 2004 - 2016</w:t>
      </w:r>
    </w:p>
    <w:p w14:paraId="04C265C6" w14:textId="77777777" w:rsidR="00AB3A1B" w:rsidRPr="008007DB" w:rsidRDefault="00AB3A1B" w:rsidP="00AB3A1B">
      <w:pPr>
        <w:rPr>
          <w:rFonts w:ascii="Microsoft YaHei UI Light" w:eastAsia="Microsoft YaHei UI Light" w:hAnsi="Microsoft YaHei UI Light"/>
          <w:b/>
          <w:bCs/>
          <w:color w:val="44546A" w:themeColor="text2"/>
          <w:spacing w:val="20"/>
          <w:sz w:val="16"/>
          <w:szCs w:val="16"/>
        </w:rPr>
      </w:pPr>
      <w:r>
        <w:rPr>
          <w:rFonts w:ascii="Microsoft YaHei UI Light" w:eastAsia="Microsoft YaHei UI Light" w:hAnsi="Microsoft YaHei UI Light"/>
          <w:b/>
          <w:bCs/>
          <w:color w:val="44546A" w:themeColor="text2"/>
          <w:spacing w:val="20"/>
          <w:sz w:val="16"/>
          <w:szCs w:val="16"/>
        </w:rPr>
        <w:t>Lowndes Jordan Law firm, Auckland</w:t>
      </w:r>
    </w:p>
    <w:p w14:paraId="30C70804" w14:textId="77777777" w:rsidR="00AB3A1B" w:rsidRPr="005B3D48"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Michael returned to New Zealand and joined Lowndes Jordan in late 2004, was made partner in 2006 and from 2007 until late 2016 was the senior partner leading the firm’s commercial/civil litigation practice in Auckland.</w:t>
      </w:r>
    </w:p>
    <w:p w14:paraId="5E8B45F0" w14:textId="77777777" w:rsidR="00AB3A1B" w:rsidRPr="005B3D48" w:rsidRDefault="00AB3A1B" w:rsidP="00AB3A1B">
      <w:pPr>
        <w:rPr>
          <w:rFonts w:ascii="Microsoft YaHei UI Light" w:eastAsia="Microsoft YaHei UI Light" w:hAnsi="Microsoft YaHei UI Light"/>
          <w:color w:val="44546A" w:themeColor="text2"/>
          <w:spacing w:val="20"/>
          <w:sz w:val="16"/>
          <w:szCs w:val="16"/>
        </w:rPr>
      </w:pPr>
    </w:p>
    <w:p w14:paraId="2006E2C7" w14:textId="77777777" w:rsidR="00AB3A1B" w:rsidRPr="008007DB" w:rsidRDefault="00AB3A1B" w:rsidP="00AB3A1B">
      <w:pPr>
        <w:rPr>
          <w:rFonts w:ascii="Microsoft YaHei UI Light" w:eastAsia="Microsoft YaHei UI Light" w:hAnsi="Microsoft YaHei UI Light"/>
          <w:b/>
          <w:bCs/>
          <w:color w:val="44546A" w:themeColor="text2"/>
          <w:spacing w:val="20"/>
          <w:sz w:val="16"/>
          <w:szCs w:val="16"/>
        </w:rPr>
      </w:pPr>
      <w:r>
        <w:rPr>
          <w:rFonts w:ascii="Microsoft YaHei UI Light" w:eastAsia="Microsoft YaHei UI Light" w:hAnsi="Microsoft YaHei UI Light"/>
          <w:b/>
          <w:bCs/>
          <w:color w:val="44546A" w:themeColor="text2"/>
          <w:spacing w:val="20"/>
          <w:sz w:val="16"/>
          <w:szCs w:val="16"/>
        </w:rPr>
        <w:t>Senior Associate • 2000 to 2004</w:t>
      </w:r>
    </w:p>
    <w:p w14:paraId="4336B6EC" w14:textId="77777777" w:rsidR="00AB3A1B" w:rsidRPr="008007DB" w:rsidRDefault="00AB3A1B" w:rsidP="00AB3A1B">
      <w:pPr>
        <w:rPr>
          <w:rFonts w:ascii="Microsoft YaHei UI Light" w:eastAsia="Microsoft YaHei UI Light" w:hAnsi="Microsoft YaHei UI Light"/>
          <w:b/>
          <w:bCs/>
          <w:color w:val="44546A" w:themeColor="text2"/>
          <w:spacing w:val="20"/>
          <w:sz w:val="16"/>
          <w:szCs w:val="16"/>
        </w:rPr>
      </w:pPr>
      <w:r>
        <w:rPr>
          <w:rFonts w:ascii="Microsoft YaHei UI Light" w:eastAsia="Microsoft YaHei UI Light" w:hAnsi="Microsoft YaHei UI Light"/>
          <w:b/>
          <w:bCs/>
          <w:color w:val="44546A" w:themeColor="text2"/>
          <w:spacing w:val="20"/>
          <w:sz w:val="16"/>
          <w:szCs w:val="16"/>
        </w:rPr>
        <w:t>Baker &amp; McKenzie, London</w:t>
      </w:r>
    </w:p>
    <w:p w14:paraId="25145247" w14:textId="77777777" w:rsidR="00AB3A1B" w:rsidRPr="005B3D48"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Michael worked as a Senior associate in the dispute resolution department of the London Office of the global law firm, Baker &amp; McKenzie, working on a range of commercial cases including substantial trust-based litigation in Jersey, Cayman Islands, and the Bahamas.</w:t>
      </w:r>
    </w:p>
    <w:p w14:paraId="17A53FC4" w14:textId="77777777" w:rsidR="00AB3A1B" w:rsidRPr="005B3D48" w:rsidRDefault="00AB3A1B" w:rsidP="00AB3A1B">
      <w:pPr>
        <w:rPr>
          <w:rFonts w:ascii="Microsoft YaHei UI Light" w:eastAsia="Microsoft YaHei UI Light" w:hAnsi="Microsoft YaHei UI Light"/>
          <w:color w:val="44546A" w:themeColor="text2"/>
          <w:spacing w:val="20"/>
          <w:sz w:val="16"/>
          <w:szCs w:val="16"/>
        </w:rPr>
      </w:pPr>
    </w:p>
    <w:p w14:paraId="398C111A" w14:textId="77777777" w:rsidR="00AB3A1B" w:rsidRPr="008007DB" w:rsidRDefault="00AB3A1B" w:rsidP="00AB3A1B">
      <w:pPr>
        <w:rPr>
          <w:rFonts w:ascii="Microsoft YaHei UI Light" w:eastAsia="Microsoft YaHei UI Light" w:hAnsi="Microsoft YaHei UI Light"/>
          <w:b/>
          <w:bCs/>
          <w:color w:val="44546A" w:themeColor="text2"/>
          <w:spacing w:val="20"/>
          <w:sz w:val="16"/>
          <w:szCs w:val="16"/>
        </w:rPr>
      </w:pPr>
      <w:r>
        <w:rPr>
          <w:rFonts w:ascii="Microsoft YaHei UI Light" w:eastAsia="Microsoft YaHei UI Light" w:hAnsi="Microsoft YaHei UI Light"/>
          <w:b/>
          <w:bCs/>
          <w:color w:val="44546A" w:themeColor="text2"/>
          <w:spacing w:val="20"/>
          <w:sz w:val="16"/>
          <w:szCs w:val="16"/>
        </w:rPr>
        <w:t>Solicitor/Senior Associate • 1996 to 2000</w:t>
      </w:r>
    </w:p>
    <w:p w14:paraId="7E80D8FC" w14:textId="77777777" w:rsidR="002D6C72" w:rsidRDefault="00AB3A1B" w:rsidP="002D6C72">
      <w:pPr>
        <w:rPr>
          <w:rFonts w:ascii="Microsoft YaHei UI Light" w:eastAsia="Microsoft YaHei UI Light" w:hAnsi="Microsoft YaHei UI Light"/>
          <w:b/>
          <w:bCs/>
          <w:color w:val="44546A" w:themeColor="text2"/>
          <w:spacing w:val="20"/>
          <w:sz w:val="16"/>
          <w:szCs w:val="16"/>
        </w:rPr>
      </w:pPr>
      <w:r>
        <w:rPr>
          <w:rFonts w:ascii="Microsoft YaHei UI Light" w:eastAsia="Microsoft YaHei UI Light" w:hAnsi="Microsoft YaHei UI Light"/>
          <w:b/>
          <w:bCs/>
          <w:color w:val="44546A" w:themeColor="text2"/>
          <w:spacing w:val="20"/>
          <w:sz w:val="16"/>
          <w:szCs w:val="16"/>
        </w:rPr>
        <w:t>Minter Ellison Rudd Watts, Wellington</w:t>
      </w:r>
    </w:p>
    <w:p w14:paraId="51BDB995" w14:textId="77777777" w:rsidR="002D6C72" w:rsidRDefault="002D6C72" w:rsidP="002D6C72">
      <w:pPr>
        <w:rPr>
          <w:rFonts w:ascii="Microsoft YaHei UI Light" w:eastAsia="Microsoft YaHei UI Light" w:hAnsi="Microsoft YaHei UI Light"/>
          <w:b/>
          <w:bCs/>
          <w:color w:val="44546A" w:themeColor="text2"/>
          <w:spacing w:val="20"/>
          <w:sz w:val="18"/>
          <w:szCs w:val="18"/>
        </w:rPr>
      </w:pPr>
    </w:p>
    <w:p w14:paraId="4224CCCE" w14:textId="43FCBBCE" w:rsidR="00AB3A1B" w:rsidRPr="002D6C72" w:rsidRDefault="00AB3A1B" w:rsidP="002D6C72">
      <w:pPr>
        <w:rPr>
          <w:rFonts w:ascii="Microsoft YaHei UI Light" w:eastAsia="Microsoft YaHei UI Light" w:hAnsi="Microsoft YaHei UI Light"/>
          <w:b/>
          <w:bCs/>
          <w:color w:val="44546A" w:themeColor="text2"/>
          <w:spacing w:val="20"/>
          <w:sz w:val="16"/>
          <w:szCs w:val="16"/>
        </w:rPr>
      </w:pPr>
      <w:r>
        <w:rPr>
          <w:rFonts w:ascii="Microsoft YaHei UI Light" w:eastAsia="Microsoft YaHei UI Light" w:hAnsi="Microsoft YaHei UI Light"/>
          <w:b/>
          <w:bCs/>
          <w:color w:val="44546A" w:themeColor="text2"/>
          <w:spacing w:val="20"/>
          <w:sz w:val="18"/>
          <w:szCs w:val="18"/>
        </w:rPr>
        <w:t>PROFESSIONAL ASSOCIATIONS</w:t>
      </w:r>
    </w:p>
    <w:p w14:paraId="18D1D6DA" w14:textId="77777777" w:rsidR="00AB3A1B" w:rsidRPr="00575197"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New Zealand Bar Association</w:t>
      </w:r>
    </w:p>
    <w:p w14:paraId="452C1EC5" w14:textId="77777777" w:rsidR="00AB3A1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New Zealand Law Society</w:t>
      </w:r>
    </w:p>
    <w:p w14:paraId="10E267D9" w14:textId="2A3B05B6" w:rsidR="005437E5" w:rsidRPr="005B3D48" w:rsidRDefault="005437E5"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Restructuring Insolvency &amp; Turnaround Association of New Zealand</w:t>
      </w:r>
    </w:p>
    <w:p w14:paraId="348CF0A3" w14:textId="30DA784D" w:rsidR="00AB3A1B" w:rsidRPr="008007DB" w:rsidRDefault="00AB3A1B" w:rsidP="00AB3A1B">
      <w:pPr>
        <w:rPr>
          <w:rFonts w:ascii="Microsoft YaHei UI Light" w:eastAsia="Microsoft YaHei UI Light" w:hAnsi="Microsoft YaHei UI Light"/>
          <w:b/>
          <w:bCs/>
          <w:color w:val="C00000"/>
          <w:spacing w:val="20"/>
          <w:sz w:val="18"/>
          <w:szCs w:val="18"/>
        </w:rPr>
      </w:pPr>
    </w:p>
    <w:p w14:paraId="1DF87974" w14:textId="1A2605B4" w:rsidR="00AB3A1B" w:rsidRPr="005B3D48" w:rsidRDefault="002D6C72" w:rsidP="00AB3A1B">
      <w:pPr>
        <w:rPr>
          <w:rFonts w:ascii="Microsoft YaHei UI Light" w:eastAsia="Microsoft YaHei UI Light" w:hAnsi="Microsoft YaHei UI Light"/>
          <w:b/>
          <w:bCs/>
          <w:color w:val="44546A" w:themeColor="text2"/>
          <w:spacing w:val="20"/>
          <w:sz w:val="18"/>
          <w:szCs w:val="18"/>
        </w:rPr>
      </w:pPr>
      <w:r>
        <w:rPr>
          <w:rFonts w:ascii="Microsoft YaHei UI Light" w:eastAsia="Microsoft YaHei UI Light" w:hAnsi="Microsoft YaHei UI Light"/>
          <w:b/>
          <w:bCs/>
          <w:color w:val="44546A" w:themeColor="text2"/>
          <w:spacing w:val="20"/>
          <w:sz w:val="18"/>
          <w:szCs w:val="18"/>
        </w:rPr>
        <w:t>IMPORTANT RECENT CASES</w:t>
      </w:r>
    </w:p>
    <w:p w14:paraId="300E995E" w14:textId="52298756" w:rsidR="00AB3A1B" w:rsidRPr="005B3D48" w:rsidRDefault="00AB3A1B" w:rsidP="00AB3A1B">
      <w:pPr>
        <w:rPr>
          <w:rFonts w:ascii="Microsoft YaHei UI Light" w:eastAsia="Microsoft YaHei UI Light" w:hAnsi="Microsoft YaHei UI Light"/>
          <w:b/>
          <w:bCs/>
          <w:color w:val="44546A" w:themeColor="text2"/>
          <w:spacing w:val="20"/>
          <w:sz w:val="16"/>
          <w:szCs w:val="16"/>
        </w:rPr>
      </w:pPr>
      <w:r>
        <w:rPr>
          <w:rFonts w:ascii="Microsoft YaHei UI Light" w:eastAsia="Microsoft YaHei UI Light" w:hAnsi="Microsoft YaHei UI Light"/>
          <w:i/>
          <w:iCs/>
          <w:color w:val="44546A" w:themeColor="text2"/>
          <w:spacing w:val="20"/>
          <w:sz w:val="16"/>
          <w:szCs w:val="16"/>
        </w:rPr>
        <w:t>Green &amp; McCahill Holdings Ltd v Ara Weiti Developments Ltd</w:t>
      </w:r>
      <w:r>
        <w:rPr>
          <w:rFonts w:ascii="Microsoft YaHei UI Light" w:eastAsia="Microsoft YaHei UI Light" w:hAnsi="Microsoft YaHei UI Light"/>
          <w:color w:val="44546A" w:themeColor="text2"/>
          <w:spacing w:val="20"/>
          <w:sz w:val="16"/>
          <w:szCs w:val="16"/>
        </w:rPr>
        <w:t xml:space="preserve"> [2022] NZCA 218 (CA), </w:t>
      </w:r>
      <w:r>
        <w:rPr>
          <w:rFonts w:ascii="Microsoft YaHei UI Light" w:eastAsia="Microsoft YaHei UI Light" w:hAnsi="Microsoft YaHei UI Light"/>
          <w:i/>
          <w:iCs/>
          <w:color w:val="44546A" w:themeColor="text2"/>
          <w:spacing w:val="20"/>
          <w:sz w:val="16"/>
          <w:szCs w:val="16"/>
        </w:rPr>
        <w:t>Green &amp; McCahill Holdings Ltd v Williams</w:t>
      </w:r>
      <w:r>
        <w:rPr>
          <w:rFonts w:ascii="Microsoft YaHei UI Light" w:eastAsia="Microsoft YaHei UI Light" w:hAnsi="Microsoft YaHei UI Light"/>
          <w:color w:val="44546A" w:themeColor="text2"/>
          <w:spacing w:val="20"/>
          <w:sz w:val="16"/>
          <w:szCs w:val="16"/>
        </w:rPr>
        <w:t xml:space="preserve"> [2025] NZHC 2581, [2026] NZHC 274, [2026] NZHC 690, and </w:t>
      </w:r>
      <w:r>
        <w:rPr>
          <w:rFonts w:ascii="Microsoft YaHei UI Light" w:eastAsia="Microsoft YaHei UI Light" w:hAnsi="Microsoft YaHei UI Light"/>
          <w:i/>
          <w:iCs/>
          <w:color w:val="44546A" w:themeColor="text2"/>
          <w:spacing w:val="20"/>
          <w:sz w:val="16"/>
          <w:szCs w:val="16"/>
        </w:rPr>
        <w:t>Green &amp; McCahill Holdings Ltd v Williams</w:t>
      </w:r>
      <w:r>
        <w:rPr>
          <w:rFonts w:ascii="Microsoft YaHei UI Light" w:eastAsia="Microsoft YaHei UI Light" w:hAnsi="Microsoft YaHei UI Light"/>
          <w:color w:val="44546A" w:themeColor="text2"/>
          <w:spacing w:val="20"/>
          <w:sz w:val="16"/>
          <w:szCs w:val="16"/>
        </w:rPr>
        <w:t xml:space="preserve"> [2026] NZCA 155 – Acted for the successful defendants and counterclaim defendant in substantial High Court proceedings arising out of a joint venture property development. Claims against the defendants included misrepresentation claims seeking circa $128m in damages against the first defendant and claims to set aside mortgagee sales of land purchased for $35m by the second and third defendants, with an associated assignment of circa $20m in debt to the fourth defendant. All claims were successfully defended and the counterclaimant succeeded in its counterclaim, obtaining judgment for a principal sum of $20m plus compounding interest, totalling over $60m by the time that the High Court delivered judgment in October 2025. Subsequent applications for stay of enforcement were successfully resisted in the High Court and Court of Appeal. The proceedings </w:t>
      </w:r>
      <w:proofErr w:type="gramStart"/>
      <w:r>
        <w:rPr>
          <w:rFonts w:ascii="Microsoft YaHei UI Light" w:eastAsia="Microsoft YaHei UI Light" w:hAnsi="Microsoft YaHei UI Light"/>
          <w:color w:val="44546A" w:themeColor="text2"/>
          <w:spacing w:val="20"/>
          <w:sz w:val="16"/>
          <w:szCs w:val="16"/>
        </w:rPr>
        <w:t>had also entailed</w:t>
      </w:r>
      <w:proofErr w:type="gramEnd"/>
      <w:r>
        <w:rPr>
          <w:rFonts w:ascii="Microsoft YaHei UI Light" w:eastAsia="Microsoft YaHei UI Light" w:hAnsi="Microsoft YaHei UI Light"/>
          <w:color w:val="44546A" w:themeColor="text2"/>
          <w:spacing w:val="20"/>
          <w:sz w:val="16"/>
          <w:szCs w:val="16"/>
        </w:rPr>
        <w:t xml:space="preserve"> earlier High Court and Court of Appeal judgments in respect of caveats lodged in reliance on constructive trusts by </w:t>
      </w:r>
      <w:proofErr w:type="gramStart"/>
      <w:r>
        <w:rPr>
          <w:rFonts w:ascii="Microsoft YaHei UI Light" w:eastAsia="Microsoft YaHei UI Light" w:hAnsi="Microsoft YaHei UI Light"/>
          <w:color w:val="44546A" w:themeColor="text2"/>
          <w:spacing w:val="20"/>
          <w:sz w:val="16"/>
          <w:szCs w:val="16"/>
        </w:rPr>
        <w:t>reason of knowing</w:t>
      </w:r>
      <w:proofErr w:type="gramEnd"/>
      <w:r>
        <w:rPr>
          <w:rFonts w:ascii="Microsoft YaHei UI Light" w:eastAsia="Microsoft YaHei UI Light" w:hAnsi="Microsoft YaHei UI Light"/>
          <w:color w:val="44546A" w:themeColor="text2"/>
          <w:spacing w:val="20"/>
          <w:sz w:val="16"/>
          <w:szCs w:val="16"/>
        </w:rPr>
        <w:t xml:space="preserve"> receipt claims based on alleged breaches of fiduciary duties by JV partners.</w:t>
      </w:r>
    </w:p>
    <w:p w14:paraId="2813D008" w14:textId="77777777" w:rsidR="00646C15" w:rsidRDefault="00646C15" w:rsidP="00AB3A1B">
      <w:pPr>
        <w:rPr>
          <w:rFonts w:ascii="Microsoft YaHei UI Light" w:eastAsia="Microsoft YaHei UI Light" w:hAnsi="Microsoft YaHei UI Light"/>
          <w:i/>
          <w:iCs/>
          <w:color w:val="44546A" w:themeColor="text2"/>
          <w:spacing w:val="20"/>
          <w:sz w:val="16"/>
          <w:szCs w:val="16"/>
        </w:rPr>
      </w:pPr>
    </w:p>
    <w:p w14:paraId="53B77C9F" w14:textId="77777777" w:rsidR="00646C15" w:rsidRDefault="00646C15" w:rsidP="00646C15">
      <w:pPr>
        <w:rPr>
          <w:rFonts w:ascii="Microsoft YaHei UI Light" w:eastAsia="Microsoft YaHei UI Light" w:hAnsi="Microsoft YaHei UI Light"/>
          <w:color w:val="44546A" w:themeColor="text2"/>
          <w:spacing w:val="20"/>
          <w:sz w:val="16"/>
          <w:szCs w:val="16"/>
        </w:rPr>
      </w:pPr>
      <w:proofErr w:type="spellStart"/>
      <w:r>
        <w:rPr>
          <w:rFonts w:ascii="Microsoft YaHei UI Light" w:eastAsia="Microsoft YaHei UI Light" w:hAnsi="Microsoft YaHei UI Light"/>
          <w:i/>
          <w:iCs/>
          <w:color w:val="44546A" w:themeColor="text2"/>
          <w:spacing w:val="20"/>
          <w:sz w:val="16"/>
          <w:szCs w:val="16"/>
        </w:rPr>
        <w:t>Mudajaya</w:t>
      </w:r>
      <w:proofErr w:type="spellEnd"/>
      <w:r>
        <w:rPr>
          <w:rFonts w:ascii="Microsoft YaHei UI Light" w:eastAsia="Microsoft YaHei UI Light" w:hAnsi="Microsoft YaHei UI Light"/>
          <w:i/>
          <w:iCs/>
          <w:color w:val="44546A" w:themeColor="text2"/>
          <w:spacing w:val="20"/>
          <w:sz w:val="16"/>
          <w:szCs w:val="16"/>
        </w:rPr>
        <w:t xml:space="preserve"> Corporation Berhad v Keng</w:t>
      </w:r>
      <w:r>
        <w:rPr>
          <w:rFonts w:ascii="Microsoft YaHei UI Light" w:eastAsia="Microsoft YaHei UI Light" w:hAnsi="Microsoft YaHei UI Light"/>
          <w:color w:val="44546A" w:themeColor="text2"/>
          <w:spacing w:val="20"/>
          <w:sz w:val="16"/>
          <w:szCs w:val="16"/>
        </w:rPr>
        <w:t xml:space="preserve"> [2024] NZHC 3996, [2025] NZHC 1295, </w:t>
      </w:r>
      <w:r>
        <w:rPr>
          <w:rFonts w:ascii="Microsoft YaHei UI Light" w:eastAsia="Microsoft YaHei UI Light" w:hAnsi="Microsoft YaHei UI Light"/>
          <w:i/>
          <w:iCs/>
          <w:color w:val="44546A" w:themeColor="text2"/>
          <w:spacing w:val="20"/>
          <w:sz w:val="16"/>
          <w:szCs w:val="16"/>
        </w:rPr>
        <w:t>Mudajaya Corporation Berhad v Keng</w:t>
      </w:r>
      <w:r>
        <w:rPr>
          <w:rFonts w:ascii="Microsoft YaHei UI Light" w:eastAsia="Microsoft YaHei UI Light" w:hAnsi="Microsoft YaHei UI Light"/>
          <w:color w:val="44546A" w:themeColor="text2"/>
          <w:spacing w:val="20"/>
          <w:sz w:val="16"/>
          <w:szCs w:val="16"/>
        </w:rPr>
        <w:t xml:space="preserve"> [2025] NZHC 3687 – Acted as senior counsel for Mudajaya, a Malaysian multinational corporation, that in June 2024 obtained a substantive Judgment in Malaysia, in respect of circa NZ$26 million misappropriated by the first defendant, also the subject of acknowledgments of debt and declarations of trust. Proceedings to register the 2024 judgment were successful, and freezing and ancillary orders have also been obtained. In separate proceedings against the defendants and related parties their protest against the jurisdiction of the NZ High Court has also been successfully set aside.</w:t>
      </w:r>
    </w:p>
    <w:p w14:paraId="0014D50C" w14:textId="77777777" w:rsidR="00646C15" w:rsidRDefault="00646C15" w:rsidP="00AB3A1B">
      <w:pPr>
        <w:rPr>
          <w:rFonts w:ascii="Microsoft YaHei UI Light" w:eastAsia="Microsoft YaHei UI Light" w:hAnsi="Microsoft YaHei UI Light"/>
          <w:i/>
          <w:iCs/>
          <w:color w:val="44546A" w:themeColor="text2"/>
          <w:spacing w:val="20"/>
          <w:sz w:val="16"/>
          <w:szCs w:val="16"/>
        </w:rPr>
      </w:pPr>
    </w:p>
    <w:p w14:paraId="3B1E855D" w14:textId="15C34AAF" w:rsidR="00AB3A1B" w:rsidRPr="008007DB" w:rsidRDefault="00AB3A1B" w:rsidP="00AB3A1B">
      <w:pPr>
        <w:rPr>
          <w:rFonts w:ascii="Microsoft YaHei UI Light" w:eastAsia="Microsoft YaHei UI Light" w:hAnsi="Microsoft YaHei UI Light"/>
          <w:color w:val="44546A" w:themeColor="text2"/>
          <w:spacing w:val="20"/>
          <w:sz w:val="16"/>
          <w:szCs w:val="16"/>
        </w:rPr>
      </w:pPr>
      <w:proofErr w:type="spellStart"/>
      <w:r>
        <w:rPr>
          <w:rFonts w:ascii="Microsoft YaHei UI Light" w:eastAsia="Microsoft YaHei UI Light" w:hAnsi="Microsoft YaHei UI Light"/>
          <w:i/>
          <w:iCs/>
          <w:color w:val="44546A" w:themeColor="text2"/>
          <w:spacing w:val="20"/>
          <w:sz w:val="16"/>
          <w:szCs w:val="16"/>
        </w:rPr>
        <w:t>StockCo</w:t>
      </w:r>
      <w:proofErr w:type="spellEnd"/>
      <w:r>
        <w:rPr>
          <w:rFonts w:ascii="Microsoft YaHei UI Light" w:eastAsia="Microsoft YaHei UI Light" w:hAnsi="Microsoft YaHei UI Light"/>
          <w:i/>
          <w:iCs/>
          <w:color w:val="44546A" w:themeColor="text2"/>
          <w:spacing w:val="20"/>
          <w:sz w:val="16"/>
          <w:szCs w:val="16"/>
        </w:rPr>
        <w:t xml:space="preserve"> Ltd v The Big Basin Limited</w:t>
      </w:r>
      <w:r>
        <w:rPr>
          <w:rFonts w:ascii="Microsoft YaHei UI Light" w:eastAsia="Microsoft YaHei UI Light" w:hAnsi="Microsoft YaHei UI Light"/>
          <w:color w:val="44546A" w:themeColor="text2"/>
          <w:spacing w:val="20"/>
          <w:sz w:val="16"/>
          <w:szCs w:val="16"/>
        </w:rPr>
        <w:t xml:space="preserve"> [2022] NZHC 1020, [2022] NZHC 3010 – acted for StockCo, the claimant in a two-week arbitration before Hon. Nicholas Davidson KC, succeeding in a debt recovery claim in respect of various financed livestock, involving contractual issues, unsuccessful bailment arguments and issues of estoppel and variation raised by Big Basin.  Thereafter Big Basin’s two applications to the High Court for leave to appeal the award were heard and dismissed.</w:t>
      </w:r>
    </w:p>
    <w:p w14:paraId="1CEF0EF0" w14:textId="77777777" w:rsidR="00AB3A1B" w:rsidRPr="005B3D48" w:rsidRDefault="00AB3A1B" w:rsidP="00AB3A1B">
      <w:pPr>
        <w:rPr>
          <w:rFonts w:ascii="Microsoft YaHei UI Light" w:eastAsia="Microsoft YaHei UI Light" w:hAnsi="Microsoft YaHei UI Light"/>
          <w:b/>
          <w:bCs/>
          <w:color w:val="44546A" w:themeColor="text2"/>
          <w:spacing w:val="20"/>
          <w:sz w:val="16"/>
          <w:szCs w:val="16"/>
        </w:rPr>
      </w:pPr>
    </w:p>
    <w:p w14:paraId="1A1CD1F9" w14:textId="77777777" w:rsidR="00AB3A1B" w:rsidRPr="005B3D48"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i/>
          <w:iCs/>
          <w:color w:val="44546A" w:themeColor="text2"/>
          <w:spacing w:val="20"/>
          <w:sz w:val="16"/>
          <w:szCs w:val="16"/>
        </w:rPr>
        <w:t>Northlake Investments Ltd v Wanaka Medical Centre Ltd</w:t>
      </w:r>
      <w:r>
        <w:rPr>
          <w:rFonts w:ascii="Microsoft YaHei UI Light" w:eastAsia="Microsoft YaHei UI Light" w:hAnsi="Microsoft YaHei UI Light"/>
          <w:color w:val="44546A" w:themeColor="text2"/>
          <w:spacing w:val="20"/>
          <w:sz w:val="16"/>
          <w:szCs w:val="16"/>
        </w:rPr>
        <w:t> [2019] NZHC 3443 – successfully defended four causes of action at the Invercargill High Court over two weeks regarding a proposed agreement to lease, including equitable estoppel and quantum meruit claims and obtained increased costs award.</w:t>
      </w:r>
    </w:p>
    <w:p w14:paraId="5EB00D8E" w14:textId="77777777" w:rsidR="00AB3A1B" w:rsidRPr="005B3D48" w:rsidRDefault="00AB3A1B" w:rsidP="00AB3A1B">
      <w:pPr>
        <w:rPr>
          <w:rFonts w:ascii="Microsoft YaHei UI Light" w:eastAsia="Microsoft YaHei UI Light" w:hAnsi="Microsoft YaHei UI Light"/>
          <w:b/>
          <w:bCs/>
          <w:color w:val="44546A" w:themeColor="text2"/>
          <w:spacing w:val="20"/>
          <w:sz w:val="16"/>
          <w:szCs w:val="16"/>
        </w:rPr>
      </w:pPr>
    </w:p>
    <w:p w14:paraId="2304E118" w14:textId="77777777" w:rsidR="00AB3A1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i/>
          <w:iCs/>
          <w:color w:val="44546A" w:themeColor="text2"/>
          <w:spacing w:val="20"/>
          <w:sz w:val="16"/>
          <w:szCs w:val="16"/>
        </w:rPr>
        <w:t>Re Farmers Trading Co Ltd</w:t>
      </w:r>
      <w:r>
        <w:rPr>
          <w:rFonts w:ascii="Microsoft YaHei UI Light" w:eastAsia="Microsoft YaHei UI Light" w:hAnsi="Microsoft YaHei UI Light"/>
          <w:color w:val="44546A" w:themeColor="text2"/>
          <w:spacing w:val="20"/>
          <w:sz w:val="16"/>
          <w:szCs w:val="16"/>
        </w:rPr>
        <w:t> [2019] NZHC 2987 – successfully obtained orders under ss 66 and 73 of the Trustee Act 1956 in respect of a trust established in 1927 for company employees and the resettlement of trust assets into an incorporated society.</w:t>
      </w:r>
    </w:p>
    <w:p w14:paraId="0D3C2DC3" w14:textId="77777777" w:rsidR="00AB3A1B" w:rsidRPr="005B3D48" w:rsidRDefault="00AB3A1B" w:rsidP="00AB3A1B">
      <w:pPr>
        <w:rPr>
          <w:rFonts w:ascii="Microsoft YaHei UI Light" w:eastAsia="Microsoft YaHei UI Light" w:hAnsi="Microsoft YaHei UI Light"/>
          <w:color w:val="44546A" w:themeColor="text2"/>
          <w:spacing w:val="20"/>
          <w:sz w:val="16"/>
          <w:szCs w:val="16"/>
        </w:rPr>
      </w:pPr>
    </w:p>
    <w:p w14:paraId="194989C7" w14:textId="77777777" w:rsidR="00AB3A1B" w:rsidRPr="005B3D48" w:rsidRDefault="00AB3A1B" w:rsidP="00AB3A1B">
      <w:pPr>
        <w:rPr>
          <w:rFonts w:ascii="Microsoft YaHei UI Light" w:eastAsia="Microsoft YaHei UI Light" w:hAnsi="Microsoft YaHei UI Light"/>
          <w:color w:val="44546A" w:themeColor="text2"/>
          <w:spacing w:val="20"/>
          <w:sz w:val="16"/>
          <w:szCs w:val="16"/>
        </w:rPr>
      </w:pPr>
    </w:p>
    <w:p w14:paraId="35375C87" w14:textId="77777777" w:rsidR="00AB3A1B" w:rsidRPr="008007D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i/>
          <w:iCs/>
          <w:color w:val="44546A" w:themeColor="text2"/>
          <w:spacing w:val="20"/>
          <w:sz w:val="16"/>
          <w:szCs w:val="16"/>
        </w:rPr>
        <w:t>SKP Incorporated v Auckland Council </w:t>
      </w:r>
      <w:r>
        <w:rPr>
          <w:rFonts w:ascii="Microsoft YaHei UI Light" w:eastAsia="Microsoft YaHei UI Light" w:hAnsi="Microsoft YaHei UI Light"/>
          <w:color w:val="44546A" w:themeColor="text2"/>
          <w:spacing w:val="20"/>
          <w:sz w:val="16"/>
          <w:szCs w:val="16"/>
        </w:rPr>
        <w:t>[2019] NZHC 900 – acted for Kennedy Point Boatharbour Ltd in successfully opposing an application to appeal the Environment Court granted consent for a major marina on Waiheke Island.</w:t>
      </w:r>
    </w:p>
    <w:p w14:paraId="27E57A97" w14:textId="77777777" w:rsidR="00AB3A1B" w:rsidRPr="008007DB" w:rsidRDefault="00AB3A1B" w:rsidP="00AB3A1B">
      <w:pPr>
        <w:rPr>
          <w:rFonts w:ascii="Microsoft YaHei UI Light" w:eastAsia="Microsoft YaHei UI Light" w:hAnsi="Microsoft YaHei UI Light"/>
          <w:color w:val="44546A" w:themeColor="text2"/>
          <w:spacing w:val="20"/>
          <w:sz w:val="16"/>
          <w:szCs w:val="16"/>
        </w:rPr>
      </w:pPr>
    </w:p>
    <w:p w14:paraId="7DB68A70" w14:textId="7D5BA82A" w:rsidR="002D6C72"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i/>
          <w:iCs/>
          <w:color w:val="44546A" w:themeColor="text2"/>
          <w:spacing w:val="20"/>
          <w:sz w:val="16"/>
          <w:szCs w:val="16"/>
        </w:rPr>
        <w:t>Priest v Ross Asset Management Ltd</w:t>
      </w:r>
      <w:r>
        <w:rPr>
          <w:rFonts w:ascii="Microsoft YaHei UI Light" w:eastAsia="Microsoft YaHei UI Light" w:hAnsi="Microsoft YaHei UI Light"/>
          <w:color w:val="44546A" w:themeColor="text2"/>
          <w:spacing w:val="20"/>
          <w:sz w:val="16"/>
          <w:szCs w:val="16"/>
        </w:rPr>
        <w:t> [2016] NZHC 1803 – acted for successful plaintiffs in respect of their claims to recover shares held by two companies formerly owned and managed by Mr. David Ross, involving complex issues as to bare trusts, equitable tracing, competing equities and corporate insolvency.</w:t>
      </w:r>
    </w:p>
    <w:p w14:paraId="7C961D6B" w14:textId="77777777" w:rsidR="009A3F5C" w:rsidRDefault="009A3F5C" w:rsidP="00AB3A1B">
      <w:pPr>
        <w:rPr>
          <w:rFonts w:ascii="Microsoft YaHei UI Light" w:eastAsia="Microsoft YaHei UI Light" w:hAnsi="Microsoft YaHei UI Light"/>
          <w:color w:val="44546A" w:themeColor="text2"/>
          <w:spacing w:val="20"/>
          <w:sz w:val="16"/>
          <w:szCs w:val="16"/>
        </w:rPr>
      </w:pPr>
    </w:p>
    <w:p w14:paraId="7CB0D980" w14:textId="6B0A135F" w:rsidR="00AB3A1B" w:rsidRPr="008007D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i/>
          <w:iCs/>
          <w:color w:val="44546A" w:themeColor="text2"/>
          <w:spacing w:val="20"/>
          <w:sz w:val="16"/>
          <w:szCs w:val="16"/>
        </w:rPr>
        <w:t>BDM Grange Limited v Trimex Ltd</w:t>
      </w:r>
      <w:r>
        <w:rPr>
          <w:rFonts w:ascii="Microsoft YaHei UI Light" w:eastAsia="Microsoft YaHei UI Light" w:hAnsi="Microsoft YaHei UI Light"/>
          <w:color w:val="44546A" w:themeColor="text2"/>
          <w:spacing w:val="20"/>
          <w:sz w:val="16"/>
          <w:szCs w:val="16"/>
        </w:rPr>
        <w:t> [2015] NZHC 2469, [2017] NZCA 12, [2017] NZHC 1259 – acted for defendant in its successful defense of claims brought following the termination of a long-term distribution agreement based on allegations of partnership and/or joint venture with alleged breaches of fiduciary duties. Counterclaims were also successfully pursued seeking recovery of unpaid royalties. A second proceeding was also successfully struck out and the plaintiff company liquidated.</w:t>
      </w:r>
    </w:p>
    <w:p w14:paraId="2794FEFC" w14:textId="77777777" w:rsidR="00AB3A1B" w:rsidRPr="008007DB" w:rsidRDefault="00AB3A1B" w:rsidP="00AB3A1B">
      <w:pPr>
        <w:rPr>
          <w:rFonts w:ascii="Microsoft YaHei UI Light" w:eastAsia="Microsoft YaHei UI Light" w:hAnsi="Microsoft YaHei UI Light"/>
          <w:color w:val="44546A" w:themeColor="text2"/>
          <w:spacing w:val="20"/>
          <w:sz w:val="16"/>
          <w:szCs w:val="16"/>
        </w:rPr>
      </w:pPr>
    </w:p>
    <w:p w14:paraId="1A06CA36" w14:textId="77777777" w:rsidR="00AB3A1B" w:rsidRPr="008007D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i/>
          <w:iCs/>
          <w:color w:val="44546A" w:themeColor="text2"/>
          <w:spacing w:val="20"/>
          <w:sz w:val="16"/>
          <w:szCs w:val="16"/>
        </w:rPr>
        <w:t>Messenger v Stanaway Real Estate Ltd</w:t>
      </w:r>
      <w:r>
        <w:rPr>
          <w:rFonts w:ascii="Microsoft YaHei UI Light" w:eastAsia="Microsoft YaHei UI Light" w:hAnsi="Microsoft YaHei UI Light"/>
          <w:color w:val="44546A" w:themeColor="text2"/>
          <w:spacing w:val="20"/>
          <w:sz w:val="16"/>
          <w:szCs w:val="16"/>
        </w:rPr>
        <w:t> [2015] NZHC 1795 – acted for successful plaintiffs in pursuing negligence claims against their real estate agent.</w:t>
      </w:r>
    </w:p>
    <w:p w14:paraId="1AC401CE" w14:textId="77777777" w:rsidR="00E47A96" w:rsidRDefault="00E47A96" w:rsidP="00AB3A1B">
      <w:pPr>
        <w:rPr>
          <w:rFonts w:ascii="Microsoft YaHei UI Light" w:eastAsia="Microsoft YaHei UI Light" w:hAnsi="Microsoft YaHei UI Light"/>
          <w:color w:val="44546A" w:themeColor="text2"/>
          <w:spacing w:val="20"/>
          <w:sz w:val="16"/>
          <w:szCs w:val="16"/>
        </w:rPr>
      </w:pPr>
    </w:p>
    <w:p w14:paraId="11884A18" w14:textId="19883E20" w:rsidR="00AB3A1B" w:rsidRPr="008007D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i/>
          <w:iCs/>
          <w:color w:val="44546A" w:themeColor="text2"/>
          <w:spacing w:val="20"/>
          <w:sz w:val="16"/>
          <w:szCs w:val="16"/>
        </w:rPr>
        <w:t>Official Assignee v Kingston</w:t>
      </w:r>
      <w:r>
        <w:rPr>
          <w:rFonts w:ascii="Microsoft YaHei UI Light" w:eastAsia="Microsoft YaHei UI Light" w:hAnsi="Microsoft YaHei UI Light"/>
          <w:color w:val="44546A" w:themeColor="text2"/>
          <w:spacing w:val="20"/>
          <w:sz w:val="16"/>
          <w:szCs w:val="16"/>
        </w:rPr>
        <w:t> [2015] NZHC 1416 and [2016] NZCA 415 – acted for defendant in complex property dispute concerning issues as to settlement procedures and futility of tender.</w:t>
      </w:r>
    </w:p>
    <w:p w14:paraId="06242E6A" w14:textId="77777777" w:rsidR="002D6C72" w:rsidRDefault="002D6C72" w:rsidP="00AB3A1B">
      <w:pPr>
        <w:rPr>
          <w:rFonts w:ascii="Microsoft YaHei UI Light" w:eastAsia="Microsoft YaHei UI Light" w:hAnsi="Microsoft YaHei UI Light"/>
          <w:color w:val="44546A" w:themeColor="text2"/>
          <w:spacing w:val="20"/>
          <w:sz w:val="16"/>
          <w:szCs w:val="16"/>
        </w:rPr>
      </w:pPr>
    </w:p>
    <w:p w14:paraId="348F3158" w14:textId="7FB96352" w:rsidR="00AB3A1B" w:rsidRPr="008007D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i/>
          <w:iCs/>
          <w:color w:val="44546A" w:themeColor="text2"/>
          <w:spacing w:val="20"/>
          <w:sz w:val="16"/>
          <w:szCs w:val="16"/>
        </w:rPr>
        <w:t>StockCo Ltd v Gibson</w:t>
      </w:r>
      <w:r>
        <w:rPr>
          <w:rFonts w:ascii="Microsoft YaHei UI Light" w:eastAsia="Microsoft YaHei UI Light" w:hAnsi="Microsoft YaHei UI Light"/>
          <w:color w:val="44546A" w:themeColor="text2"/>
          <w:spacing w:val="20"/>
          <w:sz w:val="16"/>
          <w:szCs w:val="16"/>
        </w:rPr>
        <w:t> [2012] 11 NZCLC 98-010 – acted for StockCo against receivers of the Crafar Group of companies appointed by Group’s lenders, Westpac, Rabobank and PGG Wrightson, in respect of complex issues as to the correct priority of competing security interests registered over livestock under the Personal Property Securities Act 1999.</w:t>
      </w:r>
    </w:p>
    <w:p w14:paraId="77B1EC0B" w14:textId="77777777" w:rsidR="002D6C72" w:rsidRDefault="002D6C72" w:rsidP="00AB3A1B">
      <w:pPr>
        <w:rPr>
          <w:rFonts w:ascii="Microsoft YaHei UI Light" w:eastAsia="Microsoft YaHei UI Light" w:hAnsi="Microsoft YaHei UI Light"/>
          <w:color w:val="44546A" w:themeColor="text2"/>
          <w:spacing w:val="20"/>
          <w:sz w:val="16"/>
          <w:szCs w:val="16"/>
        </w:rPr>
      </w:pPr>
    </w:p>
    <w:p w14:paraId="7464C067" w14:textId="2A1B27AC" w:rsidR="00AB3A1B" w:rsidRPr="008007D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i/>
          <w:iCs/>
          <w:color w:val="44546A" w:themeColor="text2"/>
          <w:spacing w:val="20"/>
          <w:sz w:val="16"/>
          <w:szCs w:val="16"/>
        </w:rPr>
        <w:t>Diver v Loktronic Industries Ltd</w:t>
      </w:r>
      <w:r>
        <w:rPr>
          <w:rFonts w:ascii="Microsoft YaHei UI Light" w:eastAsia="Microsoft YaHei UI Light" w:hAnsi="Microsoft YaHei UI Light"/>
          <w:color w:val="44546A" w:themeColor="text2"/>
          <w:spacing w:val="20"/>
          <w:sz w:val="16"/>
          <w:szCs w:val="16"/>
        </w:rPr>
        <w:t> [2012] 2 NZLR 388, [2012] NZCA 131 – acted for successful appellant in overturning a High Court judgment finding liability in respect of the intentional economic torts of inducing breach of contract, interference with business by unlawful means and conspiracy by unlawful means.</w:t>
      </w:r>
    </w:p>
    <w:p w14:paraId="5B0570C5" w14:textId="77777777" w:rsidR="00647B1F" w:rsidRDefault="00647B1F" w:rsidP="00AB3A1B">
      <w:pPr>
        <w:rPr>
          <w:rFonts w:ascii="Microsoft YaHei UI Light" w:eastAsia="Microsoft YaHei UI Light" w:hAnsi="Microsoft YaHei UI Light"/>
          <w:color w:val="44546A" w:themeColor="text2"/>
          <w:spacing w:val="20"/>
          <w:sz w:val="16"/>
          <w:szCs w:val="16"/>
        </w:rPr>
      </w:pPr>
    </w:p>
    <w:p w14:paraId="58361B8A" w14:textId="2F9750D9" w:rsidR="00AB3A1B" w:rsidRPr="008007D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i/>
          <w:iCs/>
          <w:color w:val="44546A" w:themeColor="text2"/>
          <w:spacing w:val="20"/>
          <w:sz w:val="16"/>
          <w:szCs w:val="16"/>
        </w:rPr>
        <w:t>New Technology Business Solutions Group Ltd v Appello Services Ltd</w:t>
      </w:r>
      <w:r>
        <w:rPr>
          <w:rFonts w:ascii="Microsoft YaHei UI Light" w:eastAsia="Microsoft YaHei UI Light" w:hAnsi="Microsoft YaHei UI Light"/>
          <w:color w:val="44546A" w:themeColor="text2"/>
          <w:spacing w:val="20"/>
          <w:sz w:val="16"/>
          <w:szCs w:val="16"/>
        </w:rPr>
        <w:t> [2012] NZHC 1024 – acted for successful defendant in High Court proceedings defending against injunctive relief seeking to terminate various software licenses.</w:t>
      </w:r>
    </w:p>
    <w:p w14:paraId="4D2492C0" w14:textId="77777777" w:rsidR="002D6C72" w:rsidRDefault="002D6C72" w:rsidP="00AB3A1B">
      <w:pPr>
        <w:rPr>
          <w:rFonts w:ascii="Microsoft YaHei UI Light" w:eastAsia="Microsoft YaHei UI Light" w:hAnsi="Microsoft YaHei UI Light"/>
          <w:color w:val="44546A" w:themeColor="text2"/>
          <w:spacing w:val="20"/>
          <w:sz w:val="16"/>
          <w:szCs w:val="16"/>
        </w:rPr>
      </w:pPr>
    </w:p>
    <w:p w14:paraId="2ECB5B2B" w14:textId="5EE9DF33" w:rsidR="00AB3A1B" w:rsidRPr="008007D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i/>
          <w:iCs/>
          <w:color w:val="44546A" w:themeColor="text2"/>
          <w:spacing w:val="20"/>
          <w:sz w:val="16"/>
          <w:szCs w:val="16"/>
        </w:rPr>
        <w:t>Rabobank New Zealand Ltd v StockCo Ltd</w:t>
      </w:r>
      <w:r>
        <w:rPr>
          <w:rFonts w:ascii="Microsoft YaHei UI Light" w:eastAsia="Microsoft YaHei UI Light" w:hAnsi="Microsoft YaHei UI Light"/>
          <w:color w:val="44546A" w:themeColor="text2"/>
          <w:spacing w:val="20"/>
          <w:sz w:val="16"/>
          <w:szCs w:val="16"/>
        </w:rPr>
        <w:t> [2011] 13 TCLR 191 – acted for the successful defendant and counterclaimant, StockCo, in defeating Rabobank’s claims to priority under the PPSA of its security interests over livestock. The case raised complex issues as to registration requirements on the PPSR, competing priorities and bank releases of security interests.</w:t>
      </w:r>
    </w:p>
    <w:p w14:paraId="4A7558E3" w14:textId="77777777" w:rsidR="00AB3A1B" w:rsidRPr="008007D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Acted for the Financial Markets Authority in respect of civil claims for recovery of compensation and penalties under Sections 55-57 of the Securities Act 1978 against directors of a major failed finance company.</w:t>
      </w:r>
    </w:p>
    <w:p w14:paraId="25F27C50" w14:textId="77777777" w:rsidR="002D6C72" w:rsidRDefault="002D6C72" w:rsidP="00AB3A1B">
      <w:pPr>
        <w:rPr>
          <w:rFonts w:ascii="Microsoft YaHei UI Light" w:eastAsia="Microsoft YaHei UI Light" w:hAnsi="Microsoft YaHei UI Light"/>
          <w:color w:val="44546A" w:themeColor="text2"/>
          <w:spacing w:val="20"/>
          <w:sz w:val="16"/>
          <w:szCs w:val="16"/>
        </w:rPr>
      </w:pPr>
    </w:p>
    <w:p w14:paraId="12DFD542" w14:textId="0F1EA6D2" w:rsidR="00AB3A1B" w:rsidRPr="008007D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Acted for Berkshire Fund III in respect of the $260 million claim brought by the Securities Commission alleging insider trading in the shares of Tranzrail.</w:t>
      </w:r>
    </w:p>
    <w:p w14:paraId="4DD502DC" w14:textId="77777777" w:rsidR="00647B1F" w:rsidRDefault="00647B1F" w:rsidP="00AB3A1B">
      <w:pPr>
        <w:rPr>
          <w:rFonts w:ascii="Microsoft YaHei UI Light" w:eastAsia="Microsoft YaHei UI Light" w:hAnsi="Microsoft YaHei UI Light"/>
          <w:color w:val="44546A" w:themeColor="text2"/>
          <w:spacing w:val="20"/>
          <w:sz w:val="16"/>
          <w:szCs w:val="16"/>
        </w:rPr>
      </w:pPr>
    </w:p>
    <w:p w14:paraId="300501D2" w14:textId="7AC40A88" w:rsidR="00AB3A1B" w:rsidRPr="008007DB" w:rsidRDefault="00AB3A1B" w:rsidP="00AB3A1B">
      <w:pPr>
        <w:rPr>
          <w:rFonts w:ascii="Microsoft YaHei UI Light" w:eastAsia="Microsoft YaHei UI Light" w:hAnsi="Microsoft YaHei UI Light"/>
          <w:color w:val="44546A" w:themeColor="text2"/>
          <w:spacing w:val="20"/>
          <w:sz w:val="16"/>
          <w:szCs w:val="16"/>
        </w:rPr>
      </w:pPr>
      <w:r>
        <w:rPr>
          <w:rFonts w:ascii="Microsoft YaHei UI Light" w:eastAsia="Microsoft YaHei UI Light" w:hAnsi="Microsoft YaHei UI Light"/>
          <w:color w:val="44546A" w:themeColor="text2"/>
          <w:spacing w:val="20"/>
          <w:sz w:val="16"/>
          <w:szCs w:val="16"/>
        </w:rPr>
        <w:t>Represented four of the Indian-based directors in responding to the Royal Commission on the Pike River Coal Mine Tragedy.</w:t>
      </w:r>
    </w:p>
    <w:p w14:paraId="356E1AA7" w14:textId="4B239BA5" w:rsidR="00092BBB" w:rsidRDefault="00092BBB" w:rsidP="005563F6">
      <w:pPr>
        <w:pStyle w:val="BodyText"/>
        <w:spacing w:line="240" w:lineRule="auto"/>
      </w:pPr>
    </w:p>
    <w:sectPr w:rsidR="00092BBB" w:rsidSect="00AB3A1B">
      <w:headerReference w:type="even" r:id="rId9"/>
      <w:headerReference w:type="default" r:id="rId10"/>
      <w:footerReference w:type="default" r:id="rId11"/>
      <w:headerReference w:type="first" r:id="rId12"/>
      <w:footerReference w:type="first" r:id="rId13"/>
      <w:pgSz w:w="11899" w:h="16838"/>
      <w:pgMar w:top="2920" w:right="1106" w:bottom="2557" w:left="1531" w:header="1134" w:footer="99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73300" w14:textId="77777777" w:rsidR="00D55046" w:rsidRDefault="00D55046">
      <w:r>
        <w:separator/>
      </w:r>
    </w:p>
  </w:endnote>
  <w:endnote w:type="continuationSeparator" w:id="0">
    <w:p w14:paraId="69D821B3" w14:textId="77777777" w:rsidR="00D55046" w:rsidRDefault="00D5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icrosoft YaHei UI Light">
    <w:panose1 w:val="020B0502040204020203"/>
    <w:charset w:val="86"/>
    <w:family w:val="swiss"/>
    <w:pitch w:val="variable"/>
    <w:sig w:usb0="80000287" w:usb1="2ACF001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DF63" w14:textId="6C64A6CB" w:rsidR="0025139B" w:rsidRDefault="0025139B" w:rsidP="00CE2C58">
    <w:pPr>
      <w:pStyle w:val="Footer"/>
      <w:tabs>
        <w:tab w:val="clear" w:pos="4320"/>
        <w:tab w:val="clear" w:pos="8640"/>
      </w:tabs>
      <w:ind w:right="93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5D59" w14:textId="152D6322" w:rsidR="0025139B" w:rsidRDefault="00084C0A">
    <w:pPr>
      <w:pStyle w:val="Footer"/>
      <w:ind w:left="-168"/>
    </w:pPr>
    <w:r>
      <w:rPr>
        <w:noProof/>
      </w:rPr>
      <w:drawing>
        <wp:anchor distT="0" distB="0" distL="114300" distR="114300" simplePos="0" relativeHeight="251658752" behindDoc="1" locked="0" layoutInCell="1" allowOverlap="1" wp14:anchorId="083E0526" wp14:editId="5C132777">
          <wp:simplePos x="0" y="0"/>
          <wp:positionH relativeFrom="column">
            <wp:posOffset>-968375</wp:posOffset>
          </wp:positionH>
          <wp:positionV relativeFrom="paragraph">
            <wp:posOffset>-460729</wp:posOffset>
          </wp:positionV>
          <wp:extent cx="7568565" cy="1208447"/>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568565" cy="12084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478B" w14:textId="77777777" w:rsidR="00D55046" w:rsidRDefault="00D55046">
      <w:r>
        <w:separator/>
      </w:r>
    </w:p>
  </w:footnote>
  <w:footnote w:type="continuationSeparator" w:id="0">
    <w:p w14:paraId="6C008181" w14:textId="77777777" w:rsidR="00D55046" w:rsidRDefault="00D55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7E60" w14:textId="0940D33E" w:rsidR="00AB3A1B" w:rsidRDefault="00AB3A1B">
    <w:pPr>
      <w:pStyle w:val="Header"/>
    </w:pPr>
    <w:r>
      <w:rPr>
        <w:noProof/>
      </w:rPr>
      <w:drawing>
        <wp:anchor distT="0" distB="0" distL="114300" distR="114300" simplePos="0" relativeHeight="251660800" behindDoc="1" locked="0" layoutInCell="1" allowOverlap="1" wp14:anchorId="74F04635" wp14:editId="65D5435B">
          <wp:simplePos x="0" y="0"/>
          <wp:positionH relativeFrom="page">
            <wp:align>center</wp:align>
          </wp:positionH>
          <wp:positionV relativeFrom="page">
            <wp:posOffset>15240</wp:posOffset>
          </wp:positionV>
          <wp:extent cx="7569189" cy="1125286"/>
          <wp:effectExtent l="0" t="0" r="0" b="0"/>
          <wp:wrapNone/>
          <wp:docPr id="178570955" name="Picture 1785709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a:picLocks/>
                  </pic:cNvPicPr>
                </pic:nvPicPr>
                <pic:blipFill>
                  <a:blip r:embed="rId1"/>
                  <a:stretch>
                    <a:fillRect/>
                  </a:stretch>
                </pic:blipFill>
                <pic:spPr bwMode="auto">
                  <a:xfrm>
                    <a:off x="0" y="0"/>
                    <a:ext cx="7569189" cy="112528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55DF" w14:textId="4185D5D9" w:rsidR="0025139B" w:rsidRDefault="00AB3A1B">
    <w:pPr>
      <w:pStyle w:val="Header"/>
      <w:tabs>
        <w:tab w:val="clear" w:pos="4320"/>
        <w:tab w:val="clear" w:pos="8640"/>
      </w:tabs>
      <w:ind w:left="-490" w:right="852"/>
    </w:pPr>
    <w:r>
      <w:rPr>
        <w:noProof/>
      </w:rPr>
      <w:drawing>
        <wp:anchor distT="0" distB="0" distL="114300" distR="114300" simplePos="0" relativeHeight="251662848" behindDoc="1" locked="0" layoutInCell="1" allowOverlap="1" wp14:anchorId="4669ACDD" wp14:editId="63920A54">
          <wp:simplePos x="0" y="0"/>
          <wp:positionH relativeFrom="page">
            <wp:align>right</wp:align>
          </wp:positionH>
          <wp:positionV relativeFrom="page">
            <wp:posOffset>33655</wp:posOffset>
          </wp:positionV>
          <wp:extent cx="7569189" cy="1125286"/>
          <wp:effectExtent l="0" t="0" r="0" b="0"/>
          <wp:wrapNone/>
          <wp:docPr id="1056368326" name="Picture 1056368326" descr="A white background with black and white cloud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6368326" name="Picture 1056368326" descr="A white background with black and white clouds&#10;&#10;Description automatically generated"/>
                  <pic:cNvPicPr>
                    <a:picLocks/>
                  </pic:cNvPicPr>
                </pic:nvPicPr>
                <pic:blipFill>
                  <a:blip r:embed="rId1"/>
                  <a:stretch>
                    <a:fillRect/>
                  </a:stretch>
                </pic:blipFill>
                <pic:spPr bwMode="auto">
                  <a:xfrm>
                    <a:off x="0" y="0"/>
                    <a:ext cx="7569189" cy="112528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25F91" w14:textId="77777777" w:rsidR="0025139B" w:rsidRDefault="00675D35" w:rsidP="00B84E9C">
    <w:pPr>
      <w:pStyle w:val="Header"/>
      <w:tabs>
        <w:tab w:val="left" w:pos="0"/>
      </w:tabs>
      <w:ind w:left="-1531"/>
    </w:pPr>
    <w:r>
      <w:rPr>
        <w:noProof/>
      </w:rPr>
      <w:drawing>
        <wp:anchor distT="0" distB="0" distL="114300" distR="114300" simplePos="0" relativeHeight="251657728" behindDoc="1" locked="0" layoutInCell="1" allowOverlap="1" wp14:anchorId="21BE0BE3" wp14:editId="20884859">
          <wp:simplePos x="0" y="0"/>
          <wp:positionH relativeFrom="page">
            <wp:posOffset>-4082</wp:posOffset>
          </wp:positionH>
          <wp:positionV relativeFrom="page">
            <wp:posOffset>8164</wp:posOffset>
          </wp:positionV>
          <wp:extent cx="7569189" cy="1125286"/>
          <wp:effectExtent l="0" t="0" r="635" b="508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a:picLocks/>
                  </pic:cNvPicPr>
                </pic:nvPicPr>
                <pic:blipFill>
                  <a:blip r:embed="rId1"/>
                  <a:stretch>
                    <a:fillRect/>
                  </a:stretch>
                </pic:blipFill>
                <pic:spPr bwMode="auto">
                  <a:xfrm>
                    <a:off x="0" y="0"/>
                    <a:ext cx="7569189" cy="112528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EEEB4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A68B5B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D0A3CC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34BAE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F5AE23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34431F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03E36F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072D7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DF49E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4402C0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7BC2338"/>
    <w:lvl w:ilvl="0">
      <w:start w:val="1"/>
      <w:numFmt w:val="bullet"/>
      <w:lvlText w:val=""/>
      <w:lvlJc w:val="left"/>
      <w:pPr>
        <w:tabs>
          <w:tab w:val="num" w:pos="360"/>
        </w:tabs>
        <w:ind w:left="360" w:hanging="360"/>
      </w:pPr>
      <w:rPr>
        <w:rFonts w:ascii="Symbol" w:hAnsi="Symbol" w:hint="default"/>
      </w:rPr>
    </w:lvl>
  </w:abstractNum>
  <w:num w:numId="1" w16cid:durableId="340358831">
    <w:abstractNumId w:val="0"/>
  </w:num>
  <w:num w:numId="2" w16cid:durableId="2076051556">
    <w:abstractNumId w:val="10"/>
  </w:num>
  <w:num w:numId="3" w16cid:durableId="191771670">
    <w:abstractNumId w:val="8"/>
  </w:num>
  <w:num w:numId="4" w16cid:durableId="1622103121">
    <w:abstractNumId w:val="7"/>
  </w:num>
  <w:num w:numId="5" w16cid:durableId="1709183729">
    <w:abstractNumId w:val="6"/>
  </w:num>
  <w:num w:numId="6" w16cid:durableId="1590697916">
    <w:abstractNumId w:val="5"/>
  </w:num>
  <w:num w:numId="7" w16cid:durableId="446894940">
    <w:abstractNumId w:val="9"/>
  </w:num>
  <w:num w:numId="8" w16cid:durableId="1963343519">
    <w:abstractNumId w:val="4"/>
  </w:num>
  <w:num w:numId="9" w16cid:durableId="606160460">
    <w:abstractNumId w:val="3"/>
  </w:num>
  <w:num w:numId="10" w16cid:durableId="612055023">
    <w:abstractNumId w:val="2"/>
  </w:num>
  <w:num w:numId="11" w16cid:durableId="357783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CE"/>
    <w:rsid w:val="00033825"/>
    <w:rsid w:val="00070FF7"/>
    <w:rsid w:val="00072114"/>
    <w:rsid w:val="00075D78"/>
    <w:rsid w:val="00084C0A"/>
    <w:rsid w:val="00092BBB"/>
    <w:rsid w:val="000A2FB5"/>
    <w:rsid w:val="000D40E4"/>
    <w:rsid w:val="00117A86"/>
    <w:rsid w:val="00150012"/>
    <w:rsid w:val="00154193"/>
    <w:rsid w:val="00183CCC"/>
    <w:rsid w:val="001969EE"/>
    <w:rsid w:val="001B29CB"/>
    <w:rsid w:val="001B701B"/>
    <w:rsid w:val="001D3EBB"/>
    <w:rsid w:val="00203DDC"/>
    <w:rsid w:val="00204373"/>
    <w:rsid w:val="002049AF"/>
    <w:rsid w:val="0025139B"/>
    <w:rsid w:val="00277C09"/>
    <w:rsid w:val="0029549A"/>
    <w:rsid w:val="002D6C72"/>
    <w:rsid w:val="00300586"/>
    <w:rsid w:val="00315A18"/>
    <w:rsid w:val="00331E3A"/>
    <w:rsid w:val="003B1999"/>
    <w:rsid w:val="003E3021"/>
    <w:rsid w:val="004056C8"/>
    <w:rsid w:val="00433C1C"/>
    <w:rsid w:val="004532BC"/>
    <w:rsid w:val="00485064"/>
    <w:rsid w:val="00486A79"/>
    <w:rsid w:val="004A2E79"/>
    <w:rsid w:val="004B6221"/>
    <w:rsid w:val="005437E5"/>
    <w:rsid w:val="005563F6"/>
    <w:rsid w:val="005A372E"/>
    <w:rsid w:val="005E6E84"/>
    <w:rsid w:val="00616445"/>
    <w:rsid w:val="00620026"/>
    <w:rsid w:val="00646C15"/>
    <w:rsid w:val="006471CE"/>
    <w:rsid w:val="00647B1F"/>
    <w:rsid w:val="00675D35"/>
    <w:rsid w:val="00680A9A"/>
    <w:rsid w:val="006A3911"/>
    <w:rsid w:val="006A531A"/>
    <w:rsid w:val="006E4917"/>
    <w:rsid w:val="00752895"/>
    <w:rsid w:val="00766771"/>
    <w:rsid w:val="00773952"/>
    <w:rsid w:val="007911A8"/>
    <w:rsid w:val="007A38A2"/>
    <w:rsid w:val="007C0653"/>
    <w:rsid w:val="00803978"/>
    <w:rsid w:val="0084065C"/>
    <w:rsid w:val="00845711"/>
    <w:rsid w:val="008C1EB8"/>
    <w:rsid w:val="008D6DAA"/>
    <w:rsid w:val="008F7575"/>
    <w:rsid w:val="00910F72"/>
    <w:rsid w:val="00984630"/>
    <w:rsid w:val="0099245A"/>
    <w:rsid w:val="00993A51"/>
    <w:rsid w:val="009A3D06"/>
    <w:rsid w:val="009A3F5C"/>
    <w:rsid w:val="009B71F8"/>
    <w:rsid w:val="009C3B6C"/>
    <w:rsid w:val="009D3DD6"/>
    <w:rsid w:val="009F0DC0"/>
    <w:rsid w:val="00A41B6F"/>
    <w:rsid w:val="00A85342"/>
    <w:rsid w:val="00AA2A3E"/>
    <w:rsid w:val="00AB175D"/>
    <w:rsid w:val="00AB3A1B"/>
    <w:rsid w:val="00AD498F"/>
    <w:rsid w:val="00AD5548"/>
    <w:rsid w:val="00AF62BF"/>
    <w:rsid w:val="00B00DFD"/>
    <w:rsid w:val="00B01806"/>
    <w:rsid w:val="00B5517D"/>
    <w:rsid w:val="00B84E9C"/>
    <w:rsid w:val="00B85915"/>
    <w:rsid w:val="00BD5BD6"/>
    <w:rsid w:val="00C306DF"/>
    <w:rsid w:val="00C46E8A"/>
    <w:rsid w:val="00CB659C"/>
    <w:rsid w:val="00CC1CAC"/>
    <w:rsid w:val="00CC4D90"/>
    <w:rsid w:val="00CE2C58"/>
    <w:rsid w:val="00CE711A"/>
    <w:rsid w:val="00D366AC"/>
    <w:rsid w:val="00D55046"/>
    <w:rsid w:val="00D8768F"/>
    <w:rsid w:val="00DC2BD3"/>
    <w:rsid w:val="00E03B8C"/>
    <w:rsid w:val="00E10B38"/>
    <w:rsid w:val="00E47A96"/>
    <w:rsid w:val="00E64506"/>
    <w:rsid w:val="00E9439D"/>
    <w:rsid w:val="00F042F7"/>
    <w:rsid w:val="00F42D15"/>
    <w:rsid w:val="00F618B9"/>
    <w:rsid w:val="00F6625E"/>
    <w:rsid w:val="00F6794A"/>
    <w:rsid w:val="00F716DB"/>
    <w:rsid w:val="00F837BF"/>
    <w:rsid w:val="00FA74EF"/>
    <w:rsid w:val="00FC071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718E5B0"/>
  <w14:defaultImageDpi w14:val="300"/>
  <w15:chartTrackingRefBased/>
  <w15:docId w15:val="{267CD9A4-5DD8-AA47-B656-B3A458A98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w:hAnsi="Courier" w:cs="Times New Roman"/>
        <w:lang w:val="en-N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ind w:left="1562" w:right="1391"/>
    </w:pPr>
    <w:rPr>
      <w:rFonts w:ascii="Arial" w:hAnsi="Arial"/>
      <w:sz w:val="18"/>
    </w:rPr>
  </w:style>
  <w:style w:type="paragraph" w:styleId="BodyText">
    <w:name w:val="Body Text"/>
    <w:basedOn w:val="Normal"/>
    <w:pPr>
      <w:spacing w:after="120" w:line="280" w:lineRule="exact"/>
      <w:ind w:right="718"/>
    </w:pPr>
    <w:rPr>
      <w:rFonts w:ascii="Arial" w:hAnsi="Arial"/>
      <w:sz w:val="18"/>
    </w:rPr>
  </w:style>
  <w:style w:type="paragraph" w:customStyle="1" w:styleId="Noparagraphstyle">
    <w:name w:val="[No paragraph style]"/>
    <w:pPr>
      <w:widowControl w:val="0"/>
      <w:autoSpaceDE w:val="0"/>
      <w:autoSpaceDN w:val="0"/>
      <w:adjustRightInd w:val="0"/>
      <w:spacing w:line="288" w:lineRule="auto"/>
      <w:textAlignment w:val="center"/>
    </w:pPr>
    <w:rPr>
      <w:rFonts w:ascii="Helvetica" w:eastAsia="Times New Roman" w:hAnsi="Helvetica"/>
      <w:color w:val="000000"/>
      <w:sz w:val="24"/>
      <w:lang w:val="en-US" w:eastAsia="en-US"/>
    </w:rPr>
  </w:style>
  <w:style w:type="paragraph" w:styleId="BodyText2">
    <w:name w:val="Body Text 2"/>
    <w:basedOn w:val="Normal"/>
    <w:pPr>
      <w:spacing w:after="120" w:line="280" w:lineRule="exact"/>
      <w:ind w:right="711"/>
    </w:pPr>
    <w:rPr>
      <w:rFonts w:ascii="Arial" w:hAnsi="Arial"/>
      <w:sz w:val="18"/>
    </w:rPr>
  </w:style>
  <w:style w:type="paragraph" w:styleId="BodyText3">
    <w:name w:val="Body Text 3"/>
    <w:basedOn w:val="Normal"/>
    <w:pPr>
      <w:spacing w:after="120" w:line="280" w:lineRule="exact"/>
      <w:ind w:right="579"/>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orrisonmallett.co.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0DEC1-47A1-3C4E-AB67-ACEC72A7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14/01/05</vt:lpstr>
    </vt:vector>
  </TitlesOfParts>
  <Company>Aviso Design</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14/01/05</dc:title>
  <dc:subject/>
  <dc:creator>Aviso03</dc:creator>
  <cp:keywords/>
  <cp:lastModifiedBy>Michael Morrison</cp:lastModifiedBy>
  <cp:revision>27</cp:revision>
  <cp:lastPrinted>2008-11-25T20:55:00Z</cp:lastPrinted>
  <dcterms:created xsi:type="dcterms:W3CDTF">2023-09-16T02:29:00Z</dcterms:created>
  <dcterms:modified xsi:type="dcterms:W3CDTF">2026-07-24T00:35:00Z</dcterms:modified>
</cp:coreProperties>
</file>