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1.xml" ContentType="application/xml"/>
  <Override PartName="/customXml/item2.xml" ContentType="application/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6.2.0.0 -->
  <w:body>
    <w:p w:rsidR="0029533F" w:rsidRPr="00B07829" w:rsidP="00A877A9">
      <w:pPr>
        <w:pStyle w:val="Pagedecouverture"/>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43E3D8D4-9C2C-4522-8D60-EA2E660158C6" style="width:455.25pt;height:582pt">
            <v:imagedata r:id="rId9" o:title=""/>
          </v:shape>
        </w:pict>
      </w:r>
    </w:p>
    <w:p w:rsidR="00675B4A" w:rsidRPr="00B07829">
      <w:pPr>
        <w:sectPr w:rsidSect="007C03D5">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20"/>
          <w:docGrid w:linePitch="360"/>
        </w:sectPr>
      </w:pPr>
    </w:p>
    <w:p w:rsidR="00675B4A" w:rsidRPr="00B07829" w:rsidP="0042427F">
      <w:pPr>
        <w:pStyle w:val="Typedudocument"/>
      </w:pPr>
      <w:r w:rsidRPr="0042427F">
        <w:t>COMMISSION IMPLEMENTING REGULATION (EU) …/...</w:t>
      </w:r>
    </w:p>
    <w:p w:rsidR="00675B4A" w:rsidRPr="00B07829" w:rsidP="0042427F">
      <w:pPr>
        <w:pStyle w:val="Datedadoption"/>
      </w:pPr>
      <w:r w:rsidRPr="0042427F">
        <w:t xml:space="preserve">of </w:t>
      </w:r>
      <w:r w:rsidRPr="0042427F">
        <w:rPr>
          <w:rStyle w:val="Marker2"/>
        </w:rPr>
        <w:t>XXX</w:t>
      </w:r>
    </w:p>
    <w:p w:rsidR="00675B4A" w:rsidRPr="00B07829" w:rsidP="0042427F">
      <w:pPr>
        <w:pStyle w:val="Titreobjet"/>
      </w:pPr>
      <w:bookmarkStart w:id="0" w:name="_Hlk227232539"/>
      <w:r w:rsidRPr="0042427F">
        <w:t>laying down the implementation arrangements for the digital product passport registry set up under Regulation (EU) 2024/1781 of the European Parliament and of the Council</w:t>
      </w:r>
    </w:p>
    <w:p w:rsidR="00267DF3" w:rsidP="0042427F">
      <w:pPr>
        <w:pStyle w:val="IntrtEEE"/>
      </w:pPr>
      <w:bookmarkEnd w:id="0"/>
      <w:r w:rsidRPr="0042427F">
        <w:t>(Text with EEA relevance)</w:t>
      </w:r>
    </w:p>
    <w:p w:rsidR="00C92D7B" w:rsidRPr="00B07829" w:rsidP="00C92D7B">
      <w:pPr>
        <w:pStyle w:val="Institutionquiagit"/>
      </w:pPr>
      <w:r w:rsidRPr="00B07829">
        <w:t>THE EUROPEAN COMMISSION,</w:t>
      </w:r>
    </w:p>
    <w:p w:rsidR="00C92D7B" w:rsidRPr="00B07829" w:rsidP="00C92D7B">
      <w:r w:rsidRPr="00B07829">
        <w:t>Having regard to the Treaty on the Functioning of the European Union,</w:t>
      </w:r>
    </w:p>
    <w:p w:rsidR="00C92D7B" w:rsidRPr="00B07829" w:rsidP="00C92D7B">
      <w:r w:rsidRPr="00B07829">
        <w:t>Having regard to Regulation (EU) 2024/1781 of the European Parliament and of the Council of 13 June 2024 establishing a framework for the setting of ecodesign requirements for sustainable products, amending Directive (EU) 2020/1828 and Regulation (EU) 2023/1542 and repealing Directive 2009/125/EC</w:t>
      </w:r>
      <w:r>
        <w:rPr>
          <w:rStyle w:val="FootnoteReference"/>
        </w:rPr>
        <w:footnoteReference w:id="3"/>
      </w:r>
      <w:r w:rsidRPr="00B07829">
        <w:t>, and in particular Article 13(5)</w:t>
      </w:r>
      <w:r w:rsidR="00B54BD0">
        <w:t>,</w:t>
      </w:r>
      <w:r w:rsidRPr="00B07829">
        <w:t xml:space="preserve"> </w:t>
      </w:r>
      <w:r w:rsidRPr="003E772F" w:rsidR="00B54BD0">
        <w:t>s</w:t>
      </w:r>
      <w:r w:rsidR="008E6925">
        <w:t>econd</w:t>
      </w:r>
      <w:r w:rsidR="00923A62">
        <w:t xml:space="preserve"> subparagraph,</w:t>
      </w:r>
      <w:r w:rsidRPr="00B07829">
        <w:t xml:space="preserve"> </w:t>
      </w:r>
      <w:r w:rsidR="00923A62">
        <w:t>in conjunction with Article 13(5)</w:t>
      </w:r>
      <w:r w:rsidR="005278A6">
        <w:t xml:space="preserve">, </w:t>
      </w:r>
      <w:r w:rsidR="0067739C">
        <w:t xml:space="preserve">third </w:t>
      </w:r>
      <w:r w:rsidRPr="00B07829">
        <w:t>subparagraph</w:t>
      </w:r>
      <w:r w:rsidR="005278A6">
        <w:t>,</w:t>
      </w:r>
      <w:r w:rsidRPr="00B07829">
        <w:t xml:space="preserve"> thereof,</w:t>
      </w:r>
    </w:p>
    <w:p w:rsidR="00C92D7B" w:rsidRPr="00B07829" w:rsidP="00C92D7B">
      <w:r w:rsidRPr="00B07829">
        <w:t>Whereas:</w:t>
      </w:r>
    </w:p>
    <w:p w:rsidR="00363617" w:rsidRPr="00B07829" w:rsidP="00D61BFF">
      <w:pPr>
        <w:pStyle w:val="Considrant"/>
        <w:numPr>
          <w:ilvl w:val="0"/>
          <w:numId w:val="39"/>
        </w:numPr>
      </w:pPr>
      <w:r>
        <w:t xml:space="preserve">Article 13(1) of Regulation (EU) 2024/1781 requires the Commission to establish a digital registry for the digital product passport </w:t>
      </w:r>
      <w:r w:rsidR="008559E2">
        <w:t xml:space="preserve">(‘the registry’) </w:t>
      </w:r>
      <w:r>
        <w:t>to store in a</w:t>
      </w:r>
      <w:r w:rsidR="001E624C">
        <w:t xml:space="preserve"> </w:t>
      </w:r>
      <w:r>
        <w:t>secure manner at least the unique identifiers.</w:t>
      </w:r>
      <w:r w:rsidR="00AD4614">
        <w:t xml:space="preserve"> </w:t>
      </w:r>
      <w:r w:rsidR="008A5497">
        <w:t xml:space="preserve">It is necessary </w:t>
      </w:r>
      <w:r w:rsidR="0091253F">
        <w:t xml:space="preserve">to </w:t>
      </w:r>
      <w:r w:rsidR="56789B90">
        <w:t xml:space="preserve">set out the main components of the registry </w:t>
      </w:r>
      <w:r w:rsidR="00DB6792">
        <w:t xml:space="preserve">and lay down </w:t>
      </w:r>
      <w:r w:rsidR="56789B90">
        <w:t xml:space="preserve">the technical and operational roles and obligations of </w:t>
      </w:r>
      <w:r w:rsidR="003D7424">
        <w:t>economic operators</w:t>
      </w:r>
      <w:r w:rsidR="002906C1">
        <w:t xml:space="preserve"> </w:t>
      </w:r>
      <w:r w:rsidR="00E92987">
        <w:t>p</w:t>
      </w:r>
      <w:r w:rsidR="002906C1">
        <w:t xml:space="preserve">lacing a product on the market or putting it into service within the framework of the digital product </w:t>
      </w:r>
      <w:r w:rsidR="000A5BE6">
        <w:t xml:space="preserve">passport </w:t>
      </w:r>
      <w:r w:rsidR="002906C1">
        <w:t>registry</w:t>
      </w:r>
      <w:r w:rsidR="004B1E7F">
        <w:t>,</w:t>
      </w:r>
      <w:r w:rsidR="002906C1">
        <w:t xml:space="preserve"> </w:t>
      </w:r>
      <w:r w:rsidR="004B1E7F">
        <w:t>competent national authorities</w:t>
      </w:r>
      <w:r w:rsidR="008B040A">
        <w:t xml:space="preserve"> </w:t>
      </w:r>
      <w:r w:rsidR="004B1E7F">
        <w:t>and customs authorities</w:t>
      </w:r>
      <w:r w:rsidR="008B040A">
        <w:t>,</w:t>
      </w:r>
      <w:r w:rsidR="56789B90">
        <w:t xml:space="preserve"> and</w:t>
      </w:r>
      <w:r w:rsidR="003D7424">
        <w:t xml:space="preserve"> the Commission</w:t>
      </w:r>
      <w:r w:rsidR="56789B90">
        <w:t xml:space="preserve">. Furthermore, </w:t>
      </w:r>
      <w:r w:rsidR="003D7424">
        <w:t>it</w:t>
      </w:r>
      <w:r w:rsidR="56789B90">
        <w:t xml:space="preserve"> </w:t>
      </w:r>
      <w:r w:rsidR="00D82365">
        <w:t xml:space="preserve">is necessary to </w:t>
      </w:r>
      <w:r w:rsidR="56789B90">
        <w:t xml:space="preserve">establish a log system in order to </w:t>
      </w:r>
      <w:r w:rsidR="3C3671FB">
        <w:t xml:space="preserve">record and </w:t>
      </w:r>
      <w:r w:rsidR="56789B90">
        <w:t xml:space="preserve">monitor </w:t>
      </w:r>
      <w:r w:rsidR="000104C0">
        <w:t xml:space="preserve">the </w:t>
      </w:r>
      <w:r w:rsidR="00AC5920">
        <w:t xml:space="preserve">operations and interactions carried out in the registry </w:t>
      </w:r>
      <w:r w:rsidR="0094096B">
        <w:t>in order to ensure accountability for all users,</w:t>
      </w:r>
      <w:r w:rsidR="008E03EE">
        <w:t xml:space="preserve"> </w:t>
      </w:r>
      <w:r w:rsidR="56789B90">
        <w:t>and delineate the responsibility for the maintenance, operation and security of the registry.</w:t>
      </w:r>
    </w:p>
    <w:p w:rsidR="00C92D7B" w:rsidRPr="00B07829" w:rsidP="036693F2">
      <w:pPr>
        <w:pStyle w:val="Considrant"/>
      </w:pPr>
      <w:r w:rsidRPr="00B07829">
        <w:t xml:space="preserve">The registry </w:t>
      </w:r>
      <w:r w:rsidR="009122CA">
        <w:t xml:space="preserve">should </w:t>
      </w:r>
      <w:r w:rsidRPr="00B07829">
        <w:t xml:space="preserve">provide information about products covered by delegated acts adopted </w:t>
      </w:r>
      <w:r w:rsidRPr="005062B4">
        <w:t>under</w:t>
      </w:r>
      <w:r w:rsidRPr="00B07829">
        <w:t xml:space="preserve"> Regula</w:t>
      </w:r>
      <w:r w:rsidRPr="00EC1519">
        <w:t>tion (EU) 2024/1781 and, about batteries, under Regulation (EU) 2023/1542 of the European Parliament and of the Council</w:t>
      </w:r>
      <w:r>
        <w:rPr>
          <w:rStyle w:val="FootnoteReference"/>
        </w:rPr>
        <w:footnoteReference w:id="4"/>
      </w:r>
      <w:r w:rsidR="00EC1519">
        <w:t>.</w:t>
      </w:r>
      <w:r w:rsidR="005450C1">
        <w:t xml:space="preserve"> </w:t>
      </w:r>
      <w:r w:rsidRPr="00276C09" w:rsidR="00276C09">
        <w:t xml:space="preserve">Other Union legislation may require that information on products </w:t>
      </w:r>
      <w:r w:rsidR="00B3013D">
        <w:t>be</w:t>
      </w:r>
      <w:r w:rsidRPr="00276C09" w:rsidR="00276C09">
        <w:t xml:space="preserve"> stored in th</w:t>
      </w:r>
      <w:r w:rsidR="00D8292D">
        <w:t>e</w:t>
      </w:r>
      <w:r w:rsidRPr="00276C09" w:rsidR="00276C09">
        <w:t xml:space="preserve"> registry. Th</w:t>
      </w:r>
      <w:r w:rsidR="00C03BA5">
        <w:t xml:space="preserve">at is already the </w:t>
      </w:r>
      <w:r w:rsidRPr="00276C09" w:rsidR="00276C09">
        <w:t>case for construction products within the scope of Regulation (EU) 2024/3110</w:t>
      </w:r>
      <w:r w:rsidR="009C6991">
        <w:t xml:space="preserve"> </w:t>
      </w:r>
      <w:r w:rsidRPr="009C6991" w:rsidR="009C6991">
        <w:t>of the European Parliament and of the Council</w:t>
      </w:r>
      <w:r>
        <w:rPr>
          <w:rStyle w:val="FootnoteReference"/>
        </w:rPr>
        <w:footnoteReference w:id="5"/>
      </w:r>
      <w:r w:rsidRPr="00276C09" w:rsidR="00276C09">
        <w:t xml:space="preserve">, toys </w:t>
      </w:r>
      <w:r w:rsidR="00F541C7">
        <w:t xml:space="preserve">falling </w:t>
      </w:r>
      <w:r w:rsidRPr="00276C09" w:rsidR="00276C09">
        <w:t>within the scope of Regulation (EU) 2025/2509</w:t>
      </w:r>
      <w:r w:rsidR="00037FB3">
        <w:t xml:space="preserve"> </w:t>
      </w:r>
      <w:r w:rsidRPr="00037FB3" w:rsidR="00037FB3">
        <w:t>of the European Parliament and of the Council</w:t>
      </w:r>
      <w:r>
        <w:rPr>
          <w:rStyle w:val="FootnoteReference"/>
        </w:rPr>
        <w:footnoteReference w:id="6"/>
      </w:r>
      <w:r w:rsidRPr="00276C09" w:rsidR="00276C09">
        <w:t xml:space="preserve"> and detergents </w:t>
      </w:r>
      <w:r w:rsidR="0024171C">
        <w:t xml:space="preserve">falling </w:t>
      </w:r>
      <w:r w:rsidRPr="00276C09" w:rsidR="00276C09">
        <w:t>within the scope of Regulation (EU) 2026/405</w:t>
      </w:r>
      <w:r w:rsidR="0009517C">
        <w:t xml:space="preserve"> </w:t>
      </w:r>
      <w:r w:rsidRPr="0009517C" w:rsidR="0009517C">
        <w:t>of the European Parliament and of the Council</w:t>
      </w:r>
      <w:r>
        <w:rPr>
          <w:rStyle w:val="FootnoteReference"/>
        </w:rPr>
        <w:footnoteReference w:id="7"/>
      </w:r>
      <w:r w:rsidRPr="00276C09" w:rsidR="00276C09">
        <w:t xml:space="preserve">. Where other Union legislation </w:t>
      </w:r>
      <w:r w:rsidR="00B94880">
        <w:t xml:space="preserve">refers </w:t>
      </w:r>
      <w:r w:rsidRPr="00276C09" w:rsidR="00276C09">
        <w:t xml:space="preserve">to the registry established </w:t>
      </w:r>
      <w:r w:rsidR="003E580F">
        <w:t>by</w:t>
      </w:r>
      <w:r w:rsidRPr="00276C09" w:rsidR="00276C09">
        <w:t xml:space="preserve"> Regulation (EU) 2024/1781, the implementation arrangements </w:t>
      </w:r>
      <w:r w:rsidR="00946ED3">
        <w:t xml:space="preserve">laid down </w:t>
      </w:r>
      <w:r w:rsidRPr="00276C09" w:rsidR="00276C09">
        <w:t xml:space="preserve">in this Regulation </w:t>
      </w:r>
      <w:r w:rsidR="008D17CF">
        <w:t>should</w:t>
      </w:r>
      <w:r w:rsidRPr="00276C09" w:rsidR="00276C09">
        <w:t xml:space="preserve"> apply.</w:t>
      </w:r>
    </w:p>
    <w:p w:rsidR="00756EBF" w:rsidRPr="00945ECE" w:rsidP="00624720">
      <w:pPr>
        <w:pStyle w:val="Considrant"/>
        <w:rPr>
          <w:rStyle w:val="normaltextrun"/>
        </w:rPr>
      </w:pPr>
      <w:r w:rsidRPr="07267CB8">
        <w:rPr>
          <w:rStyle w:val="normaltextrun"/>
        </w:rPr>
        <w:t xml:space="preserve">To ensure the effectiveness, security and interoperability of the </w:t>
      </w:r>
      <w:r w:rsidRPr="07267CB8" w:rsidR="00527D98">
        <w:rPr>
          <w:rStyle w:val="normaltextrun"/>
        </w:rPr>
        <w:t>registry</w:t>
      </w:r>
      <w:r w:rsidRPr="07267CB8">
        <w:rPr>
          <w:rStyle w:val="normaltextrun"/>
        </w:rPr>
        <w:t xml:space="preserve">, </w:t>
      </w:r>
      <w:r w:rsidRPr="07267CB8" w:rsidR="00527D98">
        <w:rPr>
          <w:rStyle w:val="normaltextrun"/>
        </w:rPr>
        <w:t>it</w:t>
      </w:r>
      <w:r w:rsidRPr="07267CB8">
        <w:rPr>
          <w:rStyle w:val="normaltextrun"/>
        </w:rPr>
        <w:t xml:space="preserve"> </w:t>
      </w:r>
      <w:r w:rsidRPr="07267CB8">
        <w:rPr>
          <w:rStyle w:val="normaltextrun"/>
        </w:rPr>
        <w:t>should consist of</w:t>
      </w:r>
      <w:r w:rsidRPr="07267CB8">
        <w:rPr>
          <w:rStyle w:val="normaltextrun"/>
        </w:rPr>
        <w:t xml:space="preserve"> </w:t>
      </w:r>
      <w:r w:rsidRPr="07267CB8">
        <w:rPr>
          <w:rStyle w:val="normaltextrun"/>
        </w:rPr>
        <w:t>the following</w:t>
      </w:r>
      <w:r w:rsidRPr="07267CB8" w:rsidR="00527D98">
        <w:rPr>
          <w:rStyle w:val="normaltextrun"/>
        </w:rPr>
        <w:t xml:space="preserve"> elements</w:t>
      </w:r>
      <w:r w:rsidRPr="005A6CF1">
        <w:rPr>
          <w:rStyle w:val="normaltextrun"/>
        </w:rPr>
        <w:t xml:space="preserve">: </w:t>
      </w:r>
      <w:r w:rsidRPr="005A6CF1">
        <w:rPr>
          <w:rStyle w:val="normaltextrun"/>
        </w:rPr>
        <w:t>a website providing a secure user interface</w:t>
      </w:r>
      <w:r w:rsidRPr="005A6CF1" w:rsidR="00336EED">
        <w:rPr>
          <w:rStyle w:val="normaltextrun"/>
        </w:rPr>
        <w:t>;</w:t>
      </w:r>
      <w:r w:rsidRPr="005A6CF1">
        <w:rPr>
          <w:rStyle w:val="normaltextrun"/>
        </w:rPr>
        <w:t xml:space="preserve"> an </w:t>
      </w:r>
      <w:r w:rsidRPr="005A6CF1" w:rsidR="00EE7A97">
        <w:rPr>
          <w:rStyle w:val="normaltextrun"/>
        </w:rPr>
        <w:t>Application Programming Interface</w:t>
      </w:r>
      <w:r w:rsidRPr="005A6CF1" w:rsidR="00590148">
        <w:rPr>
          <w:rStyle w:val="normaltextrun"/>
        </w:rPr>
        <w:t xml:space="preserve"> (API</w:t>
      </w:r>
      <w:r w:rsidRPr="005A6CF1" w:rsidR="00EE7A97">
        <w:rPr>
          <w:rStyle w:val="normaltextrun"/>
        </w:rPr>
        <w:t xml:space="preserve">) </w:t>
      </w:r>
      <w:r w:rsidRPr="005A6CF1">
        <w:rPr>
          <w:rStyle w:val="normaltextrun"/>
        </w:rPr>
        <w:t>for registering digital product passports</w:t>
      </w:r>
      <w:r w:rsidRPr="005A6CF1" w:rsidR="00336EED">
        <w:rPr>
          <w:rStyle w:val="normaltextrun"/>
        </w:rPr>
        <w:t>;</w:t>
      </w:r>
      <w:r w:rsidRPr="005A6CF1">
        <w:rPr>
          <w:rStyle w:val="normaltextrun"/>
        </w:rPr>
        <w:t xml:space="preserve"> a </w:t>
      </w:r>
      <w:r w:rsidRPr="005A6CF1" w:rsidR="00124E16">
        <w:rPr>
          <w:rStyle w:val="normaltextrun"/>
        </w:rPr>
        <w:t xml:space="preserve">verification </w:t>
      </w:r>
      <w:r w:rsidRPr="005A6CF1">
        <w:rPr>
          <w:rStyle w:val="normaltextrun"/>
        </w:rPr>
        <w:t xml:space="preserve">platform to </w:t>
      </w:r>
      <w:r w:rsidRPr="005A6CF1" w:rsidR="007676A1">
        <w:rPr>
          <w:rStyle w:val="normaltextrun"/>
        </w:rPr>
        <w:t xml:space="preserve">verify </w:t>
      </w:r>
      <w:r w:rsidRPr="005A6CF1">
        <w:rPr>
          <w:rStyle w:val="normaltextrun"/>
        </w:rPr>
        <w:t>all users</w:t>
      </w:r>
      <w:r w:rsidRPr="005A6CF1" w:rsidR="00671B36">
        <w:rPr>
          <w:rStyle w:val="normaltextrun"/>
        </w:rPr>
        <w:t xml:space="preserve">; </w:t>
      </w:r>
      <w:r w:rsidRPr="005A6CF1">
        <w:rPr>
          <w:rStyle w:val="normaltextrun"/>
        </w:rPr>
        <w:t xml:space="preserve">an </w:t>
      </w:r>
      <w:r w:rsidRPr="005A6CF1">
        <w:t>identification and authorisation</w:t>
      </w:r>
      <w:r w:rsidRPr="005A6CF1" w:rsidR="007F2B1C">
        <w:t xml:space="preserve"> </w:t>
      </w:r>
      <w:r w:rsidRPr="005A6CF1">
        <w:t>scheme for users</w:t>
      </w:r>
      <w:r w:rsidRPr="005A6CF1" w:rsidR="00E54CC8">
        <w:t>;</w:t>
      </w:r>
      <w:r w:rsidRPr="005A6CF1">
        <w:t xml:space="preserve"> </w:t>
      </w:r>
      <w:r w:rsidRPr="005A6CF1">
        <w:rPr>
          <w:rStyle w:val="normaltextrun"/>
        </w:rPr>
        <w:t xml:space="preserve">a schema for generating unique </w:t>
      </w:r>
      <w:r w:rsidRPr="005A6CF1" w:rsidR="00947558">
        <w:rPr>
          <w:rStyle w:val="normaltextrun"/>
        </w:rPr>
        <w:t xml:space="preserve">registration </w:t>
      </w:r>
      <w:r w:rsidRPr="005A6CF1">
        <w:rPr>
          <w:rStyle w:val="normaltextrun"/>
        </w:rPr>
        <w:t>identifiers</w:t>
      </w:r>
      <w:r w:rsidRPr="005A6CF1" w:rsidR="00C20662">
        <w:rPr>
          <w:rStyle w:val="normaltextrun"/>
        </w:rPr>
        <w:t>;</w:t>
      </w:r>
      <w:r w:rsidRPr="005A6CF1">
        <w:rPr>
          <w:rStyle w:val="normaltextrun"/>
        </w:rPr>
        <w:t xml:space="preserve"> a storage </w:t>
      </w:r>
      <w:r w:rsidRPr="005A6CF1" w:rsidR="007676A1">
        <w:rPr>
          <w:rStyle w:val="normaltextrun"/>
        </w:rPr>
        <w:t>of</w:t>
      </w:r>
      <w:r w:rsidRPr="005A6CF1" w:rsidR="0050568B">
        <w:rPr>
          <w:rStyle w:val="normaltextrun"/>
        </w:rPr>
        <w:t xml:space="preserve"> </w:t>
      </w:r>
      <w:r w:rsidRPr="005A6CF1">
        <w:rPr>
          <w:rStyle w:val="normaltextrun"/>
        </w:rPr>
        <w:t>the commodity codes</w:t>
      </w:r>
      <w:r w:rsidRPr="005A6CF1">
        <w:t xml:space="preserve"> </w:t>
      </w:r>
      <w:r w:rsidRPr="005A6CF1" w:rsidR="00FC1047">
        <w:t xml:space="preserve">of </w:t>
      </w:r>
      <w:r w:rsidRPr="005A6CF1">
        <w:t>products intended to be placed under the customs procedure ‘release for free circulation’</w:t>
      </w:r>
      <w:r w:rsidRPr="005A6CF1" w:rsidR="00E54CC8">
        <w:t>;</w:t>
      </w:r>
      <w:r w:rsidRPr="005A6CF1">
        <w:t xml:space="preserve"> </w:t>
      </w:r>
      <w:r w:rsidRPr="005A6CF1">
        <w:rPr>
          <w:rStyle w:val="normaltextrun"/>
        </w:rPr>
        <w:t>a semantic repository</w:t>
      </w:r>
      <w:r w:rsidRPr="005A6CF1" w:rsidR="00CF2573">
        <w:rPr>
          <w:rStyle w:val="normaltextrun"/>
        </w:rPr>
        <w:t xml:space="preserve"> </w:t>
      </w:r>
      <w:r w:rsidRPr="005A6CF1" w:rsidR="4CF96B15">
        <w:rPr>
          <w:rStyle w:val="normaltextrun"/>
        </w:rPr>
        <w:t xml:space="preserve">which </w:t>
      </w:r>
      <w:r w:rsidRPr="005A6CF1" w:rsidR="00CF2573">
        <w:t>serv</w:t>
      </w:r>
      <w:r w:rsidRPr="005A6CF1" w:rsidR="2DB45108">
        <w:t>es</w:t>
      </w:r>
      <w:r w:rsidRPr="005A6CF1" w:rsidR="00CF2573">
        <w:t xml:space="preserve"> as the authoritative reference for the semantic meaning, structure, versioning and interoperability requirements of digital product passport data</w:t>
      </w:r>
      <w:r w:rsidRPr="005A6CF1" w:rsidR="00E54CC8">
        <w:rPr>
          <w:rStyle w:val="normaltextrun"/>
        </w:rPr>
        <w:t>;</w:t>
      </w:r>
      <w:r w:rsidRPr="005A6CF1">
        <w:rPr>
          <w:rStyle w:val="normaltextrun"/>
        </w:rPr>
        <w:t xml:space="preserve"> a log system recording relevant operation</w:t>
      </w:r>
      <w:r w:rsidRPr="00A60E1A">
        <w:rPr>
          <w:rStyle w:val="normaltextrun"/>
        </w:rPr>
        <w:t>s</w:t>
      </w:r>
      <w:r w:rsidRPr="00A60E1A">
        <w:rPr>
          <w:rStyle w:val="normaltextrun"/>
        </w:rPr>
        <w:t>.</w:t>
      </w:r>
      <w:r w:rsidRPr="07267CB8">
        <w:rPr>
          <w:rStyle w:val="normaltextrun"/>
        </w:rPr>
        <w:t xml:space="preserve"> </w:t>
      </w:r>
      <w:r w:rsidRPr="07267CB8" w:rsidR="004576F1">
        <w:rPr>
          <w:rStyle w:val="normaltextrun"/>
        </w:rPr>
        <w:t xml:space="preserve">Considering that the digital product passport system is built on a decentralised model, the </w:t>
      </w:r>
      <w:r w:rsidRPr="07267CB8" w:rsidR="007B5312">
        <w:rPr>
          <w:rStyle w:val="normaltextrun"/>
        </w:rPr>
        <w:t>registry</w:t>
      </w:r>
      <w:r w:rsidRPr="07267CB8" w:rsidR="004576F1">
        <w:rPr>
          <w:rStyle w:val="normaltextrun"/>
        </w:rPr>
        <w:t xml:space="preserve"> should also include a reference list of digital product passport service providers wh</w:t>
      </w:r>
      <w:r w:rsidRPr="07267CB8" w:rsidR="004C5A72">
        <w:rPr>
          <w:rStyle w:val="normaltextrun"/>
        </w:rPr>
        <w:t>ich</w:t>
      </w:r>
      <w:r w:rsidRPr="07267CB8" w:rsidR="004576F1">
        <w:rPr>
          <w:rStyle w:val="normaltextrun"/>
        </w:rPr>
        <w:t xml:space="preserve"> host backup copies of digital product passports</w:t>
      </w:r>
      <w:r w:rsidRPr="07267CB8">
        <w:rPr>
          <w:rStyle w:val="normaltextrun"/>
        </w:rPr>
        <w:t xml:space="preserve">. </w:t>
      </w:r>
    </w:p>
    <w:p w:rsidR="00527D98" w:rsidRPr="000104C0">
      <w:pPr>
        <w:pStyle w:val="Considrant"/>
      </w:pPr>
      <w:r>
        <w:t xml:space="preserve">In order to ensure that </w:t>
      </w:r>
      <w:r>
        <w:t xml:space="preserve">necessary data </w:t>
      </w:r>
      <w:r>
        <w:t xml:space="preserve">is uploaded </w:t>
      </w:r>
      <w:r w:rsidR="00A86903">
        <w:t>and</w:t>
      </w:r>
      <w:r>
        <w:t xml:space="preserve"> unique identifiers </w:t>
      </w:r>
      <w:r>
        <w:t xml:space="preserve">are stored </w:t>
      </w:r>
      <w:r>
        <w:t xml:space="preserve">in the registry, each economic operator </w:t>
      </w:r>
      <w:r w:rsidR="00A86903">
        <w:t>should be identified</w:t>
      </w:r>
      <w:r>
        <w:t xml:space="preserve"> </w:t>
      </w:r>
      <w:r w:rsidR="00E930BC">
        <w:t>by</w:t>
      </w:r>
      <w:r>
        <w:t xml:space="preserve"> a verification process</w:t>
      </w:r>
      <w:r>
        <w:t xml:space="preserve">. </w:t>
      </w:r>
      <w:r w:rsidR="00A86903">
        <w:t>Th</w:t>
      </w:r>
      <w:r>
        <w:t>at</w:t>
      </w:r>
      <w:r w:rsidR="00A86903">
        <w:t xml:space="preserve"> verification process should be carried out </w:t>
      </w:r>
      <w:r w:rsidR="00531045">
        <w:t xml:space="preserve">also </w:t>
      </w:r>
      <w:r w:rsidR="00A86903">
        <w:t>by a</w:t>
      </w:r>
      <w:r w:rsidR="00947558">
        <w:t>ny</w:t>
      </w:r>
      <w:r w:rsidR="00A86903">
        <w:t xml:space="preserve"> </w:t>
      </w:r>
      <w:r w:rsidR="00531045">
        <w:t xml:space="preserve">other actor in the value chain (such as digital product passport service providers, authorised representatives, repairers, refurbishers, remanufacturers, recyclers), who updates the data </w:t>
      </w:r>
      <w:r w:rsidR="00F77645">
        <w:t>of</w:t>
      </w:r>
      <w:r w:rsidR="00531045">
        <w:t xml:space="preserve"> </w:t>
      </w:r>
      <w:r w:rsidR="003E4177">
        <w:t xml:space="preserve">a </w:t>
      </w:r>
      <w:r w:rsidR="00531045">
        <w:t>product’s digital product passport.</w:t>
      </w:r>
      <w:r w:rsidRPr="000104C0" w:rsidR="001B231B">
        <w:t xml:space="preserve"> </w:t>
      </w:r>
    </w:p>
    <w:p w:rsidR="0047567B" w:rsidP="0047567B">
      <w:pPr>
        <w:pStyle w:val="Considrant"/>
        <w:rPr>
          <w:lang w:eastAsia="en-GB"/>
        </w:rPr>
      </w:pPr>
      <w:r w:rsidRPr="000104C0">
        <w:t>In the case of a natural person</w:t>
      </w:r>
      <w:r w:rsidR="001B231B">
        <w:t xml:space="preserve"> acting as a sole trader</w:t>
      </w:r>
      <w:r w:rsidR="00AB471A">
        <w:t xml:space="preserve"> who is established in the Union</w:t>
      </w:r>
      <w:r w:rsidRPr="00DF0949">
        <w:t xml:space="preserve">, </w:t>
      </w:r>
      <w:r w:rsidR="00725123">
        <w:t>identity should be proved</w:t>
      </w:r>
      <w:r w:rsidR="00714DD5">
        <w:t xml:space="preserve"> through </w:t>
      </w:r>
      <w:r w:rsidRPr="00DF0949">
        <w:t xml:space="preserve">a </w:t>
      </w:r>
      <w:r w:rsidRPr="07267CB8" w:rsidR="00AB471A">
        <w:rPr>
          <w:lang w:eastAsia="en-GB"/>
        </w:rPr>
        <w:t>qualified electronic signature supported by a qualified certificate for electronic signatures</w:t>
      </w:r>
      <w:r w:rsidR="00714DD5">
        <w:t xml:space="preserve"> </w:t>
      </w:r>
      <w:r w:rsidRPr="00DF0949">
        <w:t>in accordance with Regulation (EU) No 910/2014</w:t>
      </w:r>
      <w:r w:rsidRPr="00DF0949" w:rsidR="00A24477">
        <w:t xml:space="preserve"> of the European Parliament and of the Council</w:t>
      </w:r>
      <w:r>
        <w:rPr>
          <w:rStyle w:val="FootnoteReference"/>
        </w:rPr>
        <w:footnoteReference w:id="8"/>
      </w:r>
      <w:r w:rsidR="00A26727">
        <w:t>,</w:t>
      </w:r>
      <w:r w:rsidR="00AB471A">
        <w:t xml:space="preserve"> or</w:t>
      </w:r>
      <w:r w:rsidR="00E25048">
        <w:t xml:space="preserve"> through</w:t>
      </w:r>
      <w:r w:rsidR="00AB471A">
        <w:t xml:space="preserve"> </w:t>
      </w:r>
      <w:r w:rsidRPr="07267CB8" w:rsidR="00AB471A">
        <w:rPr>
          <w:lang w:eastAsia="en-GB"/>
        </w:rPr>
        <w:t xml:space="preserve">an electronic identification means which meets the requirements of </w:t>
      </w:r>
      <w:r w:rsidRPr="07267CB8" w:rsidR="00E13428">
        <w:rPr>
          <w:lang w:eastAsia="en-GB"/>
        </w:rPr>
        <w:t xml:space="preserve">that </w:t>
      </w:r>
      <w:r w:rsidRPr="07267CB8" w:rsidR="00AB471A">
        <w:rPr>
          <w:lang w:eastAsia="en-GB"/>
        </w:rPr>
        <w:t xml:space="preserve">Regulation with regard to the assurance level ‘high’, or </w:t>
      </w:r>
      <w:r w:rsidRPr="07267CB8" w:rsidR="00E25048">
        <w:rPr>
          <w:lang w:eastAsia="en-GB"/>
        </w:rPr>
        <w:t xml:space="preserve">through </w:t>
      </w:r>
      <w:r w:rsidRPr="07267CB8" w:rsidR="00AB471A">
        <w:rPr>
          <w:lang w:eastAsia="en-GB"/>
        </w:rPr>
        <w:t xml:space="preserve">an electronic attestation of attributes issued under Union law that enables the identification of the economic operator. </w:t>
      </w:r>
      <w:r w:rsidR="00AB471A">
        <w:t xml:space="preserve">In </w:t>
      </w:r>
      <w:r w:rsidR="00233DD6">
        <w:t xml:space="preserve">the </w:t>
      </w:r>
      <w:r w:rsidR="00AB471A">
        <w:t xml:space="preserve">case of a natural person acting as a sole trader who is not established in the Union, </w:t>
      </w:r>
      <w:r w:rsidR="006F7980">
        <w:t xml:space="preserve">identity should be proved through </w:t>
      </w:r>
      <w:r w:rsidR="00AB471A">
        <w:t xml:space="preserve">a </w:t>
      </w:r>
      <w:r w:rsidRPr="07267CB8" w:rsidR="00AB471A">
        <w:rPr>
          <w:lang w:eastAsia="en-GB"/>
        </w:rPr>
        <w:t xml:space="preserve">qualified electronic signature supported by a qualified certificate for electronic signatures </w:t>
      </w:r>
      <w:r w:rsidR="00AB471A">
        <w:t>in accordance with Regulation (EU) No 910/2014</w:t>
      </w:r>
      <w:r w:rsidR="0088502D">
        <w:t>,</w:t>
      </w:r>
      <w:r w:rsidR="00AB471A">
        <w:t xml:space="preserve"> or</w:t>
      </w:r>
      <w:r w:rsidR="0088502D">
        <w:t xml:space="preserve"> through</w:t>
      </w:r>
      <w:r w:rsidR="00AB471A">
        <w:t xml:space="preserve"> </w:t>
      </w:r>
      <w:r w:rsidRPr="07267CB8" w:rsidR="00AB471A">
        <w:rPr>
          <w:lang w:eastAsia="en-GB"/>
        </w:rPr>
        <w:t>an electronic attestation of attributes issued under Union law that enables the identification of the economic operator.</w:t>
      </w:r>
    </w:p>
    <w:p w:rsidR="0047567B" w:rsidP="0047567B">
      <w:pPr>
        <w:pStyle w:val="Considrant"/>
        <w:rPr>
          <w:lang w:eastAsia="en-GB"/>
        </w:rPr>
      </w:pPr>
      <w:r>
        <w:t>I</w:t>
      </w:r>
      <w:r w:rsidR="00527D98">
        <w:t xml:space="preserve">n </w:t>
      </w:r>
      <w:r w:rsidR="00947558">
        <w:t xml:space="preserve">the </w:t>
      </w:r>
      <w:r w:rsidR="00527D98">
        <w:t>case</w:t>
      </w:r>
      <w:r w:rsidR="002449AC">
        <w:t xml:space="preserve"> </w:t>
      </w:r>
      <w:r w:rsidR="00527D98">
        <w:t>of</w:t>
      </w:r>
      <w:r w:rsidR="00D7679D">
        <w:t xml:space="preserve"> a</w:t>
      </w:r>
      <w:r w:rsidR="00527D98">
        <w:t xml:space="preserve"> legal person</w:t>
      </w:r>
      <w:r w:rsidR="00A362BA">
        <w:t xml:space="preserve"> established in the Union</w:t>
      </w:r>
      <w:r w:rsidR="00527D98">
        <w:t>, proof of</w:t>
      </w:r>
      <w:r w:rsidR="006B4CED">
        <w:t xml:space="preserve"> identity and </w:t>
      </w:r>
      <w:r w:rsidRPr="07267CB8">
        <w:rPr>
          <w:lang w:eastAsia="en-GB"/>
        </w:rPr>
        <w:t xml:space="preserve">where applicable, </w:t>
      </w:r>
      <w:r w:rsidRPr="07267CB8" w:rsidR="00A362BA">
        <w:rPr>
          <w:lang w:eastAsia="en-GB"/>
        </w:rPr>
        <w:t xml:space="preserve">of establishment </w:t>
      </w:r>
      <w:r w:rsidR="006B4CED">
        <w:t>s</w:t>
      </w:r>
      <w:r w:rsidR="00527D98">
        <w:t xml:space="preserve">hould be verified by a qualified trust service provider </w:t>
      </w:r>
      <w:r w:rsidR="003A301A">
        <w:t>through</w:t>
      </w:r>
      <w:r w:rsidR="00527D98">
        <w:t xml:space="preserve"> </w:t>
      </w:r>
      <w:r w:rsidR="006B4CED">
        <w:t>a</w:t>
      </w:r>
      <w:r w:rsidR="004261BD">
        <w:t xml:space="preserve"> </w:t>
      </w:r>
      <w:r w:rsidR="00A362BA">
        <w:t>qualified electronic seal supported by a qualified certificate for electronic seal</w:t>
      </w:r>
      <w:r w:rsidR="008E0000">
        <w:t>s</w:t>
      </w:r>
      <w:r w:rsidR="00527D98">
        <w:t xml:space="preserve"> in </w:t>
      </w:r>
      <w:r w:rsidR="00413B99">
        <w:t xml:space="preserve">accordance </w:t>
      </w:r>
      <w:r w:rsidR="00527D98">
        <w:t>with Regulation (EU) No 910/2014</w:t>
      </w:r>
      <w:r w:rsidR="007E58B5">
        <w:t xml:space="preserve">, </w:t>
      </w:r>
      <w:r w:rsidRPr="07267CB8" w:rsidR="00AB471A">
        <w:rPr>
          <w:lang w:eastAsia="en-GB"/>
        </w:rPr>
        <w:t xml:space="preserve">or </w:t>
      </w:r>
      <w:r w:rsidRPr="07267CB8" w:rsidR="00506416">
        <w:rPr>
          <w:lang w:eastAsia="en-GB"/>
        </w:rPr>
        <w:t>through</w:t>
      </w:r>
      <w:r w:rsidRPr="07267CB8" w:rsidR="006E3408">
        <w:rPr>
          <w:lang w:eastAsia="en-GB"/>
        </w:rPr>
        <w:t xml:space="preserve"> a</w:t>
      </w:r>
      <w:r w:rsidRPr="07267CB8" w:rsidR="00AB471A">
        <w:rPr>
          <w:lang w:eastAsia="en-GB"/>
        </w:rPr>
        <w:t xml:space="preserve"> qualified electronic attestation of attributes issued under Union law that enables the identification of the economic operator</w:t>
      </w:r>
      <w:r w:rsidRPr="07267CB8" w:rsidR="00A362BA">
        <w:rPr>
          <w:lang w:eastAsia="en-GB"/>
        </w:rPr>
        <w:t>.</w:t>
      </w:r>
      <w:r w:rsidRPr="07267CB8" w:rsidR="00AB471A">
        <w:rPr>
          <w:lang w:eastAsia="en-GB"/>
        </w:rPr>
        <w:t xml:space="preserve"> </w:t>
      </w:r>
      <w:r w:rsidR="00A362BA">
        <w:t>In the case of a legal person not established in the Union, proof of identity and</w:t>
      </w:r>
      <w:r w:rsidR="00B54DA4">
        <w:t xml:space="preserve"> </w:t>
      </w:r>
      <w:r w:rsidRPr="07267CB8">
        <w:rPr>
          <w:lang w:eastAsia="en-GB"/>
        </w:rPr>
        <w:t>where applicable,</w:t>
      </w:r>
      <w:r w:rsidRPr="07267CB8" w:rsidR="00A362BA">
        <w:rPr>
          <w:lang w:eastAsia="en-GB"/>
        </w:rPr>
        <w:t xml:space="preserve"> of  establishment </w:t>
      </w:r>
      <w:r w:rsidR="00A362BA">
        <w:t xml:space="preserve">should be verified </w:t>
      </w:r>
      <w:r w:rsidRPr="07267CB8" w:rsidR="00AB471A">
        <w:rPr>
          <w:lang w:eastAsia="en-GB"/>
        </w:rPr>
        <w:t>by means of a qualified electronic seal supported by a qualified certificate for electronic seal</w:t>
      </w:r>
      <w:r w:rsidRPr="07267CB8" w:rsidR="00D94470">
        <w:rPr>
          <w:lang w:eastAsia="en-GB"/>
        </w:rPr>
        <w:t>s</w:t>
      </w:r>
      <w:r w:rsidRPr="07267CB8" w:rsidR="00AB471A">
        <w:rPr>
          <w:lang w:eastAsia="en-GB"/>
        </w:rPr>
        <w:t>, issued by a qualified trust service provider pursuant to Regulation (EU) No 910/2014</w:t>
      </w:r>
      <w:r w:rsidRPr="07267CB8" w:rsidR="00A56434">
        <w:rPr>
          <w:lang w:eastAsia="en-GB"/>
        </w:rPr>
        <w:t>,</w:t>
      </w:r>
      <w:r w:rsidRPr="07267CB8" w:rsidR="00A362BA">
        <w:rPr>
          <w:lang w:eastAsia="en-GB"/>
        </w:rPr>
        <w:t xml:space="preserve"> or</w:t>
      </w:r>
      <w:r w:rsidRPr="07267CB8" w:rsidR="00A56434">
        <w:rPr>
          <w:lang w:eastAsia="en-GB"/>
        </w:rPr>
        <w:t xml:space="preserve"> by means of</w:t>
      </w:r>
      <w:r w:rsidRPr="07267CB8" w:rsidR="00A362BA">
        <w:rPr>
          <w:lang w:eastAsia="en-GB"/>
        </w:rPr>
        <w:t xml:space="preserve"> </w:t>
      </w:r>
      <w:r w:rsidRPr="07267CB8" w:rsidR="00AB471A">
        <w:rPr>
          <w:lang w:eastAsia="en-GB"/>
        </w:rPr>
        <w:t>an electronic attestation of attributes issued under Union law that enables the identification of the economic operator.</w:t>
      </w:r>
    </w:p>
    <w:p w:rsidR="007E381C" w:rsidRPr="000B4896" w:rsidP="0093430D">
      <w:pPr>
        <w:pStyle w:val="Considrant"/>
      </w:pPr>
      <w:r>
        <w:t xml:space="preserve">Upon completion of the </w:t>
      </w:r>
      <w:r w:rsidR="00947558">
        <w:t xml:space="preserve">verification </w:t>
      </w:r>
      <w:r>
        <w:t xml:space="preserve">process, the economic operator </w:t>
      </w:r>
      <w:r w:rsidR="001F2064">
        <w:t>should</w:t>
      </w:r>
      <w:r>
        <w:t xml:space="preserve"> be considered a ‘verified economic operator’,</w:t>
      </w:r>
      <w:r w:rsidR="001D3609">
        <w:t xml:space="preserve"> </w:t>
      </w:r>
      <w:r>
        <w:t>authori</w:t>
      </w:r>
      <w:r w:rsidR="008A285A">
        <w:t>s</w:t>
      </w:r>
      <w:r>
        <w:t>ed</w:t>
      </w:r>
      <w:r w:rsidR="004261BD">
        <w:t xml:space="preserve"> </w:t>
      </w:r>
      <w:r>
        <w:t>to create a user profile and</w:t>
      </w:r>
      <w:r w:rsidR="004261BD">
        <w:t xml:space="preserve"> </w:t>
      </w:r>
      <w:r>
        <w:t>manage</w:t>
      </w:r>
      <w:r w:rsidR="004261BD">
        <w:t xml:space="preserve"> </w:t>
      </w:r>
      <w:r>
        <w:t xml:space="preserve">access rights to additional </w:t>
      </w:r>
      <w:r w:rsidR="004261BD">
        <w:t xml:space="preserve">users </w:t>
      </w:r>
      <w:r>
        <w:t>acting on behalf of the same operator</w:t>
      </w:r>
      <w:r w:rsidR="00605642">
        <w:t>,</w:t>
      </w:r>
      <w:r>
        <w:t xml:space="preserve"> to</w:t>
      </w:r>
      <w:r w:rsidR="004261BD">
        <w:t xml:space="preserve"> </w:t>
      </w:r>
      <w:r>
        <w:t>register new digital product passports in the registry and</w:t>
      </w:r>
      <w:r w:rsidR="004261BD">
        <w:t xml:space="preserve"> </w:t>
      </w:r>
      <w:r>
        <w:t>modify</w:t>
      </w:r>
      <w:r w:rsidR="004261BD">
        <w:t xml:space="preserve"> </w:t>
      </w:r>
      <w:r>
        <w:t>existing registrations.</w:t>
      </w:r>
      <w:r w:rsidR="004261BD">
        <w:t xml:space="preserve"> Only </w:t>
      </w:r>
      <w:r w:rsidR="008A285A">
        <w:t>a</w:t>
      </w:r>
      <w:r w:rsidR="00DD4DB2">
        <w:t xml:space="preserve"> </w:t>
      </w:r>
      <w:r w:rsidR="004261BD">
        <w:t xml:space="preserve">verified economic operator </w:t>
      </w:r>
      <w:r w:rsidR="00605642">
        <w:t>should</w:t>
      </w:r>
      <w:r w:rsidR="000F609A">
        <w:t xml:space="preserve"> </w:t>
      </w:r>
      <w:r w:rsidR="004261BD">
        <w:t>be able to register</w:t>
      </w:r>
      <w:r w:rsidR="00936CD7">
        <w:t xml:space="preserve"> </w:t>
      </w:r>
      <w:r w:rsidR="004261BD">
        <w:t>digital product passports</w:t>
      </w:r>
      <w:r w:rsidR="00936CD7">
        <w:t xml:space="preserve"> </w:t>
      </w:r>
      <w:r w:rsidR="004261BD">
        <w:t>in the</w:t>
      </w:r>
      <w:r w:rsidR="00936CD7">
        <w:t xml:space="preserve"> </w:t>
      </w:r>
      <w:r w:rsidR="004261BD">
        <w:t>registry</w:t>
      </w:r>
      <w:r w:rsidR="00936CD7">
        <w:t xml:space="preserve"> </w:t>
      </w:r>
      <w:r w:rsidR="004261BD">
        <w:t>and</w:t>
      </w:r>
      <w:r w:rsidR="00936CD7">
        <w:t xml:space="preserve"> </w:t>
      </w:r>
      <w:r w:rsidR="004261BD">
        <w:t>make</w:t>
      </w:r>
      <w:r w:rsidR="00936CD7">
        <w:t xml:space="preserve"> </w:t>
      </w:r>
      <w:r w:rsidR="004261BD">
        <w:t>corrections to the existing ones, thereby ensuring the integrity and accuracy of the</w:t>
      </w:r>
      <w:r w:rsidR="00936CD7">
        <w:t xml:space="preserve"> </w:t>
      </w:r>
      <w:r w:rsidR="004261BD">
        <w:t>data.</w:t>
      </w:r>
      <w:r w:rsidR="00AB618D">
        <w:t xml:space="preserve"> </w:t>
      </w:r>
      <w:r w:rsidR="00477BF8">
        <w:t xml:space="preserve">The registry will use statuses to indicate whether the registration </w:t>
      </w:r>
      <w:r w:rsidR="00CC5995">
        <w:t xml:space="preserve">of the verified economic operator </w:t>
      </w:r>
      <w:r w:rsidR="00477BF8">
        <w:t xml:space="preserve">is valid. </w:t>
      </w:r>
      <w:r w:rsidR="00D23B53">
        <w:t>A single</w:t>
      </w:r>
      <w:r w:rsidR="00947558">
        <w:t xml:space="preserve"> verification process</w:t>
      </w:r>
      <w:r w:rsidR="00936CD7">
        <w:t xml:space="preserve"> </w:t>
      </w:r>
      <w:r w:rsidR="003D4F9B">
        <w:t>should</w:t>
      </w:r>
      <w:r w:rsidR="00D23B53">
        <w:t xml:space="preserve"> </w:t>
      </w:r>
      <w:r w:rsidR="00947558">
        <w:t>provide the</w:t>
      </w:r>
      <w:r w:rsidR="00D23B53">
        <w:t xml:space="preserve"> </w:t>
      </w:r>
      <w:r w:rsidR="00947558">
        <w:t xml:space="preserve">economic operator with the ‘verified’ status </w:t>
      </w:r>
      <w:r w:rsidR="00846425">
        <w:t xml:space="preserve">up until their means for electronic identification expire but no longer than for </w:t>
      </w:r>
      <w:r w:rsidR="001C2680">
        <w:t>3</w:t>
      </w:r>
      <w:r w:rsidR="00947558">
        <w:t xml:space="preserve"> years.</w:t>
      </w:r>
      <w:r w:rsidR="00D23B53">
        <w:t xml:space="preserve"> </w:t>
      </w:r>
      <w:r w:rsidR="00947558">
        <w:t>After</w:t>
      </w:r>
      <w:r w:rsidR="00D23B53">
        <w:t xml:space="preserve"> </w:t>
      </w:r>
      <w:r w:rsidR="00947558">
        <w:t>that</w:t>
      </w:r>
      <w:r w:rsidR="00D23B53">
        <w:t xml:space="preserve"> </w:t>
      </w:r>
      <w:r w:rsidR="00947558">
        <w:t>period</w:t>
      </w:r>
      <w:r w:rsidR="00D23B53">
        <w:t xml:space="preserve">, </w:t>
      </w:r>
      <w:r w:rsidR="00947558">
        <w:t>a new verification process</w:t>
      </w:r>
      <w:r w:rsidR="003D4F9B">
        <w:t xml:space="preserve"> </w:t>
      </w:r>
      <w:r w:rsidR="00A15AA5">
        <w:t>should</w:t>
      </w:r>
      <w:r w:rsidR="003D4F9B">
        <w:t xml:space="preserve"> </w:t>
      </w:r>
      <w:r w:rsidR="00947558">
        <w:t xml:space="preserve">be performed. If </w:t>
      </w:r>
      <w:r w:rsidR="009B5108">
        <w:t xml:space="preserve">the economic operator does not seek </w:t>
      </w:r>
      <w:r w:rsidRPr="001F752C" w:rsidR="009B5108">
        <w:t>renewal (</w:t>
      </w:r>
      <w:r w:rsidRPr="001F752C" w:rsidR="00947558">
        <w:t>repeat the verification process</w:t>
      </w:r>
      <w:r w:rsidRPr="001F752C" w:rsidR="009B5108">
        <w:t xml:space="preserve"> according </w:t>
      </w:r>
      <w:r w:rsidRPr="000B4896" w:rsidR="009B5108">
        <w:t>to Article 4) the economic operator</w:t>
      </w:r>
      <w:r w:rsidRPr="000B4896" w:rsidR="003D4F9B">
        <w:t xml:space="preserve"> </w:t>
      </w:r>
      <w:r w:rsidRPr="000B4896" w:rsidR="00947558">
        <w:t>should be</w:t>
      </w:r>
      <w:r w:rsidRPr="000B4896" w:rsidR="00897F53">
        <w:t xml:space="preserve"> </w:t>
      </w:r>
      <w:r w:rsidRPr="000B4896" w:rsidR="00947558">
        <w:t>co</w:t>
      </w:r>
      <w:r w:rsidRPr="000B4896" w:rsidR="00897F53">
        <w:t>nsidered an</w:t>
      </w:r>
      <w:r w:rsidRPr="000B4896" w:rsidR="00947558">
        <w:t xml:space="preserve"> ‘unverified</w:t>
      </w:r>
      <w:r w:rsidRPr="000B4896" w:rsidR="003D4F9B">
        <w:t xml:space="preserve"> </w:t>
      </w:r>
      <w:r w:rsidRPr="000B4896" w:rsidR="00947558">
        <w:t>economic operator’</w:t>
      </w:r>
      <w:r w:rsidRPr="000B4896" w:rsidR="003D4F9B">
        <w:t xml:space="preserve"> </w:t>
      </w:r>
      <w:r w:rsidRPr="000B4896" w:rsidR="00947558">
        <w:t>and lose the capacity</w:t>
      </w:r>
      <w:r w:rsidRPr="000B4896" w:rsidR="003D4F9B">
        <w:t xml:space="preserve"> </w:t>
      </w:r>
      <w:r w:rsidRPr="000B4896" w:rsidR="00947558">
        <w:t>to register new digital product passports</w:t>
      </w:r>
      <w:r w:rsidRPr="000B4896" w:rsidR="003D4F9B">
        <w:t xml:space="preserve"> </w:t>
      </w:r>
      <w:r w:rsidRPr="000B4896" w:rsidR="00947558">
        <w:t>and</w:t>
      </w:r>
      <w:r w:rsidRPr="000B4896" w:rsidR="003D4F9B">
        <w:t xml:space="preserve"> </w:t>
      </w:r>
      <w:r w:rsidRPr="000B4896" w:rsidR="00947558">
        <w:t>upload any data in the re</w:t>
      </w:r>
      <w:r w:rsidRPr="000B4896" w:rsidR="00916CAA">
        <w:t>gistry.</w:t>
      </w:r>
      <w:r w:rsidRPr="000B4896" w:rsidR="00521433">
        <w:t xml:space="preserve"> In cases of insolvency, liquidation</w:t>
      </w:r>
      <w:r w:rsidRPr="000B4896" w:rsidR="007F6180">
        <w:t xml:space="preserve"> </w:t>
      </w:r>
      <w:r w:rsidRPr="000B4896" w:rsidR="00521433">
        <w:t>or</w:t>
      </w:r>
      <w:r w:rsidRPr="000B4896" w:rsidR="007F6180">
        <w:t xml:space="preserve"> </w:t>
      </w:r>
      <w:r w:rsidRPr="000B4896" w:rsidR="00521433">
        <w:t xml:space="preserve">cessation of activity in the Union of the </w:t>
      </w:r>
      <w:r w:rsidRPr="000B4896" w:rsidR="007F6180">
        <w:t xml:space="preserve">verified </w:t>
      </w:r>
      <w:r w:rsidRPr="000B4896" w:rsidR="00521433">
        <w:t xml:space="preserve">economic operator responsible for the creation of the digital product passport, the record of the digital product passport shall remain available in the registry for the period specified in </w:t>
      </w:r>
      <w:r w:rsidRPr="000B4896" w:rsidR="001C2680">
        <w:t>the relevant Union law</w:t>
      </w:r>
      <w:r w:rsidRPr="000B4896" w:rsidR="00521433">
        <w:t xml:space="preserve">. </w:t>
      </w:r>
    </w:p>
    <w:p w:rsidR="004203D2">
      <w:pPr>
        <w:pStyle w:val="Considrant"/>
      </w:pPr>
      <w:r w:rsidRPr="000B4896">
        <w:t xml:space="preserve">In order for other value chain actors (repairers, refurbishers, remanufacturers or other) to get access to the registry or </w:t>
      </w:r>
      <w:r w:rsidRPr="000B4896" w:rsidR="001C674B">
        <w:t xml:space="preserve">to </w:t>
      </w:r>
      <w:r w:rsidRPr="000B4896">
        <w:t xml:space="preserve">update information in </w:t>
      </w:r>
      <w:r w:rsidRPr="000B4896" w:rsidR="00781B56">
        <w:t xml:space="preserve">a </w:t>
      </w:r>
      <w:r w:rsidRPr="000B4896">
        <w:t xml:space="preserve">digital product passport, </w:t>
      </w:r>
      <w:r w:rsidRPr="000B4896" w:rsidR="00435896">
        <w:t xml:space="preserve">those actors </w:t>
      </w:r>
      <w:r w:rsidRPr="000B4896">
        <w:t>will need to go through a verification process, detailed in Article</w:t>
      </w:r>
      <w:r w:rsidRPr="000B4896" w:rsidR="00516870">
        <w:t xml:space="preserve"> 5.</w:t>
      </w:r>
      <w:r w:rsidR="00516870">
        <w:t xml:space="preserve"> </w:t>
      </w:r>
      <w:r>
        <w:t xml:space="preserve">Therefore, only actors who obtained </w:t>
      </w:r>
      <w:r w:rsidR="002E27A0">
        <w:t xml:space="preserve">the </w:t>
      </w:r>
      <w:r>
        <w:t xml:space="preserve">status </w:t>
      </w:r>
      <w:r w:rsidR="002E27A0">
        <w:t xml:space="preserve">‘verified’ </w:t>
      </w:r>
      <w:r>
        <w:t xml:space="preserve">shall have access to the digital product passport registry. Their role (such as repairer, recycler, remanufacturer or other) and any actions which they perform in the registry should be </w:t>
      </w:r>
      <w:r w:rsidRPr="001F752C">
        <w:t xml:space="preserve">specified in the delegated </w:t>
      </w:r>
      <w:r>
        <w:t>acts adopted under Regulation (EU) 2024/1781 or under other Union law.</w:t>
      </w:r>
    </w:p>
    <w:p w:rsidR="009917B2" w:rsidP="00C1481E">
      <w:pPr>
        <w:pStyle w:val="Considrant"/>
        <w:rPr>
          <w:lang w:eastAsia="en-GB"/>
        </w:rPr>
      </w:pPr>
      <w:r w:rsidRPr="07267CB8">
        <w:rPr>
          <w:lang w:eastAsia="en-GB"/>
        </w:rPr>
        <w:t>In order to</w:t>
      </w:r>
      <w:r w:rsidRPr="07267CB8" w:rsidR="00EB26E2">
        <w:rPr>
          <w:lang w:eastAsia="en-GB"/>
        </w:rPr>
        <w:t xml:space="preserve"> ensure</w:t>
      </w:r>
      <w:r w:rsidRPr="07267CB8" w:rsidR="00B16599">
        <w:rPr>
          <w:lang w:eastAsia="en-GB"/>
        </w:rPr>
        <w:t xml:space="preserve"> proper functioning of the registry</w:t>
      </w:r>
      <w:r w:rsidRPr="07267CB8" w:rsidR="009B1D41">
        <w:rPr>
          <w:lang w:eastAsia="en-GB"/>
        </w:rPr>
        <w:t xml:space="preserve"> </w:t>
      </w:r>
      <w:r w:rsidRPr="07267CB8" w:rsidR="00207503">
        <w:rPr>
          <w:lang w:eastAsia="en-GB"/>
        </w:rPr>
        <w:t>and accountability</w:t>
      </w:r>
      <w:r w:rsidR="00102C36">
        <w:rPr>
          <w:lang w:eastAsia="en-GB"/>
        </w:rPr>
        <w:t xml:space="preserve"> </w:t>
      </w:r>
      <w:r w:rsidR="00102C36">
        <w:t>for users</w:t>
      </w:r>
      <w:r w:rsidRPr="07267CB8" w:rsidR="00207503">
        <w:rPr>
          <w:lang w:eastAsia="en-GB"/>
        </w:rPr>
        <w:t xml:space="preserve">, </w:t>
      </w:r>
      <w:r w:rsidRPr="07267CB8" w:rsidR="009B1D41">
        <w:rPr>
          <w:lang w:eastAsia="en-GB"/>
        </w:rPr>
        <w:t xml:space="preserve">rules should be </w:t>
      </w:r>
      <w:r w:rsidRPr="07267CB8" w:rsidR="0085358B">
        <w:rPr>
          <w:lang w:eastAsia="en-GB"/>
        </w:rPr>
        <w:t>laid down</w:t>
      </w:r>
      <w:r w:rsidRPr="07267CB8" w:rsidR="009B1D41">
        <w:rPr>
          <w:lang w:eastAsia="en-GB"/>
        </w:rPr>
        <w:t xml:space="preserve"> for </w:t>
      </w:r>
      <w:r w:rsidRPr="07267CB8" w:rsidR="00207503">
        <w:rPr>
          <w:lang w:eastAsia="en-GB"/>
        </w:rPr>
        <w:t>managing</w:t>
      </w:r>
      <w:r w:rsidRPr="07267CB8" w:rsidR="009B1D41">
        <w:rPr>
          <w:lang w:eastAsia="en-GB"/>
        </w:rPr>
        <w:t xml:space="preserve"> </w:t>
      </w:r>
      <w:r w:rsidRPr="07267CB8" w:rsidR="0085358B">
        <w:rPr>
          <w:lang w:eastAsia="en-GB"/>
        </w:rPr>
        <w:t xml:space="preserve">the </w:t>
      </w:r>
      <w:r w:rsidRPr="07267CB8" w:rsidR="009B1D41">
        <w:rPr>
          <w:lang w:eastAsia="en-GB"/>
        </w:rPr>
        <w:t>user profile</w:t>
      </w:r>
      <w:r w:rsidRPr="07267CB8" w:rsidR="00207503">
        <w:rPr>
          <w:lang w:eastAsia="en-GB"/>
        </w:rPr>
        <w:t xml:space="preserve"> data of </w:t>
      </w:r>
      <w:r w:rsidRPr="07267CB8" w:rsidR="00525258">
        <w:rPr>
          <w:lang w:eastAsia="en-GB"/>
        </w:rPr>
        <w:t xml:space="preserve">verified </w:t>
      </w:r>
      <w:r w:rsidRPr="07267CB8" w:rsidR="00207503">
        <w:rPr>
          <w:lang w:eastAsia="en-GB"/>
        </w:rPr>
        <w:t>economic operators</w:t>
      </w:r>
      <w:r w:rsidR="00C1481E">
        <w:rPr>
          <w:lang w:eastAsia="en-GB"/>
        </w:rPr>
        <w:t xml:space="preserve"> and other verified value chain actors</w:t>
      </w:r>
      <w:r w:rsidRPr="07267CB8" w:rsidR="00207503">
        <w:rPr>
          <w:lang w:eastAsia="en-GB"/>
        </w:rPr>
        <w:t>. For that purpose</w:t>
      </w:r>
      <w:r w:rsidRPr="07267CB8" w:rsidR="006944D0">
        <w:rPr>
          <w:lang w:eastAsia="en-GB"/>
        </w:rPr>
        <w:t>,</w:t>
      </w:r>
      <w:r w:rsidRPr="07267CB8">
        <w:rPr>
          <w:lang w:eastAsia="en-GB"/>
        </w:rPr>
        <w:t xml:space="preserve"> </w:t>
      </w:r>
      <w:r w:rsidRPr="07267CB8" w:rsidR="008412DF">
        <w:rPr>
          <w:lang w:eastAsia="en-GB"/>
        </w:rPr>
        <w:t xml:space="preserve">a verified economic operator </w:t>
      </w:r>
      <w:r w:rsidR="00C1481E">
        <w:rPr>
          <w:lang w:eastAsia="en-GB"/>
        </w:rPr>
        <w:t>and a verified value chain actor</w:t>
      </w:r>
      <w:r w:rsidRPr="07267CB8" w:rsidR="00C1481E">
        <w:rPr>
          <w:lang w:eastAsia="en-GB"/>
        </w:rPr>
        <w:t xml:space="preserve"> </w:t>
      </w:r>
      <w:r w:rsidRPr="07267CB8" w:rsidR="008412DF">
        <w:rPr>
          <w:lang w:eastAsia="en-GB"/>
        </w:rPr>
        <w:t xml:space="preserve">should always have at least one person linked to the registry account </w:t>
      </w:r>
      <w:r w:rsidRPr="07267CB8" w:rsidR="009F4FBA">
        <w:rPr>
          <w:lang w:eastAsia="en-GB"/>
        </w:rPr>
        <w:t xml:space="preserve">who handles </w:t>
      </w:r>
      <w:r w:rsidRPr="07267CB8" w:rsidR="00207503">
        <w:rPr>
          <w:lang w:eastAsia="en-GB"/>
        </w:rPr>
        <w:t xml:space="preserve">the </w:t>
      </w:r>
      <w:r w:rsidR="00207503">
        <w:t>profile data, which includes but is not limited to</w:t>
      </w:r>
      <w:r w:rsidR="00AB7C02">
        <w:t xml:space="preserve">, </w:t>
      </w:r>
      <w:r w:rsidR="00207503">
        <w:t>granting access rights to additional users</w:t>
      </w:r>
      <w:r w:rsidR="00761208">
        <w:t xml:space="preserve"> where practicable</w:t>
      </w:r>
      <w:r w:rsidR="00207503">
        <w:t xml:space="preserve">, modifying and reading existing registrations, </w:t>
      </w:r>
      <w:r w:rsidR="00EA6BDF">
        <w:t xml:space="preserve">and </w:t>
      </w:r>
      <w:r w:rsidR="00207503">
        <w:t>registering new digital product passports</w:t>
      </w:r>
      <w:r w:rsidR="009F4FBA">
        <w:t>.</w:t>
      </w:r>
      <w:r w:rsidR="00867F72">
        <w:t xml:space="preserve"> It can also be the same person who registers the </w:t>
      </w:r>
      <w:r w:rsidR="000B4896">
        <w:t xml:space="preserve">verified </w:t>
      </w:r>
      <w:r w:rsidR="00867F72">
        <w:t>economic operator</w:t>
      </w:r>
      <w:r w:rsidR="00C1481E">
        <w:t xml:space="preserve"> or the </w:t>
      </w:r>
      <w:r w:rsidR="00C1481E">
        <w:rPr>
          <w:lang w:eastAsia="en-GB"/>
        </w:rPr>
        <w:t>verified value chain actor</w:t>
      </w:r>
      <w:r w:rsidR="00867F72">
        <w:t xml:space="preserve"> in the registry.</w:t>
      </w:r>
      <w:r w:rsidRPr="07267CB8" w:rsidR="003901DD">
        <w:rPr>
          <w:lang w:eastAsia="en-GB"/>
        </w:rPr>
        <w:t xml:space="preserve"> </w:t>
      </w:r>
      <w:r w:rsidRPr="07267CB8" w:rsidR="00AB56B0">
        <w:rPr>
          <w:lang w:eastAsia="en-GB"/>
        </w:rPr>
        <w:t xml:space="preserve">The </w:t>
      </w:r>
      <w:r w:rsidRPr="07267CB8" w:rsidR="00525258">
        <w:rPr>
          <w:lang w:eastAsia="en-GB"/>
        </w:rPr>
        <w:t xml:space="preserve">verified </w:t>
      </w:r>
      <w:r w:rsidRPr="07267CB8" w:rsidR="00AB56B0">
        <w:rPr>
          <w:color w:val="000000" w:themeColor="text1"/>
        </w:rPr>
        <w:t>e</w:t>
      </w:r>
      <w:r w:rsidRPr="07267CB8" w:rsidR="00091708">
        <w:rPr>
          <w:color w:val="000000" w:themeColor="text1"/>
        </w:rPr>
        <w:t xml:space="preserve">conomic operator </w:t>
      </w:r>
      <w:r w:rsidR="00C1481E">
        <w:rPr>
          <w:lang w:eastAsia="en-GB"/>
        </w:rPr>
        <w:t>and the verified value chain actor</w:t>
      </w:r>
      <w:r w:rsidRPr="07267CB8" w:rsidR="00C1481E">
        <w:rPr>
          <w:color w:val="000000" w:themeColor="text1"/>
        </w:rPr>
        <w:t xml:space="preserve"> </w:t>
      </w:r>
      <w:r w:rsidRPr="07267CB8" w:rsidR="007C132F">
        <w:rPr>
          <w:color w:val="000000" w:themeColor="text1"/>
        </w:rPr>
        <w:t xml:space="preserve">should </w:t>
      </w:r>
      <w:r w:rsidRPr="07267CB8" w:rsidR="00091708">
        <w:rPr>
          <w:color w:val="000000" w:themeColor="text1"/>
        </w:rPr>
        <w:t xml:space="preserve">maintain accurate, </w:t>
      </w:r>
      <w:r w:rsidR="006C4DB9">
        <w:rPr>
          <w:color w:val="000000" w:themeColor="text1"/>
        </w:rPr>
        <w:t xml:space="preserve">complete, </w:t>
      </w:r>
      <w:r w:rsidRPr="07267CB8" w:rsidR="00091708">
        <w:rPr>
          <w:color w:val="000000" w:themeColor="text1"/>
        </w:rPr>
        <w:t xml:space="preserve">up-to-date records and ensure all information </w:t>
      </w:r>
      <w:r w:rsidRPr="07267CB8" w:rsidR="00E22A38">
        <w:rPr>
          <w:color w:val="000000" w:themeColor="text1"/>
        </w:rPr>
        <w:t xml:space="preserve">provided </w:t>
      </w:r>
      <w:r w:rsidRPr="07267CB8" w:rsidR="00091708">
        <w:rPr>
          <w:color w:val="000000" w:themeColor="text1"/>
        </w:rPr>
        <w:t xml:space="preserve">is correct, </w:t>
      </w:r>
      <w:r w:rsidRPr="07267CB8" w:rsidR="009F4FBA">
        <w:rPr>
          <w:lang w:eastAsia="en-GB"/>
        </w:rPr>
        <w:t xml:space="preserve">including any </w:t>
      </w:r>
      <w:r w:rsidRPr="07267CB8" w:rsidR="00E22A38">
        <w:rPr>
          <w:lang w:eastAsia="en-GB"/>
        </w:rPr>
        <w:t xml:space="preserve">changes </w:t>
      </w:r>
      <w:r w:rsidRPr="07267CB8" w:rsidR="009F4FBA">
        <w:rPr>
          <w:lang w:eastAsia="en-GB"/>
        </w:rPr>
        <w:t>to its legal representative.</w:t>
      </w:r>
      <w:r w:rsidRPr="07267CB8" w:rsidR="00A9121C">
        <w:rPr>
          <w:lang w:eastAsia="en-GB"/>
        </w:rPr>
        <w:t xml:space="preserve"> The economic operator </w:t>
      </w:r>
      <w:r w:rsidR="00C1481E">
        <w:rPr>
          <w:lang w:eastAsia="en-GB"/>
        </w:rPr>
        <w:t>and other value chain actors</w:t>
      </w:r>
      <w:r w:rsidRPr="07267CB8" w:rsidR="00C1481E">
        <w:rPr>
          <w:lang w:eastAsia="en-GB"/>
        </w:rPr>
        <w:t xml:space="preserve"> </w:t>
      </w:r>
      <w:r w:rsidRPr="07267CB8" w:rsidR="008D11D3">
        <w:rPr>
          <w:lang w:eastAsia="en-GB"/>
        </w:rPr>
        <w:t>should</w:t>
      </w:r>
      <w:r w:rsidRPr="07267CB8" w:rsidR="00A9121C">
        <w:rPr>
          <w:lang w:eastAsia="en-GB"/>
        </w:rPr>
        <w:t xml:space="preserve"> also </w:t>
      </w:r>
      <w:r w:rsidRPr="07267CB8" w:rsidR="008D11D3">
        <w:rPr>
          <w:lang w:eastAsia="en-GB"/>
        </w:rPr>
        <w:t xml:space="preserve">be </w:t>
      </w:r>
      <w:r w:rsidRPr="07267CB8" w:rsidR="00A9121C">
        <w:rPr>
          <w:lang w:eastAsia="en-GB"/>
        </w:rPr>
        <w:t xml:space="preserve">responsible for managing the electronic </w:t>
      </w:r>
      <w:r w:rsidRPr="07267CB8" w:rsidR="00E22538">
        <w:rPr>
          <w:lang w:eastAsia="en-GB"/>
        </w:rPr>
        <w:t xml:space="preserve">identity </w:t>
      </w:r>
      <w:r w:rsidRPr="07267CB8" w:rsidR="00A9121C">
        <w:rPr>
          <w:lang w:eastAsia="en-GB"/>
        </w:rPr>
        <w:t>verification process</w:t>
      </w:r>
      <w:r w:rsidRPr="07267CB8" w:rsidR="003C5685">
        <w:rPr>
          <w:lang w:eastAsia="en-GB"/>
        </w:rPr>
        <w:t xml:space="preserve"> in the registry</w:t>
      </w:r>
      <w:r w:rsidRPr="07267CB8" w:rsidR="00A9121C">
        <w:rPr>
          <w:lang w:eastAsia="en-GB"/>
        </w:rPr>
        <w:t>.</w:t>
      </w:r>
      <w:r w:rsidRPr="07267CB8" w:rsidR="000F5B96">
        <w:rPr>
          <w:lang w:eastAsia="en-GB"/>
        </w:rPr>
        <w:t xml:space="preserve"> Where </w:t>
      </w:r>
      <w:r w:rsidRPr="07267CB8" w:rsidR="00A34C6A">
        <w:rPr>
          <w:lang w:eastAsia="en-GB"/>
        </w:rPr>
        <w:t xml:space="preserve">the </w:t>
      </w:r>
      <w:r w:rsidRPr="07267CB8" w:rsidR="000F5B96">
        <w:rPr>
          <w:lang w:eastAsia="en-GB"/>
        </w:rPr>
        <w:t>digital product passport registry is integrated with</w:t>
      </w:r>
      <w:r w:rsidRPr="07267CB8" w:rsidR="00636665">
        <w:rPr>
          <w:lang w:eastAsia="en-GB"/>
        </w:rPr>
        <w:t xml:space="preserve"> already established EU</w:t>
      </w:r>
      <w:r w:rsidRPr="07267CB8" w:rsidR="000F5B96">
        <w:rPr>
          <w:lang w:eastAsia="en-GB"/>
        </w:rPr>
        <w:t xml:space="preserve"> systems</w:t>
      </w:r>
      <w:r w:rsidRPr="07267CB8" w:rsidR="00C1481E">
        <w:rPr>
          <w:lang w:eastAsia="en-GB"/>
        </w:rPr>
        <w:t xml:space="preserve">, such as the European Product Registry for Energy Labelling (‘EPREL’), </w:t>
      </w:r>
      <w:r w:rsidRPr="07267CB8" w:rsidR="000F5B96">
        <w:rPr>
          <w:lang w:eastAsia="en-GB"/>
        </w:rPr>
        <w:t xml:space="preserve">that </w:t>
      </w:r>
      <w:r w:rsidRPr="07267CB8" w:rsidR="00636665">
        <w:rPr>
          <w:lang w:eastAsia="en-GB"/>
        </w:rPr>
        <w:t xml:space="preserve">use the same </w:t>
      </w:r>
      <w:r w:rsidRPr="07267CB8" w:rsidR="000F5B96">
        <w:rPr>
          <w:lang w:eastAsia="en-GB"/>
        </w:rPr>
        <w:t>level of verification for economic operators</w:t>
      </w:r>
      <w:r w:rsidR="00C1481E">
        <w:rPr>
          <w:lang w:eastAsia="en-GB"/>
        </w:rPr>
        <w:t xml:space="preserve"> or, where relevant, for other verified value chain actors, </w:t>
      </w:r>
      <w:r w:rsidRPr="07267CB8" w:rsidR="000F5B96">
        <w:rPr>
          <w:lang w:eastAsia="en-GB"/>
        </w:rPr>
        <w:t>double verification will be avoided.</w:t>
      </w:r>
    </w:p>
    <w:p w:rsidR="003901DD" w:rsidRPr="00191B42">
      <w:pPr>
        <w:pStyle w:val="Considrant"/>
      </w:pPr>
      <w:r>
        <w:t>C</w:t>
      </w:r>
      <w:r w:rsidR="00525258">
        <w:t xml:space="preserve">ompetent </w:t>
      </w:r>
      <w:r w:rsidR="000B0A70">
        <w:t>national authorities</w:t>
      </w:r>
      <w:r w:rsidR="008B040A">
        <w:t xml:space="preserve"> and customs authorities</w:t>
      </w:r>
      <w:r w:rsidR="000B0A70">
        <w:t xml:space="preserve"> </w:t>
      </w:r>
      <w:r w:rsidR="005731DB">
        <w:t xml:space="preserve">should </w:t>
      </w:r>
      <w:r w:rsidR="00FC70D3">
        <w:t xml:space="preserve">have </w:t>
      </w:r>
      <w:r w:rsidRPr="07267CB8" w:rsidR="00FC70D3">
        <w:rPr>
          <w:lang w:eastAsia="en-GB"/>
        </w:rPr>
        <w:t>access to</w:t>
      </w:r>
      <w:r w:rsidRPr="07267CB8" w:rsidR="000B0A70">
        <w:rPr>
          <w:lang w:eastAsia="en-GB"/>
        </w:rPr>
        <w:t xml:space="preserve"> the registry</w:t>
      </w:r>
      <w:r w:rsidR="00CB6A4C">
        <w:rPr>
          <w:lang w:eastAsia="en-GB"/>
        </w:rPr>
        <w:t xml:space="preserve"> </w:t>
      </w:r>
      <w:r w:rsidRPr="00902926" w:rsidR="00CB6A4C">
        <w:rPr>
          <w:rFonts w:eastAsia="Times New Roman"/>
        </w:rPr>
        <w:t xml:space="preserve">for the purposes of carrying out their duties </w:t>
      </w:r>
      <w:r w:rsidRPr="07267CB8" w:rsidR="000B0A70">
        <w:rPr>
          <w:lang w:eastAsia="en-GB"/>
        </w:rPr>
        <w:t>based on their access rights specified in relevant</w:t>
      </w:r>
      <w:r w:rsidRPr="07267CB8" w:rsidR="00C7664F">
        <w:rPr>
          <w:lang w:eastAsia="en-GB"/>
        </w:rPr>
        <w:t xml:space="preserve"> </w:t>
      </w:r>
      <w:r w:rsidR="000B0A70">
        <w:t xml:space="preserve">Union </w:t>
      </w:r>
      <w:r w:rsidR="42A8581D">
        <w:t xml:space="preserve">and national </w:t>
      </w:r>
      <w:r w:rsidR="000B0A70">
        <w:t>laws</w:t>
      </w:r>
      <w:r w:rsidR="000B6DEA">
        <w:t xml:space="preserve"> in compliance with Union law</w:t>
      </w:r>
      <w:r w:rsidR="000B0A70">
        <w:t xml:space="preserve">. </w:t>
      </w:r>
      <w:r w:rsidR="00F153A4">
        <w:t>In order t</w:t>
      </w:r>
      <w:r>
        <w:t>o</w:t>
      </w:r>
      <w:r w:rsidR="000B0A70">
        <w:t xml:space="preserve"> </w:t>
      </w:r>
      <w:r>
        <w:t>streamline access management</w:t>
      </w:r>
      <w:r w:rsidR="000B0A70">
        <w:t xml:space="preserve"> </w:t>
      </w:r>
      <w:r>
        <w:t>and ensure accountability, each Member State should</w:t>
      </w:r>
      <w:r w:rsidR="007F0E22">
        <w:t xml:space="preserve"> </w:t>
      </w:r>
      <w:r>
        <w:t>designate</w:t>
      </w:r>
      <w:r w:rsidR="007F0E22">
        <w:t xml:space="preserve"> </w:t>
      </w:r>
      <w:r>
        <w:t xml:space="preserve">a single national administrator </w:t>
      </w:r>
      <w:r w:rsidRPr="07267CB8" w:rsidR="000B0A70">
        <w:rPr>
          <w:lang w:eastAsia="en-GB"/>
        </w:rPr>
        <w:t xml:space="preserve">as the main contact point with the Commission to </w:t>
      </w:r>
      <w:r w:rsidRPr="07267CB8" w:rsidR="00D45CB5">
        <w:rPr>
          <w:lang w:eastAsia="en-GB"/>
        </w:rPr>
        <w:t xml:space="preserve">manage and </w:t>
      </w:r>
      <w:r w:rsidRPr="07267CB8" w:rsidR="000B0A70">
        <w:rPr>
          <w:lang w:eastAsia="en-GB"/>
        </w:rPr>
        <w:t>oversee access rights for their Member State</w:t>
      </w:r>
      <w:r>
        <w:t xml:space="preserve">. </w:t>
      </w:r>
      <w:r w:rsidR="00FC70D3">
        <w:t>The</w:t>
      </w:r>
      <w:r>
        <w:t xml:space="preserve"> </w:t>
      </w:r>
      <w:r w:rsidR="000B0A70">
        <w:t xml:space="preserve">designated national </w:t>
      </w:r>
      <w:r>
        <w:t>administrator should act as the central authority responsible for managing access rights for all relevant national authorities within that Member State,</w:t>
      </w:r>
      <w:r w:rsidR="000B0A70">
        <w:t xml:space="preserve"> </w:t>
      </w:r>
      <w:r w:rsidR="00FC70D3">
        <w:t>to ensure that only relevant authorities</w:t>
      </w:r>
      <w:r w:rsidR="0067576D">
        <w:t xml:space="preserve"> </w:t>
      </w:r>
      <w:r w:rsidR="00FC70D3">
        <w:t xml:space="preserve">are assigned </w:t>
      </w:r>
      <w:r w:rsidR="00757960">
        <w:t>access rights to</w:t>
      </w:r>
      <w:r w:rsidR="00FC70D3">
        <w:t xml:space="preserve"> the registry</w:t>
      </w:r>
      <w:r>
        <w:t>.</w:t>
      </w:r>
      <w:r w:rsidR="00FC70D3">
        <w:t xml:space="preserve"> </w:t>
      </w:r>
      <w:r w:rsidRPr="07267CB8" w:rsidR="0067576D">
        <w:rPr>
          <w:lang w:eastAsia="en-GB"/>
        </w:rPr>
        <w:t xml:space="preserve">Member States should inform the Commission of their appointed national administrator's name and contact </w:t>
      </w:r>
      <w:r w:rsidRPr="07267CB8" w:rsidR="000123C2">
        <w:rPr>
          <w:lang w:eastAsia="en-GB"/>
        </w:rPr>
        <w:t>details and</w:t>
      </w:r>
      <w:r w:rsidRPr="07267CB8" w:rsidR="0067576D">
        <w:rPr>
          <w:lang w:eastAsia="en-GB"/>
        </w:rPr>
        <w:t xml:space="preserve"> notify </w:t>
      </w:r>
      <w:r w:rsidRPr="07267CB8" w:rsidR="00FC70D3">
        <w:rPr>
          <w:lang w:eastAsia="en-GB"/>
        </w:rPr>
        <w:t xml:space="preserve">the Commission </w:t>
      </w:r>
      <w:r w:rsidRPr="07267CB8" w:rsidR="0067576D">
        <w:rPr>
          <w:lang w:eastAsia="en-GB"/>
        </w:rPr>
        <w:t>of any changes to this information.</w:t>
      </w:r>
      <w:r w:rsidRPr="07267CB8" w:rsidR="000E7C76">
        <w:rPr>
          <w:lang w:eastAsia="en-GB"/>
        </w:rPr>
        <w:t xml:space="preserve"> </w:t>
      </w:r>
      <w:r w:rsidR="00BD68F2">
        <w:t>In order to</w:t>
      </w:r>
      <w:r w:rsidR="003D1001">
        <w:t xml:space="preserve"> ensure the security, integrity and confidentiality of the data</w:t>
      </w:r>
      <w:r w:rsidR="00914366">
        <w:t>,</w:t>
      </w:r>
      <w:r w:rsidR="00BD68F2">
        <w:t xml:space="preserve"> t</w:t>
      </w:r>
      <w:r>
        <w:t>he delegation of access rights should be carried out under the full responsibility of the Member State</w:t>
      </w:r>
      <w:r w:rsidR="0067576D">
        <w:t xml:space="preserve"> </w:t>
      </w:r>
      <w:r w:rsidR="00A7746B">
        <w:t xml:space="preserve">taking into account </w:t>
      </w:r>
      <w:r>
        <w:t xml:space="preserve">the specific needs of </w:t>
      </w:r>
      <w:r w:rsidR="00786AE9">
        <w:t>its</w:t>
      </w:r>
      <w:r w:rsidR="0067576D">
        <w:t xml:space="preserve"> authorities</w:t>
      </w:r>
      <w:r>
        <w:t xml:space="preserve">. </w:t>
      </w:r>
    </w:p>
    <w:p w:rsidR="003901DD" w:rsidRPr="00191B42" w:rsidP="00472468">
      <w:pPr>
        <w:pStyle w:val="Considrant"/>
      </w:pPr>
      <w:r w:rsidRPr="00191B42">
        <w:t xml:space="preserve">The Commission, </w:t>
      </w:r>
      <w:r w:rsidR="00FA163A">
        <w:t>in managing the registry in accordance with</w:t>
      </w:r>
      <w:r w:rsidR="0046266A">
        <w:t xml:space="preserve"> </w:t>
      </w:r>
      <w:r w:rsidRPr="00C7664F" w:rsidR="003F3830">
        <w:t>Article 13(</w:t>
      </w:r>
      <w:r w:rsidRPr="00C7664F" w:rsidR="00C7664F">
        <w:t>1</w:t>
      </w:r>
      <w:r w:rsidRPr="00C7664F" w:rsidR="003F3830">
        <w:t>) of Regulation (EU) 2024/1781</w:t>
      </w:r>
      <w:r w:rsidRPr="00C7664F">
        <w:t>,</w:t>
      </w:r>
      <w:r w:rsidRPr="00191B42">
        <w:t xml:space="preserve"> </w:t>
      </w:r>
      <w:r w:rsidR="00E02FAA">
        <w:t>should</w:t>
      </w:r>
      <w:r w:rsidRPr="00191B42" w:rsidR="00E02FAA">
        <w:t xml:space="preserve"> </w:t>
      </w:r>
      <w:r w:rsidRPr="00191B42">
        <w:t xml:space="preserve">ensure that </w:t>
      </w:r>
      <w:r w:rsidR="007E381C">
        <w:t>personal</w:t>
      </w:r>
      <w:r w:rsidRPr="00191B42" w:rsidR="007E381C">
        <w:t xml:space="preserve"> </w:t>
      </w:r>
      <w:r w:rsidRPr="00191B42">
        <w:t xml:space="preserve">data </w:t>
      </w:r>
      <w:r w:rsidR="006F62E6">
        <w:t>is</w:t>
      </w:r>
      <w:r w:rsidRPr="00191B42">
        <w:t xml:space="preserve"> processed in accordance with the highest data protection standards </w:t>
      </w:r>
      <w:r w:rsidR="004D3262">
        <w:t>in accordance with</w:t>
      </w:r>
      <w:r w:rsidRPr="00191B42">
        <w:t xml:space="preserve"> Regulation (EU) 2018/1725</w:t>
      </w:r>
      <w:r w:rsidR="009149C6">
        <w:t xml:space="preserve"> </w:t>
      </w:r>
      <w:r w:rsidRPr="009149C6" w:rsidR="009149C6">
        <w:t>of the European Parliament and of the Council</w:t>
      </w:r>
      <w:r>
        <w:rPr>
          <w:rStyle w:val="FootnoteReference"/>
        </w:rPr>
        <w:footnoteReference w:id="9"/>
      </w:r>
      <w:r w:rsidRPr="00191B42">
        <w:t xml:space="preserve">. </w:t>
      </w:r>
      <w:r w:rsidR="00A53B5D">
        <w:t>The Commission</w:t>
      </w:r>
      <w:r w:rsidR="00751355">
        <w:t xml:space="preserve"> should therefore be considered </w:t>
      </w:r>
      <w:r w:rsidR="000843D2">
        <w:t>the reg</w:t>
      </w:r>
      <w:r w:rsidR="00C52E63">
        <w:t xml:space="preserve">istry’s </w:t>
      </w:r>
      <w:r w:rsidR="000843D2">
        <w:t xml:space="preserve">‘controller’ as defined </w:t>
      </w:r>
      <w:r w:rsidR="00C52E63">
        <w:t>in Article 3</w:t>
      </w:r>
      <w:r w:rsidR="00383F90">
        <w:t xml:space="preserve">, point </w:t>
      </w:r>
      <w:r w:rsidR="00003B9E">
        <w:t>(</w:t>
      </w:r>
      <w:r w:rsidR="00750A60">
        <w:t>8</w:t>
      </w:r>
      <w:r w:rsidR="00003B9E">
        <w:t>)</w:t>
      </w:r>
      <w:r w:rsidR="002F57B2">
        <w:t>,</w:t>
      </w:r>
      <w:r w:rsidR="00750A60">
        <w:t xml:space="preserve"> of</w:t>
      </w:r>
      <w:r w:rsidR="00003B9E">
        <w:t xml:space="preserve"> that Regulation. </w:t>
      </w:r>
      <w:r w:rsidRPr="00191B42" w:rsidR="00472468">
        <w:rPr>
          <w:color w:val="000000"/>
        </w:rPr>
        <w:t>Personal data should only be collected and used for managing access to the registry. Th</w:t>
      </w:r>
      <w:r w:rsidRPr="07267CB8" w:rsidR="002C7FC0">
        <w:rPr>
          <w:color w:val="000000" w:themeColor="text1"/>
        </w:rPr>
        <w:t>at</w:t>
      </w:r>
      <w:r w:rsidRPr="00191B42" w:rsidR="00472468">
        <w:rPr>
          <w:color w:val="000000"/>
        </w:rPr>
        <w:t xml:space="preserve"> information </w:t>
      </w:r>
      <w:r w:rsidR="00145F9A">
        <w:rPr>
          <w:color w:val="000000"/>
        </w:rPr>
        <w:t>should</w:t>
      </w:r>
      <w:r w:rsidRPr="00191B42" w:rsidR="00472468">
        <w:rPr>
          <w:color w:val="000000"/>
        </w:rPr>
        <w:t xml:space="preserve"> be protected from unauthorised access, use, or sharing</w:t>
      </w:r>
      <w:r w:rsidR="00B02F6B">
        <w:rPr>
          <w:color w:val="000000"/>
        </w:rPr>
        <w:t>. That data should only be</w:t>
      </w:r>
      <w:r w:rsidRPr="00191B42" w:rsidR="00472468">
        <w:rPr>
          <w:color w:val="000000"/>
        </w:rPr>
        <w:t xml:space="preserve"> kept as long as necessary and </w:t>
      </w:r>
      <w:r w:rsidR="00B02F6B">
        <w:rPr>
          <w:color w:val="000000"/>
        </w:rPr>
        <w:t xml:space="preserve">should be </w:t>
      </w:r>
      <w:r w:rsidRPr="00191B42" w:rsidR="00472468">
        <w:rPr>
          <w:color w:val="000000"/>
        </w:rPr>
        <w:t xml:space="preserve">deleted when user accounts are removed or access is revoked. However, if a user’s actions in the registry require data retention for auditing or traceability under Union law, that data </w:t>
      </w:r>
      <w:r w:rsidR="004B5B54">
        <w:rPr>
          <w:color w:val="000000"/>
        </w:rPr>
        <w:t>should</w:t>
      </w:r>
      <w:r w:rsidRPr="00191B42" w:rsidR="004B5B54">
        <w:rPr>
          <w:color w:val="000000"/>
        </w:rPr>
        <w:t xml:space="preserve"> </w:t>
      </w:r>
      <w:r w:rsidRPr="00191B42" w:rsidR="00472468">
        <w:rPr>
          <w:color w:val="000000"/>
        </w:rPr>
        <w:t>be kept accordingly.</w:t>
      </w:r>
    </w:p>
    <w:p w:rsidR="00C757D8" w:rsidP="009D2D79">
      <w:pPr>
        <w:pStyle w:val="Considrant"/>
      </w:pPr>
      <w:r>
        <w:t xml:space="preserve">Registration of the digital product passport in the registry should be carried out by </w:t>
      </w:r>
      <w:r w:rsidR="00FF4DF9">
        <w:t xml:space="preserve">the </w:t>
      </w:r>
      <w:r>
        <w:t>e</w:t>
      </w:r>
      <w:r w:rsidR="00FC70D3">
        <w:t>conomic operator at</w:t>
      </w:r>
      <w:r>
        <w:t xml:space="preserve"> </w:t>
      </w:r>
      <w:r w:rsidR="00071EE1">
        <w:t>least</w:t>
      </w:r>
      <w:r w:rsidR="00FC70D3">
        <w:t xml:space="preserve"> at the</w:t>
      </w:r>
      <w:r>
        <w:t xml:space="preserve"> </w:t>
      </w:r>
      <w:r w:rsidR="00FC70D3">
        <w:t xml:space="preserve">level </w:t>
      </w:r>
      <w:r w:rsidR="006C4DB9">
        <w:t xml:space="preserve">of granularity </w:t>
      </w:r>
      <w:r w:rsidR="002D26C1">
        <w:t>set out</w:t>
      </w:r>
      <w:r w:rsidR="00FC70D3">
        <w:t xml:space="preserve"> in the</w:t>
      </w:r>
      <w:r>
        <w:t xml:space="preserve"> </w:t>
      </w:r>
      <w:r w:rsidR="00FC70D3">
        <w:t xml:space="preserve">applicable </w:t>
      </w:r>
      <w:r>
        <w:t>Union law</w:t>
      </w:r>
      <w:r w:rsidR="00FC70D3">
        <w:t> (model,</w:t>
      </w:r>
      <w:r>
        <w:t xml:space="preserve"> </w:t>
      </w:r>
      <w:r w:rsidR="00FC70D3">
        <w:t>batch</w:t>
      </w:r>
      <w:r>
        <w:t xml:space="preserve"> </w:t>
      </w:r>
      <w:r w:rsidR="00FC70D3">
        <w:t>or item level)</w:t>
      </w:r>
      <w:r>
        <w:t xml:space="preserve">. </w:t>
      </w:r>
      <w:r w:rsidR="00660288">
        <w:t>I</w:t>
      </w:r>
      <w:r>
        <w:t>n order to ensure full functionality of the registry, in particular for competent national authorities and customs</w:t>
      </w:r>
      <w:r w:rsidR="008B040A">
        <w:t xml:space="preserve"> authorities</w:t>
      </w:r>
      <w:r>
        <w:t xml:space="preserve">, where </w:t>
      </w:r>
      <w:r w:rsidR="0239D8A5">
        <w:t>a</w:t>
      </w:r>
      <w:r>
        <w:t xml:space="preserve"> digital product passport is created on item level, both</w:t>
      </w:r>
      <w:r w:rsidR="00EB7D49">
        <w:t xml:space="preserve"> </w:t>
      </w:r>
      <w:r w:rsidR="345537E0">
        <w:t xml:space="preserve">the </w:t>
      </w:r>
      <w:r>
        <w:t xml:space="preserve">batch and model identifiers should be </w:t>
      </w:r>
      <w:r w:rsidR="00660288">
        <w:t>registered</w:t>
      </w:r>
      <w:r>
        <w:t xml:space="preserve"> to</w:t>
      </w:r>
      <w:r w:rsidR="00660288">
        <w:t>gether with</w:t>
      </w:r>
      <w:r>
        <w:t xml:space="preserve"> that digital product passport</w:t>
      </w:r>
      <w:r w:rsidR="00660288">
        <w:t xml:space="preserve"> in the registry</w:t>
      </w:r>
      <w:r w:rsidR="001F752C">
        <w:t xml:space="preserve">, provided that batch and model design exist for </w:t>
      </w:r>
      <w:r w:rsidR="00DB6D6F">
        <w:t xml:space="preserve">the </w:t>
      </w:r>
      <w:r w:rsidR="001F752C">
        <w:t>product</w:t>
      </w:r>
      <w:r>
        <w:t xml:space="preserve">. </w:t>
      </w:r>
      <w:r w:rsidR="00660288">
        <w:t xml:space="preserve">For unique products, such as handmade goods, no batch and model identifiers are required. </w:t>
      </w:r>
      <w:r w:rsidR="00E7731C">
        <w:t>The s</w:t>
      </w:r>
      <w:r w:rsidR="00660288">
        <w:t>ame</w:t>
      </w:r>
      <w:r w:rsidR="00E7731C">
        <w:t xml:space="preserve"> rule</w:t>
      </w:r>
      <w:r w:rsidR="00660288">
        <w:t xml:space="preserve"> applies for digital product passports issued at batch level, where a model identifier is required upon registration. </w:t>
      </w:r>
    </w:p>
    <w:p w:rsidR="00FC70D3" w:rsidRPr="00191B42">
      <w:pPr>
        <w:pStyle w:val="Considrant"/>
      </w:pPr>
      <w:r>
        <w:t>R</w:t>
      </w:r>
      <w:r w:rsidR="00301427">
        <w:t>egistration</w:t>
      </w:r>
      <w:r>
        <w:t xml:space="preserve"> </w:t>
      </w:r>
      <w:r w:rsidR="004B5B54">
        <w:t xml:space="preserve">should </w:t>
      </w:r>
      <w:r w:rsidR="00301427">
        <w:t>be carried out by using the secure user interface of the registry provided by the Commission or through the API set up for th</w:t>
      </w:r>
      <w:r w:rsidR="003E59B1">
        <w:t>at</w:t>
      </w:r>
      <w:r w:rsidR="00301427">
        <w:t xml:space="preserve"> purpose</w:t>
      </w:r>
      <w:r>
        <w:t xml:space="preserve">. Once </w:t>
      </w:r>
      <w:r w:rsidR="006F4A73">
        <w:t xml:space="preserve">the </w:t>
      </w:r>
      <w:r w:rsidR="007E381C">
        <w:t xml:space="preserve">registration of </w:t>
      </w:r>
      <w:r w:rsidR="003E59B1">
        <w:t xml:space="preserve">a </w:t>
      </w:r>
      <w:r w:rsidR="006F4A73">
        <w:t xml:space="preserve">digital product passport is </w:t>
      </w:r>
      <w:r>
        <w:t>successfully</w:t>
      </w:r>
      <w:r w:rsidR="00A86FD2">
        <w:t xml:space="preserve"> </w:t>
      </w:r>
      <w:r>
        <w:t xml:space="preserve">validated, </w:t>
      </w:r>
      <w:r w:rsidR="006F4A73">
        <w:t xml:space="preserve">a </w:t>
      </w:r>
      <w:r w:rsidR="00947558">
        <w:t xml:space="preserve">unique </w:t>
      </w:r>
      <w:r w:rsidR="006F4A73">
        <w:t xml:space="preserve">registration identifier is </w:t>
      </w:r>
      <w:r>
        <w:t>generate</w:t>
      </w:r>
      <w:r w:rsidR="006F4A73">
        <w:t>d</w:t>
      </w:r>
      <w:r>
        <w:t xml:space="preserve"> </w:t>
      </w:r>
      <w:r w:rsidR="006F4A73">
        <w:t xml:space="preserve">and stored in the </w:t>
      </w:r>
      <w:r w:rsidR="00D86710">
        <w:t>registry and</w:t>
      </w:r>
      <w:r w:rsidR="00A86FD2">
        <w:t xml:space="preserve"> communicated</w:t>
      </w:r>
      <w:r w:rsidR="00D86710">
        <w:t xml:space="preserve"> </w:t>
      </w:r>
      <w:r w:rsidR="00683DCE">
        <w:t xml:space="preserve">according to Article 8 </w:t>
      </w:r>
      <w:r w:rsidR="00A86FD2">
        <w:t xml:space="preserve">automatically to the </w:t>
      </w:r>
      <w:r w:rsidR="00683DCE">
        <w:t>actor registering the digital product passport</w:t>
      </w:r>
      <w:r w:rsidR="007F4E42">
        <w:t xml:space="preserve"> using the same service </w:t>
      </w:r>
      <w:r w:rsidR="00D86710">
        <w:t>which</w:t>
      </w:r>
      <w:r w:rsidR="007F4E42">
        <w:t xml:space="preserve"> was </w:t>
      </w:r>
      <w:r w:rsidR="00D86710">
        <w:t>used</w:t>
      </w:r>
      <w:r w:rsidR="007F4E42">
        <w:t xml:space="preserve"> by the </w:t>
      </w:r>
      <w:r w:rsidR="00683DCE">
        <w:t>actor</w:t>
      </w:r>
      <w:r w:rsidR="007F4E42">
        <w:t xml:space="preserve"> to upload the </w:t>
      </w:r>
      <w:r w:rsidR="00845538">
        <w:t>digital</w:t>
      </w:r>
      <w:r w:rsidR="00905D99">
        <w:t xml:space="preserve"> product passport</w:t>
      </w:r>
      <w:r w:rsidR="00845538">
        <w:t xml:space="preserve"> </w:t>
      </w:r>
      <w:r w:rsidR="007F4E42">
        <w:t>data</w:t>
      </w:r>
      <w:r>
        <w:t>.</w:t>
      </w:r>
    </w:p>
    <w:p w:rsidR="00FC70D3" w:rsidRPr="00191B42">
      <w:pPr>
        <w:pStyle w:val="Considrant"/>
      </w:pPr>
      <w:r>
        <w:t>To ensure that only complete and valid digital product passport</w:t>
      </w:r>
      <w:r w:rsidR="00FE7115">
        <w:t>s</w:t>
      </w:r>
      <w:r>
        <w:t xml:space="preserve"> </w:t>
      </w:r>
      <w:r w:rsidR="00FE7115">
        <w:t>are</w:t>
      </w:r>
      <w:r>
        <w:t xml:space="preserve"> registered, the </w:t>
      </w:r>
      <w:r w:rsidR="003D3EDE">
        <w:t xml:space="preserve">Commission </w:t>
      </w:r>
      <w:r>
        <w:t>should</w:t>
      </w:r>
      <w:r w:rsidR="003D3EDE">
        <w:t xml:space="preserve">, </w:t>
      </w:r>
      <w:r w:rsidR="0076490A">
        <w:t>as</w:t>
      </w:r>
      <w:r w:rsidR="003D3EDE">
        <w:t xml:space="preserve"> the </w:t>
      </w:r>
      <w:r w:rsidR="0076490A">
        <w:t>owner</w:t>
      </w:r>
      <w:r w:rsidR="003D3EDE">
        <w:t xml:space="preserve"> </w:t>
      </w:r>
      <w:r w:rsidR="00801972">
        <w:t xml:space="preserve">and manager </w:t>
      </w:r>
      <w:r w:rsidR="003D3EDE">
        <w:t xml:space="preserve">of the registry </w:t>
      </w:r>
      <w:r w:rsidR="007F61CD">
        <w:t>in accordance with</w:t>
      </w:r>
      <w:r w:rsidR="003D3EDE">
        <w:t xml:space="preserve"> Art</w:t>
      </w:r>
      <w:r w:rsidR="0076490A">
        <w:t xml:space="preserve">icle </w:t>
      </w:r>
      <w:r w:rsidR="003D3EDE">
        <w:t xml:space="preserve">13(1) of </w:t>
      </w:r>
      <w:r w:rsidR="0076490A">
        <w:t>Regulation (EU) 2024/1781,</w:t>
      </w:r>
      <w:r>
        <w:t xml:space="preserve"> perform an automatic </w:t>
      </w:r>
      <w:r w:rsidR="00947558">
        <w:t xml:space="preserve">verification </w:t>
      </w:r>
      <w:r>
        <w:t>of the</w:t>
      </w:r>
      <w:r w:rsidR="00940E3E">
        <w:t xml:space="preserve"> </w:t>
      </w:r>
      <w:r w:rsidR="00A86FD2">
        <w:t>submitted data</w:t>
      </w:r>
      <w:r>
        <w:t xml:space="preserve">. Such </w:t>
      </w:r>
      <w:r w:rsidR="00947558">
        <w:t xml:space="preserve">verification </w:t>
      </w:r>
      <w:r>
        <w:t xml:space="preserve">should </w:t>
      </w:r>
      <w:r w:rsidR="00947558">
        <w:t xml:space="preserve">confirm </w:t>
      </w:r>
      <w:r>
        <w:t>at least the existence and semantic completeness of mandatory data</w:t>
      </w:r>
      <w:r w:rsidR="00A86FD2">
        <w:t>,</w:t>
      </w:r>
      <w:r>
        <w:t xml:space="preserve"> the conformity of </w:t>
      </w:r>
      <w:r w:rsidR="00C47746">
        <w:t xml:space="preserve">the </w:t>
      </w:r>
      <w:r>
        <w:t>digital product passport to the level of granularity (model,</w:t>
      </w:r>
      <w:r w:rsidR="001A381F">
        <w:t xml:space="preserve"> </w:t>
      </w:r>
      <w:r>
        <w:t>batch</w:t>
      </w:r>
      <w:r w:rsidR="001A381F">
        <w:t xml:space="preserve"> </w:t>
      </w:r>
      <w:r>
        <w:t xml:space="preserve">or item) </w:t>
      </w:r>
      <w:r w:rsidR="00A86FD2">
        <w:t xml:space="preserve">as </w:t>
      </w:r>
      <w:r>
        <w:t xml:space="preserve">required </w:t>
      </w:r>
      <w:r w:rsidR="00A86FD2">
        <w:t>under</w:t>
      </w:r>
      <w:r>
        <w:t xml:space="preserve"> </w:t>
      </w:r>
      <w:r w:rsidR="00A86FD2">
        <w:t>relevant Union law,</w:t>
      </w:r>
      <w:r>
        <w:t xml:space="preserve"> and the use of a</w:t>
      </w:r>
      <w:r w:rsidR="005E173A">
        <w:t xml:space="preserve"> valid</w:t>
      </w:r>
      <w:r>
        <w:t xml:space="preserve"> qualified electronic signature</w:t>
      </w:r>
      <w:r w:rsidR="00A86FD2">
        <w:t xml:space="preserve"> or seal, </w:t>
      </w:r>
      <w:r w:rsidR="004F2AE0">
        <w:t>in accordance with</w:t>
      </w:r>
      <w:r w:rsidR="00A86FD2">
        <w:t xml:space="preserve"> the standards </w:t>
      </w:r>
      <w:r w:rsidR="005722BF">
        <w:t>set out in</w:t>
      </w:r>
      <w:r w:rsidR="00A86FD2">
        <w:t xml:space="preserve"> Regulation (EU) No 910/2014</w:t>
      </w:r>
      <w:r>
        <w:t xml:space="preserve">. Where relevant, the product commodity codes and the </w:t>
      </w:r>
      <w:r w:rsidR="00506C6A">
        <w:t>link to the back-up hosted by a digital product passport</w:t>
      </w:r>
      <w:r>
        <w:t xml:space="preserve"> service provider should also be subject to </w:t>
      </w:r>
      <w:r w:rsidR="00947558">
        <w:t>verification</w:t>
      </w:r>
      <w:r>
        <w:t>.</w:t>
      </w:r>
    </w:p>
    <w:p w:rsidR="008C2E2D" w:rsidP="008C2E2D">
      <w:pPr>
        <w:pStyle w:val="Considrant"/>
      </w:pPr>
      <w:r>
        <w:t xml:space="preserve">Where a digital product passport is registered in the registry, the economic operator </w:t>
      </w:r>
      <w:r w:rsidR="00B3668C">
        <w:t xml:space="preserve">is </w:t>
      </w:r>
      <w:r w:rsidR="00D62370">
        <w:t>entitled</w:t>
      </w:r>
      <w:r w:rsidR="00B3668C">
        <w:t xml:space="preserve"> to</w:t>
      </w:r>
      <w:r>
        <w:t xml:space="preserve"> request proof of registration from the registry. Th</w:t>
      </w:r>
      <w:r w:rsidR="00CC19DE">
        <w:t>at</w:t>
      </w:r>
      <w:r>
        <w:t xml:space="preserve"> request can cover one or more </w:t>
      </w:r>
      <w:r w:rsidR="00437330">
        <w:t xml:space="preserve">digital product </w:t>
      </w:r>
      <w:r>
        <w:t xml:space="preserve">passports </w:t>
      </w:r>
      <w:r w:rsidR="00456B7D">
        <w:t>for which</w:t>
      </w:r>
      <w:r>
        <w:t xml:space="preserve"> the economic operator is responsible</w:t>
      </w:r>
      <w:r w:rsidR="00FC70D3">
        <w:t>.</w:t>
      </w:r>
      <w:r>
        <w:t xml:space="preserve"> The proof of registration </w:t>
      </w:r>
      <w:r w:rsidR="00250B53">
        <w:t xml:space="preserve">should </w:t>
      </w:r>
      <w:r>
        <w:t xml:space="preserve">serve as evidence for third parties that a particular digital product passport has been properly registered. It </w:t>
      </w:r>
      <w:r w:rsidR="0054161F">
        <w:t xml:space="preserve">should </w:t>
      </w:r>
      <w:r>
        <w:t>be created as a secure electronic document, which can be downloaded from the registry. Th</w:t>
      </w:r>
      <w:r w:rsidR="00AC2DE6">
        <w:t>at</w:t>
      </w:r>
      <w:r w:rsidR="00A3477A">
        <w:t xml:space="preserve"> </w:t>
      </w:r>
      <w:r>
        <w:t xml:space="preserve">proof </w:t>
      </w:r>
      <w:r w:rsidR="001C73ED">
        <w:t xml:space="preserve">should </w:t>
      </w:r>
      <w:r w:rsidR="00B44D02">
        <w:t xml:space="preserve">remain available for 90 calendar days from the date of its generation, </w:t>
      </w:r>
      <w:r w:rsidR="00DA62F5">
        <w:t>with the possibility of regeneration</w:t>
      </w:r>
      <w:r w:rsidR="00A3477A">
        <w:t>,</w:t>
      </w:r>
      <w:r w:rsidR="00DA62F5">
        <w:t xml:space="preserve"> if necessary.</w:t>
      </w:r>
    </w:p>
    <w:p w:rsidR="009917B2" w:rsidP="07267CB8">
      <w:pPr>
        <w:pStyle w:val="Considrant"/>
      </w:pPr>
      <w:r w:rsidRPr="00516870">
        <w:t>To ensure the correctness and accuracy of registry data, the registry should support versioning of registered data. Each new version of the digital product passport should be linked to the original registration identifier, and each update should be time-stamped. For the purpose of secure handling of data, all operations performed should also be logged</w:t>
      </w:r>
      <w:r w:rsidRPr="00516870" w:rsidR="00B74C8F">
        <w:t xml:space="preserve"> in the registry</w:t>
      </w:r>
      <w:r w:rsidRPr="00516870">
        <w:t>.</w:t>
      </w:r>
      <w:r w:rsidRPr="00516870" w:rsidR="00437330">
        <w:t xml:space="preserve"> </w:t>
      </w:r>
      <w:r w:rsidRPr="00516870" w:rsidR="005349B6">
        <w:t>In cases where Union law does not specify how long a digital product passport must remain available, the registry will automatically delete the</w:t>
      </w:r>
      <w:r w:rsidRPr="00516870" w:rsidR="07267CB8">
        <w:t xml:space="preserve"> digital product passport registration data 10 years after registration </w:t>
      </w:r>
      <w:r w:rsidRPr="008C2E2D" w:rsidR="07267CB8">
        <w:rPr>
          <w:rFonts w:eastAsia="Times New Roman"/>
          <w:szCs w:val="24"/>
        </w:rPr>
        <w:t xml:space="preserve">in accordance with the rules laid down in </w:t>
      </w:r>
      <w:r w:rsidRPr="008C2E2D" w:rsidR="07267CB8">
        <w:rPr>
          <w:rFonts w:eastAsia="Times New Roman"/>
          <w:color w:val="333333"/>
          <w:szCs w:val="24"/>
        </w:rPr>
        <w:t>Commission notice The ‘Blue Guide’ on the implementation of EU product rules 2022</w:t>
      </w:r>
      <w:r>
        <w:rPr>
          <w:rStyle w:val="FootnoteReference"/>
        </w:rPr>
        <w:footnoteReference w:id="10"/>
      </w:r>
      <w:r w:rsidRPr="00516870" w:rsidR="07267CB8">
        <w:t xml:space="preserve">. Where Union law does set a specific duration, the data will be kept in the registry </w:t>
      </w:r>
      <w:r w:rsidRPr="00516870">
        <w:t xml:space="preserve">for that </w:t>
      </w:r>
      <w:r w:rsidRPr="00516870" w:rsidR="00516870">
        <w:t xml:space="preserve">specific </w:t>
      </w:r>
      <w:r w:rsidRPr="00516870">
        <w:t>period.</w:t>
      </w:r>
    </w:p>
    <w:p w:rsidR="00690F5F" w:rsidRPr="00FD0695" w:rsidP="07267CB8">
      <w:pPr>
        <w:pStyle w:val="Considrant"/>
      </w:pPr>
      <w:r w:rsidRPr="00FD0695">
        <w:t xml:space="preserve">To ensure </w:t>
      </w:r>
      <w:r w:rsidRPr="00FD0695" w:rsidR="005770AE">
        <w:t xml:space="preserve">semantic interoperability and </w:t>
      </w:r>
      <w:r w:rsidRPr="00FD0695">
        <w:t xml:space="preserve">technical functioning of the registry, a semantic repository should be set up. </w:t>
      </w:r>
      <w:r w:rsidRPr="00FD0695" w:rsidR="00E56FFC">
        <w:t>The semantic repository will be a</w:t>
      </w:r>
      <w:r w:rsidRPr="00FD0695" w:rsidR="00E633BD">
        <w:t>n</w:t>
      </w:r>
      <w:r w:rsidRPr="00FD0695" w:rsidR="00E56FFC">
        <w:t xml:space="preserve"> </w:t>
      </w:r>
      <w:r w:rsidRPr="00FD0695" w:rsidR="00E633BD">
        <w:t>evolving</w:t>
      </w:r>
      <w:r w:rsidRPr="00FD0695" w:rsidR="00E56FFC">
        <w:t xml:space="preserve"> </w:t>
      </w:r>
      <w:r w:rsidRPr="00FD0695" w:rsidR="00E633BD">
        <w:t>collection of data models and semantic definitions</w:t>
      </w:r>
      <w:r w:rsidRPr="00FD0695" w:rsidR="00E56FFC">
        <w:t xml:space="preserve">, </w:t>
      </w:r>
      <w:r w:rsidRPr="00FD0695" w:rsidR="00E633BD">
        <w:t>expanding</w:t>
      </w:r>
      <w:r w:rsidRPr="00FD0695" w:rsidR="00E56FFC">
        <w:t xml:space="preserve"> progressively as additional product groups are incorporated. </w:t>
      </w:r>
      <w:r w:rsidRPr="00FD0695">
        <w:t>All data contained in a digital product passport needs to be structured in accordance with common data models and semantic definitions published in the semantic repository</w:t>
      </w:r>
      <w:r w:rsidRPr="00FD0695" w:rsidR="00516870">
        <w:t xml:space="preserve"> </w:t>
      </w:r>
      <w:r w:rsidRPr="00FD0695" w:rsidR="1AE61503">
        <w:t>of the registry</w:t>
      </w:r>
      <w:r w:rsidRPr="00FD0695">
        <w:t>. Th</w:t>
      </w:r>
      <w:r w:rsidRPr="00FD0695" w:rsidR="0049658A">
        <w:t>at</w:t>
      </w:r>
      <w:r w:rsidRPr="00FD0695">
        <w:t xml:space="preserve"> framework should remain flexible and extensible to accommodate </w:t>
      </w:r>
      <w:r w:rsidRPr="00FD0695" w:rsidR="00223DD0">
        <w:t xml:space="preserve">any </w:t>
      </w:r>
      <w:r w:rsidRPr="00FD0695" w:rsidR="003319D1">
        <w:t xml:space="preserve">future </w:t>
      </w:r>
      <w:r w:rsidRPr="00FD0695" w:rsidR="00223DD0">
        <w:t>changes</w:t>
      </w:r>
      <w:r w:rsidRPr="00FD0695">
        <w:t xml:space="preserve"> </w:t>
      </w:r>
      <w:r w:rsidRPr="00FD0695" w:rsidR="00D30190">
        <w:t xml:space="preserve">to </w:t>
      </w:r>
      <w:r w:rsidRPr="00FD0695">
        <w:t>data requirements</w:t>
      </w:r>
      <w:r w:rsidRPr="00FD0695" w:rsidR="006A795D">
        <w:t xml:space="preserve"> </w:t>
      </w:r>
      <w:r w:rsidRPr="00FD0695" w:rsidR="0048553A">
        <w:t xml:space="preserve">regarding the </w:t>
      </w:r>
      <w:r w:rsidRPr="00FD0695">
        <w:t>inclu</w:t>
      </w:r>
      <w:r w:rsidRPr="00FD0695" w:rsidR="00B02E36">
        <w:t>sion of</w:t>
      </w:r>
      <w:r w:rsidRPr="00FD0695">
        <w:t xml:space="preserve"> a product in the digital product passport.</w:t>
      </w:r>
      <w:r w:rsidRPr="00FD0695" w:rsidR="00613C44">
        <w:t xml:space="preserve"> </w:t>
      </w:r>
      <w:r w:rsidRPr="00FD0695" w:rsidR="00622B5C">
        <w:t xml:space="preserve">The Commission </w:t>
      </w:r>
      <w:r w:rsidRPr="00FD0695" w:rsidR="00FD0695">
        <w:rPr>
          <w:szCs w:val="24"/>
        </w:rPr>
        <w:t xml:space="preserve">strives to </w:t>
      </w:r>
      <w:r w:rsidRPr="00FD0695" w:rsidR="00622B5C">
        <w:rPr>
          <w:szCs w:val="24"/>
        </w:rPr>
        <w:t>ensure that the semantic repository is technically capable of publishing</w:t>
      </w:r>
      <w:r w:rsidRPr="00FD0695" w:rsidR="1C0E6923">
        <w:rPr>
          <w:szCs w:val="24"/>
        </w:rPr>
        <w:t xml:space="preserve"> </w:t>
      </w:r>
      <w:r w:rsidRPr="00FD0695" w:rsidR="00622B5C">
        <w:rPr>
          <w:szCs w:val="24"/>
        </w:rPr>
        <w:t xml:space="preserve">semantic specifications </w:t>
      </w:r>
      <w:r w:rsidRPr="00FD0695" w:rsidR="217A8012">
        <w:rPr>
          <w:szCs w:val="24"/>
        </w:rPr>
        <w:t>and exchanging them wi</w:t>
      </w:r>
      <w:r w:rsidRPr="00FD0695" w:rsidR="00686F4F">
        <w:rPr>
          <w:szCs w:val="24"/>
        </w:rPr>
        <w:t>t</w:t>
      </w:r>
      <w:r w:rsidRPr="00FD0695" w:rsidR="217A8012">
        <w:rPr>
          <w:szCs w:val="24"/>
        </w:rPr>
        <w:t xml:space="preserve">h other </w:t>
      </w:r>
      <w:r w:rsidRPr="00FD0695" w:rsidR="46AEF975">
        <w:rPr>
          <w:szCs w:val="24"/>
        </w:rPr>
        <w:t xml:space="preserve">Union </w:t>
      </w:r>
      <w:r w:rsidRPr="00FD0695" w:rsidR="00622B5C">
        <w:rPr>
          <w:szCs w:val="24"/>
        </w:rPr>
        <w:t xml:space="preserve">level repositories, including those maintained by </w:t>
      </w:r>
      <w:r w:rsidRPr="00FD0695" w:rsidR="35D83DE0">
        <w:rPr>
          <w:szCs w:val="24"/>
        </w:rPr>
        <w:t>Union</w:t>
      </w:r>
      <w:r w:rsidRPr="00FD0695" w:rsidR="00622B5C">
        <w:rPr>
          <w:szCs w:val="24"/>
        </w:rPr>
        <w:t xml:space="preserve"> institutions and bodies. </w:t>
      </w:r>
    </w:p>
    <w:p w:rsidR="00AD5886" w:rsidRPr="00191B42" w:rsidP="00AD5886">
      <w:pPr>
        <w:pStyle w:val="Considrant"/>
      </w:pPr>
      <w:r>
        <w:t xml:space="preserve">To allow reading, searching and comparing </w:t>
      </w:r>
      <w:r w:rsidR="003D38A2">
        <w:t xml:space="preserve">of </w:t>
      </w:r>
      <w:r>
        <w:t xml:space="preserve">semantic definitions and data structures, the semantic repository should include a search service. The Commission </w:t>
      </w:r>
      <w:r w:rsidR="00863A12">
        <w:t xml:space="preserve">should </w:t>
      </w:r>
      <w:r>
        <w:t>ensure that the content of the semantic repository is accessible</w:t>
      </w:r>
      <w:r w:rsidR="00681D2D">
        <w:t xml:space="preserve"> </w:t>
      </w:r>
      <w:r>
        <w:t>through publicly documented APIs</w:t>
      </w:r>
      <w:r w:rsidR="00681D2D">
        <w:t xml:space="preserve"> at all times except during periods of necessary maintenance or temporary suspension of the service in accordance </w:t>
      </w:r>
      <w:r w:rsidRPr="00B10770" w:rsidR="005770AE">
        <w:t>with</w:t>
      </w:r>
      <w:r w:rsidRPr="00B10770" w:rsidR="00681D2D">
        <w:t xml:space="preserve"> Article 1</w:t>
      </w:r>
      <w:r w:rsidRPr="00B10770" w:rsidR="00556EE0">
        <w:t>5</w:t>
      </w:r>
      <w:r w:rsidRPr="00B10770">
        <w:t>.</w:t>
      </w:r>
      <w:r>
        <w:t xml:space="preserve"> The APIs should support common data formats to facilitate automated use by external systems. Access to and use of the semantic repository and its APIs </w:t>
      </w:r>
      <w:r w:rsidR="00046A2C">
        <w:t xml:space="preserve">should </w:t>
      </w:r>
      <w:r w:rsidR="00FE6450">
        <w:t>be</w:t>
      </w:r>
      <w:r>
        <w:t xml:space="preserve"> free of charge.</w:t>
      </w:r>
    </w:p>
    <w:p w:rsidR="00681D2D" w:rsidRPr="00191B42" w:rsidP="00681D2D">
      <w:pPr>
        <w:pStyle w:val="Considrant"/>
      </w:pPr>
      <w:r>
        <w:t xml:space="preserve">To ensure </w:t>
      </w:r>
      <w:r w:rsidR="009E6B25">
        <w:t xml:space="preserve">support to </w:t>
      </w:r>
      <w:r w:rsidR="00682CF9">
        <w:t>users</w:t>
      </w:r>
      <w:r>
        <w:t xml:space="preserve">, the Commission should establish a helpdesk </w:t>
      </w:r>
      <w:r w:rsidR="009E6B25">
        <w:t xml:space="preserve">service </w:t>
      </w:r>
      <w:r>
        <w:t xml:space="preserve">to </w:t>
      </w:r>
      <w:r w:rsidR="009E6B25">
        <w:t>provide</w:t>
      </w:r>
      <w:r>
        <w:t xml:space="preserve"> technical support</w:t>
      </w:r>
      <w:r w:rsidR="009E6B25">
        <w:t xml:space="preserve"> </w:t>
      </w:r>
      <w:r w:rsidR="007D63E4">
        <w:t xml:space="preserve">to </w:t>
      </w:r>
      <w:r w:rsidR="00682CF9">
        <w:t xml:space="preserve">all </w:t>
      </w:r>
      <w:r w:rsidR="007D63E4">
        <w:t xml:space="preserve">users </w:t>
      </w:r>
      <w:r w:rsidR="00682CF9">
        <w:t xml:space="preserve">of the registry </w:t>
      </w:r>
      <w:r w:rsidR="009E6B25">
        <w:t>where needed</w:t>
      </w:r>
      <w:r>
        <w:t>. The</w:t>
      </w:r>
      <w:r w:rsidR="001B42C2">
        <w:t xml:space="preserve"> </w:t>
      </w:r>
      <w:r>
        <w:t xml:space="preserve">helpdesk service </w:t>
      </w:r>
      <w:r w:rsidR="00EE7A97">
        <w:t xml:space="preserve">should </w:t>
      </w:r>
      <w:r w:rsidR="006D2B48">
        <w:t xml:space="preserve">be available </w:t>
      </w:r>
      <w:r>
        <w:t>during the Commission’s working days, as determined yearly by the Commission Decision on public holidays for officials and other servants of the European Union serving in Brussels and Luxembourg, and during normal working hours. Those working days shall be published on the Commission’s website.</w:t>
      </w:r>
    </w:p>
    <w:p w:rsidR="00A23A77" w:rsidRPr="000B0886">
      <w:pPr>
        <w:pStyle w:val="Considrant"/>
      </w:pPr>
      <w:r>
        <w:t>To ensure</w:t>
      </w:r>
      <w:r>
        <w:t xml:space="preserve"> </w:t>
      </w:r>
      <w:r>
        <w:t xml:space="preserve">the integrity, security and transparency of the </w:t>
      </w:r>
      <w:r>
        <w:t>r</w:t>
      </w:r>
      <w:r>
        <w:t>egistry, the Commission should</w:t>
      </w:r>
      <w:r>
        <w:t xml:space="preserve"> </w:t>
      </w:r>
      <w:r>
        <w:t>maintain</w:t>
      </w:r>
      <w:r>
        <w:t xml:space="preserve"> </w:t>
      </w:r>
      <w:r>
        <w:t>a robust and</w:t>
      </w:r>
      <w:r>
        <w:t xml:space="preserve"> </w:t>
      </w:r>
      <w:r>
        <w:t>automated</w:t>
      </w:r>
      <w:r>
        <w:t xml:space="preserve"> </w:t>
      </w:r>
      <w:r>
        <w:t>log</w:t>
      </w:r>
      <w:r>
        <w:t xml:space="preserve"> </w:t>
      </w:r>
      <w:r>
        <w:t>system recording</w:t>
      </w:r>
      <w:r>
        <w:t xml:space="preserve"> </w:t>
      </w:r>
      <w:r>
        <w:t>all</w:t>
      </w:r>
      <w:r>
        <w:t xml:space="preserve"> activities </w:t>
      </w:r>
      <w:r>
        <w:t>within</w:t>
      </w:r>
      <w:r>
        <w:t xml:space="preserve"> </w:t>
      </w:r>
      <w:r>
        <w:t>the registry.</w:t>
      </w:r>
      <w:r w:rsidR="004576A6">
        <w:t xml:space="preserve"> </w:t>
      </w:r>
      <w:r>
        <w:t>As part of the log system</w:t>
      </w:r>
      <w:r w:rsidR="00491FDD">
        <w:t>,</w:t>
      </w:r>
      <w:r>
        <w:t xml:space="preserve"> </w:t>
      </w:r>
      <w:r>
        <w:t>comprehensive audit trails</w:t>
      </w:r>
      <w:r w:rsidR="004576A6">
        <w:t xml:space="preserve"> </w:t>
      </w:r>
      <w:r>
        <w:t xml:space="preserve">should be created. </w:t>
      </w:r>
      <w:r w:rsidR="001E4053">
        <w:t>To that end</w:t>
      </w:r>
      <w:r>
        <w:t>,</w:t>
      </w:r>
      <w:r w:rsidR="008C1914">
        <w:t xml:space="preserve"> and to track</w:t>
      </w:r>
      <w:r>
        <w:t xml:space="preserve"> </w:t>
      </w:r>
      <w:r w:rsidR="006C49EC">
        <w:t>all actions performed on the registry</w:t>
      </w:r>
      <w:r w:rsidR="00415701">
        <w:t xml:space="preserve"> in order to </w:t>
      </w:r>
      <w:r w:rsidR="00A90EC3">
        <w:t>e</w:t>
      </w:r>
      <w:r w:rsidR="00415701">
        <w:t xml:space="preserve">nsure </w:t>
      </w:r>
      <w:r w:rsidR="001222B0">
        <w:t>accountability for all users</w:t>
      </w:r>
      <w:r w:rsidR="00A8230A">
        <w:t>,</w:t>
      </w:r>
      <w:r w:rsidR="006C49EC">
        <w:t xml:space="preserve"> </w:t>
      </w:r>
      <w:r>
        <w:t xml:space="preserve">logs should be kept of access attempts, both successful and unsuccessful, </w:t>
      </w:r>
      <w:r w:rsidR="005408B2">
        <w:t xml:space="preserve">as well as </w:t>
      </w:r>
      <w:r w:rsidR="001E4053">
        <w:t xml:space="preserve">modifications </w:t>
      </w:r>
      <w:r>
        <w:t xml:space="preserve">and administrative actions. </w:t>
      </w:r>
    </w:p>
    <w:p w:rsidR="00EA39A0" w:rsidRPr="00191B42" w:rsidP="00DE717C">
      <w:pPr>
        <w:pStyle w:val="Considrant"/>
      </w:pPr>
      <w:r>
        <w:t>The retention periods for logs should be proportionate to their purpose</w:t>
      </w:r>
      <w:r w:rsidR="00CB4715">
        <w:t>s</w:t>
      </w:r>
      <w:r w:rsidR="000E7C76">
        <w:t>.</w:t>
      </w:r>
      <w:r w:rsidR="00CB4715">
        <w:t xml:space="preserve"> </w:t>
      </w:r>
      <w:r>
        <w:t xml:space="preserve">While logs related to modifications, administrative actions, and exchanges </w:t>
      </w:r>
      <w:r w:rsidR="0091456F">
        <w:t xml:space="preserve">should </w:t>
      </w:r>
      <w:r>
        <w:t>be</w:t>
      </w:r>
      <w:r w:rsidR="00A23A77">
        <w:t xml:space="preserve"> </w:t>
      </w:r>
      <w:r>
        <w:t>retained</w:t>
      </w:r>
      <w:r w:rsidR="00A23A77">
        <w:t xml:space="preserve"> </w:t>
      </w:r>
      <w:r>
        <w:t xml:space="preserve">for the duration of the registration to support long-term verification, incident investigations, and </w:t>
      </w:r>
      <w:r w:rsidR="00CB7305">
        <w:t xml:space="preserve">compliance with </w:t>
      </w:r>
      <w:r>
        <w:t xml:space="preserve">legal </w:t>
      </w:r>
      <w:r w:rsidR="00CB7305">
        <w:t>obligations</w:t>
      </w:r>
      <w:r w:rsidR="00682CF9">
        <w:t>, logs of authentication attempts require a shorter retention period to balance security needs with data minimisation principles</w:t>
      </w:r>
      <w:r>
        <w:t>.</w:t>
      </w:r>
    </w:p>
    <w:p w:rsidR="006D2B48" w:rsidRPr="00191B42" w:rsidP="006D2B48">
      <w:pPr>
        <w:pStyle w:val="Considrant"/>
      </w:pPr>
      <w:r>
        <w:t xml:space="preserve">Access to logs by </w:t>
      </w:r>
      <w:r w:rsidR="00A278D0">
        <w:t xml:space="preserve">competent </w:t>
      </w:r>
      <w:r>
        <w:t>national authorities</w:t>
      </w:r>
      <w:r w:rsidR="008B040A">
        <w:t xml:space="preserve"> and customs authorities</w:t>
      </w:r>
      <w:r>
        <w:t xml:space="preserve"> for the purpose of conducting investigations or security audits</w:t>
      </w:r>
      <w:r w:rsidR="00C51FB4">
        <w:t>,</w:t>
      </w:r>
      <w:r>
        <w:t xml:space="preserve"> or in the event of incidents, is essential for effective cooperation and enforcement. Such access </w:t>
      </w:r>
      <w:r w:rsidR="008851A2">
        <w:t xml:space="preserve">should </w:t>
      </w:r>
      <w:r>
        <w:t>be granted in a manner that respects the confidentiality and integrity of the logs, while allowing for timely and thorough investigations</w:t>
      </w:r>
      <w:r w:rsidR="000E7C76">
        <w:t xml:space="preserve"> </w:t>
      </w:r>
      <w:r w:rsidR="00710E03">
        <w:t>or audits</w:t>
      </w:r>
      <w:r>
        <w:t>.</w:t>
      </w:r>
    </w:p>
    <w:p w:rsidR="006D2B48" w:rsidRPr="00191B42" w:rsidP="006D2B48">
      <w:pPr>
        <w:pStyle w:val="Considrant"/>
      </w:pPr>
      <w:r>
        <w:t>Given the sensitive nature of the logged data, which may include personal or</w:t>
      </w:r>
      <w:r w:rsidR="005462ED">
        <w:t xml:space="preserve"> </w:t>
      </w:r>
      <w:r>
        <w:t>confidential</w:t>
      </w:r>
      <w:r w:rsidR="005462ED">
        <w:t xml:space="preserve"> </w:t>
      </w:r>
      <w:r>
        <w:t xml:space="preserve">information, the Commission </w:t>
      </w:r>
      <w:r w:rsidR="002F7BB0">
        <w:t xml:space="preserve">should </w:t>
      </w:r>
      <w:r>
        <w:t>implement</w:t>
      </w:r>
      <w:r w:rsidR="00EE26DD">
        <w:t xml:space="preserve"> </w:t>
      </w:r>
      <w:r>
        <w:t>appropriate</w:t>
      </w:r>
      <w:r w:rsidR="00EE26DD">
        <w:t xml:space="preserve"> </w:t>
      </w:r>
      <w:r>
        <w:t>technical</w:t>
      </w:r>
      <w:r w:rsidR="00EE26DD">
        <w:t xml:space="preserve"> </w:t>
      </w:r>
      <w:r>
        <w:t>and organisational measures to protect logs against unauthorised access</w:t>
      </w:r>
      <w:r w:rsidR="005462ED">
        <w:t xml:space="preserve"> or unlawful processing</w:t>
      </w:r>
      <w:r>
        <w:t xml:space="preserve">, </w:t>
      </w:r>
      <w:r w:rsidR="005462ED">
        <w:t xml:space="preserve">accidental loss, </w:t>
      </w:r>
      <w:r>
        <w:t>destruction</w:t>
      </w:r>
      <w:r w:rsidR="005462ED">
        <w:t xml:space="preserve"> or damage</w:t>
      </w:r>
      <w:r>
        <w:t xml:space="preserve">. </w:t>
      </w:r>
      <w:r w:rsidR="000336E8">
        <w:t xml:space="preserve">Such </w:t>
      </w:r>
      <w:r>
        <w:t>measures should guarantee the</w:t>
      </w:r>
      <w:r w:rsidR="006172A0">
        <w:t xml:space="preserve"> </w:t>
      </w:r>
      <w:r>
        <w:t>continuity</w:t>
      </w:r>
      <w:r w:rsidR="005462ED">
        <w:t xml:space="preserve"> </w:t>
      </w:r>
      <w:r>
        <w:t>and confidentiality of logs</w:t>
      </w:r>
      <w:r w:rsidR="00FA1B6C">
        <w:t xml:space="preserve"> as well as</w:t>
      </w:r>
      <w:r w:rsidR="00F21EE2">
        <w:t xml:space="preserve"> </w:t>
      </w:r>
      <w:r>
        <w:t>ensur</w:t>
      </w:r>
      <w:r w:rsidR="00F21EE2">
        <w:t>e</w:t>
      </w:r>
      <w:r>
        <w:t xml:space="preserve"> their </w:t>
      </w:r>
      <w:r w:rsidR="005462ED">
        <w:t xml:space="preserve">integrity and </w:t>
      </w:r>
      <w:r>
        <w:t>reliability as evidence.</w:t>
      </w:r>
      <w:r w:rsidR="0054080B">
        <w:t xml:space="preserve"> </w:t>
      </w:r>
      <w:r>
        <w:t>The use of encryption, access controls, and regular integrity checks should be considered best practices to fulfil these obligations.</w:t>
      </w:r>
    </w:p>
    <w:p w:rsidR="006D2B48" w:rsidRPr="00191B42" w:rsidP="006D2B48">
      <w:pPr>
        <w:pStyle w:val="Considrant"/>
      </w:pPr>
      <w:r>
        <w:t>To</w:t>
      </w:r>
      <w:r w:rsidR="00234CAA">
        <w:t xml:space="preserve"> </w:t>
      </w:r>
      <w:r>
        <w:t>facilitate</w:t>
      </w:r>
      <w:r w:rsidR="00234CAA">
        <w:t xml:space="preserve"> </w:t>
      </w:r>
      <w:r>
        <w:t>the effective and efficient use of the</w:t>
      </w:r>
      <w:r w:rsidR="00234CAA">
        <w:t xml:space="preserve"> </w:t>
      </w:r>
      <w:r w:rsidR="00A65AFF">
        <w:t>r</w:t>
      </w:r>
      <w:r>
        <w:t>egistry, the Commission should provide clear, accessible and up-to-date guidelines a</w:t>
      </w:r>
      <w:r w:rsidR="00653F43">
        <w:t>s well as</w:t>
      </w:r>
      <w:r>
        <w:t xml:space="preserve"> instructions on registration procedures and data management. Making</w:t>
      </w:r>
      <w:r w:rsidR="00A65AFF">
        <w:t xml:space="preserve"> </w:t>
      </w:r>
      <w:r>
        <w:t>th</w:t>
      </w:r>
      <w:r w:rsidR="005E3D38">
        <w:t>o</w:t>
      </w:r>
      <w:r>
        <w:t xml:space="preserve">se resources available </w:t>
      </w:r>
      <w:r w:rsidR="00BE22F3">
        <w:t>through</w:t>
      </w:r>
      <w:r w:rsidR="00A50F1F">
        <w:t xml:space="preserve"> </w:t>
      </w:r>
      <w:r>
        <w:t>the</w:t>
      </w:r>
      <w:r w:rsidR="00A50F1F">
        <w:t xml:space="preserve"> </w:t>
      </w:r>
      <w:r w:rsidR="00687110">
        <w:t xml:space="preserve">Commission </w:t>
      </w:r>
      <w:r>
        <w:t>website</w:t>
      </w:r>
      <w:r w:rsidR="00A65AFF">
        <w:t xml:space="preserve"> </w:t>
      </w:r>
      <w:r w:rsidR="00717866">
        <w:t xml:space="preserve">will </w:t>
      </w:r>
      <w:r>
        <w:t>ensure that all</w:t>
      </w:r>
      <w:r w:rsidR="00A65AFF">
        <w:t xml:space="preserve"> </w:t>
      </w:r>
      <w:r>
        <w:t>users,</w:t>
      </w:r>
      <w:r w:rsidR="00A65AFF">
        <w:t xml:space="preserve"> </w:t>
      </w:r>
      <w:r>
        <w:t>regardless</w:t>
      </w:r>
      <w:r w:rsidR="00A65AFF">
        <w:t xml:space="preserve"> </w:t>
      </w:r>
      <w:r>
        <w:t>of their technical</w:t>
      </w:r>
      <w:r w:rsidR="00A65AFF">
        <w:t xml:space="preserve"> </w:t>
      </w:r>
      <w:r>
        <w:t xml:space="preserve">expertise, </w:t>
      </w:r>
      <w:r w:rsidR="00717866">
        <w:t>are able to</w:t>
      </w:r>
      <w:r w:rsidR="00A65AFF">
        <w:t xml:space="preserve"> </w:t>
      </w:r>
      <w:r>
        <w:t>comply with</w:t>
      </w:r>
      <w:r w:rsidR="00A65AFF">
        <w:t xml:space="preserve"> </w:t>
      </w:r>
      <w:r>
        <w:t>their obligations.</w:t>
      </w:r>
      <w:r w:rsidR="00A65AFF">
        <w:t xml:space="preserve"> </w:t>
      </w:r>
      <w:r>
        <w:t>Such guidance is essential to minimise errors, reduce administrative burdens, and promote uniform application of the</w:t>
      </w:r>
      <w:r w:rsidR="00A65AFF">
        <w:t xml:space="preserve"> </w:t>
      </w:r>
      <w:r>
        <w:t>requirements</w:t>
      </w:r>
      <w:r w:rsidR="00A65AFF">
        <w:t xml:space="preserve"> </w:t>
      </w:r>
      <w:r w:rsidR="009455B2">
        <w:t xml:space="preserve">to register </w:t>
      </w:r>
      <w:r>
        <w:t>across</w:t>
      </w:r>
      <w:r w:rsidR="00A65AFF">
        <w:t xml:space="preserve"> </w:t>
      </w:r>
      <w:r>
        <w:t>the Union.</w:t>
      </w:r>
    </w:p>
    <w:p w:rsidR="006D2B48" w:rsidRPr="00191B42" w:rsidP="006D2B48">
      <w:pPr>
        <w:pStyle w:val="Considrant"/>
      </w:pPr>
      <w:r>
        <w:t xml:space="preserve">The </w:t>
      </w:r>
      <w:r w:rsidR="00D41C8C">
        <w:t xml:space="preserve">continual </w:t>
      </w:r>
      <w:r>
        <w:t>availability of the</w:t>
      </w:r>
      <w:r w:rsidR="00061296">
        <w:t xml:space="preserve"> </w:t>
      </w:r>
      <w:r w:rsidR="00A65AFF">
        <w:t>r</w:t>
      </w:r>
      <w:r>
        <w:t>egistry is a fundamental requirement for its proper functioning, as interruptions could disrupt compliance activities, market surveillance,</w:t>
      </w:r>
      <w:r w:rsidR="00A278D0">
        <w:t xml:space="preserve"> customs controls</w:t>
      </w:r>
      <w:r>
        <w:t xml:space="preserve"> and the free movement of goods and services within the internal market. However, planned maintenance, such as software updates, security patches, or system upgrades, may occasionally</w:t>
      </w:r>
      <w:r w:rsidR="00A65AFF">
        <w:t xml:space="preserve"> </w:t>
      </w:r>
      <w:r>
        <w:t>necessitate</w:t>
      </w:r>
      <w:r w:rsidR="00A65AFF">
        <w:t xml:space="preserve"> </w:t>
      </w:r>
      <w:r>
        <w:t>temporary inaccessibility. To mitigate disruptions, the Commission</w:t>
      </w:r>
      <w:r w:rsidR="00A65AFF">
        <w:t xml:space="preserve"> </w:t>
      </w:r>
      <w:r>
        <w:t>should provide advance notice of such periods on a publicly accessible website, allowing users to plan accordingly.</w:t>
      </w:r>
      <w:r w:rsidR="00A65AFF">
        <w:t xml:space="preserve"> </w:t>
      </w:r>
      <w:r>
        <w:t>Additionally,</w:t>
      </w:r>
      <w:r w:rsidR="00A65AFF">
        <w:t xml:space="preserve"> </w:t>
      </w:r>
      <w:r>
        <w:t>in</w:t>
      </w:r>
      <w:r w:rsidR="00A65AFF">
        <w:t xml:space="preserve"> </w:t>
      </w:r>
      <w:r>
        <w:t>exceptional circumstances,</w:t>
      </w:r>
      <w:r w:rsidR="00A65AFF">
        <w:t xml:space="preserve"> </w:t>
      </w:r>
      <w:r>
        <w:t>such as</w:t>
      </w:r>
      <w:r w:rsidR="00A65AFF">
        <w:t xml:space="preserve"> </w:t>
      </w:r>
      <w:r>
        <w:t>system malfunctions, cyber-attacks, or urgent security threats, the Commission may suspend access to the</w:t>
      </w:r>
      <w:r w:rsidR="00565824">
        <w:t xml:space="preserve"> </w:t>
      </w:r>
      <w:r w:rsidR="00A65AFF">
        <w:t>r</w:t>
      </w:r>
      <w:r>
        <w:t>egistry</w:t>
      </w:r>
      <w:r w:rsidR="00565824">
        <w:t xml:space="preserve"> </w:t>
      </w:r>
      <w:r>
        <w:t>without prior notice to prevent data breaches, unauthorised access, or further damage. Such</w:t>
      </w:r>
      <w:r w:rsidR="00A65AFF">
        <w:t xml:space="preserve"> </w:t>
      </w:r>
      <w:r>
        <w:t>measures</w:t>
      </w:r>
      <w:r w:rsidR="00A65AFF">
        <w:t xml:space="preserve"> </w:t>
      </w:r>
      <w:r>
        <w:t>are justified by the overriding need to protect the integrity and security of the</w:t>
      </w:r>
      <w:r w:rsidR="00572819">
        <w:t xml:space="preserve"> </w:t>
      </w:r>
      <w:r w:rsidR="00A65AFF">
        <w:t>r</w:t>
      </w:r>
      <w:r>
        <w:t>egistry</w:t>
      </w:r>
      <w:r w:rsidR="00572819">
        <w:t xml:space="preserve"> </w:t>
      </w:r>
      <w:r>
        <w:t>and the data it</w:t>
      </w:r>
      <w:r w:rsidR="00572819">
        <w:t xml:space="preserve"> </w:t>
      </w:r>
      <w:r>
        <w:t xml:space="preserve">contains. </w:t>
      </w:r>
      <w:r w:rsidR="007B0FD2">
        <w:t>In the event of such suspension, t</w:t>
      </w:r>
      <w:r>
        <w:t>he Commission should act swiftly to restore normal</w:t>
      </w:r>
      <w:r w:rsidR="00A65AFF">
        <w:t xml:space="preserve"> </w:t>
      </w:r>
      <w:r>
        <w:t>operations and, where</w:t>
      </w:r>
      <w:r w:rsidR="00572819">
        <w:t xml:space="preserve"> </w:t>
      </w:r>
      <w:r>
        <w:t>feasible, inform users</w:t>
      </w:r>
      <w:r w:rsidR="00572819">
        <w:t>,</w:t>
      </w:r>
      <w:r>
        <w:t xml:space="preserve"> </w:t>
      </w:r>
      <w:r w:rsidR="00572819">
        <w:t xml:space="preserve">as soon as practicable, </w:t>
      </w:r>
      <w:r>
        <w:t>of the suspension and its expected duration.</w:t>
      </w:r>
      <w:r w:rsidR="00572819">
        <w:t xml:space="preserve"> </w:t>
      </w:r>
      <w:r>
        <w:t xml:space="preserve">To ensure accountability and enable </w:t>
      </w:r>
      <w:r w:rsidR="00171151">
        <w:t xml:space="preserve">access </w:t>
      </w:r>
      <w:r>
        <w:t>by market surveillance authorities</w:t>
      </w:r>
      <w:r w:rsidR="00947558">
        <w:t xml:space="preserve"> and customs authorities</w:t>
      </w:r>
      <w:r>
        <w:t>, the Commission should document the duration and timing of any outages and</w:t>
      </w:r>
      <w:r w:rsidR="00705531">
        <w:t xml:space="preserve"> </w:t>
      </w:r>
      <w:r>
        <w:t>retain</w:t>
      </w:r>
      <w:r w:rsidR="00705531">
        <w:t xml:space="preserve"> </w:t>
      </w:r>
      <w:r w:rsidR="007D6784">
        <w:t>such</w:t>
      </w:r>
      <w:r>
        <w:t xml:space="preserve"> records for at least</w:t>
      </w:r>
      <w:r w:rsidR="00705531">
        <w:t xml:space="preserve"> </w:t>
      </w:r>
      <w:r>
        <w:t>five years.</w:t>
      </w:r>
    </w:p>
    <w:p w:rsidR="00DE717C" w:rsidRPr="00191B42" w:rsidP="00DE717C">
      <w:pPr>
        <w:pStyle w:val="Considrant"/>
      </w:pPr>
      <w:r>
        <w:t xml:space="preserve">The registry </w:t>
      </w:r>
      <w:r w:rsidR="007A3288">
        <w:t xml:space="preserve">should </w:t>
      </w:r>
      <w:r>
        <w:t>operate</w:t>
      </w:r>
      <w:r w:rsidR="00A65AFF">
        <w:t xml:space="preserve"> </w:t>
      </w:r>
      <w:r>
        <w:t>in compliance with</w:t>
      </w:r>
      <w:r w:rsidR="00A65AFF">
        <w:t xml:space="preserve"> </w:t>
      </w:r>
      <w:r>
        <w:t>high-level security standards</w:t>
      </w:r>
      <w:r w:rsidR="00A65AFF">
        <w:t xml:space="preserve"> </w:t>
      </w:r>
      <w:r>
        <w:t xml:space="preserve">to protect the integrity, confidentiality and availability of its data. Therefore, the Commission should </w:t>
      </w:r>
      <w:r w:rsidR="00F83158">
        <w:t xml:space="preserve">prepare an IT Security Plan which will cover </w:t>
      </w:r>
      <w:r w:rsidR="00B35116">
        <w:t xml:space="preserve">cybersecurity and </w:t>
      </w:r>
      <w:r w:rsidR="00D16630">
        <w:t>other IT related</w:t>
      </w:r>
      <w:r w:rsidR="00B35116">
        <w:t xml:space="preserve"> risk assessments,</w:t>
      </w:r>
      <w:r w:rsidR="00F83158">
        <w:t xml:space="preserve"> conduct</w:t>
      </w:r>
      <w:r w:rsidR="00B35116">
        <w:t xml:space="preserve"> </w:t>
      </w:r>
      <w:r>
        <w:t>technical audits and random</w:t>
      </w:r>
      <w:r w:rsidR="00A65AFF">
        <w:t xml:space="preserve"> </w:t>
      </w:r>
      <w:r>
        <w:t>checks</w:t>
      </w:r>
      <w:r w:rsidR="005E20D7">
        <w:t xml:space="preserve"> </w:t>
      </w:r>
      <w:r>
        <w:t>to verify compliance and</w:t>
      </w:r>
      <w:r w:rsidR="005E20D7">
        <w:t xml:space="preserve"> </w:t>
      </w:r>
      <w:r>
        <w:t>identify</w:t>
      </w:r>
      <w:r w:rsidR="005E20D7">
        <w:t xml:space="preserve"> </w:t>
      </w:r>
      <w:r>
        <w:t xml:space="preserve">vulnerabilities, </w:t>
      </w:r>
      <w:r w:rsidR="003D5BFB">
        <w:t xml:space="preserve">which will </w:t>
      </w:r>
      <w:r>
        <w:t>ensur</w:t>
      </w:r>
      <w:r w:rsidR="003D5BFB">
        <w:t>e</w:t>
      </w:r>
      <w:r w:rsidR="00A65AFF">
        <w:t xml:space="preserve"> </w:t>
      </w:r>
      <w:r w:rsidR="003D5BFB">
        <w:t xml:space="preserve">that </w:t>
      </w:r>
      <w:r>
        <w:t>the system</w:t>
      </w:r>
      <w:r w:rsidR="003D5BFB">
        <w:t xml:space="preserve"> </w:t>
      </w:r>
      <w:r>
        <w:t>remains</w:t>
      </w:r>
      <w:r w:rsidR="003D5BFB">
        <w:t xml:space="preserve"> </w:t>
      </w:r>
      <w:r>
        <w:t>resilient against cyber threats.</w:t>
      </w:r>
      <w:r w:rsidR="00B35116">
        <w:t xml:space="preserve"> </w:t>
      </w:r>
      <w:r>
        <w:t xml:space="preserve">The Commission should ensure that all security events, which include but are not limited to unauthorised access, unauthorised processing, data breaches, fails of implementation logic, are logged in accordance with the information technology security standards applied by the Commission. </w:t>
      </w:r>
      <w:r w:rsidR="00B35116">
        <w:t xml:space="preserve">In addition, the registry should </w:t>
      </w:r>
      <w:r w:rsidRPr="008C2E2D" w:rsidR="00B35116">
        <w:t>comply</w:t>
      </w:r>
      <w:r w:rsidRPr="008C2E2D" w:rsidR="00AA27EB">
        <w:t xml:space="preserve">, as soon as the relevant services become available on </w:t>
      </w:r>
      <w:r w:rsidRPr="008C2E2D" w:rsidR="00B55425">
        <w:t xml:space="preserve">the </w:t>
      </w:r>
      <w:r w:rsidRPr="008C2E2D" w:rsidR="00AA27EB">
        <w:t>U</w:t>
      </w:r>
      <w:r w:rsidRPr="008C2E2D" w:rsidR="00B55425">
        <w:t>nion</w:t>
      </w:r>
      <w:r w:rsidRPr="008C2E2D" w:rsidR="00AA27EB">
        <w:t xml:space="preserve"> market,</w:t>
      </w:r>
      <w:r w:rsidRPr="008C2E2D" w:rsidR="00B35116">
        <w:t xml:space="preserve"> w</w:t>
      </w:r>
      <w:r w:rsidR="00B35116">
        <w:t>ith an adequate level of sovereignty, based on the Cloud Sovereignty Framework</w:t>
      </w:r>
      <w:r>
        <w:rPr>
          <w:rStyle w:val="FootnoteReference"/>
        </w:rPr>
        <w:footnoteReference w:id="11"/>
      </w:r>
      <w:r w:rsidR="00B35116">
        <w:t>.</w:t>
      </w:r>
    </w:p>
    <w:p w:rsidR="00C92D7B" w:rsidRPr="00191B42" w:rsidP="006D2B48">
      <w:pPr>
        <w:pStyle w:val="Considrant"/>
      </w:pPr>
      <w:r>
        <w:t xml:space="preserve">The Commission should be able to take the necessary action if it </w:t>
      </w:r>
      <w:r w:rsidR="00074A77">
        <w:t>suspects</w:t>
      </w:r>
      <w:r w:rsidR="00172EC0">
        <w:t xml:space="preserve"> </w:t>
      </w:r>
      <w:r>
        <w:t>fraudulent activity in the registry, which may include inappropriate downloading of information.</w:t>
      </w:r>
      <w:r w:rsidR="00A65AFF">
        <w:t xml:space="preserve"> [Users have the responsibility to</w:t>
      </w:r>
      <w:r w:rsidR="00D751C3">
        <w:t xml:space="preserve"> </w:t>
      </w:r>
      <w:r w:rsidR="00A65AFF">
        <w:t xml:space="preserve">notify the Commission and, whether relevant, the affected </w:t>
      </w:r>
      <w:r w:rsidR="00C8655D">
        <w:t>national</w:t>
      </w:r>
      <w:r w:rsidR="00A65AFF">
        <w:t xml:space="preserve"> authorities</w:t>
      </w:r>
      <w:r w:rsidR="006A25C0">
        <w:t xml:space="preserve"> </w:t>
      </w:r>
      <w:r w:rsidR="00A65AFF">
        <w:t>immediately</w:t>
      </w:r>
      <w:r w:rsidR="006A25C0">
        <w:t xml:space="preserve"> </w:t>
      </w:r>
      <w:r w:rsidR="00A65AFF">
        <w:t>in case of</w:t>
      </w:r>
      <w:r w:rsidR="006A25C0">
        <w:t xml:space="preserve"> </w:t>
      </w:r>
      <w:r w:rsidR="00A65AFF">
        <w:t>susp</w:t>
      </w:r>
      <w:r w:rsidR="00322389">
        <w:t>ected</w:t>
      </w:r>
      <w:r w:rsidR="00A65AFF">
        <w:t xml:space="preserve"> malicious behaviour.</w:t>
      </w:r>
      <w:r>
        <w:t>]</w:t>
      </w:r>
    </w:p>
    <w:p w:rsidR="006D2B48" w:rsidRPr="00191B42" w:rsidP="006D2B48">
      <w:pPr>
        <w:pStyle w:val="Considrant"/>
      </w:pPr>
      <w:r>
        <w:t xml:space="preserve">The processing of personal data in the </w:t>
      </w:r>
      <w:r w:rsidR="00A65AFF">
        <w:t>r</w:t>
      </w:r>
      <w:r>
        <w:t xml:space="preserve">egistry is necessary </w:t>
      </w:r>
      <w:r w:rsidR="000E7C76">
        <w:t>under</w:t>
      </w:r>
      <w:r>
        <w:t xml:space="preserve"> Regulation (EU) 2024/1781, including the verification of digital product passports, market surveillance, and customs controls. To ensure the authenticity and integrity of the data and to protect the rights of data subjects, the </w:t>
      </w:r>
      <w:r w:rsidR="00A65AFF">
        <w:t>r</w:t>
      </w:r>
      <w:r>
        <w:t xml:space="preserve">egistry </w:t>
      </w:r>
      <w:r w:rsidR="00AE0F81">
        <w:t xml:space="preserve">should </w:t>
      </w:r>
      <w:r>
        <w:t xml:space="preserve">process personal data stored in </w:t>
      </w:r>
      <w:r w:rsidR="00223394">
        <w:t>it</w:t>
      </w:r>
      <w:r>
        <w:t>, such as names, contact information, and login credentials,</w:t>
      </w:r>
      <w:r w:rsidR="00B06714">
        <w:t xml:space="preserve"> </w:t>
      </w:r>
      <w:r>
        <w:t>in accordance with</w:t>
      </w:r>
      <w:r w:rsidR="00B06714">
        <w:t xml:space="preserve"> </w:t>
      </w:r>
      <w:r>
        <w:t>Regulation (EU) 2018/1725.</w:t>
      </w:r>
    </w:p>
    <w:p w:rsidR="006D2B48" w:rsidRPr="00191B42">
      <w:pPr>
        <w:pStyle w:val="Considrant"/>
      </w:pPr>
      <w:r>
        <w:t>The e</w:t>
      </w:r>
      <w:r w:rsidR="00223394">
        <w:t>conomic operator</w:t>
      </w:r>
      <w:r w:rsidR="006E590E">
        <w:t xml:space="preserve"> </w:t>
      </w:r>
      <w:r w:rsidR="00B147B8">
        <w:t xml:space="preserve">should be </w:t>
      </w:r>
      <w:r w:rsidR="00223394">
        <w:t xml:space="preserve">responsible for providing accurate and complete information to the </w:t>
      </w:r>
      <w:r w:rsidR="006E590E">
        <w:t>registry</w:t>
      </w:r>
      <w:r w:rsidR="00223394">
        <w:t xml:space="preserve">. Given the potential risks associated with unauthorised access to the </w:t>
      </w:r>
      <w:r w:rsidR="006E590E">
        <w:t>registry</w:t>
      </w:r>
      <w:r w:rsidR="00223394">
        <w:t xml:space="preserve">, such as data modification, </w:t>
      </w:r>
      <w:r>
        <w:t xml:space="preserve">the </w:t>
      </w:r>
      <w:r w:rsidR="00223394">
        <w:t xml:space="preserve">economic operator </w:t>
      </w:r>
      <w:r w:rsidR="00B147B8">
        <w:t xml:space="preserve">should be </w:t>
      </w:r>
      <w:r w:rsidR="00223394">
        <w:t>obliged to implement</w:t>
      </w:r>
      <w:r w:rsidR="006E590E">
        <w:t xml:space="preserve"> </w:t>
      </w:r>
      <w:r w:rsidR="00223394">
        <w:t xml:space="preserve">adequate technical and organisational security measures to protect </w:t>
      </w:r>
      <w:r w:rsidR="009B2EBE">
        <w:t>its</w:t>
      </w:r>
      <w:r w:rsidR="00223394">
        <w:t xml:space="preserve"> IT systems, in particular the credentials used to access the </w:t>
      </w:r>
      <w:r w:rsidR="006E590E">
        <w:t>registry</w:t>
      </w:r>
      <w:r w:rsidR="00223394">
        <w:t xml:space="preserve">. </w:t>
      </w:r>
      <w:r w:rsidR="009B2EBE">
        <w:t>The e</w:t>
      </w:r>
      <w:r w:rsidR="00223394">
        <w:t xml:space="preserve">conomic operator </w:t>
      </w:r>
      <w:r w:rsidR="00B147B8">
        <w:t xml:space="preserve">should </w:t>
      </w:r>
      <w:r w:rsidR="00223394">
        <w:t>remain liable even if a third party is authorised to register a digital product passport on behalf of the economic operator.</w:t>
      </w:r>
      <w:r w:rsidR="006E590E">
        <w:t xml:space="preserve"> </w:t>
      </w:r>
    </w:p>
    <w:p w:rsidR="00365A69" w:rsidP="002A4A56">
      <w:pPr>
        <w:pStyle w:val="Considrant"/>
      </w:pPr>
      <w:r>
        <w:t xml:space="preserve">The Commission, </w:t>
      </w:r>
      <w:r w:rsidR="00BD7295">
        <w:t xml:space="preserve">which is to be </w:t>
      </w:r>
      <w:r>
        <w:t xml:space="preserve">the owner </w:t>
      </w:r>
      <w:r w:rsidR="00AF59DB">
        <w:t xml:space="preserve">and manager </w:t>
      </w:r>
      <w:r>
        <w:t xml:space="preserve">of the </w:t>
      </w:r>
      <w:r w:rsidR="006E590E">
        <w:t>r</w:t>
      </w:r>
      <w:r>
        <w:t>egistry, should</w:t>
      </w:r>
      <w:r w:rsidR="008347AF">
        <w:t xml:space="preserve"> </w:t>
      </w:r>
      <w:r>
        <w:t xml:space="preserve">be responsible for the overall lifecycle management of the </w:t>
      </w:r>
      <w:r w:rsidR="006E590E">
        <w:t>r</w:t>
      </w:r>
      <w:r>
        <w:t>egistry, including its development, availability, monitoring, updating, maintenance, and hosting</w:t>
      </w:r>
      <w:r w:rsidR="006E590E">
        <w:t xml:space="preserve">. </w:t>
      </w:r>
      <w:r w:rsidRPr="00D53C89" w:rsidR="00D53C89">
        <w:t>That entails inter alia the fact that the Commission has access to the registry. The Commission should also be able to access the registry in order to obtain information that is necessary for carrying out measures required under other EU legislative acts, including for the purposes of market surveillance, consumer protection and customs compliance</w:t>
      </w:r>
      <w:r w:rsidR="00147D70">
        <w:t xml:space="preserve">. </w:t>
      </w:r>
    </w:p>
    <w:p w:rsidR="006D2B48" w:rsidRPr="00191B42" w:rsidP="00365A69">
      <w:pPr>
        <w:pStyle w:val="Considrant"/>
      </w:pPr>
      <w:r>
        <w:t xml:space="preserve">It </w:t>
      </w:r>
      <w:r w:rsidR="004E538B">
        <w:t xml:space="preserve">should </w:t>
      </w:r>
      <w:r>
        <w:t xml:space="preserve">also remain responsible for </w:t>
      </w:r>
      <w:r>
        <w:t>ensur</w:t>
      </w:r>
      <w:r>
        <w:t>ing</w:t>
      </w:r>
      <w:r>
        <w:t xml:space="preserve"> that</w:t>
      </w:r>
      <w:r>
        <w:t xml:space="preserve"> </w:t>
      </w:r>
      <w:r>
        <w:t>the data stored in it</w:t>
      </w:r>
      <w:r w:rsidR="006B5994">
        <w:t xml:space="preserve"> </w:t>
      </w:r>
      <w:r>
        <w:t>is</w:t>
      </w:r>
      <w:r w:rsidR="006B5994">
        <w:t xml:space="preserve"> </w:t>
      </w:r>
      <w:r>
        <w:t xml:space="preserve">processed securely and in compliance with Union law, including with the data protection </w:t>
      </w:r>
      <w:r>
        <w:t>rules</w:t>
      </w:r>
      <w:r>
        <w:t>.</w:t>
      </w:r>
    </w:p>
    <w:p w:rsidR="004015F4" w:rsidRPr="004015F4" w:rsidP="14B2530A">
      <w:pPr>
        <w:pStyle w:val="Considrant"/>
      </w:pPr>
      <w:r w:rsidRPr="004015F4">
        <w:t xml:space="preserve">Member States need to be able to interact with the </w:t>
      </w:r>
      <w:r w:rsidRPr="004015F4" w:rsidR="006E590E">
        <w:t>r</w:t>
      </w:r>
      <w:r w:rsidRPr="004015F4">
        <w:t>egistry</w:t>
      </w:r>
      <w:r w:rsidRPr="004015F4" w:rsidR="006E590E">
        <w:t xml:space="preserve"> </w:t>
      </w:r>
      <w:r w:rsidRPr="004015F4" w:rsidR="00497D05">
        <w:t>to</w:t>
      </w:r>
      <w:r w:rsidRPr="004015F4" w:rsidR="006A1F3A">
        <w:t xml:space="preserve"> </w:t>
      </w:r>
      <w:r w:rsidRPr="004015F4">
        <w:t xml:space="preserve">effectively carry out their market surveillance, customs controls, </w:t>
      </w:r>
      <w:r w:rsidRPr="00B36B28">
        <w:t xml:space="preserve">and other </w:t>
      </w:r>
      <w:r w:rsidRPr="00B36B28" w:rsidR="006A1F3A">
        <w:t>tasks laid down at national level or under Union law</w:t>
      </w:r>
      <w:r w:rsidRPr="004015F4">
        <w:t>. Member State</w:t>
      </w:r>
      <w:r w:rsidRPr="004015F4" w:rsidR="003A5A59">
        <w:t>s</w:t>
      </w:r>
      <w:r w:rsidRPr="004015F4">
        <w:t xml:space="preserve"> </w:t>
      </w:r>
      <w:r w:rsidRPr="004015F4" w:rsidR="003D12D3">
        <w:t xml:space="preserve">should </w:t>
      </w:r>
      <w:r w:rsidRPr="004015F4" w:rsidR="00497D05">
        <w:t>remain</w:t>
      </w:r>
      <w:r w:rsidRPr="004015F4">
        <w:t xml:space="preserve"> responsible for</w:t>
      </w:r>
      <w:r w:rsidRPr="004015F4" w:rsidR="001270C9">
        <w:t xml:space="preserve"> </w:t>
      </w:r>
      <w:r w:rsidRPr="004015F4">
        <w:t>ensuring the</w:t>
      </w:r>
      <w:r w:rsidRPr="004015F4" w:rsidR="001270C9">
        <w:t xml:space="preserve"> </w:t>
      </w:r>
      <w:r w:rsidRPr="004015F4">
        <w:t>development,</w:t>
      </w:r>
      <w:r w:rsidRPr="004015F4" w:rsidR="001270C9">
        <w:t xml:space="preserve"> </w:t>
      </w:r>
      <w:r w:rsidRPr="004015F4">
        <w:t>maintenance</w:t>
      </w:r>
      <w:r w:rsidRPr="004015F4" w:rsidR="001270C9">
        <w:t xml:space="preserve"> </w:t>
      </w:r>
      <w:r w:rsidRPr="004015F4">
        <w:t>and</w:t>
      </w:r>
      <w:r w:rsidRPr="004015F4" w:rsidR="001270C9">
        <w:t xml:space="preserve"> </w:t>
      </w:r>
      <w:r w:rsidRPr="004015F4">
        <w:t>security</w:t>
      </w:r>
      <w:r w:rsidRPr="004015F4" w:rsidR="001270C9">
        <w:t xml:space="preserve"> </w:t>
      </w:r>
      <w:r w:rsidRPr="004015F4">
        <w:t xml:space="preserve">of </w:t>
      </w:r>
      <w:r w:rsidRPr="004015F4" w:rsidR="00B5141A">
        <w:t>national</w:t>
      </w:r>
      <w:r w:rsidRPr="004015F4">
        <w:t xml:space="preserve"> components </w:t>
      </w:r>
      <w:r w:rsidRPr="004015F4" w:rsidR="00B5141A">
        <w:t xml:space="preserve">which they use to access the </w:t>
      </w:r>
      <w:r w:rsidRPr="004015F4">
        <w:t xml:space="preserve">system, such as national </w:t>
      </w:r>
      <w:r w:rsidRPr="004015F4" w:rsidR="00B5141A">
        <w:t>registries or information systems</w:t>
      </w:r>
      <w:r w:rsidRPr="004015F4">
        <w:t>.</w:t>
      </w:r>
      <w:r w:rsidRPr="004015F4" w:rsidR="001270C9">
        <w:t xml:space="preserve"> To </w:t>
      </w:r>
      <w:r w:rsidRPr="004015F4">
        <w:t>ensure</w:t>
      </w:r>
      <w:r w:rsidRPr="004015F4" w:rsidR="001270C9">
        <w:t xml:space="preserve"> </w:t>
      </w:r>
      <w:r w:rsidRPr="004015F4">
        <w:t>appropriate</w:t>
      </w:r>
      <w:r w:rsidRPr="004015F4" w:rsidR="001270C9">
        <w:t xml:space="preserve"> </w:t>
      </w:r>
      <w:r w:rsidRPr="004015F4">
        <w:t>protection</w:t>
      </w:r>
      <w:r w:rsidRPr="004015F4" w:rsidR="001270C9">
        <w:t xml:space="preserve"> </w:t>
      </w:r>
      <w:r w:rsidRPr="004015F4">
        <w:t xml:space="preserve">of personal data, </w:t>
      </w:r>
      <w:r w:rsidR="15BFBF88">
        <w:t xml:space="preserve">in accordance with </w:t>
      </w:r>
      <w:r>
        <w:t>Regulation (EU) 2016/679</w:t>
      </w:r>
      <w:r w:rsidR="009D0C4A">
        <w:t xml:space="preserve"> of the European Parliament and of the Council</w:t>
      </w:r>
      <w:r>
        <w:rPr>
          <w:rStyle w:val="FootnoteReference"/>
        </w:rPr>
        <w:footnoteReference w:id="12"/>
      </w:r>
      <w:r w:rsidR="00EA7D23">
        <w:t xml:space="preserve">, Member States should be </w:t>
      </w:r>
      <w:r w:rsidR="401EC602">
        <w:t>regarded as</w:t>
      </w:r>
      <w:r w:rsidR="00EA7D23">
        <w:t xml:space="preserve"> controllers </w:t>
      </w:r>
      <w:r w:rsidR="4F98EAD5">
        <w:t>within the meaning of</w:t>
      </w:r>
      <w:r w:rsidR="00F32958">
        <w:t xml:space="preserve"> Article 4</w:t>
      </w:r>
      <w:r w:rsidR="00AA757E">
        <w:t>, point (7)</w:t>
      </w:r>
      <w:r w:rsidR="338793AB">
        <w:t>,</w:t>
      </w:r>
      <w:r w:rsidR="00AA757E">
        <w:t xml:space="preserve"> of that Regulation</w:t>
      </w:r>
      <w:r>
        <w:t xml:space="preserve">, </w:t>
      </w:r>
      <w:r w:rsidR="00EA7D23">
        <w:t>when they process personal data for the purposes laid down in Union law.</w:t>
      </w:r>
    </w:p>
    <w:p w:rsidR="00C92D7B" w:rsidRPr="004015F4" w:rsidP="14B2530A">
      <w:pPr>
        <w:pStyle w:val="Considrant"/>
      </w:pPr>
      <w:r>
        <w:t>The measures provided for in this Regulation are in accordance with the opinion of the Committee</w:t>
      </w:r>
      <w:r w:rsidR="00947558">
        <w:t xml:space="preserve"> established by Article 73 of Regulation (EU) 2024/1781</w:t>
      </w:r>
      <w:r w:rsidR="50AF9BD6">
        <w:t>,</w:t>
      </w:r>
    </w:p>
    <w:p w:rsidR="00C92D7B" w:rsidP="00C92D7B">
      <w:pPr>
        <w:pStyle w:val="Formuledadoption"/>
      </w:pPr>
      <w:r w:rsidRPr="00191B42">
        <w:t>HAS ADOPTED THIS REGULATION:</w:t>
      </w:r>
    </w:p>
    <w:p w:rsidR="00C92D7B" w:rsidRPr="0022272E" w:rsidP="00C92D7B">
      <w:pPr>
        <w:pStyle w:val="Titrearticle"/>
        <w:rPr>
          <w:b/>
          <w:bCs/>
          <w:i w:val="0"/>
          <w:iCs/>
        </w:rPr>
      </w:pPr>
      <w:r w:rsidRPr="00191B42">
        <w:t>Article 1</w:t>
      </w:r>
      <w:r w:rsidR="001D3D64">
        <w:br/>
      </w:r>
      <w:r w:rsidRPr="0022272E" w:rsidR="001D3D64">
        <w:rPr>
          <w:b/>
          <w:bCs/>
          <w:i w:val="0"/>
          <w:iCs/>
        </w:rPr>
        <w:t>Subject matter and scope</w:t>
      </w:r>
    </w:p>
    <w:p w:rsidR="147BFB2D" w:rsidRPr="00191B42" w:rsidP="00D61BFF">
      <w:pPr>
        <w:pStyle w:val="NumPar1"/>
        <w:numPr>
          <w:ilvl w:val="0"/>
          <w:numId w:val="40"/>
        </w:numPr>
      </w:pPr>
      <w:r w:rsidRPr="00191B42">
        <w:t xml:space="preserve">This Regulation sets out implementation arrangements for the functioning of the digital product passport registry established in </w:t>
      </w:r>
      <w:r w:rsidR="00622404">
        <w:t>accordance</w:t>
      </w:r>
      <w:r w:rsidRPr="00191B42" w:rsidR="00622404">
        <w:t xml:space="preserve"> </w:t>
      </w:r>
      <w:r w:rsidRPr="00191B42">
        <w:t>with Article</w:t>
      </w:r>
      <w:r w:rsidR="00E341FC">
        <w:t xml:space="preserve"> </w:t>
      </w:r>
      <w:r w:rsidRPr="00191B42">
        <w:t>13 of Regulation (EU) 2024/1781</w:t>
      </w:r>
      <w:r w:rsidRPr="00191B42" w:rsidR="03ABD8D9">
        <w:t xml:space="preserve"> </w:t>
      </w:r>
      <w:r w:rsidRPr="00191B42" w:rsidR="0F6D3641">
        <w:t xml:space="preserve">including </w:t>
      </w:r>
      <w:r w:rsidRPr="00191B42" w:rsidR="03ABD8D9">
        <w:t xml:space="preserve">rules </w:t>
      </w:r>
      <w:r w:rsidR="00BD7525">
        <w:t xml:space="preserve">which </w:t>
      </w:r>
      <w:r w:rsidRPr="00191B42" w:rsidR="03ABD8D9">
        <w:t xml:space="preserve">apply to economic operators </w:t>
      </w:r>
      <w:r w:rsidR="006B7D87">
        <w:t xml:space="preserve">that </w:t>
      </w:r>
      <w:r w:rsidRPr="00191B42" w:rsidR="76E91FB7">
        <w:t>plac</w:t>
      </w:r>
      <w:r w:rsidR="006B7D87">
        <w:t>e</w:t>
      </w:r>
      <w:r w:rsidRPr="00191B42" w:rsidR="76E91FB7">
        <w:t xml:space="preserve"> </w:t>
      </w:r>
      <w:r w:rsidR="60220602">
        <w:t xml:space="preserve">any of </w:t>
      </w:r>
      <w:r w:rsidR="000114C7">
        <w:t>the following products</w:t>
      </w:r>
      <w:r w:rsidR="006B7D87">
        <w:t xml:space="preserve"> </w:t>
      </w:r>
      <w:r w:rsidRPr="00191B42" w:rsidR="76E91FB7">
        <w:t xml:space="preserve">on the market or put </w:t>
      </w:r>
      <w:r w:rsidR="000114C7">
        <w:t xml:space="preserve">them </w:t>
      </w:r>
      <w:r w:rsidRPr="00191B42" w:rsidR="76E91FB7">
        <w:t>into service</w:t>
      </w:r>
      <w:r w:rsidRPr="00191B42" w:rsidR="03ABD8D9">
        <w:t xml:space="preserve">: </w:t>
      </w:r>
    </w:p>
    <w:p w:rsidR="147BFB2D" w:rsidRPr="00191B42" w:rsidP="0019023C">
      <w:pPr>
        <w:pStyle w:val="Point1letter"/>
        <w:numPr>
          <w:ilvl w:val="3"/>
          <w:numId w:val="11"/>
        </w:numPr>
      </w:pPr>
      <w:r w:rsidRPr="00191B42">
        <w:t xml:space="preserve">products covered by delegated acts </w:t>
      </w:r>
      <w:r w:rsidRPr="00191B42" w:rsidR="04265E63">
        <w:t xml:space="preserve">adopted </w:t>
      </w:r>
      <w:r w:rsidR="00A428A1">
        <w:t>pursuant to</w:t>
      </w:r>
      <w:r w:rsidRPr="00191B42" w:rsidR="04265E63">
        <w:t xml:space="preserve"> Article 4 of Regulation (EU) 2024/1781</w:t>
      </w:r>
      <w:r w:rsidRPr="00191B42">
        <w:t xml:space="preserve">; </w:t>
      </w:r>
    </w:p>
    <w:p w:rsidR="00E971BB" w:rsidP="003F3D33">
      <w:pPr>
        <w:pStyle w:val="Point1letter"/>
      </w:pPr>
      <w:r w:rsidRPr="00191B42">
        <w:t>batteri</w:t>
      </w:r>
      <w:r w:rsidRPr="00191B42" w:rsidR="03ABD8D9">
        <w:t xml:space="preserve">es covered by </w:t>
      </w:r>
      <w:r w:rsidR="004870EE">
        <w:t xml:space="preserve">Article 77 of </w:t>
      </w:r>
      <w:r w:rsidRPr="00191B42" w:rsidR="31DF9501">
        <w:t>Regulation (EU) 2023/1542</w:t>
      </w:r>
      <w:r w:rsidR="003F05CA">
        <w:t>;</w:t>
      </w:r>
    </w:p>
    <w:p w:rsidR="008544D3" w:rsidP="008544D3">
      <w:pPr>
        <w:pStyle w:val="Point1letter"/>
      </w:pPr>
      <w:r>
        <w:t xml:space="preserve">construction products </w:t>
      </w:r>
      <w:r w:rsidRPr="00191B42">
        <w:t xml:space="preserve">covered by </w:t>
      </w:r>
      <w:r>
        <w:t xml:space="preserve">Article 76 of </w:t>
      </w:r>
      <w:r w:rsidRPr="0055674E">
        <w:t>Regulation (EU) 2024/3110</w:t>
      </w:r>
      <w:r>
        <w:t>;</w:t>
      </w:r>
    </w:p>
    <w:p w:rsidR="008544D3" w:rsidP="008544D3">
      <w:pPr>
        <w:pStyle w:val="Point1letter"/>
      </w:pPr>
      <w:r>
        <w:t xml:space="preserve">toys covered by Article 19 of </w:t>
      </w:r>
      <w:r w:rsidRPr="00912344">
        <w:t>Regulation (EU) 2025/2509</w:t>
      </w:r>
      <w:r>
        <w:t>;</w:t>
      </w:r>
    </w:p>
    <w:p w:rsidR="008544D3" w:rsidP="008544D3">
      <w:pPr>
        <w:pStyle w:val="Point1letter"/>
      </w:pPr>
      <w:r>
        <w:t xml:space="preserve">detergents covered by Article 21 of </w:t>
      </w:r>
      <w:r w:rsidRPr="00912344">
        <w:t>Regulation (EU) 2026/405</w:t>
      </w:r>
      <w:r>
        <w:t>;</w:t>
      </w:r>
    </w:p>
    <w:p w:rsidR="147BFB2D" w:rsidRPr="00191B42" w:rsidP="008544D3">
      <w:pPr>
        <w:pStyle w:val="Point1letter"/>
      </w:pPr>
      <w:r w:rsidRPr="0055674E">
        <w:t xml:space="preserve">any </w:t>
      </w:r>
      <w:r>
        <w:t xml:space="preserve">other </w:t>
      </w:r>
      <w:r w:rsidRPr="0055674E">
        <w:t xml:space="preserve">product covered by Union legislation requiring a digital product passport and its registration in the </w:t>
      </w:r>
      <w:r>
        <w:t>r</w:t>
      </w:r>
      <w:r w:rsidRPr="0055674E">
        <w:t xml:space="preserve">egistry established </w:t>
      </w:r>
      <w:r>
        <w:t>under</w:t>
      </w:r>
      <w:r w:rsidRPr="0055674E">
        <w:t xml:space="preserve"> Article 13 of </w:t>
      </w:r>
      <w:r w:rsidRPr="00191B42">
        <w:t>Regulation (EU) 2024/1781</w:t>
      </w:r>
      <w:r w:rsidRPr="00191B42" w:rsidR="03ABD8D9">
        <w:t>.</w:t>
      </w:r>
    </w:p>
    <w:p w:rsidR="00EE10A6" w:rsidRPr="00191B42" w:rsidP="003B10C6">
      <w:pPr>
        <w:pStyle w:val="NumPar1"/>
      </w:pPr>
      <w:r w:rsidRPr="00191B42">
        <w:t>Th</w:t>
      </w:r>
      <w:r w:rsidR="006C2215">
        <w:t>e</w:t>
      </w:r>
      <w:r w:rsidRPr="00191B42">
        <w:t xml:space="preserve"> implementation arrangements</w:t>
      </w:r>
      <w:r w:rsidRPr="00191B42" w:rsidR="4964E8CA">
        <w:t xml:space="preserve"> and rules</w:t>
      </w:r>
      <w:r w:rsidRPr="00191B42">
        <w:t xml:space="preserve"> </w:t>
      </w:r>
      <w:r w:rsidR="006C2215">
        <w:t xml:space="preserve">referred to </w:t>
      </w:r>
      <w:r w:rsidRPr="002A4A56" w:rsidR="006C2215">
        <w:t xml:space="preserve">in paragraph 1 </w:t>
      </w:r>
      <w:r w:rsidRPr="002A4A56" w:rsidR="251269B4">
        <w:t>of this</w:t>
      </w:r>
      <w:r w:rsidR="251269B4">
        <w:t xml:space="preserve"> Article </w:t>
      </w:r>
      <w:r>
        <w:t>relate</w:t>
      </w:r>
      <w:r w:rsidRPr="00191B42">
        <w:t xml:space="preserve"> to:</w:t>
      </w:r>
    </w:p>
    <w:p w:rsidR="00EE10A6" w:rsidRPr="00191B42" w:rsidP="0019023C">
      <w:pPr>
        <w:pStyle w:val="Point1letter"/>
        <w:numPr>
          <w:ilvl w:val="3"/>
          <w:numId w:val="5"/>
        </w:numPr>
      </w:pPr>
      <w:r w:rsidRPr="00191B42">
        <w:t xml:space="preserve">management of </w:t>
      </w:r>
      <w:r w:rsidR="001C3BE0">
        <w:t xml:space="preserve">access to </w:t>
      </w:r>
      <w:r w:rsidRPr="00191B42">
        <w:t>the registry;</w:t>
      </w:r>
    </w:p>
    <w:p w:rsidR="00EE10A6" w:rsidRPr="00171151" w:rsidP="003F3D33">
      <w:pPr>
        <w:pStyle w:val="Point1letter"/>
      </w:pPr>
      <w:r w:rsidRPr="00171151">
        <w:t>the verification process that allows economic operators</w:t>
      </w:r>
      <w:r w:rsidRPr="00171151" w:rsidR="00C05FE2">
        <w:t xml:space="preserve"> and</w:t>
      </w:r>
      <w:r w:rsidRPr="00171151" w:rsidR="005246E4">
        <w:t xml:space="preserve"> </w:t>
      </w:r>
      <w:r w:rsidRPr="00171151" w:rsidR="007A620D">
        <w:t>other value chain actors</w:t>
      </w:r>
      <w:r w:rsidR="00F12AD0">
        <w:t xml:space="preserve"> </w:t>
      </w:r>
      <w:r w:rsidRPr="00171151">
        <w:t xml:space="preserve">to </w:t>
      </w:r>
      <w:r w:rsidRPr="00171151" w:rsidR="000E1107">
        <w:t>be verified</w:t>
      </w:r>
      <w:r w:rsidRPr="00171151">
        <w:t>;</w:t>
      </w:r>
    </w:p>
    <w:p w:rsidR="00EE10A6" w:rsidRPr="00191B42" w:rsidP="003F3D33">
      <w:pPr>
        <w:pStyle w:val="Point1letter"/>
      </w:pPr>
      <w:r w:rsidRPr="00191B42">
        <w:t>the technical set-up of the registry, including semantics repository,</w:t>
      </w:r>
      <w:r w:rsidR="00135A56">
        <w:t xml:space="preserve"> l</w:t>
      </w:r>
      <w:r w:rsidRPr="00135A56" w:rsidR="00135A56">
        <w:t>og system related to data exchange models</w:t>
      </w:r>
      <w:r w:rsidR="00135A56">
        <w:t xml:space="preserve"> </w:t>
      </w:r>
      <w:r w:rsidRPr="00191B42">
        <w:t xml:space="preserve">and software release management; </w:t>
      </w:r>
    </w:p>
    <w:p w:rsidR="00EE10A6" w:rsidRPr="00191B42" w:rsidP="003F3D33">
      <w:pPr>
        <w:pStyle w:val="Point1letter"/>
      </w:pPr>
      <w:r>
        <w:t xml:space="preserve">the </w:t>
      </w:r>
      <w:r w:rsidRPr="00191B42" w:rsidR="53727EB2">
        <w:t xml:space="preserve">process </w:t>
      </w:r>
      <w:r w:rsidRPr="00191B42" w:rsidR="508E97A1">
        <w:t>of registering and storing</w:t>
      </w:r>
      <w:r w:rsidRPr="00191B42" w:rsidR="76FA60BF">
        <w:t xml:space="preserve"> </w:t>
      </w:r>
      <w:r w:rsidRPr="00191B42" w:rsidR="482B9A4B">
        <w:t>unique identifiers;</w:t>
      </w:r>
    </w:p>
    <w:p w:rsidR="019D5710" w:rsidRPr="00191B42" w:rsidP="003F3D33">
      <w:pPr>
        <w:pStyle w:val="Point1letter"/>
      </w:pPr>
      <w:r>
        <w:t xml:space="preserve">the </w:t>
      </w:r>
      <w:r w:rsidRPr="00191B42" w:rsidR="3CEB0B8B">
        <w:t>process of registering and storing</w:t>
      </w:r>
      <w:r w:rsidRPr="00191B42" w:rsidR="52464D75">
        <w:t xml:space="preserve"> </w:t>
      </w:r>
      <w:r w:rsidRPr="00191B42" w:rsidR="4796DFF5">
        <w:t>commodity codes</w:t>
      </w:r>
      <w:r w:rsidRPr="00191B42" w:rsidR="54D24EAE">
        <w:t xml:space="preserve"> for products intended to be placed under the customs procedure ‘release for free circulation’</w:t>
      </w:r>
      <w:r w:rsidRPr="00191B42" w:rsidR="4796DFF5">
        <w:t>;</w:t>
      </w:r>
      <w:r w:rsidRPr="00191B42" w:rsidR="229EF4A5">
        <w:t xml:space="preserve"> </w:t>
      </w:r>
    </w:p>
    <w:p w:rsidR="009371E1" w:rsidP="003F3D33">
      <w:pPr>
        <w:pStyle w:val="Point1letter"/>
      </w:pPr>
      <w:r w:rsidRPr="00191B42">
        <w:t>requirements to register</w:t>
      </w:r>
      <w:r w:rsidRPr="00191B42" w:rsidR="00A151AA">
        <w:t>, where relevant,</w:t>
      </w:r>
      <w:r w:rsidRPr="00191B42">
        <w:t xml:space="preserve"> product parameters: models, batches, items;</w:t>
      </w:r>
    </w:p>
    <w:p w:rsidR="00EA2C07" w:rsidP="003F3D33">
      <w:pPr>
        <w:pStyle w:val="Point1letter"/>
      </w:pPr>
      <w:bookmarkStart w:id="1" w:name="_Hlk227575338"/>
      <w:r w:rsidRPr="00B36B28">
        <w:t>statuses related to registered digital product passport data;</w:t>
      </w:r>
    </w:p>
    <w:p w:rsidR="00B36B28" w:rsidRPr="00B36B28" w:rsidP="003F3D33">
      <w:pPr>
        <w:pStyle w:val="Point1letter"/>
      </w:pPr>
      <w:r w:rsidRPr="00B36B28">
        <w:t xml:space="preserve">data that will allow the traceability of products within their relevant product group, across the granularity levels, as </w:t>
      </w:r>
      <w:r w:rsidR="7563F0D6">
        <w:t xml:space="preserve">referred to </w:t>
      </w:r>
      <w:r w:rsidRPr="002A4A56">
        <w:t xml:space="preserve">in Article </w:t>
      </w:r>
      <w:r w:rsidRPr="002A4A56" w:rsidR="00556EE0">
        <w:t>8</w:t>
      </w:r>
      <w:r w:rsidRPr="002A4A56" w:rsidR="6AA01923">
        <w:t>(</w:t>
      </w:r>
      <w:r w:rsidRPr="002A4A56">
        <w:t>2</w:t>
      </w:r>
      <w:r w:rsidRPr="002A4A56" w:rsidR="6E4F5F35">
        <w:t>)</w:t>
      </w:r>
      <w:r w:rsidRPr="002A4A56">
        <w:t>, applicable</w:t>
      </w:r>
      <w:r w:rsidRPr="00B36B28">
        <w:t xml:space="preserve"> for their digital product passport</w:t>
      </w:r>
      <w:r>
        <w:t>;</w:t>
      </w:r>
    </w:p>
    <w:p w:rsidR="00BF539F" w:rsidRPr="00B36B28" w:rsidP="003F3D33">
      <w:pPr>
        <w:pStyle w:val="Point1letter"/>
      </w:pPr>
      <w:bookmarkEnd w:id="1"/>
      <w:r w:rsidRPr="00B36B28">
        <w:t>updat</w:t>
      </w:r>
      <w:r w:rsidRPr="00B36B28" w:rsidR="00334FD0">
        <w:t>e</w:t>
      </w:r>
      <w:r w:rsidRPr="00B36B28">
        <w:t xml:space="preserve"> and deleti</w:t>
      </w:r>
      <w:r w:rsidRPr="00B36B28" w:rsidR="00334FD0">
        <w:t>on</w:t>
      </w:r>
      <w:r w:rsidRPr="00B36B28">
        <w:t xml:space="preserve"> of registration data;</w:t>
      </w:r>
    </w:p>
    <w:p w:rsidR="00F9564F" w:rsidRPr="00191B42" w:rsidP="003F3D33">
      <w:pPr>
        <w:pStyle w:val="Point1letter"/>
      </w:pPr>
      <w:r>
        <w:t xml:space="preserve">processing of </w:t>
      </w:r>
      <w:r w:rsidRPr="00191B42">
        <w:t>personal data;</w:t>
      </w:r>
    </w:p>
    <w:p w:rsidR="3D7245B0" w:rsidRPr="00191B42" w:rsidP="003F3D33">
      <w:pPr>
        <w:pStyle w:val="Point1letter"/>
      </w:pPr>
      <w:r>
        <w:t xml:space="preserve">measures </w:t>
      </w:r>
      <w:r w:rsidR="002F50ED">
        <w:t>aimed at</w:t>
      </w:r>
      <w:r>
        <w:t xml:space="preserve"> prevent</w:t>
      </w:r>
      <w:r w:rsidR="002F50ED">
        <w:t>ing</w:t>
      </w:r>
      <w:r w:rsidR="002E1EAB">
        <w:t>,</w:t>
      </w:r>
      <w:r w:rsidR="00EC36E9">
        <w:t xml:space="preserve"> </w:t>
      </w:r>
      <w:r>
        <w:t>detect</w:t>
      </w:r>
      <w:r w:rsidR="002F50ED">
        <w:t>ing</w:t>
      </w:r>
      <w:r>
        <w:t xml:space="preserve"> and address</w:t>
      </w:r>
      <w:r w:rsidR="002F50ED">
        <w:t>ing</w:t>
      </w:r>
      <w:r>
        <w:t xml:space="preserve"> any improper </w:t>
      </w:r>
      <w:r w:rsidRPr="00191B42">
        <w:t xml:space="preserve">or fraudulent use of the registry; </w:t>
      </w:r>
    </w:p>
    <w:p w:rsidR="00C92D7B" w:rsidRPr="00191B42" w:rsidP="003F3D33">
      <w:pPr>
        <w:pStyle w:val="Point1letter"/>
      </w:pPr>
      <w:r w:rsidRPr="00191B42">
        <w:t>technical audits;</w:t>
      </w:r>
    </w:p>
    <w:p w:rsidR="00C92D7B" w:rsidRPr="00191B42" w:rsidP="003F3D33">
      <w:pPr>
        <w:pStyle w:val="Point1letter"/>
      </w:pPr>
      <w:r>
        <w:t xml:space="preserve">ensuring the </w:t>
      </w:r>
      <w:r w:rsidRPr="00191B42" w:rsidR="00EE10A6">
        <w:t xml:space="preserve">availability of the </w:t>
      </w:r>
      <w:r w:rsidRPr="00191B42" w:rsidR="1D2F566B">
        <w:t>registry</w:t>
      </w:r>
      <w:r w:rsidRPr="00191B42" w:rsidR="00EE10A6">
        <w:t xml:space="preserve"> and of the data</w:t>
      </w:r>
      <w:r w:rsidR="002E1EAB">
        <w:t xml:space="preserve"> it contains</w:t>
      </w:r>
      <w:r w:rsidRPr="00191B42" w:rsidR="00EE10A6">
        <w:t>.</w:t>
      </w:r>
    </w:p>
    <w:p w:rsidR="00C92D7B" w:rsidRPr="0022272E" w:rsidP="00C92D7B">
      <w:pPr>
        <w:pStyle w:val="Titrearticle"/>
        <w:rPr>
          <w:b/>
          <w:bCs/>
          <w:i w:val="0"/>
          <w:iCs/>
        </w:rPr>
      </w:pPr>
      <w:r w:rsidRPr="00191B42">
        <w:t>Article 2</w:t>
      </w:r>
      <w:r w:rsidR="001D3D64">
        <w:br/>
      </w:r>
      <w:r w:rsidRPr="0022272E" w:rsidR="001D3D64">
        <w:rPr>
          <w:b/>
          <w:bCs/>
          <w:i w:val="0"/>
          <w:iCs/>
        </w:rPr>
        <w:t>Definitions</w:t>
      </w:r>
    </w:p>
    <w:p w:rsidR="00C92D7B" w:rsidRPr="00191B42" w:rsidP="00C92D7B">
      <w:r w:rsidRPr="00191B42">
        <w:t>For the purposes of this Regulation, the following definitions apply</w:t>
      </w:r>
      <w:r w:rsidRPr="00191B42">
        <w:t>:</w:t>
      </w:r>
    </w:p>
    <w:p w:rsidR="00191DE5" w:rsidP="0019023C">
      <w:pPr>
        <w:pStyle w:val="Point0number"/>
        <w:numPr>
          <w:ilvl w:val="0"/>
          <w:numId w:val="37"/>
        </w:numPr>
      </w:pPr>
      <w:r w:rsidRPr="00191B42">
        <w:t xml:space="preserve">‘digital product passport registry’ or </w:t>
      </w:r>
      <w:r>
        <w:t xml:space="preserve">‘registry’ means </w:t>
      </w:r>
      <w:r w:rsidRPr="00191B42">
        <w:t>the information system</w:t>
      </w:r>
      <w:r w:rsidRPr="006F1174">
        <w:rPr>
          <w:rFonts w:eastAsia="Calibri"/>
        </w:rPr>
        <w:t xml:space="preserve"> established and maintained by the Commission </w:t>
      </w:r>
      <w:r w:rsidRPr="00191B42">
        <w:t xml:space="preserve">in </w:t>
      </w:r>
      <w:r>
        <w:t>accordance</w:t>
      </w:r>
      <w:r w:rsidRPr="00191B42">
        <w:t xml:space="preserve"> with Article</w:t>
      </w:r>
      <w:r>
        <w:t xml:space="preserve"> </w:t>
      </w:r>
      <w:r w:rsidRPr="00191B42">
        <w:t>13 of Regulation (EU) 2024/1781</w:t>
      </w:r>
      <w:r w:rsidR="77CB118B">
        <w:t>;</w:t>
      </w:r>
    </w:p>
    <w:p w:rsidR="00C34BAE" w:rsidRPr="00191B42" w:rsidP="0019023C">
      <w:pPr>
        <w:pStyle w:val="Point0number"/>
        <w:numPr>
          <w:ilvl w:val="0"/>
          <w:numId w:val="37"/>
        </w:numPr>
      </w:pPr>
      <w:r w:rsidRPr="00191B42">
        <w:t>‘login credential</w:t>
      </w:r>
      <w:r w:rsidR="00B12E21">
        <w:t>s</w:t>
      </w:r>
      <w:r w:rsidRPr="00191B42">
        <w:t xml:space="preserve">’ means a set of unique identifiers, such as a username and password, that enables a user to verify </w:t>
      </w:r>
      <w:r w:rsidR="00334FD0">
        <w:t>its</w:t>
      </w:r>
      <w:r w:rsidR="00BB6917">
        <w:t xml:space="preserve"> </w:t>
      </w:r>
      <w:r w:rsidRPr="00191B42">
        <w:t xml:space="preserve">identity in order to </w:t>
      </w:r>
      <w:r w:rsidRPr="00191B42" w:rsidR="0088112A">
        <w:t xml:space="preserve">authenticate </w:t>
      </w:r>
      <w:r w:rsidR="00135A56">
        <w:t xml:space="preserve">themselves in </w:t>
      </w:r>
      <w:r w:rsidRPr="00191B42" w:rsidR="0088112A">
        <w:t>the registry</w:t>
      </w:r>
      <w:r w:rsidRPr="00191B42">
        <w:t>;</w:t>
      </w:r>
    </w:p>
    <w:p w:rsidR="00C34BAE" w:rsidRPr="00191B42" w:rsidP="00C92D7B">
      <w:pPr>
        <w:pStyle w:val="Point0number"/>
      </w:pPr>
      <w:r w:rsidRPr="00191B42">
        <w:t xml:space="preserve">‘authentication token’ </w:t>
      </w:r>
      <w:r w:rsidR="00BA7064">
        <w:t xml:space="preserve">means a token that </w:t>
      </w:r>
      <w:r w:rsidRPr="00191B42">
        <w:t xml:space="preserve">securely transmits information about </w:t>
      </w:r>
      <w:r w:rsidRPr="00191B42" w:rsidR="0088112A">
        <w:t>successful authentication</w:t>
      </w:r>
      <w:r w:rsidR="00334FD0">
        <w:t xml:space="preserve"> and</w:t>
      </w:r>
      <w:r w:rsidRPr="00191B42" w:rsidR="0088112A">
        <w:t xml:space="preserve"> </w:t>
      </w:r>
      <w:r w:rsidR="00BA7064">
        <w:t xml:space="preserve">is </w:t>
      </w:r>
      <w:r w:rsidRPr="00191B42" w:rsidR="0088112A">
        <w:t>used to prove authenticated session</w:t>
      </w:r>
      <w:r w:rsidR="0010793E">
        <w:t>s</w:t>
      </w:r>
      <w:r w:rsidRPr="00191B42" w:rsidR="0088112A">
        <w:t xml:space="preserve"> or delegated access</w:t>
      </w:r>
      <w:r w:rsidRPr="00191B42">
        <w:t xml:space="preserve"> between applications and </w:t>
      </w:r>
      <w:r w:rsidRPr="00191B42" w:rsidR="0088112A">
        <w:t xml:space="preserve">the digital product passport </w:t>
      </w:r>
      <w:r w:rsidR="004870EE">
        <w:t>information system</w:t>
      </w:r>
      <w:r w:rsidRPr="00191B42" w:rsidR="001835D4">
        <w:t xml:space="preserve">; </w:t>
      </w:r>
    </w:p>
    <w:p w:rsidR="00334FD0" w:rsidRPr="004015F4" w:rsidP="00C92D7B">
      <w:pPr>
        <w:pStyle w:val="Point0number"/>
      </w:pPr>
      <w:r w:rsidRPr="004015F4">
        <w:t>‘</w:t>
      </w:r>
      <w:r w:rsidRPr="004015F4" w:rsidR="009E3FD0">
        <w:t xml:space="preserve">identity </w:t>
      </w:r>
      <w:r w:rsidRPr="004015F4">
        <w:t xml:space="preserve">verification process’ means the process by which a natural person or legal person provides </w:t>
      </w:r>
      <w:r w:rsidRPr="004015F4">
        <w:t xml:space="preserve">the </w:t>
      </w:r>
      <w:r w:rsidRPr="004015F4">
        <w:t xml:space="preserve">evidence of identity and of establishment </w:t>
      </w:r>
      <w:r w:rsidRPr="004015F4">
        <w:t>that</w:t>
      </w:r>
      <w:r w:rsidRPr="004015F4" w:rsidR="00515912">
        <w:t xml:space="preserve"> </w:t>
      </w:r>
      <w:r w:rsidRPr="004015F4">
        <w:t>entitl</w:t>
      </w:r>
      <w:r w:rsidRPr="004015F4" w:rsidR="00515912">
        <w:t>es</w:t>
      </w:r>
      <w:r w:rsidRPr="004015F4">
        <w:t xml:space="preserve"> </w:t>
      </w:r>
      <w:r w:rsidRPr="004015F4" w:rsidR="00515912">
        <w:t xml:space="preserve">such person </w:t>
      </w:r>
      <w:r w:rsidRPr="004015F4">
        <w:t xml:space="preserve">to register </w:t>
      </w:r>
      <w:r w:rsidRPr="004015F4" w:rsidR="00B07829">
        <w:t xml:space="preserve">a </w:t>
      </w:r>
      <w:r w:rsidRPr="004015F4" w:rsidR="7EF128A6">
        <w:t>digital product passpor</w:t>
      </w:r>
      <w:r w:rsidRPr="004015F4" w:rsidR="3D14714D">
        <w:t>t</w:t>
      </w:r>
      <w:r w:rsidRPr="004015F4">
        <w:t xml:space="preserve"> in the registry;</w:t>
      </w:r>
      <w:r w:rsidRPr="004015F4" w:rsidR="00222057">
        <w:rPr>
          <w:i/>
          <w:iCs/>
          <w:color w:val="D13438"/>
          <w:u w:val="single"/>
          <w:shd w:val="clear" w:color="auto" w:fill="FFFFFF"/>
        </w:rPr>
        <w:t xml:space="preserve"> </w:t>
      </w:r>
    </w:p>
    <w:p w:rsidR="005E26E9" w:rsidRPr="002A4A56" w:rsidP="005E26E9">
      <w:pPr>
        <w:pStyle w:val="Point0number"/>
      </w:pPr>
      <w:r w:rsidRPr="00191B42">
        <w:t xml:space="preserve">‘verified economic operator’ means </w:t>
      </w:r>
      <w:r w:rsidRPr="00191B42" w:rsidR="001835D4">
        <w:t>an economic operator</w:t>
      </w:r>
      <w:r w:rsidRPr="00191B42">
        <w:t xml:space="preserve"> that has successfully completed the </w:t>
      </w:r>
      <w:r w:rsidR="009E3FD0">
        <w:t xml:space="preserve">identity </w:t>
      </w:r>
      <w:r w:rsidRPr="002A4A56">
        <w:t xml:space="preserve">verification process in the registry </w:t>
      </w:r>
      <w:r w:rsidRPr="002A4A56" w:rsidR="00163B03">
        <w:t>in accordance with</w:t>
      </w:r>
      <w:r w:rsidRPr="002A4A56">
        <w:t xml:space="preserve"> Article</w:t>
      </w:r>
      <w:r w:rsidRPr="002A4A56" w:rsidR="00963428">
        <w:t xml:space="preserve"> 4</w:t>
      </w:r>
      <w:r w:rsidRPr="002A4A56">
        <w:t>;</w:t>
      </w:r>
    </w:p>
    <w:p w:rsidR="004870EE" w:rsidRPr="002A4A56" w:rsidP="005E26E9">
      <w:pPr>
        <w:pStyle w:val="Point0number"/>
      </w:pPr>
      <w:r w:rsidRPr="002A4A56">
        <w:t>‘unverified</w:t>
      </w:r>
      <w:r w:rsidRPr="002A4A56" w:rsidR="00CC2AB7">
        <w:t xml:space="preserve"> </w:t>
      </w:r>
      <w:r w:rsidRPr="002A4A56">
        <w:t>economic operator’ means an economic operator that has</w:t>
      </w:r>
      <w:r w:rsidRPr="002A4A56" w:rsidR="00CC2AB7">
        <w:t xml:space="preserve"> </w:t>
      </w:r>
      <w:r w:rsidRPr="002A4A56">
        <w:t>not</w:t>
      </w:r>
      <w:r w:rsidRPr="002A4A56" w:rsidR="00CC2AB7">
        <w:t xml:space="preserve"> </w:t>
      </w:r>
      <w:r w:rsidRPr="002A4A56">
        <w:t xml:space="preserve">successfully completed </w:t>
      </w:r>
      <w:r w:rsidRPr="002A4A56" w:rsidR="00A761F8">
        <w:t xml:space="preserve">or renewed </w:t>
      </w:r>
      <w:r w:rsidRPr="002A4A56">
        <w:t xml:space="preserve">the </w:t>
      </w:r>
      <w:r w:rsidRPr="002A4A56" w:rsidR="009E3FD0">
        <w:t xml:space="preserve">identity </w:t>
      </w:r>
      <w:r w:rsidRPr="002A4A56">
        <w:t xml:space="preserve">verification process in the registry </w:t>
      </w:r>
      <w:r w:rsidRPr="002A4A56" w:rsidR="00921F35">
        <w:t>in accordance with</w:t>
      </w:r>
      <w:r w:rsidRPr="002A4A56">
        <w:t xml:space="preserve"> Article 4; </w:t>
      </w:r>
    </w:p>
    <w:p w:rsidR="005E26E9" w:rsidP="005E26E9">
      <w:pPr>
        <w:pStyle w:val="Point0number"/>
      </w:pPr>
      <w:r w:rsidRPr="005A4624">
        <w:t>‘semantic repository’</w:t>
      </w:r>
      <w:r w:rsidRPr="005A4624" w:rsidR="00B672C2">
        <w:t xml:space="preserve"> means a collection of </w:t>
      </w:r>
      <w:r w:rsidR="006A37B0">
        <w:t xml:space="preserve">data models and </w:t>
      </w:r>
      <w:r w:rsidRPr="005A4624" w:rsidR="00B672C2">
        <w:t xml:space="preserve">semantic </w:t>
      </w:r>
      <w:r w:rsidR="006A37B0">
        <w:t>definitions</w:t>
      </w:r>
      <w:r w:rsidRPr="005A4624" w:rsidR="006A37B0">
        <w:t xml:space="preserve"> </w:t>
      </w:r>
      <w:r w:rsidRPr="005A4624" w:rsidR="0060100F">
        <w:t xml:space="preserve">that </w:t>
      </w:r>
      <w:r w:rsidR="00FF7340">
        <w:t>are</w:t>
      </w:r>
      <w:r w:rsidRPr="005A4624" w:rsidR="00FF7340">
        <w:t xml:space="preserve"> </w:t>
      </w:r>
      <w:r w:rsidRPr="005A4624" w:rsidR="00B672C2">
        <w:t xml:space="preserve">composed </w:t>
      </w:r>
      <w:r w:rsidRPr="00FF7340" w:rsidR="00B672C2">
        <w:t>of</w:t>
      </w:r>
      <w:r w:rsidRPr="00FF7340" w:rsidR="0060100F">
        <w:t xml:space="preserve"> a</w:t>
      </w:r>
      <w:r w:rsidRPr="005A4624" w:rsidR="0060100F">
        <w:t xml:space="preserve"> </w:t>
      </w:r>
      <w:r w:rsidRPr="005A4624" w:rsidR="004C7EC9">
        <w:t>structured and logically interrelated set of terms and their meanings specify</w:t>
      </w:r>
      <w:r w:rsidRPr="005A4624" w:rsidR="0060100F">
        <w:t>ing</w:t>
      </w:r>
      <w:r w:rsidRPr="005A4624" w:rsidR="004C7EC9">
        <w:t xml:space="preserve"> the core elements of the digital product passport,</w:t>
      </w:r>
      <w:r w:rsidR="00FF7340">
        <w:t xml:space="preserve"> </w:t>
      </w:r>
      <w:r w:rsidRPr="005A4624" w:rsidR="0060100F">
        <w:t xml:space="preserve">the </w:t>
      </w:r>
      <w:r w:rsidRPr="005A4624" w:rsidR="00B672C2">
        <w:t>definitions of names</w:t>
      </w:r>
      <w:r w:rsidR="006A37B0">
        <w:t xml:space="preserve"> or vocabularies</w:t>
      </w:r>
      <w:r w:rsidRPr="005A4624" w:rsidR="00B672C2">
        <w:t xml:space="preserve">, </w:t>
      </w:r>
      <w:r w:rsidRPr="005A4624" w:rsidR="0060100F">
        <w:t xml:space="preserve">the </w:t>
      </w:r>
      <w:r w:rsidRPr="005A4624" w:rsidR="00B672C2">
        <w:t>data elements</w:t>
      </w:r>
      <w:r w:rsidRPr="005A4624" w:rsidR="00B65998">
        <w:t xml:space="preserve"> and </w:t>
      </w:r>
      <w:r w:rsidRPr="005A4624" w:rsidR="0060100F">
        <w:t xml:space="preserve">the </w:t>
      </w:r>
      <w:r w:rsidRPr="005A4624" w:rsidR="00B65998">
        <w:t>ontology</w:t>
      </w:r>
      <w:r w:rsidRPr="005A4624" w:rsidR="00B672C2">
        <w:t xml:space="preserve"> associated with specific </w:t>
      </w:r>
      <w:r w:rsidRPr="005A4624" w:rsidR="00B65998">
        <w:t>data</w:t>
      </w:r>
      <w:r w:rsidRPr="005A4624" w:rsidR="00B672C2">
        <w:t xml:space="preserve"> </w:t>
      </w:r>
      <w:r w:rsidRPr="005A4624" w:rsidR="0060100F">
        <w:t xml:space="preserve">in order </w:t>
      </w:r>
      <w:r w:rsidRPr="005A4624" w:rsidR="00B672C2">
        <w:t xml:space="preserve">to ensure </w:t>
      </w:r>
      <w:r w:rsidRPr="005A4624" w:rsidR="005A4624">
        <w:t xml:space="preserve">common </w:t>
      </w:r>
      <w:r w:rsidRPr="005A4624" w:rsidR="00B672C2">
        <w:t>understanding</w:t>
      </w:r>
      <w:r w:rsidRPr="005A4624" w:rsidR="005A4624">
        <w:t xml:space="preserve"> across all users,</w:t>
      </w:r>
      <w:r w:rsidRPr="005A4624" w:rsidR="00B672C2">
        <w:t xml:space="preserve"> and cross-lingual interpretation </w:t>
      </w:r>
      <w:r w:rsidRPr="005A4624" w:rsidR="00911995">
        <w:t xml:space="preserve">used for digital product passport validation and </w:t>
      </w:r>
      <w:r w:rsidRPr="005A4624" w:rsidR="0060100F">
        <w:t xml:space="preserve">for </w:t>
      </w:r>
      <w:r w:rsidRPr="005A4624" w:rsidR="00911995">
        <w:t>linking the registry data with the digital product passports</w:t>
      </w:r>
      <w:r w:rsidRPr="005A4624" w:rsidR="00D97186">
        <w:t>;</w:t>
      </w:r>
    </w:p>
    <w:p w:rsidR="00945676" w:rsidP="00945676">
      <w:pPr>
        <w:pStyle w:val="Point0number"/>
      </w:pPr>
      <w:r>
        <w:t xml:space="preserve">‘semantic interoperability’ means the ability of information systems and the organisations that support them to exchange data </w:t>
      </w:r>
      <w:r w:rsidR="003500AD">
        <w:t xml:space="preserve">in </w:t>
      </w:r>
      <w:r>
        <w:t xml:space="preserve">such </w:t>
      </w:r>
      <w:r w:rsidR="003500AD">
        <w:t xml:space="preserve">a way </w:t>
      </w:r>
      <w:r>
        <w:t>that the meaning of exchanged information is mutually understood and unambiguously interpretable by all parties, regardless of the underlying technology or jurisdiction;</w:t>
      </w:r>
    </w:p>
    <w:p w:rsidR="00945676" w:rsidP="00945676">
      <w:pPr>
        <w:pStyle w:val="Point0number"/>
      </w:pPr>
      <w:r>
        <w:t>‘machine-readable format’ means a machine-readable format as defined in Article 2, point (13), of Directive (EU) 2019/1024</w:t>
      </w:r>
      <w:r w:rsidR="00DA23EE">
        <w:t xml:space="preserve"> </w:t>
      </w:r>
      <w:r w:rsidRPr="00DA23EE" w:rsidR="00DA23EE">
        <w:t>of the European Parliament and of the Council</w:t>
      </w:r>
      <w:r>
        <w:rPr>
          <w:rStyle w:val="FootnoteReference"/>
        </w:rPr>
        <w:footnoteReference w:id="13"/>
      </w:r>
      <w:r>
        <w:t>; </w:t>
      </w:r>
    </w:p>
    <w:p w:rsidR="00945676" w:rsidP="00945676">
      <w:pPr>
        <w:pStyle w:val="Point0number"/>
      </w:pPr>
      <w:r>
        <w:t>‘controlled vocabulary’ means a structured</w:t>
      </w:r>
      <w:r w:rsidR="00B75CBF">
        <w:t xml:space="preserve"> and</w:t>
      </w:r>
      <w:r>
        <w:t xml:space="preserve"> authoritative set of standardised terms with defined meanings </w:t>
      </w:r>
      <w:r w:rsidR="00417C38">
        <w:t xml:space="preserve">with a view </w:t>
      </w:r>
      <w:r>
        <w:t>to ensur</w:t>
      </w:r>
      <w:r w:rsidR="00417C38">
        <w:t>ing</w:t>
      </w:r>
      <w:r>
        <w:t xml:space="preserve"> consistent representation of data attributes across digital product passports;</w:t>
      </w:r>
    </w:p>
    <w:p w:rsidR="00945676" w:rsidRPr="005A4624" w:rsidP="00945676">
      <w:pPr>
        <w:pStyle w:val="Point0number"/>
      </w:pPr>
      <w:r>
        <w:t>‘semantic specification’ means any artefact published in the semantic repository, including ontologies, data models, controlled vocabularies, and code lists, together with their versioning metadata and provenance information;</w:t>
      </w:r>
    </w:p>
    <w:p w:rsidR="0093053C" w:rsidRPr="005A4624" w:rsidP="0093053C">
      <w:pPr>
        <w:pStyle w:val="Point0number"/>
      </w:pPr>
      <w:r w:rsidRPr="005A4624">
        <w:t xml:space="preserve">‘data model’ </w:t>
      </w:r>
      <w:r w:rsidRPr="005A4624" w:rsidR="00A14CC1">
        <w:t xml:space="preserve">means </w:t>
      </w:r>
      <w:r w:rsidRPr="005A4624" w:rsidR="00112E6B">
        <w:t>a</w:t>
      </w:r>
      <w:r w:rsidRPr="005A4624" w:rsidR="0060100F">
        <w:t xml:space="preserve"> structured </w:t>
      </w:r>
      <w:r w:rsidRPr="005A4624" w:rsidR="00112E6B">
        <w:t>framework</w:t>
      </w:r>
      <w:r w:rsidRPr="005A4624" w:rsidR="00A14CC1">
        <w:t xml:space="preserve"> that organises elements of data, standardises </w:t>
      </w:r>
      <w:r w:rsidR="006A37B0">
        <w:t xml:space="preserve">the structure, </w:t>
      </w:r>
      <w:r w:rsidR="007E09DB">
        <w:t xml:space="preserve">determines </w:t>
      </w:r>
      <w:r w:rsidRPr="005A4624" w:rsidR="00A14CC1">
        <w:t>how they relate to one another</w:t>
      </w:r>
      <w:r w:rsidRPr="005A4624" w:rsidR="002F5E9E">
        <w:t>,</w:t>
      </w:r>
      <w:r w:rsidRPr="005A4624" w:rsidR="00A14CC1">
        <w:t xml:space="preserve"> and </w:t>
      </w:r>
      <w:r w:rsidRPr="005A4624" w:rsidR="005A4624">
        <w:t>ide</w:t>
      </w:r>
      <w:r w:rsidR="00B147BE">
        <w:t>n</w:t>
      </w:r>
      <w:r w:rsidRPr="005A4624" w:rsidR="005A4624">
        <w:t xml:space="preserve">tifies </w:t>
      </w:r>
      <w:r w:rsidRPr="005A4624" w:rsidR="00A14CC1">
        <w:t xml:space="preserve">the entities, their attributes and the relationship between </w:t>
      </w:r>
      <w:r w:rsidRPr="005A4624" w:rsidR="00D31286">
        <w:t xml:space="preserve">those </w:t>
      </w:r>
      <w:r w:rsidRPr="005A4624" w:rsidR="00A14CC1">
        <w:t>entities;</w:t>
      </w:r>
    </w:p>
    <w:p w:rsidR="00C34BAE" w:rsidRPr="00191B42" w:rsidP="0093053C">
      <w:pPr>
        <w:pStyle w:val="Point0number"/>
      </w:pPr>
      <w:r w:rsidRPr="00191B42">
        <w:t xml:space="preserve">‘log system’ </w:t>
      </w:r>
      <w:r w:rsidRPr="00191B42" w:rsidR="004C7EC9">
        <w:t xml:space="preserve">means an </w:t>
      </w:r>
      <w:r w:rsidR="00112E6B">
        <w:t xml:space="preserve">automated system that records and stores information on </w:t>
      </w:r>
      <w:r w:rsidRPr="00191B42" w:rsidR="004C7EC9">
        <w:t xml:space="preserve">all operations and interactions </w:t>
      </w:r>
      <w:r w:rsidR="00112E6B">
        <w:t>carried out</w:t>
      </w:r>
      <w:r w:rsidRPr="00191B42" w:rsidR="004C7EC9">
        <w:t xml:space="preserve"> in the registry;</w:t>
      </w:r>
    </w:p>
    <w:p w:rsidR="00945676" w:rsidRPr="004015F4" w:rsidP="00945676">
      <w:pPr>
        <w:pStyle w:val="Point0number"/>
      </w:pPr>
      <w:r w:rsidRPr="004015F4">
        <w:t xml:space="preserve">‘data exchange model’ </w:t>
      </w:r>
      <w:r w:rsidRPr="004015F4" w:rsidR="00D97186">
        <w:t xml:space="preserve">means a structured </w:t>
      </w:r>
      <w:r w:rsidRPr="004015F4" w:rsidR="006B663B">
        <w:t xml:space="preserve">framework </w:t>
      </w:r>
      <w:r w:rsidRPr="004015F4" w:rsidR="00D97186">
        <w:t>through which data can be exchanged between different systems and platforms;</w:t>
      </w:r>
    </w:p>
    <w:p w:rsidR="00D7789C" w:rsidRPr="002A4A56" w:rsidP="2387CA69">
      <w:pPr>
        <w:pStyle w:val="Point0number"/>
        <w:rPr>
          <w:szCs w:val="24"/>
        </w:rPr>
      </w:pPr>
      <w:r w:rsidRPr="00FF7340">
        <w:t xml:space="preserve">‘semantic </w:t>
      </w:r>
      <w:r w:rsidRPr="00FF7340" w:rsidR="005A4624">
        <w:t xml:space="preserve">conformity’ </w:t>
      </w:r>
      <w:r w:rsidRPr="00FF7340" w:rsidR="00D97186">
        <w:t xml:space="preserve">means </w:t>
      </w:r>
      <w:r w:rsidRPr="00FF7340" w:rsidR="00B07829">
        <w:t xml:space="preserve">the extent to which data for a digital product passport meets the semantic requirements laid down </w:t>
      </w:r>
      <w:r w:rsidRPr="002A4A56" w:rsidR="00906BD3">
        <w:t xml:space="preserve">in </w:t>
      </w:r>
      <w:r w:rsidRPr="002A4A56" w:rsidR="00B07829">
        <w:t>Article 1</w:t>
      </w:r>
      <w:r w:rsidRPr="002A4A56" w:rsidR="00556EE0">
        <w:t>2</w:t>
      </w:r>
      <w:r w:rsidRPr="002A4A56" w:rsidR="004E0011">
        <w:t>;</w:t>
      </w:r>
    </w:p>
    <w:p w:rsidR="00243200" w:rsidRPr="00243200" w:rsidP="00C5400C">
      <w:pPr>
        <w:pStyle w:val="Point0number"/>
        <w:rPr>
          <w:szCs w:val="24"/>
        </w:rPr>
      </w:pPr>
      <w:r>
        <w:t>‘</w:t>
      </w:r>
      <w:r w:rsidR="004E0011">
        <w:t>hash</w:t>
      </w:r>
      <w:r w:rsidRPr="00C7618E" w:rsidR="004E0011">
        <w:t xml:space="preserve"> of the version of the digital product passpor</w:t>
      </w:r>
      <w:r>
        <w:t xml:space="preserve">t’ </w:t>
      </w:r>
      <w:r>
        <w:t xml:space="preserve">means </w:t>
      </w:r>
      <w:r w:rsidRPr="00243200">
        <w:t xml:space="preserve">the </w:t>
      </w:r>
      <w:r>
        <w:t xml:space="preserve">output </w:t>
      </w:r>
      <w:r w:rsidRPr="00243200">
        <w:t>generated from the relevant electronic data using a cryptographic algorithm </w:t>
      </w:r>
      <w:r>
        <w:t xml:space="preserve">from the relevant </w:t>
      </w:r>
      <w:r w:rsidRPr="00C7618E">
        <w:t>version of the digital product passpor</w:t>
      </w:r>
      <w:r>
        <w:t>t.</w:t>
      </w:r>
    </w:p>
    <w:p w:rsidR="000A1109" w:rsidP="00C5400C">
      <w:r>
        <w:t xml:space="preserve">The definition of </w:t>
      </w:r>
      <w:r w:rsidRPr="000A1109">
        <w:t>‘release for free circulation’</w:t>
      </w:r>
      <w:r>
        <w:t xml:space="preserve"> </w:t>
      </w:r>
      <w:r w:rsidR="0380CE17">
        <w:t xml:space="preserve">as </w:t>
      </w:r>
      <w:r>
        <w:t>set out in Article 3</w:t>
      </w:r>
      <w:r w:rsidR="005D6489">
        <w:t>, point (</w:t>
      </w:r>
      <w:r>
        <w:t>25)</w:t>
      </w:r>
      <w:r w:rsidR="6FAA5543">
        <w:t>,</w:t>
      </w:r>
      <w:r>
        <w:t xml:space="preserve"> of</w:t>
      </w:r>
      <w:r w:rsidRPr="000A1109">
        <w:t xml:space="preserve"> Regulation (EU) No 952/2013</w:t>
      </w:r>
      <w:r w:rsidRPr="00C13330" w:rsidR="00C13330">
        <w:t xml:space="preserve"> of the European Parliament and of the Council</w:t>
      </w:r>
      <w:r>
        <w:rPr>
          <w:rStyle w:val="FootnoteReference"/>
        </w:rPr>
        <w:footnoteReference w:id="14"/>
      </w:r>
      <w:r w:rsidRPr="000A1109">
        <w:t xml:space="preserve"> </w:t>
      </w:r>
      <w:r>
        <w:t>applies</w:t>
      </w:r>
      <w:r w:rsidRPr="000A1109">
        <w:t>.</w:t>
      </w:r>
    </w:p>
    <w:p w:rsidR="006B663B" w:rsidP="00945676">
      <w:r w:rsidRPr="00191B42">
        <w:t xml:space="preserve">The definitions </w:t>
      </w:r>
      <w:r w:rsidR="00EC2EFD">
        <w:t>of</w:t>
      </w:r>
      <w:r w:rsidRPr="00191B42">
        <w:t xml:space="preserve"> ‘product’, ‘product group’, ‘digital product passport’, ‘digital product passport service provider’, ‘placing on the market’, ‘putting into service’,</w:t>
      </w:r>
      <w:r w:rsidRPr="00191B42" w:rsidR="00D81807">
        <w:t xml:space="preserve"> ‘economic operator’</w:t>
      </w:r>
      <w:r w:rsidR="7772CABA">
        <w:t>,</w:t>
      </w:r>
      <w:r w:rsidRPr="00191B42">
        <w:t xml:space="preserve"> </w:t>
      </w:r>
      <w:r w:rsidR="0F9F9995">
        <w:t xml:space="preserve">as </w:t>
      </w:r>
      <w:r w:rsidR="00FA517A">
        <w:t xml:space="preserve">set out in </w:t>
      </w:r>
      <w:r w:rsidRPr="00191B42">
        <w:t>Article 2</w:t>
      </w:r>
      <w:r w:rsidR="00936811">
        <w:t>, points (1), (5), (28), (32), (40), (41)</w:t>
      </w:r>
      <w:r w:rsidR="00B91407">
        <w:t xml:space="preserve"> and</w:t>
      </w:r>
      <w:r w:rsidR="00936811">
        <w:t xml:space="preserve"> (46)</w:t>
      </w:r>
      <w:r w:rsidR="00B91407">
        <w:t>, respectively,</w:t>
      </w:r>
      <w:r w:rsidRPr="00191B42">
        <w:t xml:space="preserve"> of Regulation (EU) 2024/1781</w:t>
      </w:r>
      <w:r w:rsidR="46ED4014">
        <w:t>,</w:t>
      </w:r>
      <w:r w:rsidRPr="00191B42">
        <w:t xml:space="preserve"> apply.</w:t>
      </w:r>
      <w:r w:rsidR="004870EE">
        <w:t xml:space="preserve"> </w:t>
      </w:r>
    </w:p>
    <w:p w:rsidR="00F92D59" w:rsidRPr="001045D5" w:rsidP="00945676">
      <w:r w:rsidRPr="001045D5">
        <w:t>For the purposes of this Regulation</w:t>
      </w:r>
      <w:r w:rsidR="00034D27">
        <w:t>,</w:t>
      </w:r>
      <w:r w:rsidRPr="001045D5">
        <w:t xml:space="preserve"> ‘digital product passport’ includes the battery passport</w:t>
      </w:r>
      <w:r w:rsidR="001B4102">
        <w:t xml:space="preserve"> </w:t>
      </w:r>
      <w:r w:rsidRPr="001045D5">
        <w:t>established</w:t>
      </w:r>
      <w:r w:rsidR="001B4102">
        <w:t xml:space="preserve"> </w:t>
      </w:r>
      <w:r w:rsidRPr="001045D5">
        <w:t>by Article</w:t>
      </w:r>
      <w:r w:rsidR="001B4102">
        <w:t xml:space="preserve"> </w:t>
      </w:r>
      <w:r w:rsidRPr="001045D5">
        <w:t>77 of Regulation</w:t>
      </w:r>
      <w:r w:rsidR="001B4102">
        <w:t xml:space="preserve"> </w:t>
      </w:r>
      <w:r w:rsidRPr="001045D5">
        <w:t>(EU) 2023/1542.</w:t>
      </w:r>
    </w:p>
    <w:p w:rsidR="00866263" w:rsidRPr="00191B42" w:rsidP="00D27C27">
      <w:r w:rsidRPr="00191B42">
        <w:t xml:space="preserve">The definitions </w:t>
      </w:r>
      <w:r w:rsidR="00B33315">
        <w:t xml:space="preserve">of </w:t>
      </w:r>
      <w:r w:rsidRPr="00191B42">
        <w:t xml:space="preserve">‘authentication’, ‘qualified electronic signature’, ‘qualified trust service provider’, ‘qualified electronic seal’, ‘qualified certificate for electronic seal’ </w:t>
      </w:r>
      <w:r w:rsidR="005E3368">
        <w:t xml:space="preserve">and </w:t>
      </w:r>
      <w:r w:rsidRPr="00191B42">
        <w:t>‘electronic time stamp’</w:t>
      </w:r>
      <w:r w:rsidR="69F9CC9E">
        <w:t>,</w:t>
      </w:r>
      <w:r>
        <w:t xml:space="preserve"> </w:t>
      </w:r>
      <w:r w:rsidR="2015999B">
        <w:t xml:space="preserve">as </w:t>
      </w:r>
      <w:r w:rsidR="00B33315">
        <w:t>set out in</w:t>
      </w:r>
      <w:r w:rsidRPr="00191B42" w:rsidR="00B33315">
        <w:t xml:space="preserve"> </w:t>
      </w:r>
      <w:r w:rsidRPr="00191B42">
        <w:t>Article</w:t>
      </w:r>
      <w:r w:rsidR="00732502">
        <w:t xml:space="preserve"> </w:t>
      </w:r>
      <w:r w:rsidRPr="00191B42">
        <w:t>3</w:t>
      </w:r>
      <w:r w:rsidR="00477C13">
        <w:t>, points (5), (12), (20), (27), (30) and (33), respectively,</w:t>
      </w:r>
      <w:r w:rsidRPr="00191B42">
        <w:t xml:space="preserve"> of Regulation (EU) No 910/2014</w:t>
      </w:r>
      <w:r w:rsidR="64D84292">
        <w:t>,</w:t>
      </w:r>
      <w:r w:rsidRPr="00191B42">
        <w:t xml:space="preserve"> apply.</w:t>
      </w:r>
    </w:p>
    <w:p w:rsidR="00C92D7B" w:rsidRPr="00191B42" w:rsidP="00C92D7B">
      <w:r w:rsidRPr="00191B42">
        <w:t>The definition of ‘processing’</w:t>
      </w:r>
      <w:r w:rsidR="2131E81E">
        <w:t>,</w:t>
      </w:r>
      <w:r w:rsidR="0063008E">
        <w:t xml:space="preserve"> </w:t>
      </w:r>
      <w:r w:rsidR="5AD2E2A9">
        <w:t xml:space="preserve">as </w:t>
      </w:r>
      <w:r w:rsidR="0063008E">
        <w:t>set out</w:t>
      </w:r>
      <w:r w:rsidRPr="00191B42">
        <w:t xml:space="preserve"> in Article</w:t>
      </w:r>
      <w:r w:rsidR="00732502">
        <w:t xml:space="preserve"> </w:t>
      </w:r>
      <w:r w:rsidRPr="00191B42">
        <w:t>3, point (2), of Regulation (EU) 2018/1807 of the European Parliament and of the Council</w:t>
      </w:r>
      <w:r>
        <w:rPr>
          <w:rStyle w:val="FootnoteReference"/>
        </w:rPr>
        <w:footnoteReference w:id="15"/>
      </w:r>
      <w:r w:rsidR="68448A28">
        <w:t xml:space="preserve">, </w:t>
      </w:r>
      <w:r w:rsidRPr="00191B42">
        <w:t>applies.</w:t>
      </w:r>
    </w:p>
    <w:p w:rsidR="00625DBE" w:rsidRPr="00191B42" w:rsidP="00625DBE">
      <w:r w:rsidRPr="00191B42">
        <w:t>The definition of ‘incident’</w:t>
      </w:r>
      <w:r w:rsidR="3DEE3860">
        <w:t>,</w:t>
      </w:r>
      <w:r w:rsidR="00810B79">
        <w:t xml:space="preserve"> </w:t>
      </w:r>
      <w:r w:rsidR="37AADD33">
        <w:t xml:space="preserve">as </w:t>
      </w:r>
      <w:r w:rsidR="00810B79">
        <w:t>set out</w:t>
      </w:r>
      <w:r w:rsidRPr="00191B42">
        <w:t xml:space="preserve"> in Article 6, point (6), of Directive (EU) 2022/2555</w:t>
      </w:r>
      <w:r w:rsidR="00921839">
        <w:t xml:space="preserve"> </w:t>
      </w:r>
      <w:r w:rsidRPr="00921839" w:rsidR="00921839">
        <w:t>of the European Parliament and of the Council</w:t>
      </w:r>
      <w:r>
        <w:rPr>
          <w:rStyle w:val="FootnoteReference"/>
        </w:rPr>
        <w:footnoteReference w:id="16"/>
      </w:r>
      <w:r w:rsidR="19891BA6">
        <w:t xml:space="preserve">, </w:t>
      </w:r>
      <w:r w:rsidRPr="00191B42">
        <w:t xml:space="preserve">applies. </w:t>
      </w:r>
    </w:p>
    <w:p w:rsidR="00866263" w:rsidRPr="00191B42" w:rsidP="00C92D7B">
      <w:r w:rsidRPr="00191B42">
        <w:t>The definition of ‘controller’</w:t>
      </w:r>
      <w:r w:rsidR="30501CBD">
        <w:t>, as</w:t>
      </w:r>
      <w:r w:rsidRPr="00191B42">
        <w:t xml:space="preserve"> </w:t>
      </w:r>
      <w:r w:rsidR="008F03B1">
        <w:t xml:space="preserve">set out </w:t>
      </w:r>
      <w:r w:rsidRPr="00191B42">
        <w:t>in Article 3, point (8), of Regulation (EU) 2018/1725</w:t>
      </w:r>
      <w:r w:rsidR="78B860BD">
        <w:t>,</w:t>
      </w:r>
      <w:r w:rsidRPr="00191B42">
        <w:t xml:space="preserve"> applies.</w:t>
      </w:r>
    </w:p>
    <w:p w:rsidR="00CD6BF9" w:rsidRPr="00191B42" w:rsidP="00C92D7B">
      <w:r w:rsidRPr="00191B42">
        <w:t xml:space="preserve">The definitions </w:t>
      </w:r>
      <w:r w:rsidR="00825D48">
        <w:t>of</w:t>
      </w:r>
      <w:r w:rsidRPr="00191B42" w:rsidR="006047A9">
        <w:t xml:space="preserve"> </w:t>
      </w:r>
      <w:r w:rsidRPr="00191B42">
        <w:t>‘market surveillance’</w:t>
      </w:r>
      <w:r w:rsidR="00825D48">
        <w:t xml:space="preserve"> and</w:t>
      </w:r>
      <w:r w:rsidRPr="00191B42" w:rsidR="006047A9">
        <w:t xml:space="preserve"> </w:t>
      </w:r>
      <w:r w:rsidRPr="00191B42">
        <w:t>‘market surveillance authority’</w:t>
      </w:r>
      <w:r w:rsidR="0F1B7836">
        <w:t>,</w:t>
      </w:r>
      <w:r>
        <w:t xml:space="preserve"> </w:t>
      </w:r>
      <w:r w:rsidR="0F1B7836">
        <w:t>as</w:t>
      </w:r>
      <w:r w:rsidRPr="00191B42">
        <w:t xml:space="preserve"> </w:t>
      </w:r>
      <w:r w:rsidR="00825D48">
        <w:t>set out in</w:t>
      </w:r>
      <w:r w:rsidRPr="00191B42" w:rsidR="00825D48">
        <w:t xml:space="preserve"> </w:t>
      </w:r>
      <w:r w:rsidRPr="00191B42">
        <w:t>Article</w:t>
      </w:r>
      <w:r w:rsidR="00732502">
        <w:t xml:space="preserve"> </w:t>
      </w:r>
      <w:r w:rsidRPr="00191B42">
        <w:t>3</w:t>
      </w:r>
      <w:r w:rsidR="00825D48">
        <w:t>, points (3) and (</w:t>
      </w:r>
      <w:r w:rsidR="003B4CD9">
        <w:t>4</w:t>
      </w:r>
      <w:r w:rsidR="00825D48">
        <w:t>), respectively,</w:t>
      </w:r>
      <w:r w:rsidRPr="00191B42">
        <w:t xml:space="preserve"> of Regulation (EU) 2019/1020</w:t>
      </w:r>
      <w:r w:rsidR="00AD2C07">
        <w:t xml:space="preserve"> </w:t>
      </w:r>
      <w:r w:rsidRPr="00AD2C07" w:rsidR="00AD2C07">
        <w:t>of the European Parliament and of the Council</w:t>
      </w:r>
      <w:r>
        <w:rPr>
          <w:rStyle w:val="FootnoteReference"/>
        </w:rPr>
        <w:footnoteReference w:id="17"/>
      </w:r>
      <w:r w:rsidR="6A3F5CBC">
        <w:t xml:space="preserve">, </w:t>
      </w:r>
      <w:r w:rsidRPr="00191B42">
        <w:t>apply.</w:t>
      </w:r>
    </w:p>
    <w:p w:rsidR="00AF2764" w:rsidRPr="00191B42" w:rsidP="00C92D7B">
      <w:r w:rsidRPr="00191B42">
        <w:t xml:space="preserve">The definitions </w:t>
      </w:r>
      <w:r w:rsidR="00FC3AA1">
        <w:t>of</w:t>
      </w:r>
      <w:r w:rsidRPr="00191B42">
        <w:t xml:space="preserve"> ‘customs authorities’ and ‘customs controls’</w:t>
      </w:r>
      <w:r w:rsidR="4B731E9A">
        <w:t>, as</w:t>
      </w:r>
      <w:r w:rsidRPr="00191B42">
        <w:t xml:space="preserve"> </w:t>
      </w:r>
      <w:r w:rsidR="00FC3AA1">
        <w:t>set out in</w:t>
      </w:r>
      <w:r w:rsidRPr="00191B42" w:rsidR="00FC3AA1">
        <w:t xml:space="preserve"> </w:t>
      </w:r>
      <w:r w:rsidRPr="00191B42">
        <w:t>Article 5</w:t>
      </w:r>
      <w:r w:rsidR="00FC3AA1">
        <w:t>, points (1) and (3), respectively,</w:t>
      </w:r>
      <w:r w:rsidRPr="00191B42">
        <w:t xml:space="preserve"> of Regulation (EU) No</w:t>
      </w:r>
      <w:r w:rsidR="008E5CC4">
        <w:t xml:space="preserve"> </w:t>
      </w:r>
      <w:r w:rsidRPr="00191B42">
        <w:t>952/2013</w:t>
      </w:r>
      <w:r w:rsidR="4DAB4879">
        <w:t>,</w:t>
      </w:r>
      <w:r w:rsidRPr="00191B42">
        <w:t xml:space="preserve"> appl</w:t>
      </w:r>
      <w:r w:rsidR="00D22287">
        <w:t>y</w:t>
      </w:r>
      <w:r w:rsidRPr="00191B42">
        <w:t xml:space="preserve">. </w:t>
      </w:r>
    </w:p>
    <w:p w:rsidR="00C92D7B" w:rsidRPr="0022272E" w:rsidP="00C92D7B">
      <w:pPr>
        <w:pStyle w:val="Titrearticle"/>
        <w:rPr>
          <w:b/>
          <w:bCs/>
          <w:i w:val="0"/>
          <w:iCs/>
        </w:rPr>
      </w:pPr>
      <w:r w:rsidRPr="00191B42">
        <w:t>Article 3</w:t>
      </w:r>
      <w:r w:rsidR="00A861C9">
        <w:br/>
      </w:r>
      <w:r w:rsidRPr="0022272E" w:rsidR="00A861C9">
        <w:rPr>
          <w:b/>
          <w:bCs/>
          <w:i w:val="0"/>
          <w:iCs/>
        </w:rPr>
        <w:t>Structure of the registry</w:t>
      </w:r>
    </w:p>
    <w:p w:rsidR="00C92D7B" w:rsidRPr="00191B42" w:rsidP="00C92D7B">
      <w:r w:rsidRPr="00191B42">
        <w:t xml:space="preserve">The registry shall consist of the following: </w:t>
      </w:r>
    </w:p>
    <w:p w:rsidR="41EFD95B" w:rsidRPr="005A4624" w:rsidP="0DB0E7E9">
      <w:pPr>
        <w:pStyle w:val="Point0letter"/>
      </w:pPr>
      <w:r w:rsidRPr="005A4624">
        <w:t>a w</w:t>
      </w:r>
      <w:r w:rsidRPr="005A4624">
        <w:t>ebsite</w:t>
      </w:r>
      <w:r w:rsidRPr="005A4624" w:rsidR="00E02654">
        <w:t xml:space="preserve"> providing a secure user interface </w:t>
      </w:r>
      <w:r w:rsidRPr="005A4624" w:rsidR="006764AE">
        <w:t>for</w:t>
      </w:r>
      <w:r w:rsidRPr="005A4624" w:rsidR="000E7C76">
        <w:t xml:space="preserve"> economic operators</w:t>
      </w:r>
      <w:r w:rsidR="005A4624">
        <w:t xml:space="preserve">, </w:t>
      </w:r>
      <w:r w:rsidR="008B040A">
        <w:t xml:space="preserve">other value chain actors than economic operators, </w:t>
      </w:r>
      <w:r w:rsidRPr="005A4624" w:rsidR="000E7C76">
        <w:t>competent national authorities</w:t>
      </w:r>
      <w:r w:rsidR="008B040A">
        <w:t xml:space="preserve"> and customs authorities</w:t>
      </w:r>
      <w:r w:rsidRPr="005A4624" w:rsidR="006764AE">
        <w:t xml:space="preserve"> to access </w:t>
      </w:r>
      <w:r w:rsidRPr="005A4624">
        <w:t>the registry</w:t>
      </w:r>
      <w:r w:rsidRPr="005A4624" w:rsidR="00B06C0B">
        <w:t>;</w:t>
      </w:r>
      <w:r w:rsidRPr="005A4624" w:rsidR="6D109D04">
        <w:t xml:space="preserve"> </w:t>
      </w:r>
    </w:p>
    <w:p w:rsidR="41EFD95B" w:rsidRPr="00191B42" w:rsidP="0DB0E7E9">
      <w:pPr>
        <w:pStyle w:val="Point0letter"/>
      </w:pPr>
      <w:r>
        <w:t xml:space="preserve">an </w:t>
      </w:r>
      <w:r w:rsidRPr="00191B42">
        <w:t>API</w:t>
      </w:r>
      <w:r w:rsidRPr="00191B42" w:rsidR="1E40F8C6">
        <w:t xml:space="preserve"> for registering the </w:t>
      </w:r>
      <w:r w:rsidRPr="00191B42" w:rsidR="0A2465E1">
        <w:t>digital product passport</w:t>
      </w:r>
      <w:r w:rsidR="00482EBB">
        <w:t xml:space="preserve"> and receiving information from the registry</w:t>
      </w:r>
      <w:r w:rsidRPr="00191B42" w:rsidR="0A2465E1">
        <w:t>;</w:t>
      </w:r>
    </w:p>
    <w:p w:rsidR="41EFD95B" w:rsidRPr="00191B42" w:rsidP="0DB0E7E9">
      <w:pPr>
        <w:pStyle w:val="Point0letter"/>
      </w:pPr>
      <w:r>
        <w:t xml:space="preserve">a </w:t>
      </w:r>
      <w:r w:rsidR="004870EE">
        <w:t>verification</w:t>
      </w:r>
      <w:r w:rsidRPr="00191B42" w:rsidR="004870EE">
        <w:t xml:space="preserve"> </w:t>
      </w:r>
      <w:r w:rsidRPr="00191B42">
        <w:t>platform</w:t>
      </w:r>
      <w:r w:rsidRPr="00191B42" w:rsidR="22DA748D">
        <w:t xml:space="preserve"> </w:t>
      </w:r>
      <w:r w:rsidRPr="00191B42">
        <w:t xml:space="preserve">to </w:t>
      </w:r>
      <w:r w:rsidR="004870EE">
        <w:t>confirm and verify</w:t>
      </w:r>
      <w:r w:rsidRPr="00191B42" w:rsidR="004870EE">
        <w:t xml:space="preserve"> </w:t>
      </w:r>
      <w:r w:rsidRPr="00191B42">
        <w:t>the existence</w:t>
      </w:r>
      <w:r w:rsidRPr="00191B42" w:rsidR="6A2A1B68">
        <w:t xml:space="preserve"> </w:t>
      </w:r>
      <w:r w:rsidRPr="00191B42" w:rsidR="00723F6E">
        <w:t xml:space="preserve">and completeness </w:t>
      </w:r>
      <w:r w:rsidRPr="00191B42" w:rsidR="6A2A1B68">
        <w:t>of the digital product passport</w:t>
      </w:r>
      <w:r w:rsidR="00E30136">
        <w:t>s</w:t>
      </w:r>
      <w:r w:rsidRPr="00191B42" w:rsidR="00FD3B08">
        <w:t>;</w:t>
      </w:r>
    </w:p>
    <w:p w:rsidR="41EFD95B" w:rsidRPr="00191B42" w:rsidP="0DB0E7E9">
      <w:pPr>
        <w:pStyle w:val="Point0letter"/>
      </w:pPr>
      <w:r w:rsidRPr="00191B42">
        <w:t>a schem</w:t>
      </w:r>
      <w:r w:rsidR="003312ED">
        <w:t>e</w:t>
      </w:r>
      <w:r w:rsidRPr="00191B42">
        <w:t xml:space="preserve"> for generating unique registration identifiers</w:t>
      </w:r>
      <w:r w:rsidRPr="00191B42" w:rsidR="00B06C0B">
        <w:t>;</w:t>
      </w:r>
    </w:p>
    <w:p w:rsidR="06AF7BF6" w:rsidRPr="00191B42" w:rsidP="09722F0A">
      <w:pPr>
        <w:pStyle w:val="Point0letter"/>
      </w:pPr>
      <w:r w:rsidRPr="00191B42">
        <w:t>commodity codes</w:t>
      </w:r>
      <w:r w:rsidRPr="00191B42" w:rsidR="73DD4CC6">
        <w:t xml:space="preserve"> for products intended to be placed under the customs procedure ‘release for free circulation’</w:t>
      </w:r>
      <w:r w:rsidRPr="00191B42" w:rsidR="00FD3B08">
        <w:t>;</w:t>
      </w:r>
    </w:p>
    <w:p w:rsidR="41EFD95B" w:rsidRPr="004015F4">
      <w:pPr>
        <w:pStyle w:val="Point0letter"/>
      </w:pPr>
      <w:r w:rsidRPr="004015F4">
        <w:t>a</w:t>
      </w:r>
      <w:r w:rsidRPr="004015F4" w:rsidR="00DE026D">
        <w:t xml:space="preserve"> </w:t>
      </w:r>
      <w:r w:rsidRPr="004015F4" w:rsidR="00A14CC1">
        <w:t>list of the digital product passport service providers</w:t>
      </w:r>
      <w:r w:rsidR="00E64EA7">
        <w:t>;</w:t>
      </w:r>
    </w:p>
    <w:p w:rsidR="41EFD95B" w:rsidRPr="00191B42" w:rsidP="0DB0E7E9">
      <w:pPr>
        <w:pStyle w:val="Point0letter"/>
      </w:pPr>
      <w:r>
        <w:t xml:space="preserve">a </w:t>
      </w:r>
      <w:r w:rsidRPr="00191B42" w:rsidR="0040734C">
        <w:t>s</w:t>
      </w:r>
      <w:r w:rsidRPr="00191B42">
        <w:t>emantic repository</w:t>
      </w:r>
      <w:r w:rsidRPr="00191B42" w:rsidR="00FD3B08">
        <w:t>;</w:t>
      </w:r>
    </w:p>
    <w:p w:rsidR="79120356" w:rsidRPr="00191B42" w:rsidP="6A86E98A">
      <w:pPr>
        <w:pStyle w:val="Point0letter"/>
      </w:pPr>
      <w:r>
        <w:t xml:space="preserve">a </w:t>
      </w:r>
      <w:r w:rsidRPr="00191B42">
        <w:t>log system</w:t>
      </w:r>
      <w:r w:rsidRPr="00191B42" w:rsidR="00FD3B08">
        <w:t>;</w:t>
      </w:r>
    </w:p>
    <w:p w:rsidR="00C92D7B" w:rsidP="00C92D7B">
      <w:pPr>
        <w:pStyle w:val="Point0letter"/>
      </w:pPr>
      <w:r w:rsidRPr="00191B42">
        <w:t>i</w:t>
      </w:r>
      <w:r w:rsidRPr="00191B42" w:rsidR="2509E67F">
        <w:t xml:space="preserve">dentification and authorisation </w:t>
      </w:r>
      <w:r w:rsidRPr="00191B42" w:rsidR="2D77D67C">
        <w:t>schemes for registry users.</w:t>
      </w:r>
      <w:r w:rsidRPr="00191B42" w:rsidR="3BB655CF">
        <w:t xml:space="preserve"> </w:t>
      </w:r>
    </w:p>
    <w:p w:rsidR="00C92D7B" w:rsidRPr="002F278E" w:rsidP="00C92D7B">
      <w:pPr>
        <w:pStyle w:val="Titrearticle"/>
        <w:rPr>
          <w:b/>
          <w:bCs/>
          <w:i w:val="0"/>
          <w:iCs/>
        </w:rPr>
      </w:pPr>
      <w:r w:rsidRPr="00191B42">
        <w:t>Article 4</w:t>
      </w:r>
      <w:r w:rsidR="00A861C9">
        <w:br/>
      </w:r>
      <w:r w:rsidRPr="002F278E" w:rsidR="00A861C9">
        <w:rPr>
          <w:b/>
          <w:bCs/>
          <w:i w:val="0"/>
          <w:iCs/>
        </w:rPr>
        <w:t>Verification requirements for economic operators</w:t>
      </w:r>
    </w:p>
    <w:p w:rsidR="004C72CC" w:rsidRPr="002F278E" w:rsidP="0019023C">
      <w:pPr>
        <w:pStyle w:val="NumPar1"/>
        <w:numPr>
          <w:ilvl w:val="0"/>
          <w:numId w:val="30"/>
        </w:numPr>
      </w:pPr>
      <w:bookmarkStart w:id="2" w:name="_Hlk227579064"/>
      <w:r w:rsidRPr="002F278E">
        <w:t xml:space="preserve">Economic operators that are natural persons acting as sole traders shall </w:t>
      </w:r>
      <w:r w:rsidR="00E66C60">
        <w:t>be qualified as</w:t>
      </w:r>
      <w:r w:rsidRPr="002F278E">
        <w:t xml:space="preserve"> ‘verified economic operators’</w:t>
      </w:r>
      <w:r w:rsidR="0B183691">
        <w:t xml:space="preserve"> </w:t>
      </w:r>
      <w:r w:rsidR="00E20031">
        <w:t>if one of the two following conditions is satisfied</w:t>
      </w:r>
      <w:r w:rsidRPr="002F278E">
        <w:t>:</w:t>
      </w:r>
    </w:p>
    <w:p w:rsidR="004C72CC" w:rsidRPr="002F278E" w:rsidP="006F3166">
      <w:pPr>
        <w:pStyle w:val="Point1letter"/>
      </w:pPr>
      <w:r>
        <w:t>(i</w:t>
      </w:r>
      <w:r w:rsidR="00E20031">
        <w:t>n case</w:t>
      </w:r>
      <w:r w:rsidRPr="002F278E" w:rsidR="006F3166">
        <w:t xml:space="preserve"> they are established in the Union</w:t>
      </w:r>
      <w:r>
        <w:t>)</w:t>
      </w:r>
      <w:r w:rsidRPr="002F278E" w:rsidR="006F3166">
        <w:t xml:space="preserve"> </w:t>
      </w:r>
      <w:r w:rsidR="0078517F">
        <w:t>they</w:t>
      </w:r>
      <w:r w:rsidRPr="002F278E" w:rsidR="00EA7FD4">
        <w:t xml:space="preserve"> submit evidence of their identity by means of a qualified electronic signature supported by a qualified certificate for electronic signatures in accordance with Regulation (EU) No 910/2014; or </w:t>
      </w:r>
      <w:r w:rsidR="0078517F">
        <w:t xml:space="preserve">they </w:t>
      </w:r>
      <w:r w:rsidRPr="002F278E">
        <w:t>submit evidence of their identity by means of an electronic identification means that meets the requirements of Regulation (EU) No 910/2014 with regard to the assurance levels ‘high’, or an electronic attestation of attributes issued under Union law that enables the identification of the economic operator;</w:t>
      </w:r>
      <w:r w:rsidRPr="002F278E" w:rsidR="006F3166">
        <w:t xml:space="preserve"> </w:t>
      </w:r>
    </w:p>
    <w:p w:rsidR="004C72CC" w:rsidRPr="002F278E" w:rsidP="004C72CC">
      <w:pPr>
        <w:pStyle w:val="Point1letter"/>
      </w:pPr>
      <w:r>
        <w:t>(in case</w:t>
      </w:r>
      <w:r w:rsidRPr="002F278E">
        <w:t xml:space="preserve"> they are not established in the Union</w:t>
      </w:r>
      <w:r>
        <w:t>)</w:t>
      </w:r>
      <w:r w:rsidRPr="002F278E">
        <w:t xml:space="preserve"> </w:t>
      </w:r>
      <w:r>
        <w:t>they</w:t>
      </w:r>
      <w:r w:rsidRPr="002F278E">
        <w:t xml:space="preserve"> submit evidence of their identity by means of a qualified electronic signature supported by a qualified certificate for electronic signatures in accordance with Regulation (EU) No 910/2014, or an electronic attestation of attributes issued under Union law that enables the identification of the economic operator.</w:t>
      </w:r>
    </w:p>
    <w:p w:rsidR="00EA7FD4" w:rsidRPr="00EB2F22" w:rsidP="00EA7FD4">
      <w:pPr>
        <w:pStyle w:val="NumPar1"/>
      </w:pPr>
      <w:r w:rsidRPr="00EB2F22">
        <w:t xml:space="preserve">Economic operators acting as legal persons shall be </w:t>
      </w:r>
      <w:r w:rsidRPr="00EB2F22" w:rsidR="00B94538">
        <w:t xml:space="preserve">qualified as </w:t>
      </w:r>
      <w:r w:rsidRPr="00EB2F22">
        <w:t>‘verified economic operators’</w:t>
      </w:r>
      <w:r w:rsidRPr="00EB2F22" w:rsidR="627AA22D">
        <w:t xml:space="preserve"> </w:t>
      </w:r>
      <w:r w:rsidRPr="00EB2F22" w:rsidR="006A09C5">
        <w:t>if one</w:t>
      </w:r>
      <w:r w:rsidRPr="00EB2F22" w:rsidR="53CDCC7E">
        <w:t xml:space="preserve"> of the</w:t>
      </w:r>
      <w:r w:rsidRPr="00EB2F22" w:rsidR="006A09C5">
        <w:t xml:space="preserve"> two</w:t>
      </w:r>
      <w:r w:rsidRPr="00EB2F22" w:rsidR="53CDCC7E">
        <w:t xml:space="preserve"> following </w:t>
      </w:r>
      <w:r w:rsidRPr="00EB2F22" w:rsidR="006A09C5">
        <w:t>conditions is satisfied</w:t>
      </w:r>
      <w:r w:rsidRPr="00EB2F22">
        <w:t>:</w:t>
      </w:r>
      <w:r w:rsidRPr="00EB2F22" w:rsidR="53CDCC7E">
        <w:t xml:space="preserve"> </w:t>
      </w:r>
    </w:p>
    <w:p w:rsidR="00EA7FD4" w:rsidRPr="002F278E" w:rsidP="0019023C">
      <w:pPr>
        <w:pStyle w:val="Point1letter"/>
        <w:numPr>
          <w:ilvl w:val="3"/>
          <w:numId w:val="38"/>
        </w:numPr>
      </w:pPr>
      <w:r>
        <w:t>(</w:t>
      </w:r>
      <w:r w:rsidR="00232367">
        <w:t>i</w:t>
      </w:r>
      <w:r>
        <w:t>n case</w:t>
      </w:r>
      <w:r w:rsidRPr="002F278E">
        <w:t xml:space="preserve"> they are established in the Union</w:t>
      </w:r>
      <w:r w:rsidR="00981EF8">
        <w:t>)</w:t>
      </w:r>
      <w:r w:rsidRPr="002F278E">
        <w:t xml:space="preserve"> </w:t>
      </w:r>
      <w:r w:rsidR="00232367">
        <w:t>they</w:t>
      </w:r>
      <w:r w:rsidRPr="002F278E">
        <w:t xml:space="preserve"> submit evidence of their identity and, where </w:t>
      </w:r>
      <w:r w:rsidRPr="0082663B">
        <w:t>applicable, of their establishment by means</w:t>
      </w:r>
      <w:r w:rsidRPr="002F278E">
        <w:t xml:space="preserve"> of a qualified electronic seal supported by a qualified certificate for electronic seal, issued by a qualified trust service provider pursuant to Regulation (EU) No 910/2014; or after submitting evidence of their identity by means of a qualified electronic attestation of attributes issued under Union law that enables the identification of the economic operator;</w:t>
      </w:r>
    </w:p>
    <w:p w:rsidR="00EA7FD4" w:rsidRPr="002F278E" w:rsidP="00541797">
      <w:pPr>
        <w:pStyle w:val="Point1letter"/>
      </w:pPr>
      <w:r>
        <w:t xml:space="preserve">(in case </w:t>
      </w:r>
      <w:r w:rsidRPr="002F278E">
        <w:t>they are not established in the Union</w:t>
      </w:r>
      <w:r>
        <w:t>)</w:t>
      </w:r>
      <w:r w:rsidRPr="002F278E">
        <w:t xml:space="preserve"> </w:t>
      </w:r>
      <w:r w:rsidR="00981EF8">
        <w:t>they</w:t>
      </w:r>
      <w:r w:rsidRPr="002F278E">
        <w:t xml:space="preserve"> submit evidence of their identity and, where applicable, of their establishment by means of a qualified electronic seal supported by a qualified certificate for electronic seal, issued by a qualified trust service provider pursuant to Regulation (EU) No 910/2014, or an electronic attestation of attributes issued under Union law that enables the identification of the economic operator.</w:t>
      </w:r>
    </w:p>
    <w:p w:rsidR="003B10C6" w:rsidRPr="003B10C6" w:rsidP="007226EF">
      <w:pPr>
        <w:pStyle w:val="NumPar1"/>
      </w:pPr>
      <w:bookmarkEnd w:id="2"/>
      <w:r w:rsidRPr="004203D2">
        <w:t>Only v</w:t>
      </w:r>
      <w:r w:rsidRPr="004203D2" w:rsidR="53250402">
        <w:t>erified eco</w:t>
      </w:r>
      <w:r w:rsidRPr="003B10C6" w:rsidR="53250402">
        <w:t xml:space="preserve">nomic operators may register </w:t>
      </w:r>
      <w:r w:rsidRPr="003B10C6" w:rsidR="2071E757">
        <w:t>digital product passpor</w:t>
      </w:r>
      <w:r w:rsidRPr="003B10C6" w:rsidR="53250402">
        <w:t>ts</w:t>
      </w:r>
      <w:r w:rsidRPr="003B10C6" w:rsidR="4711532B">
        <w:t xml:space="preserve"> </w:t>
      </w:r>
      <w:r w:rsidRPr="003B10C6" w:rsidR="53250402">
        <w:t xml:space="preserve">in the </w:t>
      </w:r>
      <w:r w:rsidRPr="003B10C6" w:rsidR="29E06F68">
        <w:t>registry</w:t>
      </w:r>
      <w:r w:rsidRPr="003B10C6" w:rsidR="53250402">
        <w:t>.</w:t>
      </w:r>
      <w:r w:rsidR="009928DF">
        <w:t xml:space="preserve"> </w:t>
      </w:r>
      <w:r w:rsidRPr="00191B42" w:rsidR="009928DF">
        <w:t>Any correction</w:t>
      </w:r>
      <w:r w:rsidR="009928DF">
        <w:t xml:space="preserve"> </w:t>
      </w:r>
      <w:r w:rsidR="00692BFD">
        <w:t xml:space="preserve">to that information </w:t>
      </w:r>
      <w:r w:rsidR="009928DF">
        <w:t>shall</w:t>
      </w:r>
      <w:r w:rsidRPr="00191B42" w:rsidR="009928DF">
        <w:t xml:space="preserve"> be performed without undue delay</w:t>
      </w:r>
      <w:r w:rsidR="009928DF">
        <w:t>.</w:t>
      </w:r>
    </w:p>
    <w:p w:rsidR="00506C6A">
      <w:pPr>
        <w:pStyle w:val="NumPar1"/>
      </w:pPr>
      <w:r w:rsidRPr="001045D5">
        <w:t xml:space="preserve">Economic operators </w:t>
      </w:r>
      <w:r w:rsidR="00EF2428">
        <w:t xml:space="preserve">shall </w:t>
      </w:r>
      <w:r w:rsidRPr="001045D5">
        <w:t>re</w:t>
      </w:r>
      <w:r w:rsidR="00A900C4">
        <w:t xml:space="preserve">tain the </w:t>
      </w:r>
      <w:r w:rsidRPr="00162734" w:rsidR="00162734">
        <w:t>status as</w:t>
      </w:r>
      <w:r w:rsidR="00160B8D">
        <w:t xml:space="preserve"> </w:t>
      </w:r>
      <w:r w:rsidRPr="001045D5">
        <w:t xml:space="preserve">verified </w:t>
      </w:r>
      <w:r w:rsidR="00A900C4">
        <w:t xml:space="preserve">economic </w:t>
      </w:r>
      <w:r w:rsidRPr="00162734" w:rsidR="00A900C4">
        <w:t xml:space="preserve">operators </w:t>
      </w:r>
      <w:r w:rsidRPr="00162734" w:rsidR="007226EF">
        <w:t xml:space="preserve">until their electronic identification means expire but no longer than </w:t>
      </w:r>
      <w:r w:rsidR="79FAB2FE">
        <w:t>three</w:t>
      </w:r>
      <w:r w:rsidR="00160B8D">
        <w:t xml:space="preserve"> </w:t>
      </w:r>
      <w:r w:rsidRPr="001045D5">
        <w:t>year</w:t>
      </w:r>
      <w:r w:rsidR="00357F6A">
        <w:t>s</w:t>
      </w:r>
      <w:r w:rsidRPr="001045D5">
        <w:t xml:space="preserve"> </w:t>
      </w:r>
      <w:r w:rsidR="00CF296C">
        <w:t xml:space="preserve">from the date of </w:t>
      </w:r>
      <w:r w:rsidRPr="001045D5">
        <w:t>verif</w:t>
      </w:r>
      <w:r w:rsidR="00F410BE">
        <w:t>ication</w:t>
      </w:r>
      <w:r w:rsidR="004745B5">
        <w:t xml:space="preserve"> </w:t>
      </w:r>
      <w:r w:rsidR="005B56D6">
        <w:t xml:space="preserve">in accordance </w:t>
      </w:r>
      <w:r w:rsidRPr="0082663B" w:rsidR="005B56D6">
        <w:t>with</w:t>
      </w:r>
      <w:r w:rsidRPr="0082663B">
        <w:t xml:space="preserve"> paragraph 1 or 2. </w:t>
      </w:r>
      <w:r w:rsidRPr="0082663B" w:rsidR="00E1104C">
        <w:t>O</w:t>
      </w:r>
      <w:r w:rsidRPr="0082663B" w:rsidR="00276C2E">
        <w:t xml:space="preserve">nce </w:t>
      </w:r>
      <w:r w:rsidRPr="0082663B" w:rsidR="6B098D5C">
        <w:t xml:space="preserve">such means expire or the three-year period has expired, whichever </w:t>
      </w:r>
      <w:r w:rsidRPr="0082663B" w:rsidR="6C1CAEA0">
        <w:t>is</w:t>
      </w:r>
      <w:r w:rsidRPr="0082663B" w:rsidR="6B098D5C">
        <w:t xml:space="preserve"> first</w:t>
      </w:r>
      <w:r w:rsidRPr="0082663B" w:rsidR="005B56D6">
        <w:t>,</w:t>
      </w:r>
      <w:r w:rsidRPr="0082663B">
        <w:t xml:space="preserve"> economic operators</w:t>
      </w:r>
      <w:r w:rsidRPr="0082663B" w:rsidR="001045D5">
        <w:t xml:space="preserve"> </w:t>
      </w:r>
      <w:r w:rsidRPr="0082663B" w:rsidR="000E7A95">
        <w:t>shall</w:t>
      </w:r>
      <w:r w:rsidRPr="0082663B" w:rsidR="00F33D0F">
        <w:t xml:space="preserve"> be able to register new digital product passports in the registry </w:t>
      </w:r>
      <w:r w:rsidRPr="0082663B" w:rsidR="000E7A95">
        <w:t>only if they</w:t>
      </w:r>
      <w:r w:rsidRPr="0082663B">
        <w:t xml:space="preserve"> </w:t>
      </w:r>
      <w:r w:rsidRPr="0082663B" w:rsidR="00A900C4">
        <w:t xml:space="preserve">successfully </w:t>
      </w:r>
      <w:r w:rsidRPr="0082663B">
        <w:t>repeat the</w:t>
      </w:r>
      <w:r w:rsidRPr="0082663B" w:rsidR="001045D5">
        <w:t xml:space="preserve"> </w:t>
      </w:r>
      <w:r w:rsidRPr="0082663B" w:rsidR="009E3FD0">
        <w:t xml:space="preserve">identity </w:t>
      </w:r>
      <w:r w:rsidRPr="0082663B">
        <w:t>verification process</w:t>
      </w:r>
      <w:r w:rsidRPr="0082663B" w:rsidR="001045D5">
        <w:t xml:space="preserve"> </w:t>
      </w:r>
      <w:r w:rsidRPr="0082663B">
        <w:t>in accordance with</w:t>
      </w:r>
      <w:r w:rsidRPr="0082663B" w:rsidR="001045D5">
        <w:t xml:space="preserve"> </w:t>
      </w:r>
      <w:r w:rsidRPr="0082663B">
        <w:t>paragraph</w:t>
      </w:r>
      <w:r w:rsidRPr="0082663B" w:rsidR="001045D5">
        <w:t xml:space="preserve"> </w:t>
      </w:r>
      <w:r w:rsidRPr="0082663B">
        <w:t>1 or 2.</w:t>
      </w:r>
      <w:r w:rsidR="00E1104C">
        <w:t xml:space="preserve"> </w:t>
      </w:r>
      <w:r w:rsidRPr="00FC5AD1" w:rsidR="00FC5AD1">
        <w:t>Th</w:t>
      </w:r>
      <w:r w:rsidR="00B52114">
        <w:t>e</w:t>
      </w:r>
      <w:r w:rsidRPr="00FC5AD1" w:rsidR="00FC5AD1">
        <w:t xml:space="preserve"> validity status of the digital product passport in the registry</w:t>
      </w:r>
      <w:r w:rsidR="00B52114">
        <w:t xml:space="preserve"> shall be updated accordingly</w:t>
      </w:r>
      <w:r w:rsidRPr="00FC5AD1" w:rsidR="00FC5AD1">
        <w:t>.</w:t>
      </w:r>
      <w:r w:rsidRPr="001045D5">
        <w:t> </w:t>
      </w:r>
      <w:r w:rsidR="00902926">
        <w:t xml:space="preserve"> </w:t>
      </w:r>
    </w:p>
    <w:p w:rsidR="00760CF0" w:rsidRPr="00162734" w:rsidP="00760CF0">
      <w:pPr>
        <w:pStyle w:val="Titrearticle"/>
        <w:rPr>
          <w:b/>
          <w:bCs/>
          <w:i w:val="0"/>
          <w:iCs/>
        </w:rPr>
      </w:pPr>
      <w:r w:rsidRPr="00162734">
        <w:t xml:space="preserve">Article </w:t>
      </w:r>
      <w:r w:rsidR="00692BFD">
        <w:t>5</w:t>
      </w:r>
      <w:r w:rsidRPr="00162734">
        <w:br/>
      </w:r>
      <w:r w:rsidRPr="00162734">
        <w:rPr>
          <w:b/>
          <w:bCs/>
          <w:i w:val="0"/>
          <w:iCs/>
        </w:rPr>
        <w:t xml:space="preserve">Verification requirements for </w:t>
      </w:r>
      <w:r w:rsidRPr="00162734" w:rsidR="00512228">
        <w:rPr>
          <w:b/>
          <w:bCs/>
          <w:i w:val="0"/>
          <w:iCs/>
        </w:rPr>
        <w:t>other value chain actors </w:t>
      </w:r>
    </w:p>
    <w:p w:rsidR="00704340" w:rsidRPr="00162734" w:rsidP="0019023C">
      <w:pPr>
        <w:pStyle w:val="NumPar1"/>
        <w:numPr>
          <w:ilvl w:val="0"/>
          <w:numId w:val="29"/>
        </w:numPr>
      </w:pPr>
      <w:r>
        <w:t>A v</w:t>
      </w:r>
      <w:r w:rsidR="00556EE0">
        <w:t>alue</w:t>
      </w:r>
      <w:r w:rsidRPr="00556EE0" w:rsidR="00556EE0">
        <w:t xml:space="preserve"> chain actor other than the economic operato</w:t>
      </w:r>
      <w:r w:rsidR="00556EE0">
        <w:t>r who</w:t>
      </w:r>
      <w:r w:rsidRPr="00162734">
        <w:t xml:space="preserve"> </w:t>
      </w:r>
      <w:r w:rsidR="00556EE0">
        <w:t>is a</w:t>
      </w:r>
      <w:r w:rsidRPr="00162734">
        <w:t xml:space="preserve"> natural person acting as </w:t>
      </w:r>
      <w:r w:rsidR="00556EE0">
        <w:t xml:space="preserve">a </w:t>
      </w:r>
      <w:r w:rsidRPr="00162734">
        <w:t xml:space="preserve">sole trader shall </w:t>
      </w:r>
      <w:r>
        <w:t>o</w:t>
      </w:r>
      <w:r w:rsidR="145353E8">
        <w:t>b</w:t>
      </w:r>
      <w:r w:rsidRPr="00162734">
        <w:t xml:space="preserve">tain a verified status in the registry </w:t>
      </w:r>
      <w:r w:rsidR="00542ABD">
        <w:t>if one of the two following conditions is fulfilled</w:t>
      </w:r>
      <w:r w:rsidRPr="00162734">
        <w:t>:</w:t>
      </w:r>
    </w:p>
    <w:p w:rsidR="00704340" w:rsidRPr="00162734" w:rsidP="0019023C">
      <w:pPr>
        <w:pStyle w:val="Point1letter"/>
        <w:numPr>
          <w:ilvl w:val="3"/>
          <w:numId w:val="23"/>
        </w:numPr>
      </w:pPr>
      <w:r>
        <w:t>(in case</w:t>
      </w:r>
      <w:r w:rsidRPr="00162734">
        <w:t xml:space="preserve"> they are established in the Union</w:t>
      </w:r>
      <w:r>
        <w:t>) they</w:t>
      </w:r>
      <w:r w:rsidRPr="00162734">
        <w:t xml:space="preserve"> submit evidence of their identity by means of a qualified electronic signature supported by a qualified certificate for electronic signatures in accordance with Regulation (EU) No 910/2014; or </w:t>
      </w:r>
      <w:r w:rsidR="001D7F15">
        <w:t xml:space="preserve">they </w:t>
      </w:r>
      <w:r w:rsidRPr="00162734">
        <w:t xml:space="preserve">submit evidence of their identity by means of an electronic identification means that meets the requirements of Regulation (EU) No 910/2014 with regard to the assurance levels ‘high’, or an electronic attestation of attributes issued under Union law that enables the identification of the economic operator; </w:t>
      </w:r>
    </w:p>
    <w:p w:rsidR="00704340" w:rsidRPr="00162734" w:rsidP="00704340">
      <w:pPr>
        <w:pStyle w:val="Point1letter"/>
      </w:pPr>
      <w:r>
        <w:t>(in case</w:t>
      </w:r>
      <w:r w:rsidRPr="00162734">
        <w:t xml:space="preserve"> they are not established in the Union</w:t>
      </w:r>
      <w:r>
        <w:t>) they</w:t>
      </w:r>
      <w:r w:rsidRPr="00162734">
        <w:t xml:space="preserve"> submit evidence of their identity by means of a qualified electronic signature supported by a qualified certificate for electronic signatures in accordance with Regulation (EU) No 910/2014, or an electronic attestation of attributes issued under Union law that enables the identification of the economic operator.</w:t>
      </w:r>
    </w:p>
    <w:p w:rsidR="00704340" w:rsidRPr="00162734" w:rsidP="00704340">
      <w:pPr>
        <w:pStyle w:val="NumPar1"/>
      </w:pPr>
      <w:r>
        <w:t>A v</w:t>
      </w:r>
      <w:r w:rsidR="00556EE0">
        <w:t>alue</w:t>
      </w:r>
      <w:r w:rsidRPr="00556EE0" w:rsidR="00556EE0">
        <w:t xml:space="preserve"> chain actor other than the economic operato</w:t>
      </w:r>
      <w:r w:rsidR="00556EE0">
        <w:t xml:space="preserve">r </w:t>
      </w:r>
      <w:r w:rsidRPr="00162734">
        <w:t xml:space="preserve">acting as </w:t>
      </w:r>
      <w:r w:rsidR="00556EE0">
        <w:t xml:space="preserve">a </w:t>
      </w:r>
      <w:r w:rsidRPr="00162734">
        <w:t xml:space="preserve">legal person shall </w:t>
      </w:r>
      <w:r>
        <w:t>o</w:t>
      </w:r>
      <w:r w:rsidR="6C57F2A2">
        <w:t>b</w:t>
      </w:r>
      <w:r>
        <w:t>tain</w:t>
      </w:r>
      <w:r w:rsidRPr="00162734">
        <w:t xml:space="preserve"> a verified status in the registry </w:t>
      </w:r>
      <w:r w:rsidR="003B5B7B">
        <w:t>if one of the two following conditions is satisfied</w:t>
      </w:r>
      <w:r>
        <w:t>:</w:t>
      </w:r>
    </w:p>
    <w:p w:rsidR="00704340" w:rsidRPr="00162734" w:rsidP="0019023C">
      <w:pPr>
        <w:pStyle w:val="Point1letter"/>
        <w:numPr>
          <w:ilvl w:val="3"/>
          <w:numId w:val="31"/>
        </w:numPr>
      </w:pPr>
      <w:r>
        <w:t>(in case</w:t>
      </w:r>
      <w:r w:rsidRPr="00162734">
        <w:t xml:space="preserve"> they are established in the Union</w:t>
      </w:r>
      <w:r>
        <w:t>) they</w:t>
      </w:r>
      <w:r w:rsidRPr="00162734">
        <w:t xml:space="preserve"> submit evidence of their identity and, where applicable, of their establishment by means of a qualified electronic seal supported by a qualified certificate for electronic seal, issued by a qualified trust service provider pursuant to Regulation (EU) No 910/2014; or </w:t>
      </w:r>
      <w:r>
        <w:t>they</w:t>
      </w:r>
      <w:r w:rsidRPr="00162734">
        <w:t xml:space="preserve"> submit evidence of their identity by means of a qualified electronic attestation of attributes issued under Union law that enables the identification of the economic operator;</w:t>
      </w:r>
    </w:p>
    <w:p w:rsidR="00704340" w:rsidRPr="00162734" w:rsidP="00704340">
      <w:pPr>
        <w:pStyle w:val="Point1letter"/>
      </w:pPr>
      <w:r>
        <w:t>(in case</w:t>
      </w:r>
      <w:r w:rsidRPr="00162734">
        <w:t xml:space="preserve"> they are not established in the Union</w:t>
      </w:r>
      <w:r>
        <w:t>) they</w:t>
      </w:r>
      <w:r w:rsidRPr="00162734">
        <w:t xml:space="preserve"> submit evidence of their identity and, where applicable, of their establishment by means of a qualified electronic seal supported by a qualified certificate for electronic seal, issued by a qualified trust service provider pursuant to Regulation (EU) No 910/2014, or an electronic attestation of attributes issued under Union law that enables the identification of the economic operator.</w:t>
      </w:r>
    </w:p>
    <w:p w:rsidR="00704340" w:rsidP="00704340">
      <w:pPr>
        <w:pStyle w:val="NumPar1"/>
      </w:pPr>
      <w:r>
        <w:t>Value</w:t>
      </w:r>
      <w:r w:rsidRPr="00556EE0">
        <w:t xml:space="preserve"> chain actor other than the economic operato</w:t>
      </w:r>
      <w:r>
        <w:t>r</w:t>
      </w:r>
      <w:r w:rsidRPr="00692BFD">
        <w:t xml:space="preserve"> who ha</w:t>
      </w:r>
      <w:r w:rsidR="00902926">
        <w:t>s</w:t>
      </w:r>
      <w:r w:rsidRPr="00692BFD">
        <w:t xml:space="preserve"> obtained verified statu</w:t>
      </w:r>
      <w:r w:rsidR="00620B68">
        <w:t>s</w:t>
      </w:r>
      <w:r w:rsidRPr="00692BFD" w:rsidR="00692BFD">
        <w:t>,</w:t>
      </w:r>
      <w:r w:rsidRPr="00692BFD">
        <w:t xml:space="preserve"> shall have access to the digital product passport</w:t>
      </w:r>
      <w:r w:rsidRPr="00CD41CC">
        <w:t xml:space="preserve"> registry.</w:t>
      </w:r>
    </w:p>
    <w:p w:rsidR="00704340" w:rsidP="00704340">
      <w:pPr>
        <w:pStyle w:val="NumPar1"/>
      </w:pPr>
      <w:r w:rsidRPr="00556EE0">
        <w:t>Value chain actor other than the economic operato</w:t>
      </w:r>
      <w:r>
        <w:t xml:space="preserve">r </w:t>
      </w:r>
      <w:r w:rsidRPr="00064190">
        <w:t xml:space="preserve">shall retain the status as verified until their electronic identification means expire </w:t>
      </w:r>
      <w:r w:rsidR="00BD30EF">
        <w:t>and in any event</w:t>
      </w:r>
      <w:r w:rsidRPr="00064190">
        <w:t xml:space="preserve"> no longer than </w:t>
      </w:r>
      <w:r w:rsidR="28EBE9E8">
        <w:t>three</w:t>
      </w:r>
      <w:r w:rsidRPr="00064190">
        <w:t xml:space="preserve"> years from the date of verification in </w:t>
      </w:r>
      <w:r w:rsidRPr="0082663B">
        <w:t xml:space="preserve">accordance with paragraph 1 or 2. Once </w:t>
      </w:r>
      <w:r w:rsidRPr="0082663B" w:rsidR="237A68BB">
        <w:t xml:space="preserve">such means have expired or once the three-year </w:t>
      </w:r>
      <w:r w:rsidRPr="0082663B">
        <w:t>period has expired</w:t>
      </w:r>
      <w:r w:rsidRPr="0082663B" w:rsidR="005533FC">
        <w:t xml:space="preserve">, </w:t>
      </w:r>
      <w:r w:rsidRPr="0082663B" w:rsidR="60AABCFE">
        <w:t xml:space="preserve">whichever ever is first, </w:t>
      </w:r>
      <w:r w:rsidRPr="0082663B" w:rsidR="00692BFD">
        <w:t>these</w:t>
      </w:r>
      <w:r w:rsidRPr="0082663B" w:rsidR="005533FC">
        <w:t xml:space="preserve"> actors </w:t>
      </w:r>
      <w:r w:rsidRPr="0082663B">
        <w:t xml:space="preserve">shall </w:t>
      </w:r>
      <w:r w:rsidRPr="0082663B" w:rsidR="00DA1D7A">
        <w:t xml:space="preserve">be able to access the registry only if they </w:t>
      </w:r>
      <w:r w:rsidRPr="0082663B">
        <w:t>successfully repeat the identity verification process in accordance with paragraph 1 or 2.</w:t>
      </w:r>
      <w:r w:rsidRPr="00064190">
        <w:t xml:space="preserve"> </w:t>
      </w:r>
    </w:p>
    <w:p w:rsidR="003F3D33" w:rsidRPr="0022272E" w:rsidP="003F3D33">
      <w:pPr>
        <w:pStyle w:val="Titrearticle"/>
        <w:rPr>
          <w:b/>
          <w:bCs/>
          <w:i w:val="0"/>
          <w:iCs/>
        </w:rPr>
      </w:pPr>
      <w:r w:rsidRPr="004015F4">
        <w:t xml:space="preserve">Article </w:t>
      </w:r>
      <w:r w:rsidR="00D11A9B">
        <w:t>6</w:t>
      </w:r>
      <w:r w:rsidRPr="004015F4">
        <w:br/>
      </w:r>
      <w:r w:rsidRPr="004015F4">
        <w:rPr>
          <w:b/>
          <w:bCs/>
          <w:i w:val="0"/>
          <w:iCs/>
        </w:rPr>
        <w:t xml:space="preserve">Management of </w:t>
      </w:r>
      <w:r w:rsidR="00D11A9B">
        <w:rPr>
          <w:b/>
          <w:bCs/>
          <w:i w:val="0"/>
          <w:iCs/>
        </w:rPr>
        <w:t xml:space="preserve">verified </w:t>
      </w:r>
      <w:r w:rsidRPr="004015F4">
        <w:rPr>
          <w:b/>
          <w:bCs/>
          <w:i w:val="0"/>
          <w:iCs/>
        </w:rPr>
        <w:t xml:space="preserve">economic operator </w:t>
      </w:r>
      <w:r w:rsidR="00C4630C">
        <w:rPr>
          <w:b/>
          <w:bCs/>
          <w:i w:val="0"/>
          <w:iCs/>
        </w:rPr>
        <w:t>and other verified value chain actor</w:t>
      </w:r>
      <w:r w:rsidRPr="004015F4" w:rsidR="00C4630C">
        <w:rPr>
          <w:b/>
          <w:bCs/>
          <w:i w:val="0"/>
          <w:iCs/>
        </w:rPr>
        <w:t xml:space="preserve"> </w:t>
      </w:r>
      <w:r w:rsidRPr="004015F4">
        <w:rPr>
          <w:b/>
          <w:bCs/>
          <w:i w:val="0"/>
          <w:iCs/>
        </w:rPr>
        <w:t>user profile</w:t>
      </w:r>
      <w:r w:rsidR="00FD0122">
        <w:rPr>
          <w:b/>
          <w:bCs/>
          <w:i w:val="0"/>
          <w:iCs/>
        </w:rPr>
        <w:t xml:space="preserve"> </w:t>
      </w:r>
    </w:p>
    <w:p w:rsidR="00C43A14" w:rsidP="0019023C">
      <w:pPr>
        <w:pStyle w:val="NumPar1"/>
        <w:numPr>
          <w:ilvl w:val="0"/>
          <w:numId w:val="32"/>
        </w:numPr>
      </w:pPr>
      <w:r w:rsidRPr="00D11A9B">
        <w:t>Verified e</w:t>
      </w:r>
      <w:r w:rsidRPr="00D11A9B" w:rsidR="003A43F6">
        <w:t xml:space="preserve">conomic operators </w:t>
      </w:r>
      <w:r w:rsidR="00FD0122">
        <w:t xml:space="preserve">and other verified value chain actors </w:t>
      </w:r>
      <w:r w:rsidRPr="00D11A9B" w:rsidR="003A43F6">
        <w:t>may delegate access rights to users acting on their behalf</w:t>
      </w:r>
      <w:r w:rsidRPr="00D11A9B" w:rsidR="00DF4D6D">
        <w:t>.</w:t>
      </w:r>
      <w:r w:rsidRPr="00D11A9B" w:rsidR="003A43F6">
        <w:t xml:space="preserve"> </w:t>
      </w:r>
      <w:r w:rsidRPr="00D11A9B" w:rsidR="004015F4">
        <w:t xml:space="preserve">Each </w:t>
      </w:r>
      <w:r w:rsidRPr="00D11A9B">
        <w:t xml:space="preserve">verified </w:t>
      </w:r>
      <w:r w:rsidRPr="00D11A9B" w:rsidR="004015F4">
        <w:t>economic operator</w:t>
      </w:r>
      <w:r w:rsidR="00FD0122">
        <w:t xml:space="preserve"> and other verified value chain actor</w:t>
      </w:r>
      <w:r w:rsidRPr="00D11A9B" w:rsidR="004015F4">
        <w:t> </w:t>
      </w:r>
      <w:r w:rsidR="69E4D410">
        <w:t>shall be</w:t>
      </w:r>
      <w:r w:rsidRPr="004015F4" w:rsidR="004015F4">
        <w:t xml:space="preserve"> responsible for</w:t>
      </w:r>
      <w:r>
        <w:t xml:space="preserve"> the actions carried out by a user acting on their behalf. </w:t>
      </w:r>
    </w:p>
    <w:p w:rsidR="004015F4" w:rsidRPr="004015F4" w:rsidP="714D4277">
      <w:pPr>
        <w:pStyle w:val="NumPar1"/>
      </w:pPr>
      <w:r w:rsidRPr="004015F4">
        <w:t>Any personal data which is entered as part of the</w:t>
      </w:r>
      <w:r w:rsidR="00D11A9B">
        <w:t xml:space="preserve"> </w:t>
      </w:r>
      <w:r w:rsidRPr="004015F4">
        <w:t xml:space="preserve">user’s profile </w:t>
      </w:r>
      <w:r w:rsidR="00FD0122">
        <w:t>of verified</w:t>
      </w:r>
      <w:r w:rsidRPr="004015F4" w:rsidR="00FD0122">
        <w:t xml:space="preserve"> economic operator </w:t>
      </w:r>
      <w:r w:rsidR="00FD0122">
        <w:t xml:space="preserve">or other verified value chain actor </w:t>
      </w:r>
      <w:r w:rsidR="49D0F74E">
        <w:t xml:space="preserve">shall </w:t>
      </w:r>
      <w:r w:rsidRPr="004015F4">
        <w:t xml:space="preserve">be </w:t>
      </w:r>
      <w:r w:rsidR="003A43F6">
        <w:t>processed</w:t>
      </w:r>
      <w:r w:rsidRPr="004015F4">
        <w:t xml:space="preserve"> in accordance with Regulation (EU) 2018/1725</w:t>
      </w:r>
      <w:r>
        <w:rPr>
          <w:rStyle w:val="FootnoteReference"/>
        </w:rPr>
        <w:footnoteReference w:id="18"/>
      </w:r>
      <w:r w:rsidRPr="004015F4">
        <w:t>.</w:t>
      </w:r>
    </w:p>
    <w:p w:rsidR="004015F4" w:rsidRPr="0082663B" w:rsidP="004015F4">
      <w:pPr>
        <w:pStyle w:val="NumPar1"/>
      </w:pPr>
      <w:r>
        <w:t>Each</w:t>
      </w:r>
      <w:r w:rsidRPr="004015F4">
        <w:t xml:space="preserve"> </w:t>
      </w:r>
      <w:r w:rsidRPr="004015F4">
        <w:t>economic operator</w:t>
      </w:r>
      <w:r w:rsidR="00FD0122">
        <w:t xml:space="preserve"> and other value chain actor</w:t>
      </w:r>
      <w:r w:rsidRPr="004015F4">
        <w:t xml:space="preserve"> shall be responsible for managing the</w:t>
      </w:r>
      <w:r w:rsidR="00D11A9B">
        <w:t>ir</w:t>
      </w:r>
      <w:r w:rsidRPr="004015F4">
        <w:t xml:space="preserve"> electronic verification process in accordance </w:t>
      </w:r>
      <w:r w:rsidRPr="0082663B">
        <w:t>with Article</w:t>
      </w:r>
      <w:r w:rsidRPr="0082663B">
        <w:t>s</w:t>
      </w:r>
      <w:r w:rsidRPr="0082663B">
        <w:t xml:space="preserve"> 4</w:t>
      </w:r>
      <w:r w:rsidRPr="0082663B" w:rsidR="00526299">
        <w:t xml:space="preserve"> and 5 respectively</w:t>
      </w:r>
      <w:r w:rsidRPr="0082663B">
        <w:t xml:space="preserve">. </w:t>
      </w:r>
    </w:p>
    <w:p w:rsidR="004015F4" w:rsidRPr="004015F4" w:rsidP="004015F4">
      <w:pPr>
        <w:pStyle w:val="NumPar1"/>
      </w:pPr>
      <w:r w:rsidRPr="004015F4">
        <w:t xml:space="preserve">The </w:t>
      </w:r>
      <w:r w:rsidR="00D11A9B">
        <w:t xml:space="preserve">verified </w:t>
      </w:r>
      <w:r w:rsidRPr="004015F4">
        <w:t>economic operator</w:t>
      </w:r>
      <w:r w:rsidR="00526299">
        <w:t xml:space="preserve"> and other verified value chain actor</w:t>
      </w:r>
      <w:r w:rsidRPr="004015F4">
        <w:t xml:space="preserve"> shall be responsible for ensuring that the data about itself is updated in case of any relevant change, including any change of its legal representative.</w:t>
      </w:r>
    </w:p>
    <w:p w:rsidR="07E0D328" w:rsidRPr="0022272E" w:rsidP="003F3D33">
      <w:pPr>
        <w:pStyle w:val="Titrearticle"/>
        <w:rPr>
          <w:b/>
          <w:bCs/>
          <w:i w:val="0"/>
          <w:iCs/>
        </w:rPr>
      </w:pPr>
      <w:r w:rsidRPr="00191B42">
        <w:t>Article</w:t>
      </w:r>
      <w:r w:rsidRPr="00191B42" w:rsidR="3F6B3900">
        <w:t xml:space="preserve"> </w:t>
      </w:r>
      <w:r w:rsidR="00C4630C">
        <w:t>7</w:t>
      </w:r>
      <w:r w:rsidR="00A861C9">
        <w:br/>
      </w:r>
      <w:r w:rsidR="008B040A">
        <w:rPr>
          <w:b/>
          <w:bCs/>
          <w:i w:val="0"/>
          <w:iCs/>
        </w:rPr>
        <w:t>N</w:t>
      </w:r>
      <w:r w:rsidRPr="0022272E" w:rsidR="00A861C9">
        <w:rPr>
          <w:b/>
          <w:bCs/>
          <w:i w:val="0"/>
          <w:iCs/>
        </w:rPr>
        <w:t>ational authorities</w:t>
      </w:r>
    </w:p>
    <w:p w:rsidR="003B10C6" w:rsidRPr="003B10C6" w:rsidP="0019023C">
      <w:pPr>
        <w:pStyle w:val="NumPar1"/>
        <w:numPr>
          <w:ilvl w:val="0"/>
          <w:numId w:val="33"/>
        </w:numPr>
      </w:pPr>
      <w:r w:rsidRPr="007C2A2B">
        <w:rPr>
          <w:rFonts w:eastAsia="Times New Roman"/>
        </w:rPr>
        <w:t>Member States</w:t>
      </w:r>
      <w:r w:rsidRPr="007C2A2B" w:rsidR="00E4548E">
        <w:rPr>
          <w:rFonts w:eastAsia="Times New Roman"/>
        </w:rPr>
        <w:t xml:space="preserve"> shall</w:t>
      </w:r>
      <w:r w:rsidRPr="007C2A2B" w:rsidR="00C45683">
        <w:rPr>
          <w:rFonts w:eastAsia="Times New Roman"/>
        </w:rPr>
        <w:t xml:space="preserve"> appoint a</w:t>
      </w:r>
      <w:r w:rsidRPr="007C2A2B" w:rsidR="67A294BA">
        <w:rPr>
          <w:rFonts w:eastAsia="Times New Roman"/>
        </w:rPr>
        <w:t xml:space="preserve"> designated national administrator who shall act as the single official contact point for the Commission for the purposes of managing </w:t>
      </w:r>
      <w:r w:rsidRPr="007C2A2B" w:rsidR="00EE74D3">
        <w:rPr>
          <w:rFonts w:eastAsia="Times New Roman"/>
        </w:rPr>
        <w:t xml:space="preserve">registry </w:t>
      </w:r>
      <w:r w:rsidRPr="007C2A2B" w:rsidR="67A294BA">
        <w:rPr>
          <w:rFonts w:eastAsia="Times New Roman"/>
        </w:rPr>
        <w:t>access rights for that Member State.</w:t>
      </w:r>
      <w:r w:rsidRPr="007C2A2B">
        <w:rPr>
          <w:rFonts w:eastAsia="Times New Roman"/>
        </w:rPr>
        <w:t xml:space="preserve"> </w:t>
      </w:r>
    </w:p>
    <w:p w:rsidR="003B10C6" w:rsidRPr="003B10C6" w:rsidP="714D4277">
      <w:pPr>
        <w:pStyle w:val="NumPar1"/>
      </w:pPr>
      <w:r w:rsidRPr="003B10C6">
        <w:rPr>
          <w:rFonts w:eastAsia="Times New Roman"/>
        </w:rPr>
        <w:t xml:space="preserve">Member States shall communicate to the Commission the name and contact details of their </w:t>
      </w:r>
      <w:r w:rsidR="00921F06">
        <w:rPr>
          <w:rFonts w:eastAsia="Times New Roman"/>
        </w:rPr>
        <w:t xml:space="preserve">respective </w:t>
      </w:r>
      <w:r w:rsidRPr="003B10C6">
        <w:rPr>
          <w:rFonts w:eastAsia="Times New Roman"/>
        </w:rPr>
        <w:t>designated national administrator and shall notify the Commission of any subsequent changes</w:t>
      </w:r>
      <w:r w:rsidR="00B97286">
        <w:rPr>
          <w:rFonts w:eastAsia="Times New Roman"/>
        </w:rPr>
        <w:t xml:space="preserve"> </w:t>
      </w:r>
      <w:r w:rsidRPr="714D4277" w:rsidR="31029DF6">
        <w:rPr>
          <w:rFonts w:eastAsia="Times New Roman"/>
        </w:rPr>
        <w:t>with regard to</w:t>
      </w:r>
      <w:r w:rsidRPr="003B10C6" w:rsidR="00B97286">
        <w:rPr>
          <w:rFonts w:eastAsia="Times New Roman"/>
        </w:rPr>
        <w:t xml:space="preserve"> their designated national administrator</w:t>
      </w:r>
      <w:r w:rsidRPr="003B10C6">
        <w:rPr>
          <w:rFonts w:eastAsia="Times New Roman"/>
        </w:rPr>
        <w:t>.</w:t>
      </w:r>
    </w:p>
    <w:p w:rsidR="003B10C6" w:rsidRPr="00AF72D7" w:rsidP="0019023C">
      <w:pPr>
        <w:pStyle w:val="NumPar1"/>
        <w:numPr>
          <w:ilvl w:val="0"/>
          <w:numId w:val="33"/>
        </w:numPr>
      </w:pPr>
      <w:r w:rsidRPr="00AF72D7">
        <w:rPr>
          <w:rFonts w:eastAsia="Times New Roman"/>
        </w:rPr>
        <w:t xml:space="preserve">The </w:t>
      </w:r>
      <w:r w:rsidRPr="00AF72D7" w:rsidR="00BA4610">
        <w:rPr>
          <w:rFonts w:eastAsia="Times New Roman"/>
        </w:rPr>
        <w:t xml:space="preserve">designated </w:t>
      </w:r>
      <w:r w:rsidRPr="00AF72D7">
        <w:rPr>
          <w:rFonts w:eastAsia="Times New Roman"/>
        </w:rPr>
        <w:t xml:space="preserve">national administrator </w:t>
      </w:r>
      <w:r w:rsidRPr="00AF72D7" w:rsidR="00AF72D7">
        <w:rPr>
          <w:rFonts w:eastAsia="Times New Roman"/>
        </w:rPr>
        <w:t xml:space="preserve">may </w:t>
      </w:r>
      <w:r w:rsidRPr="00AF72D7">
        <w:rPr>
          <w:rFonts w:eastAsia="Times New Roman"/>
        </w:rPr>
        <w:t xml:space="preserve">delegate </w:t>
      </w:r>
      <w:r w:rsidRPr="00AF72D7" w:rsidR="00EE74D3">
        <w:rPr>
          <w:rFonts w:eastAsia="Times New Roman"/>
        </w:rPr>
        <w:t xml:space="preserve">registry </w:t>
      </w:r>
      <w:r w:rsidRPr="00AF72D7">
        <w:rPr>
          <w:rFonts w:eastAsia="Times New Roman"/>
        </w:rPr>
        <w:t>access rights to relevant national authorities</w:t>
      </w:r>
      <w:r w:rsidRPr="00AF72D7" w:rsidR="00180C0B">
        <w:rPr>
          <w:rFonts w:eastAsia="Times New Roman"/>
        </w:rPr>
        <w:t xml:space="preserve"> within its Member State</w:t>
      </w:r>
      <w:r w:rsidRPr="00AF72D7">
        <w:rPr>
          <w:rFonts w:eastAsia="Times New Roman"/>
        </w:rPr>
        <w:t>. Such delegation shall be carried out under the full responsibility of the Member State</w:t>
      </w:r>
      <w:r w:rsidRPr="00AF72D7" w:rsidR="00EE74D3">
        <w:rPr>
          <w:rFonts w:eastAsia="Times New Roman"/>
        </w:rPr>
        <w:t xml:space="preserve"> and in a way that</w:t>
      </w:r>
      <w:r w:rsidRPr="00AF72D7" w:rsidR="0037032F">
        <w:rPr>
          <w:rFonts w:eastAsia="Times New Roman"/>
        </w:rPr>
        <w:t xml:space="preserve"> </w:t>
      </w:r>
      <w:r w:rsidRPr="00AF72D7">
        <w:rPr>
          <w:rFonts w:eastAsia="Times New Roman"/>
        </w:rPr>
        <w:t>ensur</w:t>
      </w:r>
      <w:r w:rsidRPr="00AF72D7" w:rsidR="00EE74D3">
        <w:rPr>
          <w:rFonts w:eastAsia="Times New Roman"/>
        </w:rPr>
        <w:t>es</w:t>
      </w:r>
      <w:r w:rsidRPr="00AF72D7">
        <w:rPr>
          <w:rFonts w:eastAsia="Times New Roman"/>
        </w:rPr>
        <w:t xml:space="preserve"> the security, integrity and confidentiality of the </w:t>
      </w:r>
      <w:r w:rsidRPr="00AF72D7" w:rsidR="00EE74D3">
        <w:rPr>
          <w:rFonts w:eastAsia="Times New Roman"/>
        </w:rPr>
        <w:t xml:space="preserve">registry </w:t>
      </w:r>
      <w:r w:rsidRPr="00AF72D7">
        <w:rPr>
          <w:rFonts w:eastAsia="Times New Roman"/>
        </w:rPr>
        <w:t>data accessed in accordance with this Regulation.</w:t>
      </w:r>
    </w:p>
    <w:p w:rsidR="0066310A" w:rsidRPr="003B10C6" w:rsidP="00EB5011">
      <w:pPr>
        <w:pStyle w:val="NumPar1"/>
      </w:pPr>
      <w:r w:rsidRPr="003B10C6">
        <w:rPr>
          <w:rFonts w:eastAsia="Times New Roman"/>
        </w:rPr>
        <w:t>National authorities wh</w:t>
      </w:r>
      <w:r w:rsidR="004874D7">
        <w:rPr>
          <w:rFonts w:eastAsia="Times New Roman"/>
        </w:rPr>
        <w:t>ich</w:t>
      </w:r>
      <w:r w:rsidRPr="003B10C6">
        <w:rPr>
          <w:rFonts w:eastAsia="Times New Roman"/>
        </w:rPr>
        <w:t xml:space="preserve"> have been granted access </w:t>
      </w:r>
      <w:r w:rsidRPr="003B10C6" w:rsidR="597D4CA4">
        <w:rPr>
          <w:rFonts w:eastAsia="Times New Roman"/>
        </w:rPr>
        <w:t xml:space="preserve">by </w:t>
      </w:r>
      <w:r w:rsidRPr="003B10C6">
        <w:rPr>
          <w:rFonts w:eastAsia="Times New Roman"/>
        </w:rPr>
        <w:t xml:space="preserve">their </w:t>
      </w:r>
      <w:r w:rsidRPr="003B10C6" w:rsidR="2D6844C6">
        <w:rPr>
          <w:rFonts w:eastAsia="Times New Roman"/>
        </w:rPr>
        <w:t xml:space="preserve">designated </w:t>
      </w:r>
      <w:r w:rsidRPr="003B10C6">
        <w:rPr>
          <w:rFonts w:eastAsia="Times New Roman"/>
        </w:rPr>
        <w:t xml:space="preserve">national administrator </w:t>
      </w:r>
      <w:r w:rsidR="00A4662F">
        <w:rPr>
          <w:rFonts w:eastAsia="Times New Roman"/>
        </w:rPr>
        <w:t>may</w:t>
      </w:r>
      <w:r w:rsidRPr="003B10C6">
        <w:rPr>
          <w:rFonts w:eastAsia="Times New Roman"/>
        </w:rPr>
        <w:t xml:space="preserve"> delegate</w:t>
      </w:r>
      <w:r w:rsidRPr="003B10C6" w:rsidR="241056E9">
        <w:rPr>
          <w:rFonts w:eastAsia="Times New Roman"/>
        </w:rPr>
        <w:t xml:space="preserve"> and manage</w:t>
      </w:r>
      <w:r w:rsidRPr="003B10C6">
        <w:rPr>
          <w:rFonts w:eastAsia="Times New Roman"/>
        </w:rPr>
        <w:t xml:space="preserve"> </w:t>
      </w:r>
      <w:r w:rsidR="001C3310">
        <w:rPr>
          <w:rFonts w:eastAsia="Times New Roman"/>
        </w:rPr>
        <w:t xml:space="preserve">registry </w:t>
      </w:r>
      <w:r w:rsidRPr="003B10C6">
        <w:rPr>
          <w:rFonts w:eastAsia="Times New Roman"/>
        </w:rPr>
        <w:t>access rights further within their</w:t>
      </w:r>
      <w:r w:rsidRPr="003B10C6" w:rsidR="7BB51129">
        <w:rPr>
          <w:rFonts w:eastAsia="Times New Roman"/>
        </w:rPr>
        <w:t xml:space="preserve"> respective</w:t>
      </w:r>
      <w:r w:rsidRPr="003B10C6">
        <w:rPr>
          <w:rFonts w:eastAsia="Times New Roman"/>
        </w:rPr>
        <w:t xml:space="preserve"> authority.</w:t>
      </w:r>
    </w:p>
    <w:p w:rsidR="3F4F525B" w:rsidRPr="00191B42" w:rsidP="003B10C6">
      <w:pPr>
        <w:pStyle w:val="NumPar1"/>
      </w:pPr>
      <w:r w:rsidRPr="00191B42">
        <w:t>Personal data contained in the user profiles</w:t>
      </w:r>
      <w:r w:rsidRPr="00191B42" w:rsidR="00085848">
        <w:t xml:space="preserve"> </w:t>
      </w:r>
      <w:r w:rsidRPr="00191B42" w:rsidR="00007CEA">
        <w:t>and</w:t>
      </w:r>
      <w:r w:rsidRPr="00191B42" w:rsidR="00085848">
        <w:t xml:space="preserve"> user </w:t>
      </w:r>
      <w:r w:rsidRPr="006448B3" w:rsidR="00085848">
        <w:t>accounts</w:t>
      </w:r>
      <w:r w:rsidRPr="006448B3">
        <w:t xml:space="preserve"> of the </w:t>
      </w:r>
      <w:r w:rsidRPr="006448B3" w:rsidR="00874AD2">
        <w:t xml:space="preserve">competent </w:t>
      </w:r>
      <w:r w:rsidRPr="006448B3">
        <w:t>national authorities</w:t>
      </w:r>
      <w:r w:rsidRPr="006448B3" w:rsidR="008E710B">
        <w:t xml:space="preserve"> and customs authorities</w:t>
      </w:r>
      <w:r w:rsidRPr="00191B42">
        <w:t xml:space="preserve"> shall be processed by the Commission in its capacity as controller in accordance with Regulation (EU) 2018/1725. </w:t>
      </w:r>
    </w:p>
    <w:p w:rsidR="7A2C13A0" w:rsidRPr="0022272E" w:rsidP="07E0D328">
      <w:pPr>
        <w:pStyle w:val="Titrearticle"/>
        <w:rPr>
          <w:b/>
          <w:bCs/>
          <w:i w:val="0"/>
          <w:iCs/>
        </w:rPr>
      </w:pPr>
      <w:r w:rsidRPr="00191B42">
        <w:t>Article</w:t>
      </w:r>
      <w:r w:rsidR="00C32C53">
        <w:t xml:space="preserve"> </w:t>
      </w:r>
      <w:r w:rsidR="00C4630C">
        <w:t>8</w:t>
      </w:r>
      <w:r w:rsidR="00A861C9">
        <w:br/>
      </w:r>
      <w:r w:rsidRPr="0022272E" w:rsidR="00A861C9">
        <w:rPr>
          <w:b/>
          <w:bCs/>
          <w:i w:val="0"/>
          <w:iCs/>
        </w:rPr>
        <w:t>Registration of a digital product passport</w:t>
      </w:r>
    </w:p>
    <w:p w:rsidR="003B10C6" w:rsidRPr="006F1174" w:rsidP="0019023C">
      <w:pPr>
        <w:pStyle w:val="NumPar1"/>
        <w:numPr>
          <w:ilvl w:val="0"/>
          <w:numId w:val="12"/>
        </w:numPr>
      </w:pPr>
      <w:r w:rsidRPr="00191B42">
        <w:t xml:space="preserve">For products </w:t>
      </w:r>
      <w:r w:rsidR="00A44C8F">
        <w:t>referred to</w:t>
      </w:r>
      <w:r w:rsidRPr="00191B42" w:rsidR="00A44C8F">
        <w:t xml:space="preserve"> </w:t>
      </w:r>
      <w:r w:rsidRPr="006F1174">
        <w:t>in Article 1(1)</w:t>
      </w:r>
      <w:r w:rsidRPr="006F1174" w:rsidR="00A44C8F">
        <w:t xml:space="preserve">, point </w:t>
      </w:r>
      <w:r w:rsidRPr="006F1174">
        <w:t>(a)</w:t>
      </w:r>
      <w:r w:rsidRPr="006F1174" w:rsidR="001C3310">
        <w:t>,</w:t>
      </w:r>
      <w:r w:rsidRPr="006F1174" w:rsidR="0009102E">
        <w:t xml:space="preserve"> </w:t>
      </w:r>
      <w:r w:rsidRPr="006F1174">
        <w:t>a</w:t>
      </w:r>
      <w:r w:rsidRPr="006F1174" w:rsidR="005775C3">
        <w:t xml:space="preserve"> digital product passport shall be registered</w:t>
      </w:r>
      <w:r w:rsidRPr="006F1174" w:rsidR="002D6121">
        <w:t xml:space="preserve"> by</w:t>
      </w:r>
      <w:r w:rsidRPr="006F1174" w:rsidR="004F53F9">
        <w:t xml:space="preserve"> economic operator</w:t>
      </w:r>
      <w:r w:rsidRPr="006F1174" w:rsidR="005775C3">
        <w:t xml:space="preserve"> </w:t>
      </w:r>
      <w:r w:rsidRPr="006F1174" w:rsidR="004F53F9">
        <w:t xml:space="preserve">placing the product on the market or putting it into service </w:t>
      </w:r>
      <w:r w:rsidRPr="006F1174" w:rsidR="005775C3">
        <w:t xml:space="preserve">at </w:t>
      </w:r>
      <w:r w:rsidRPr="006F1174" w:rsidR="004C3653">
        <w:t xml:space="preserve">least </w:t>
      </w:r>
      <w:r w:rsidRPr="006F1174" w:rsidR="005775C3">
        <w:t xml:space="preserve">at the level specified in the applicable delegated acts (model, batch or item level) </w:t>
      </w:r>
      <w:r w:rsidRPr="006F1174" w:rsidR="001C3310">
        <w:t xml:space="preserve">adopted </w:t>
      </w:r>
      <w:r w:rsidRPr="006F1174" w:rsidR="005775C3">
        <w:t>pursuant to Article 4 of Regulation (EU) 2024/1789.</w:t>
      </w:r>
    </w:p>
    <w:p w:rsidR="001E5EDE" w:rsidRPr="006F1174" w:rsidP="00EB5011">
      <w:pPr>
        <w:pStyle w:val="NumPar1"/>
      </w:pPr>
      <w:r w:rsidRPr="006F1174">
        <w:t xml:space="preserve">For products </w:t>
      </w:r>
      <w:r w:rsidRPr="006F1174" w:rsidR="001F1483">
        <w:t xml:space="preserve">referred to </w:t>
      </w:r>
      <w:r w:rsidRPr="006F1174">
        <w:t>in Article 1(1)</w:t>
      </w:r>
      <w:r w:rsidRPr="006F1174" w:rsidR="001F1483">
        <w:t>, point</w:t>
      </w:r>
      <w:r w:rsidRPr="006F1174" w:rsidR="002D6121">
        <w:t>s</w:t>
      </w:r>
      <w:r w:rsidRPr="006F1174" w:rsidR="001F1483">
        <w:t xml:space="preserve"> </w:t>
      </w:r>
      <w:r w:rsidRPr="006F1174">
        <w:t>(b)</w:t>
      </w:r>
      <w:r w:rsidRPr="006F1174" w:rsidR="311BAC14">
        <w:t xml:space="preserve"> to </w:t>
      </w:r>
      <w:r w:rsidRPr="006F1174" w:rsidR="002D6121">
        <w:t>(f)</w:t>
      </w:r>
      <w:r w:rsidRPr="006F1174">
        <w:t>,</w:t>
      </w:r>
      <w:r w:rsidRPr="006F1174" w:rsidR="0009102E">
        <w:t xml:space="preserve"> </w:t>
      </w:r>
      <w:r w:rsidRPr="006F1174">
        <w:t xml:space="preserve">a digital product passport shall be registered </w:t>
      </w:r>
      <w:r w:rsidRPr="006F1174" w:rsidR="002D6121">
        <w:t xml:space="preserve">by </w:t>
      </w:r>
      <w:r w:rsidRPr="006F1174" w:rsidR="004F53F9">
        <w:t>the relevant</w:t>
      </w:r>
      <w:r w:rsidRPr="006F1174" w:rsidR="002E20CD">
        <w:t xml:space="preserve"> actor</w:t>
      </w:r>
      <w:r w:rsidRPr="006F1174" w:rsidR="002D6121">
        <w:t xml:space="preserve"> </w:t>
      </w:r>
      <w:r w:rsidRPr="006F1174" w:rsidR="002E20CD">
        <w:t>at the level</w:t>
      </w:r>
      <w:r w:rsidRPr="006F1174" w:rsidR="000310E2">
        <w:t xml:space="preserve"> (model, batch or item</w:t>
      </w:r>
      <w:r w:rsidRPr="006F1174" w:rsidR="006F1174">
        <w:t xml:space="preserve"> level</w:t>
      </w:r>
      <w:r w:rsidRPr="006F1174" w:rsidR="000310E2">
        <w:t>)</w:t>
      </w:r>
      <w:r w:rsidRPr="006F1174" w:rsidR="002E20CD">
        <w:t xml:space="preserve"> specified in the relevant Union law</w:t>
      </w:r>
      <w:r w:rsidRPr="006F1174" w:rsidR="001C3310">
        <w:t>.</w:t>
      </w:r>
      <w:r w:rsidRPr="006F1174" w:rsidR="000310E2">
        <w:t xml:space="preserve"> </w:t>
      </w:r>
    </w:p>
    <w:p w:rsidR="00EE2BB0" w:rsidRPr="006F1174" w:rsidP="003009AC">
      <w:pPr>
        <w:pStyle w:val="NumPar1"/>
      </w:pPr>
      <w:r w:rsidRPr="006F1174">
        <w:t>Where the digital product passport is created</w:t>
      </w:r>
      <w:r w:rsidRPr="006F1174" w:rsidR="003009AC">
        <w:t xml:space="preserve"> </w:t>
      </w:r>
      <w:r w:rsidRPr="006F1174" w:rsidR="00B66F7D">
        <w:t>at</w:t>
      </w:r>
      <w:r w:rsidRPr="006F1174" w:rsidR="003009AC">
        <w:t xml:space="preserve"> item level,</w:t>
      </w:r>
      <w:r w:rsidRPr="006F1174">
        <w:t xml:space="preserve"> in </w:t>
      </w:r>
      <w:r w:rsidRPr="006F1174" w:rsidR="003009AC">
        <w:t>accordance with paragraph 1, both batch and model identifiers shall be linked to that digital product passport where batch and model design exist in the production.</w:t>
      </w:r>
    </w:p>
    <w:p w:rsidR="003009AC" w:rsidRPr="003009AC" w:rsidP="00EB5011">
      <w:pPr>
        <w:pStyle w:val="NumPar1"/>
      </w:pPr>
      <w:r w:rsidRPr="006F1174">
        <w:t xml:space="preserve">Where the digital product passport is created </w:t>
      </w:r>
      <w:r w:rsidRPr="006F1174" w:rsidR="00CE72D9">
        <w:t>at</w:t>
      </w:r>
      <w:r w:rsidRPr="006F1174">
        <w:t xml:space="preserve"> batch level</w:t>
      </w:r>
      <w:r w:rsidR="006F1174">
        <w:t>,</w:t>
      </w:r>
      <w:r w:rsidRPr="006F1174">
        <w:t xml:space="preserve"> in accordance with paragraph 1, </w:t>
      </w:r>
      <w:r w:rsidRPr="006F1174" w:rsidR="000F0FD0">
        <w:t xml:space="preserve">the </w:t>
      </w:r>
      <w:r w:rsidRPr="006F1174">
        <w:t>model i</w:t>
      </w:r>
      <w:r>
        <w:t xml:space="preserve">dentifier shall be linked to that digital product passport </w:t>
      </w:r>
      <w:r w:rsidR="006F1174">
        <w:t>where</w:t>
      </w:r>
      <w:r>
        <w:t xml:space="preserve"> model design exists in the production.</w:t>
      </w:r>
    </w:p>
    <w:p w:rsidR="003B10C6" w:rsidRPr="006F1174">
      <w:pPr>
        <w:pStyle w:val="NumPar1"/>
      </w:pPr>
      <w:r w:rsidRPr="00191B42">
        <w:t>An economic operator</w:t>
      </w:r>
      <w:r w:rsidRPr="00191B42" w:rsidR="00214484">
        <w:t xml:space="preserve"> </w:t>
      </w:r>
      <w:r w:rsidRPr="00191B42">
        <w:t xml:space="preserve">shall register a </w:t>
      </w:r>
      <w:r w:rsidRPr="006F1174">
        <w:t xml:space="preserve">digital product passport either through the secure user interface of the </w:t>
      </w:r>
      <w:r w:rsidRPr="006F1174" w:rsidR="3BB4DDFD">
        <w:t>registry</w:t>
      </w:r>
      <w:r w:rsidRPr="006F1174" w:rsidR="00AF7EA4">
        <w:t xml:space="preserve"> as provided </w:t>
      </w:r>
      <w:r w:rsidRPr="006F1174" w:rsidR="00117C97">
        <w:t xml:space="preserve">for </w:t>
      </w:r>
      <w:r w:rsidRPr="006F1174" w:rsidR="00AF7EA4">
        <w:t>in Article 3</w:t>
      </w:r>
      <w:r w:rsidRPr="006F1174" w:rsidR="00117C97">
        <w:t xml:space="preserve">, point </w:t>
      </w:r>
      <w:r w:rsidRPr="006F1174" w:rsidR="00AF7EA4">
        <w:t>(a),</w:t>
      </w:r>
      <w:r w:rsidRPr="006F1174">
        <w:t xml:space="preserve"> or </w:t>
      </w:r>
      <w:r w:rsidRPr="006F1174" w:rsidR="008B1073">
        <w:t xml:space="preserve">through </w:t>
      </w:r>
      <w:r w:rsidRPr="006F1174">
        <w:t xml:space="preserve">the </w:t>
      </w:r>
      <w:r w:rsidRPr="006F1174" w:rsidR="00AF7EA4">
        <w:t>API as provided</w:t>
      </w:r>
      <w:r w:rsidRPr="006F1174" w:rsidR="00117C97">
        <w:t xml:space="preserve"> for</w:t>
      </w:r>
      <w:r w:rsidRPr="006F1174" w:rsidR="00AF7EA4">
        <w:t xml:space="preserve"> in Article 3</w:t>
      </w:r>
      <w:r w:rsidRPr="006F1174" w:rsidR="00117C97">
        <w:t xml:space="preserve">, point </w:t>
      </w:r>
      <w:r w:rsidRPr="006F1174" w:rsidR="00AF7EA4">
        <w:t>(b)</w:t>
      </w:r>
      <w:r w:rsidRPr="006F1174">
        <w:t xml:space="preserve">. </w:t>
      </w:r>
    </w:p>
    <w:p w:rsidR="00AF7EA4" w:rsidRPr="00191B42" w:rsidP="00CD2131">
      <w:pPr>
        <w:pStyle w:val="NumPar1"/>
      </w:pPr>
      <w:r w:rsidRPr="00191B42">
        <w:t xml:space="preserve">Upon submission for registration, the </w:t>
      </w:r>
      <w:r w:rsidR="001C3310">
        <w:t xml:space="preserve">Commission </w:t>
      </w:r>
      <w:r w:rsidRPr="00191B42">
        <w:t xml:space="preserve">shall automatically verify: </w:t>
      </w:r>
    </w:p>
    <w:p w:rsidR="006E7492" w:rsidRPr="00191B42" w:rsidP="0019023C">
      <w:pPr>
        <w:pStyle w:val="Point1letter"/>
        <w:numPr>
          <w:ilvl w:val="3"/>
          <w:numId w:val="21"/>
        </w:numPr>
      </w:pPr>
      <w:r w:rsidRPr="00191B42">
        <w:t xml:space="preserve">the </w:t>
      </w:r>
      <w:r w:rsidRPr="00191B42" w:rsidR="005D2A57">
        <w:t xml:space="preserve">existence and semantic </w:t>
      </w:r>
      <w:r w:rsidR="005A4624">
        <w:t>conformity</w:t>
      </w:r>
      <w:r w:rsidRPr="00191B42" w:rsidR="005A4624">
        <w:t xml:space="preserve"> </w:t>
      </w:r>
      <w:r w:rsidRPr="00191B42">
        <w:t xml:space="preserve">of mandatory data </w:t>
      </w:r>
      <w:r w:rsidRPr="001045D5" w:rsidR="005B79A3">
        <w:t>to be uploaded</w:t>
      </w:r>
      <w:r w:rsidR="00177962">
        <w:t xml:space="preserve"> </w:t>
      </w:r>
      <w:r w:rsidRPr="001045D5" w:rsidR="005B79A3">
        <w:t>in</w:t>
      </w:r>
      <w:r w:rsidR="00177962">
        <w:t xml:space="preserve"> </w:t>
      </w:r>
      <w:r w:rsidRPr="001045D5" w:rsidR="005B79A3">
        <w:t>the registry</w:t>
      </w:r>
      <w:r w:rsidRPr="005B79A3" w:rsidR="005B79A3">
        <w:t xml:space="preserve"> </w:t>
      </w:r>
      <w:r w:rsidRPr="00191B42">
        <w:t xml:space="preserve">as </w:t>
      </w:r>
      <w:r w:rsidR="00E25D3F">
        <w:t>provided for</w:t>
      </w:r>
      <w:r w:rsidRPr="00191B42" w:rsidR="00E25D3F">
        <w:t xml:space="preserve"> </w:t>
      </w:r>
      <w:r w:rsidRPr="00191B42" w:rsidR="00581A4A">
        <w:t xml:space="preserve">in the </w:t>
      </w:r>
      <w:r w:rsidRPr="00191B42" w:rsidR="00487CAD">
        <w:t>applicable delegated acts adopted pursuant to Article</w:t>
      </w:r>
      <w:r w:rsidR="00165094">
        <w:t xml:space="preserve"> </w:t>
      </w:r>
      <w:r w:rsidRPr="00191B42" w:rsidR="00487CAD">
        <w:t>4</w:t>
      </w:r>
      <w:r w:rsidRPr="00191B42" w:rsidR="00581A4A">
        <w:t xml:space="preserve"> of Regulation (EU) 2024/1781</w:t>
      </w:r>
      <w:r w:rsidR="00143C0F">
        <w:t xml:space="preserve"> or</w:t>
      </w:r>
      <w:r w:rsidR="0095250D">
        <w:t xml:space="preserve"> </w:t>
      </w:r>
      <w:r w:rsidRPr="00191B42" w:rsidR="0095250D">
        <w:t>in the applicable delegated acts adopted</w:t>
      </w:r>
      <w:r w:rsidRPr="00191B42" w:rsidR="00DD11CA">
        <w:t xml:space="preserve"> </w:t>
      </w:r>
      <w:r w:rsidR="00D80EE3">
        <w:t>pursuant to Article 77 of</w:t>
      </w:r>
      <w:r w:rsidRPr="00191B42" w:rsidR="00DD11CA">
        <w:t xml:space="preserve"> Regulation (EU) 2023/1542</w:t>
      </w:r>
      <w:r w:rsidR="00165094">
        <w:t>,</w:t>
      </w:r>
      <w:r w:rsidRPr="00191B42" w:rsidR="00DD11CA">
        <w:t xml:space="preserve"> or under other Union law </w:t>
      </w:r>
      <w:r w:rsidR="00371322">
        <w:t>providing for</w:t>
      </w:r>
      <w:r w:rsidRPr="00191B42" w:rsidR="00371322">
        <w:t xml:space="preserve"> </w:t>
      </w:r>
      <w:r w:rsidRPr="00191B42" w:rsidR="00DD11CA">
        <w:t xml:space="preserve">data to be </w:t>
      </w:r>
      <w:r w:rsidRPr="00191B42" w:rsidR="00373129">
        <w:t>registered in the digital product passport registry</w:t>
      </w:r>
      <w:r w:rsidRPr="00191B42">
        <w:t xml:space="preserve">; </w:t>
      </w:r>
    </w:p>
    <w:p w:rsidR="00626BFA" w:rsidRPr="00191B42" w:rsidP="003F3D33">
      <w:pPr>
        <w:pStyle w:val="Point1letter"/>
      </w:pPr>
      <w:r w:rsidRPr="00191B42">
        <w:t>the conformity of the</w:t>
      </w:r>
      <w:r w:rsidRPr="00191B42">
        <w:t xml:space="preserve"> digital product passport </w:t>
      </w:r>
      <w:r w:rsidR="004F53F9">
        <w:t>with the granularity level (</w:t>
      </w:r>
      <w:r w:rsidRPr="00191B42">
        <w:t>model, batch or item</w:t>
      </w:r>
      <w:r w:rsidR="004F53F9">
        <w:t>)</w:t>
      </w:r>
      <w:r w:rsidRPr="00191B42">
        <w:t xml:space="preserve"> as</w:t>
      </w:r>
      <w:r w:rsidRPr="00191B42">
        <w:t xml:space="preserve"> </w:t>
      </w:r>
      <w:r w:rsidR="00371322">
        <w:t>provided for</w:t>
      </w:r>
      <w:r w:rsidRPr="00191B42" w:rsidR="00371322">
        <w:t xml:space="preserve"> </w:t>
      </w:r>
      <w:r w:rsidRPr="00191B42">
        <w:t xml:space="preserve">in the </w:t>
      </w:r>
      <w:r w:rsidRPr="00191B42" w:rsidR="00487CAD">
        <w:t>applicable</w:t>
      </w:r>
      <w:r w:rsidRPr="00191B42">
        <w:t xml:space="preserve"> delegated acts adopted pursuant to Article 4 of Regulation (EU) 2024/1781</w:t>
      </w:r>
      <w:r w:rsidR="00143C0F">
        <w:t xml:space="preserve"> or</w:t>
      </w:r>
      <w:r w:rsidRPr="00191B42" w:rsidR="004E55BB">
        <w:t xml:space="preserve"> </w:t>
      </w:r>
      <w:r w:rsidRPr="00191B42" w:rsidR="00504577">
        <w:t xml:space="preserve">in the applicable delegated acts adopted </w:t>
      </w:r>
      <w:r w:rsidR="00504577">
        <w:t>pursuant to Article 77 of</w:t>
      </w:r>
      <w:r w:rsidRPr="00191B42" w:rsidR="004E55BB">
        <w:t xml:space="preserve"> Regulation (EU) 2023/1542</w:t>
      </w:r>
      <w:r w:rsidR="00490C1E">
        <w:t>,</w:t>
      </w:r>
      <w:r w:rsidRPr="00191B42" w:rsidR="004E55BB">
        <w:t xml:space="preserve"> or under other Union law </w:t>
      </w:r>
      <w:r w:rsidR="00B4633E">
        <w:t>providing for</w:t>
      </w:r>
      <w:r w:rsidR="000779D2">
        <w:t xml:space="preserve"> a</w:t>
      </w:r>
      <w:r w:rsidRPr="00191B42" w:rsidR="00B4633E">
        <w:t xml:space="preserve"> </w:t>
      </w:r>
      <w:r w:rsidRPr="00191B42" w:rsidR="004E55BB">
        <w:t>specific level for the digital product passport to be registered in the registry</w:t>
      </w:r>
      <w:r w:rsidRPr="00191B42">
        <w:t xml:space="preserve">; </w:t>
      </w:r>
    </w:p>
    <w:p w:rsidR="00317ED3" w:rsidRPr="00191B42" w:rsidP="003F3D33">
      <w:pPr>
        <w:pStyle w:val="Point1letter"/>
      </w:pPr>
      <w:r w:rsidRPr="00191B42">
        <w:t xml:space="preserve">where relevant, </w:t>
      </w:r>
      <w:r w:rsidRPr="00191B42">
        <w:t xml:space="preserve">the validity of the commodity code </w:t>
      </w:r>
      <w:r w:rsidR="000779D2">
        <w:t xml:space="preserve">of the product </w:t>
      </w:r>
      <w:r w:rsidRPr="00191B42" w:rsidR="00626BFA">
        <w:t xml:space="preserve">in relation to </w:t>
      </w:r>
      <w:r w:rsidRPr="00191B42">
        <w:t xml:space="preserve">the permitted ranges for </w:t>
      </w:r>
      <w:r w:rsidRPr="00191B42" w:rsidR="00626BFA">
        <w:t xml:space="preserve">this </w:t>
      </w:r>
      <w:r w:rsidRPr="00191B42">
        <w:t>product group</w:t>
      </w:r>
      <w:r w:rsidRPr="00191B42" w:rsidR="00FE0311">
        <w:t>;</w:t>
      </w:r>
    </w:p>
    <w:p w:rsidR="00487CAD" w:rsidRPr="00191B42" w:rsidP="003F3D33">
      <w:pPr>
        <w:pStyle w:val="Point1letter"/>
      </w:pPr>
      <w:r w:rsidRPr="00191B42">
        <w:t xml:space="preserve">where relevant, </w:t>
      </w:r>
      <w:r w:rsidRPr="00191B42">
        <w:t xml:space="preserve">the </w:t>
      </w:r>
      <w:r w:rsidR="001C5DEC">
        <w:t xml:space="preserve">link to the back-up hosted by a </w:t>
      </w:r>
      <w:r w:rsidRPr="00191B42">
        <w:t>digital product passport service provider</w:t>
      </w:r>
      <w:r w:rsidRPr="00191B42" w:rsidR="00FE0311">
        <w:t>;</w:t>
      </w:r>
    </w:p>
    <w:p w:rsidR="00FE0311" w:rsidRPr="00191B42" w:rsidP="003F3D33">
      <w:pPr>
        <w:pStyle w:val="Point1letter"/>
      </w:pPr>
      <w:r w:rsidRPr="00191B42">
        <w:t>the use of a qualified electronic signature or a qualified electronic seal in accordance with Regulation (EU) No 910/2014.</w:t>
      </w:r>
    </w:p>
    <w:p w:rsidR="003B10C6" w:rsidP="147BFB2D">
      <w:pPr>
        <w:pStyle w:val="NumPar1"/>
      </w:pPr>
      <w:r w:rsidRPr="00191B42">
        <w:t xml:space="preserve">Following a </w:t>
      </w:r>
      <w:r w:rsidRPr="006F1174">
        <w:t xml:space="preserve">successful </w:t>
      </w:r>
      <w:r w:rsidRPr="006F1174" w:rsidR="005C481A">
        <w:t xml:space="preserve">verification </w:t>
      </w:r>
      <w:r w:rsidRPr="006F1174" w:rsidR="00EA450C">
        <w:t>in accordance with</w:t>
      </w:r>
      <w:r w:rsidRPr="006F1174">
        <w:t xml:space="preserve"> paragraph </w:t>
      </w:r>
      <w:r w:rsidRPr="006F1174" w:rsidR="0076490A">
        <w:t>4</w:t>
      </w:r>
      <w:r w:rsidRPr="006F1174">
        <w:t xml:space="preserve">, the </w:t>
      </w:r>
      <w:r w:rsidRPr="006F1174" w:rsidR="31E21F6D">
        <w:t>r</w:t>
      </w:r>
      <w:r w:rsidRPr="006F1174">
        <w:t>egistry shall generate and</w:t>
      </w:r>
      <w:r w:rsidRPr="00191B42">
        <w:t xml:space="preserve"> store </w:t>
      </w:r>
      <w:r w:rsidRPr="00191B42" w:rsidR="00014649">
        <w:t>a unique and persistent registration identifier as part of the registration data.</w:t>
      </w:r>
    </w:p>
    <w:p w:rsidR="006C6F00" w:rsidRPr="00191B42" w:rsidP="00CD2131">
      <w:pPr>
        <w:pStyle w:val="NumPar1"/>
      </w:pPr>
      <w:r>
        <w:t xml:space="preserve">Additionally, </w:t>
      </w:r>
      <w:r w:rsidRPr="00191B42" w:rsidR="00C11F8F">
        <w:t xml:space="preserve">the </w:t>
      </w:r>
      <w:r w:rsidR="00C11F8F">
        <w:t xml:space="preserve">Commission </w:t>
      </w:r>
      <w:r w:rsidRPr="00191B42" w:rsidR="00014649">
        <w:t xml:space="preserve">shall store </w:t>
      </w:r>
      <w:r w:rsidR="00C7588B">
        <w:t>in the registry</w:t>
      </w:r>
      <w:r w:rsidRPr="00191B42" w:rsidR="00C7588B">
        <w:t xml:space="preserve"> the following</w:t>
      </w:r>
      <w:r w:rsidR="00C7588B">
        <w:t xml:space="preserve"> information </w:t>
      </w:r>
      <w:r w:rsidRPr="00191B42" w:rsidR="00014649">
        <w:t>as part of the</w:t>
      </w:r>
      <w:r w:rsidRPr="00191B42" w:rsidR="00317ED3">
        <w:t xml:space="preserve"> registration data: </w:t>
      </w:r>
    </w:p>
    <w:p w:rsidR="00B81359" w:rsidRPr="005C481A" w:rsidP="0019023C">
      <w:pPr>
        <w:pStyle w:val="Point1letter"/>
        <w:numPr>
          <w:ilvl w:val="3"/>
          <w:numId w:val="6"/>
        </w:numPr>
      </w:pPr>
      <w:r w:rsidRPr="005C481A">
        <w:t>where relevant, the unique identifiers;</w:t>
      </w:r>
    </w:p>
    <w:p w:rsidR="00AF2764" w:rsidRPr="005C481A" w:rsidP="003F3D33">
      <w:pPr>
        <w:pStyle w:val="Point1letter"/>
      </w:pPr>
      <w:r w:rsidRPr="005C481A">
        <w:t>where relevant, the commodity code of the product;</w:t>
      </w:r>
    </w:p>
    <w:p w:rsidR="006C6F00" w:rsidRPr="00191B42" w:rsidP="003F3D33">
      <w:pPr>
        <w:pStyle w:val="Point1letter"/>
      </w:pPr>
      <w:r w:rsidRPr="005C481A">
        <w:t xml:space="preserve">where relevant, </w:t>
      </w:r>
      <w:r w:rsidRPr="005C481A" w:rsidR="004B6D04">
        <w:t>reference</w:t>
      </w:r>
      <w:r w:rsidRPr="00191B42" w:rsidR="004B6D04">
        <w:t xml:space="preserve"> to the digital product passport service provider;</w:t>
      </w:r>
    </w:p>
    <w:p w:rsidR="00AF2764" w:rsidRPr="00191B42" w:rsidP="003F3D33">
      <w:pPr>
        <w:pStyle w:val="Point1letter"/>
      </w:pPr>
      <w:r>
        <w:t>r</w:t>
      </w:r>
      <w:r w:rsidRPr="00191B42" w:rsidR="004B6D04">
        <w:t>egistrant information</w:t>
      </w:r>
      <w:r w:rsidRPr="00191B42" w:rsidR="002234C6">
        <w:t xml:space="preserve">, </w:t>
      </w:r>
      <w:r w:rsidR="002E7784">
        <w:t xml:space="preserve">including </w:t>
      </w:r>
      <w:r w:rsidRPr="00191B42" w:rsidR="009F0136">
        <w:t>date and time</w:t>
      </w:r>
      <w:r w:rsidRPr="00191B42" w:rsidR="002234C6">
        <w:t xml:space="preserve"> of the registration and the integrity of the digital product passport</w:t>
      </w:r>
      <w:r w:rsidRPr="00191B42" w:rsidR="009F0136">
        <w:t xml:space="preserve"> as part of the </w:t>
      </w:r>
      <w:r w:rsidRPr="00191B42" w:rsidR="00317ED3">
        <w:t>evidence of the registration event.</w:t>
      </w:r>
    </w:p>
    <w:p w:rsidR="674DA205" w:rsidRPr="00171851" w:rsidP="003B10C6">
      <w:pPr>
        <w:pStyle w:val="NumPar1"/>
      </w:pPr>
      <w:r w:rsidRPr="007B4193">
        <w:t xml:space="preserve">Upon </w:t>
      </w:r>
      <w:r w:rsidR="0066733A">
        <w:t>succes</w:t>
      </w:r>
      <w:r w:rsidR="00E440C6">
        <w:t>s</w:t>
      </w:r>
      <w:r w:rsidR="0066733A">
        <w:t>ful submission</w:t>
      </w:r>
      <w:r w:rsidRPr="007B4193">
        <w:t xml:space="preserve"> by </w:t>
      </w:r>
      <w:r w:rsidR="00175965">
        <w:t>the relevant</w:t>
      </w:r>
      <w:r w:rsidRPr="00064190" w:rsidR="00175965">
        <w:t xml:space="preserve"> actor</w:t>
      </w:r>
      <w:r w:rsidR="00175965">
        <w:t xml:space="preserve"> as referd to in paragraph 1, </w:t>
      </w:r>
      <w:r w:rsidRPr="007B4193">
        <w:t xml:space="preserve"> of the data in the registry, the </w:t>
      </w:r>
      <w:r w:rsidR="00C11F8F">
        <w:t xml:space="preserve">Commission </w:t>
      </w:r>
      <w:r w:rsidRPr="007B4193">
        <w:t xml:space="preserve">shall automatically communicate to that economic operator the unique </w:t>
      </w:r>
      <w:r w:rsidRPr="0076490A">
        <w:t xml:space="preserve">registration identifier for that specific product generated in accordance </w:t>
      </w:r>
      <w:r w:rsidRPr="006F1174">
        <w:t xml:space="preserve">with </w:t>
      </w:r>
      <w:r w:rsidRPr="006F1174" w:rsidR="00C11F8F">
        <w:t xml:space="preserve">paragraph </w:t>
      </w:r>
      <w:r w:rsidRPr="006F1174" w:rsidR="0076490A">
        <w:t>5</w:t>
      </w:r>
      <w:r w:rsidRPr="006F1174">
        <w:t xml:space="preserve">. </w:t>
      </w:r>
      <w:r w:rsidRPr="006F1174" w:rsidR="00621586">
        <w:t>The</w:t>
      </w:r>
      <w:r w:rsidRPr="0076490A" w:rsidR="00621586">
        <w:t xml:space="preserve"> unique</w:t>
      </w:r>
      <w:r w:rsidRPr="00417EA1" w:rsidR="00621586">
        <w:t xml:space="preserve"> registration identifier </w:t>
      </w:r>
      <w:r w:rsidR="00E72497">
        <w:t>shall be</w:t>
      </w:r>
      <w:r w:rsidRPr="00417EA1" w:rsidR="00621586">
        <w:t xml:space="preserve"> communicated </w:t>
      </w:r>
      <w:r w:rsidRPr="00417EA1" w:rsidR="00317ED3">
        <w:t xml:space="preserve">through the user interface </w:t>
      </w:r>
      <w:r w:rsidRPr="00417EA1" w:rsidR="00621586">
        <w:t>or</w:t>
      </w:r>
      <w:r w:rsidRPr="00417EA1" w:rsidR="00317ED3">
        <w:t xml:space="preserve"> the API response</w:t>
      </w:r>
      <w:r w:rsidRPr="00417EA1" w:rsidR="00621586">
        <w:t xml:space="preserve">, </w:t>
      </w:r>
      <w:r w:rsidRPr="00417EA1" w:rsidR="00A94AF1">
        <w:t>depending on the service used by the economic operator during registration</w:t>
      </w:r>
      <w:r w:rsidRPr="00191B42" w:rsidR="00317ED3">
        <w:t xml:space="preserve">. </w:t>
      </w:r>
    </w:p>
    <w:p w:rsidR="00C92D7B" w:rsidRPr="0022272E" w:rsidP="00C92D7B">
      <w:pPr>
        <w:pStyle w:val="Titrearticle"/>
        <w:rPr>
          <w:b/>
          <w:bCs/>
          <w:i w:val="0"/>
          <w:iCs/>
        </w:rPr>
      </w:pPr>
      <w:r w:rsidRPr="00191B42">
        <w:t xml:space="preserve">Article </w:t>
      </w:r>
      <w:r w:rsidR="00C4630C">
        <w:t>9</w:t>
      </w:r>
      <w:r w:rsidR="00A861C9">
        <w:br/>
      </w:r>
      <w:r w:rsidRPr="0022272E" w:rsidR="00A861C9">
        <w:rPr>
          <w:b/>
          <w:bCs/>
          <w:i w:val="0"/>
          <w:iCs/>
        </w:rPr>
        <w:t>Proof of registration</w:t>
      </w:r>
    </w:p>
    <w:p w:rsidR="003B10C6" w:rsidP="0019023C">
      <w:pPr>
        <w:pStyle w:val="NumPar1"/>
        <w:numPr>
          <w:ilvl w:val="0"/>
          <w:numId w:val="13"/>
        </w:numPr>
      </w:pPr>
      <w:r w:rsidRPr="00191B42">
        <w:t>A</w:t>
      </w:r>
      <w:r w:rsidRPr="00191B42" w:rsidR="009A0959">
        <w:t>n</w:t>
      </w:r>
      <w:r w:rsidRPr="00191B42">
        <w:t xml:space="preserve"> economic </w:t>
      </w:r>
      <w:r w:rsidRPr="006F1174">
        <w:t xml:space="preserve">operator </w:t>
      </w:r>
      <w:r w:rsidRPr="006F1174" w:rsidR="00175965">
        <w:t xml:space="preserve">or another relevant actor </w:t>
      </w:r>
      <w:r w:rsidRPr="006F1174">
        <w:t xml:space="preserve">that has registered a digital product passport in the registry </w:t>
      </w:r>
      <w:r w:rsidRPr="006F1174" w:rsidR="001F51CA">
        <w:t xml:space="preserve">in accordance with Article </w:t>
      </w:r>
      <w:r w:rsidRPr="006F1174" w:rsidR="00C4630C">
        <w:t xml:space="preserve">8 </w:t>
      </w:r>
      <w:r w:rsidRPr="006F1174">
        <w:t xml:space="preserve">shall </w:t>
      </w:r>
      <w:r w:rsidRPr="006F1174" w:rsidR="005B79A3">
        <w:t xml:space="preserve">be able to generate, </w:t>
      </w:r>
      <w:r w:rsidRPr="006F1174" w:rsidR="001F51CA">
        <w:t xml:space="preserve">at </w:t>
      </w:r>
      <w:r w:rsidRPr="006F1174" w:rsidR="005B79A3">
        <w:t>any given</w:t>
      </w:r>
      <w:r w:rsidRPr="006F1174" w:rsidR="00E72497">
        <w:t xml:space="preserve"> </w:t>
      </w:r>
      <w:r w:rsidRPr="006F1174" w:rsidR="005B79A3">
        <w:t>time</w:t>
      </w:r>
      <w:r w:rsidRPr="006F1174" w:rsidR="001F51CA">
        <w:t>,</w:t>
      </w:r>
      <w:r w:rsidRPr="006F1174">
        <w:t xml:space="preserve"> proof of registration for one or more</w:t>
      </w:r>
      <w:r w:rsidRPr="00191B42">
        <w:t xml:space="preserve"> digital product passports for which that economic operator is responsible.</w:t>
      </w:r>
    </w:p>
    <w:p w:rsidR="00C92D7B" w:rsidRPr="00191B42" w:rsidP="0EEE9FD3">
      <w:pPr>
        <w:pStyle w:val="NumPar1"/>
      </w:pPr>
      <w:r w:rsidRPr="00191B42">
        <w:t>The proof of registration shall serve as evidence</w:t>
      </w:r>
      <w:r w:rsidR="00C11F8F">
        <w:t>, including vis-</w:t>
      </w:r>
      <w:r w:rsidR="54B357B1">
        <w:t>à</w:t>
      </w:r>
      <w:r w:rsidR="00C11F8F">
        <w:t>-vis</w:t>
      </w:r>
      <w:r w:rsidRPr="00191B42">
        <w:t xml:space="preserve"> third parties</w:t>
      </w:r>
      <w:r w:rsidR="00C11F8F">
        <w:t>,</w:t>
      </w:r>
      <w:r w:rsidRPr="00191B42">
        <w:t xml:space="preserve"> that the registration obligation for </w:t>
      </w:r>
      <w:r w:rsidR="009277AD">
        <w:t>that</w:t>
      </w:r>
      <w:r w:rsidRPr="00191B42">
        <w:t xml:space="preserve"> digital product passport has been fulfilled. It shall be generated as a secure electronic document </w:t>
      </w:r>
      <w:r w:rsidRPr="00191B42" w:rsidR="0076683C">
        <w:t xml:space="preserve">that can be downloaded by the </w:t>
      </w:r>
      <w:r w:rsidRPr="006F1174" w:rsidR="00FE2A65">
        <w:t xml:space="preserve">actor that registered </w:t>
      </w:r>
      <w:r w:rsidR="00FE2A65">
        <w:t>the</w:t>
      </w:r>
      <w:r w:rsidRPr="006F1174" w:rsidR="00FE2A65">
        <w:t xml:space="preserve"> digital product passport</w:t>
      </w:r>
      <w:r w:rsidRPr="00191B42" w:rsidR="00FE2A65">
        <w:t xml:space="preserve"> </w:t>
      </w:r>
      <w:r w:rsidRPr="00191B42" w:rsidR="0076683C">
        <w:t xml:space="preserve">from the registry, </w:t>
      </w:r>
      <w:r w:rsidRPr="00191B42">
        <w:t>containing at least the following data:</w:t>
      </w:r>
    </w:p>
    <w:p w:rsidR="00C92D7B" w:rsidRPr="00251446" w:rsidP="0019023C">
      <w:pPr>
        <w:pStyle w:val="Point1letter"/>
        <w:numPr>
          <w:ilvl w:val="3"/>
          <w:numId w:val="7"/>
        </w:numPr>
      </w:pPr>
      <w:r w:rsidRPr="00251446">
        <w:t xml:space="preserve">the unique </w:t>
      </w:r>
      <w:r w:rsidRPr="00251446" w:rsidR="00C25794">
        <w:t xml:space="preserve">and persistent </w:t>
      </w:r>
      <w:r w:rsidRPr="00251446">
        <w:t xml:space="preserve">registration identifier generated in accordance with Article </w:t>
      </w:r>
      <w:r w:rsidRPr="00251446" w:rsidR="00C4630C">
        <w:t>8</w:t>
      </w:r>
      <w:r w:rsidRPr="00251446" w:rsidR="009A0959">
        <w:t>(</w:t>
      </w:r>
      <w:r w:rsidRPr="00251446" w:rsidR="00C4630C">
        <w:t>5</w:t>
      </w:r>
      <w:r w:rsidRPr="00251446" w:rsidR="009A0959">
        <w:t>)</w:t>
      </w:r>
      <w:r w:rsidRPr="00251446">
        <w:t xml:space="preserve">; </w:t>
      </w:r>
    </w:p>
    <w:p w:rsidR="009A0959" w:rsidRPr="00251446" w:rsidP="003F3D33">
      <w:pPr>
        <w:pStyle w:val="Point1letter"/>
      </w:pPr>
      <w:r w:rsidRPr="00251446">
        <w:t xml:space="preserve">the commodity code </w:t>
      </w:r>
      <w:r w:rsidRPr="00251446" w:rsidR="00C11F8F">
        <w:t>as referred to in</w:t>
      </w:r>
      <w:r w:rsidRPr="00251446">
        <w:t xml:space="preserve"> Article </w:t>
      </w:r>
      <w:r w:rsidRPr="00251446" w:rsidR="00C4630C">
        <w:t>8</w:t>
      </w:r>
      <w:r w:rsidRPr="00251446">
        <w:t>(</w:t>
      </w:r>
      <w:r w:rsidRPr="00251446" w:rsidR="00C4630C">
        <w:t>6</w:t>
      </w:r>
      <w:r w:rsidRPr="00251446">
        <w:t>)</w:t>
      </w:r>
      <w:r w:rsidRPr="00251446" w:rsidR="00BB0AE4">
        <w:t xml:space="preserve">, point </w:t>
      </w:r>
      <w:r w:rsidRPr="00251446">
        <w:t>(</w:t>
      </w:r>
      <w:r w:rsidRPr="00251446" w:rsidR="0076683C">
        <w:t>b</w:t>
      </w:r>
      <w:r w:rsidRPr="00251446">
        <w:t>);</w:t>
      </w:r>
    </w:p>
    <w:p w:rsidR="00C92D7B" w:rsidRPr="00251446" w:rsidP="003F3D33">
      <w:pPr>
        <w:pStyle w:val="Point1letter"/>
      </w:pPr>
      <w:r w:rsidRPr="00251446">
        <w:t>the name and identity of the verified economic operator responsible for the registration</w:t>
      </w:r>
      <w:r w:rsidRPr="00251446" w:rsidR="006668CA">
        <w:t xml:space="preserve"> </w:t>
      </w:r>
      <w:r w:rsidRPr="00251446" w:rsidR="00C11F8F">
        <w:t>as referred to in</w:t>
      </w:r>
      <w:r w:rsidRPr="00251446" w:rsidR="006668CA">
        <w:t xml:space="preserve"> Article </w:t>
      </w:r>
      <w:r w:rsidRPr="00251446" w:rsidR="00C4630C">
        <w:t>8</w:t>
      </w:r>
      <w:r w:rsidRPr="00251446" w:rsidR="006668CA">
        <w:t>(</w:t>
      </w:r>
      <w:r w:rsidRPr="00251446" w:rsidR="00C4630C">
        <w:t>6</w:t>
      </w:r>
      <w:r w:rsidRPr="00251446" w:rsidR="006668CA">
        <w:t>)</w:t>
      </w:r>
      <w:r w:rsidRPr="00251446" w:rsidR="0098773D">
        <w:t xml:space="preserve">, point </w:t>
      </w:r>
      <w:r w:rsidRPr="00251446" w:rsidR="006668CA">
        <w:t>(d)</w:t>
      </w:r>
      <w:r w:rsidRPr="00251446">
        <w:t>;</w:t>
      </w:r>
    </w:p>
    <w:p w:rsidR="006D5289" w:rsidP="003F3D33">
      <w:pPr>
        <w:pStyle w:val="Point1letter"/>
      </w:pPr>
      <w:r w:rsidRPr="00251446">
        <w:t>the date and time of the registration</w:t>
      </w:r>
      <w:r w:rsidRPr="00251446" w:rsidR="0076683C">
        <w:t xml:space="preserve"> </w:t>
      </w:r>
      <w:r w:rsidRPr="00251446" w:rsidR="00C7618E">
        <w:t xml:space="preserve">for the latest version of the digital product passport for which the proof is generated </w:t>
      </w:r>
      <w:r w:rsidRPr="00251446" w:rsidR="0076683C">
        <w:t xml:space="preserve">in accordance with Article </w:t>
      </w:r>
      <w:r w:rsidRPr="00251446" w:rsidR="00C4630C">
        <w:t>8</w:t>
      </w:r>
      <w:r w:rsidRPr="00251446" w:rsidR="0076683C">
        <w:t>(</w:t>
      </w:r>
      <w:r w:rsidRPr="00251446" w:rsidR="00C4630C">
        <w:t>6</w:t>
      </w:r>
      <w:r w:rsidRPr="00251446" w:rsidR="0076683C">
        <w:t>)</w:t>
      </w:r>
      <w:r w:rsidRPr="00251446" w:rsidR="00BB0AE4">
        <w:t xml:space="preserve">, point </w:t>
      </w:r>
      <w:r w:rsidRPr="00251446" w:rsidR="0076683C">
        <w:t>(</w:t>
      </w:r>
      <w:r w:rsidRPr="00251446" w:rsidR="00D0090A">
        <w:t>d</w:t>
      </w:r>
      <w:r w:rsidRPr="00251446" w:rsidR="0076683C">
        <w:t>)</w:t>
      </w:r>
      <w:r w:rsidRPr="00251446">
        <w:t xml:space="preserve">, </w:t>
      </w:r>
      <w:r w:rsidRPr="00251446" w:rsidR="617D964A">
        <w:t>which</w:t>
      </w:r>
      <w:r w:rsidR="617D964A">
        <w:t xml:space="preserve"> is </w:t>
      </w:r>
      <w:r w:rsidRPr="00191B42">
        <w:t>validated by a</w:t>
      </w:r>
      <w:r w:rsidRPr="00191B42" w:rsidR="000E1107">
        <w:t>n</w:t>
      </w:r>
      <w:r w:rsidRPr="00191B42">
        <w:t xml:space="preserve"> electronic time stamp </w:t>
      </w:r>
      <w:r w:rsidRPr="00191B42" w:rsidR="0076683C">
        <w:t>of the Commission</w:t>
      </w:r>
      <w:r w:rsidR="00C7618E">
        <w:t>;</w:t>
      </w:r>
    </w:p>
    <w:p w:rsidR="00C7618E" w:rsidRPr="00191B42" w:rsidP="003F3D33">
      <w:pPr>
        <w:pStyle w:val="Point1letter"/>
      </w:pPr>
      <w:r>
        <w:t>a</w:t>
      </w:r>
      <w:r w:rsidR="00843673">
        <w:t xml:space="preserve"> hash</w:t>
      </w:r>
      <w:r w:rsidRPr="00C7618E">
        <w:t xml:space="preserve"> of the version of the digital product passport for which the proof is generated</w:t>
      </w:r>
      <w:r>
        <w:t>.</w:t>
      </w:r>
    </w:p>
    <w:p w:rsidR="003B10C6" w:rsidP="0B0DB7AB">
      <w:pPr>
        <w:pStyle w:val="NumPar1"/>
      </w:pPr>
      <w:r>
        <w:t>P</w:t>
      </w:r>
      <w:r w:rsidRPr="00191B42" w:rsidR="4AC1EF56">
        <w:t>roof of registration shall be guaranteed by means of a qualified electronic seal</w:t>
      </w:r>
      <w:r w:rsidR="00FC11F7">
        <w:t xml:space="preserve"> </w:t>
      </w:r>
      <w:r w:rsidRPr="00191B42" w:rsidR="00FC11F7">
        <w:t xml:space="preserve">as </w:t>
      </w:r>
      <w:r w:rsidR="00FC11F7">
        <w:t xml:space="preserve">provided for </w:t>
      </w:r>
      <w:r w:rsidRPr="00191B42" w:rsidR="00FC11F7">
        <w:t xml:space="preserve">in </w:t>
      </w:r>
      <w:r w:rsidR="00FC11F7">
        <w:t xml:space="preserve">Article 38 </w:t>
      </w:r>
      <w:r w:rsidR="00843673">
        <w:t xml:space="preserve">of </w:t>
      </w:r>
      <w:r w:rsidRPr="00191B42" w:rsidR="00FC11F7">
        <w:t>Regulation (EU) No 910/2014</w:t>
      </w:r>
      <w:r w:rsidR="00DF4D6D">
        <w:t xml:space="preserve"> and </w:t>
      </w:r>
      <w:r w:rsidR="00843673">
        <w:t xml:space="preserve">by means of </w:t>
      </w:r>
      <w:r w:rsidR="00DF4D6D">
        <w:t>a qualified timestamp</w:t>
      </w:r>
      <w:r w:rsidRPr="00191B42" w:rsidR="4AC1EF56">
        <w:t xml:space="preserve"> </w:t>
      </w:r>
      <w:r w:rsidRPr="00191B42" w:rsidR="00FC11F7">
        <w:t xml:space="preserve">as </w:t>
      </w:r>
      <w:r w:rsidR="00FC11F7">
        <w:t xml:space="preserve">provided for </w:t>
      </w:r>
      <w:r w:rsidRPr="00191B42" w:rsidR="00FC11F7">
        <w:t xml:space="preserve">in </w:t>
      </w:r>
      <w:r w:rsidR="00FC11F7">
        <w:t xml:space="preserve">Article 42 </w:t>
      </w:r>
      <w:r w:rsidR="00843673">
        <w:t xml:space="preserve">of </w:t>
      </w:r>
      <w:r w:rsidR="000F6619">
        <w:t xml:space="preserve">that </w:t>
      </w:r>
      <w:r w:rsidRPr="00191B42" w:rsidR="00FC11F7">
        <w:t>Regulation</w:t>
      </w:r>
      <w:r w:rsidRPr="00191B42" w:rsidR="4AC1EF56">
        <w:t>.</w:t>
      </w:r>
    </w:p>
    <w:p w:rsidR="00C92D7B" w:rsidRPr="00171851" w:rsidP="0B0DB7AB">
      <w:pPr>
        <w:pStyle w:val="NumPar1"/>
      </w:pPr>
      <w:r w:rsidRPr="00191B42">
        <w:t xml:space="preserve">The </w:t>
      </w:r>
      <w:r w:rsidR="00C11F8F">
        <w:t xml:space="preserve">Commission </w:t>
      </w:r>
      <w:r w:rsidRPr="00191B42">
        <w:t xml:space="preserve">shall make available </w:t>
      </w:r>
      <w:r w:rsidR="00C11F8F">
        <w:t xml:space="preserve">in the registry </w:t>
      </w:r>
      <w:r w:rsidRPr="00191B42">
        <w:t xml:space="preserve">to the requesting verified economic operator </w:t>
      </w:r>
      <w:r w:rsidRPr="00191B42" w:rsidR="00C11F8F">
        <w:t xml:space="preserve">the proof of registration </w:t>
      </w:r>
      <w:r w:rsidRPr="00191B42">
        <w:t xml:space="preserve">through </w:t>
      </w:r>
      <w:r w:rsidR="00C11F8F">
        <w:t>the registry’s</w:t>
      </w:r>
      <w:r w:rsidRPr="00191B42">
        <w:t xml:space="preserve"> secure user </w:t>
      </w:r>
      <w:r w:rsidRPr="00843673">
        <w:t>interface</w:t>
      </w:r>
      <w:r w:rsidRPr="00843673" w:rsidR="0057765D">
        <w:t xml:space="preserve"> </w:t>
      </w:r>
      <w:r w:rsidRPr="00843673" w:rsidR="009418AC">
        <w:t xml:space="preserve">or </w:t>
      </w:r>
      <w:r w:rsidRPr="00843673" w:rsidR="009418AC">
        <w:rPr>
          <w:color w:val="000000" w:themeColor="text1"/>
        </w:rPr>
        <w:t>through the API, depending on the service chosen by the economic operator</w:t>
      </w:r>
      <w:r w:rsidRPr="00843673">
        <w:t xml:space="preserve">. </w:t>
      </w:r>
      <w:r w:rsidRPr="00843673" w:rsidR="00BD45DA">
        <w:t>That</w:t>
      </w:r>
      <w:r w:rsidRPr="00191B42">
        <w:t xml:space="preserve"> proof shall remain available for a period of 90 calendar days from the date of its generation</w:t>
      </w:r>
      <w:r w:rsidRPr="00191B42" w:rsidR="00E725C1">
        <w:t>.</w:t>
      </w:r>
    </w:p>
    <w:p w:rsidR="00C92D7B" w:rsidRPr="0022272E" w:rsidP="00C92D7B">
      <w:pPr>
        <w:pStyle w:val="Titrearticle"/>
        <w:rPr>
          <w:b/>
          <w:bCs/>
          <w:i w:val="0"/>
          <w:iCs/>
        </w:rPr>
      </w:pPr>
      <w:r w:rsidRPr="00191B42">
        <w:t>Article </w:t>
      </w:r>
      <w:r w:rsidR="00C4630C">
        <w:t>10</w:t>
      </w:r>
      <w:r w:rsidR="00A861C9">
        <w:br/>
      </w:r>
      <w:r w:rsidRPr="0022272E" w:rsidR="00A861C9">
        <w:rPr>
          <w:b/>
          <w:bCs/>
          <w:i w:val="0"/>
          <w:iCs/>
        </w:rPr>
        <w:t>Registration data management</w:t>
      </w:r>
    </w:p>
    <w:p w:rsidR="003B10C6" w:rsidP="0019023C">
      <w:pPr>
        <w:pStyle w:val="NumPar1"/>
        <w:numPr>
          <w:ilvl w:val="0"/>
          <w:numId w:val="14"/>
        </w:numPr>
      </w:pPr>
      <w:r w:rsidRPr="00191B42">
        <w:t>Any change</w:t>
      </w:r>
      <w:r w:rsidR="00CE3B1F">
        <w:t xml:space="preserve"> </w:t>
      </w:r>
      <w:r w:rsidRPr="00191B42">
        <w:t>to the d</w:t>
      </w:r>
      <w:r w:rsidRPr="00191B42" w:rsidR="000137AC">
        <w:t>igital product passport registration data</w:t>
      </w:r>
      <w:r w:rsidR="00CE3B1F">
        <w:t>,</w:t>
      </w:r>
      <w:r w:rsidRPr="00191B42">
        <w:t xml:space="preserve"> </w:t>
      </w:r>
      <w:r w:rsidR="00CE3B1F">
        <w:t xml:space="preserve">including </w:t>
      </w:r>
      <w:r w:rsidR="00960557">
        <w:t>its</w:t>
      </w:r>
      <w:r w:rsidR="00C84F3E">
        <w:t xml:space="preserve"> </w:t>
      </w:r>
      <w:r w:rsidR="00CE3B1F">
        <w:t xml:space="preserve">creation, </w:t>
      </w:r>
      <w:r w:rsidRPr="00251446" w:rsidR="00CE3B1F">
        <w:t>modification</w:t>
      </w:r>
      <w:r w:rsidRPr="00251446" w:rsidR="00960557">
        <w:t xml:space="preserve"> and</w:t>
      </w:r>
      <w:r w:rsidRPr="00251446" w:rsidR="00CE3B1F">
        <w:t xml:space="preserve"> deletion, </w:t>
      </w:r>
      <w:r w:rsidRPr="00251446" w:rsidR="008B1CDA">
        <w:t xml:space="preserve">shall </w:t>
      </w:r>
      <w:r w:rsidRPr="00251446">
        <w:t xml:space="preserve">be logged in the log system </w:t>
      </w:r>
      <w:r w:rsidRPr="00251446" w:rsidR="00C7588B">
        <w:t xml:space="preserve">of the registry </w:t>
      </w:r>
      <w:r w:rsidRPr="00251446">
        <w:t>in accordance with Article 1</w:t>
      </w:r>
      <w:r w:rsidRPr="00251446" w:rsidR="0098773D">
        <w:t>4</w:t>
      </w:r>
      <w:r w:rsidRPr="00251446" w:rsidR="00CE3B1F">
        <w:t xml:space="preserve"> and reflected</w:t>
      </w:r>
      <w:r w:rsidR="00CE3B1F">
        <w:t xml:space="preserve"> in the status of the registration</w:t>
      </w:r>
      <w:r w:rsidRPr="00191B42">
        <w:t xml:space="preserve">. </w:t>
      </w:r>
    </w:p>
    <w:p w:rsidR="00EA2C07" w:rsidP="00CE3B1F">
      <w:pPr>
        <w:pStyle w:val="NumPar1"/>
      </w:pPr>
      <w:r w:rsidRPr="00191B42">
        <w:t xml:space="preserve">The registry shall support </w:t>
      </w:r>
      <w:r w:rsidR="00C7588B">
        <w:t xml:space="preserve">the </w:t>
      </w:r>
      <w:r w:rsidRPr="00191B42">
        <w:t xml:space="preserve">versioning of </w:t>
      </w:r>
      <w:r w:rsidRPr="004B6854">
        <w:t xml:space="preserve">the registered data by linking each new digital product passport version to the original registration identifier and storing a timestamp </w:t>
      </w:r>
      <w:r w:rsidRPr="004B6854" w:rsidR="00011203">
        <w:t xml:space="preserve">of the Commission </w:t>
      </w:r>
      <w:r w:rsidRPr="004B6854">
        <w:t>for each update.</w:t>
      </w:r>
    </w:p>
    <w:p w:rsidR="000F5CE7">
      <w:pPr>
        <w:pStyle w:val="NumPar1"/>
      </w:pPr>
      <w:r>
        <w:t xml:space="preserve">Where </w:t>
      </w:r>
      <w:r w:rsidRPr="00251446">
        <w:t xml:space="preserve">Union law does not provide for a specific duration of availability of the digital product passport, digital product passport registration data, as referred to in Article </w:t>
      </w:r>
      <w:r w:rsidRPr="00251446" w:rsidR="00C4630C">
        <w:t>8</w:t>
      </w:r>
      <w:r w:rsidRPr="00251446" w:rsidR="6D442A7E">
        <w:t>(</w:t>
      </w:r>
      <w:r w:rsidRPr="00251446" w:rsidR="00C4630C">
        <w:t>5</w:t>
      </w:r>
      <w:r w:rsidRPr="00251446" w:rsidR="7AF5D8A7">
        <w:t>)</w:t>
      </w:r>
      <w:r w:rsidRPr="00251446" w:rsidR="00C4630C">
        <w:t xml:space="preserve"> and </w:t>
      </w:r>
      <w:r w:rsidRPr="00251446" w:rsidR="2E5CA44C">
        <w:t>(</w:t>
      </w:r>
      <w:r w:rsidRPr="00251446" w:rsidR="00C4630C">
        <w:t>6</w:t>
      </w:r>
      <w:r w:rsidRPr="00251446" w:rsidR="2D4C7C03">
        <w:t>)</w:t>
      </w:r>
      <w:r w:rsidRPr="00251446">
        <w:t>, shall</w:t>
      </w:r>
      <w:r>
        <w:t xml:space="preserve"> be deleted automatically from the registry 10 years after registration. </w:t>
      </w:r>
      <w:r w:rsidRPr="000F5CE7">
        <w:t>Where Union law provides for a specific duration of availability of the digital product passport, the retention period of such data shall be aligned with the period of availability of the digital product passport.</w:t>
      </w:r>
    </w:p>
    <w:p w:rsidR="007B2BBD" w:rsidRPr="00191B42" w:rsidP="007B2BBD">
      <w:pPr>
        <w:pStyle w:val="NumPar1"/>
      </w:pPr>
      <w:r>
        <w:t>R</w:t>
      </w:r>
      <w:r w:rsidRPr="00191B42" w:rsidR="00350AA3">
        <w:t>egistry user</w:t>
      </w:r>
      <w:r>
        <w:t>s</w:t>
      </w:r>
      <w:r w:rsidRPr="00191B42" w:rsidR="00350AA3">
        <w:t xml:space="preserve"> ha</w:t>
      </w:r>
      <w:r>
        <w:t>ve</w:t>
      </w:r>
      <w:r w:rsidRPr="00191B42" w:rsidR="00350AA3">
        <w:t xml:space="preserve"> the right to request deletion of their </w:t>
      </w:r>
      <w:r w:rsidR="003839B4">
        <w:t xml:space="preserve">respective </w:t>
      </w:r>
      <w:r w:rsidRPr="00191B42" w:rsidR="00350AA3">
        <w:t>account if they are no longer responsible for activities related to the registry.</w:t>
      </w:r>
      <w:r w:rsidR="00267DE4">
        <w:t xml:space="preserve"> </w:t>
      </w:r>
    </w:p>
    <w:p w:rsidR="00C92D7B" w:rsidRPr="0022272E" w:rsidP="00C92D7B">
      <w:pPr>
        <w:pStyle w:val="Titrearticle"/>
        <w:rPr>
          <w:b/>
          <w:bCs/>
          <w:i w:val="0"/>
          <w:iCs/>
        </w:rPr>
      </w:pPr>
      <w:r w:rsidRPr="00191B42">
        <w:t>Article </w:t>
      </w:r>
      <w:r w:rsidRPr="00191B42" w:rsidR="00C4630C">
        <w:t>1</w:t>
      </w:r>
      <w:r w:rsidR="00C4630C">
        <w:t>1</w:t>
      </w:r>
      <w:r w:rsidR="00A861C9">
        <w:br/>
      </w:r>
      <w:r w:rsidRPr="0022272E" w:rsidR="00A861C9">
        <w:rPr>
          <w:b/>
          <w:bCs/>
          <w:i w:val="0"/>
          <w:iCs/>
        </w:rPr>
        <w:t>Data models</w:t>
      </w:r>
    </w:p>
    <w:p w:rsidR="003B10C6" w:rsidP="0019023C">
      <w:pPr>
        <w:pStyle w:val="NumPar1"/>
        <w:numPr>
          <w:ilvl w:val="0"/>
          <w:numId w:val="15"/>
        </w:numPr>
      </w:pPr>
      <w:r w:rsidRPr="00191B42">
        <w:t xml:space="preserve">All data contained within a digital product passport shall be structured in accordance with the </w:t>
      </w:r>
      <w:r w:rsidRPr="00251446">
        <w:t xml:space="preserve">common data models and semantic definitions published in the </w:t>
      </w:r>
      <w:r w:rsidRPr="00251446" w:rsidR="00DE39A0">
        <w:t xml:space="preserve">semantic repository </w:t>
      </w:r>
      <w:r w:rsidRPr="00251446">
        <w:t xml:space="preserve">referred to in Article </w:t>
      </w:r>
      <w:r w:rsidRPr="00251446" w:rsidR="00DE39A0">
        <w:t>1</w:t>
      </w:r>
      <w:r w:rsidRPr="00251446" w:rsidR="00C4630C">
        <w:t>2</w:t>
      </w:r>
      <w:r w:rsidRPr="00251446">
        <w:t>.</w:t>
      </w:r>
      <w:r w:rsidRPr="00251446" w:rsidR="0042451E">
        <w:t xml:space="preserve"> Data</w:t>
      </w:r>
      <w:r w:rsidRPr="0042451E" w:rsidR="0042451E">
        <w:t xml:space="preserve"> models shall, where applicable, reuse existing EU-level semantic assets, controlled vocabularies and reference data model</w:t>
      </w:r>
      <w:r w:rsidR="00011203">
        <w:t>s.</w:t>
      </w:r>
      <w:r w:rsidR="0042451E">
        <w:t xml:space="preserve"> </w:t>
      </w:r>
      <w:r w:rsidRPr="00191B42">
        <w:t xml:space="preserve"> </w:t>
      </w:r>
    </w:p>
    <w:p w:rsidR="00531135" w:rsidRPr="00191B42" w:rsidP="0019023C">
      <w:pPr>
        <w:pStyle w:val="NumPar1"/>
        <w:numPr>
          <w:ilvl w:val="0"/>
          <w:numId w:val="15"/>
        </w:numPr>
      </w:pPr>
      <w:r w:rsidRPr="00191B42">
        <w:t>The data model for each product group shall provide the structure for at least the following categories of data:</w:t>
      </w:r>
    </w:p>
    <w:p w:rsidR="00531135" w:rsidRPr="00191B42" w:rsidP="0019023C">
      <w:pPr>
        <w:pStyle w:val="Point1letter"/>
        <w:numPr>
          <w:ilvl w:val="3"/>
          <w:numId w:val="24"/>
        </w:numPr>
      </w:pPr>
      <w:r w:rsidRPr="00191B42">
        <w:t xml:space="preserve">data required </w:t>
      </w:r>
      <w:r w:rsidR="00D33A7F">
        <w:t>in accordance with</w:t>
      </w:r>
      <w:r w:rsidRPr="00191B42">
        <w:t xml:space="preserve"> </w:t>
      </w:r>
      <w:r w:rsidRPr="00191B42" w:rsidR="1D3EBE10">
        <w:t>Regulation 2024/1781</w:t>
      </w:r>
      <w:r w:rsidRPr="00191B42">
        <w:t xml:space="preserve"> and </w:t>
      </w:r>
      <w:r w:rsidR="00C7588B">
        <w:t xml:space="preserve">with </w:t>
      </w:r>
      <w:r w:rsidRPr="00191B42">
        <w:t xml:space="preserve">the </w:t>
      </w:r>
      <w:r w:rsidRPr="00191B42" w:rsidR="00DE39A0">
        <w:t xml:space="preserve">applicable </w:t>
      </w:r>
      <w:r w:rsidRPr="00191B42">
        <w:t xml:space="preserve">delegated acts </w:t>
      </w:r>
      <w:r w:rsidRPr="00191B42" w:rsidR="00DE39A0">
        <w:t xml:space="preserve">supplementing </w:t>
      </w:r>
      <w:r w:rsidR="00C1009C">
        <w:t>that Regulation</w:t>
      </w:r>
      <w:r w:rsidRPr="00191B42">
        <w:t>;</w:t>
      </w:r>
    </w:p>
    <w:p w:rsidR="00C92D7B" w:rsidP="00C92D7B">
      <w:pPr>
        <w:pStyle w:val="Point1letter"/>
      </w:pPr>
      <w:r w:rsidRPr="00191B42">
        <w:t xml:space="preserve">data required </w:t>
      </w:r>
      <w:r w:rsidR="00C1009C">
        <w:t>in accordance with</w:t>
      </w:r>
      <w:r w:rsidRPr="00191B42">
        <w:t xml:space="preserve"> other Union legislation applicable to the product that mandates </w:t>
      </w:r>
      <w:r w:rsidRPr="00191B42" w:rsidR="00DE39A0">
        <w:t>the use of a digital product passport for that product</w:t>
      </w:r>
      <w:r w:rsidRPr="00191B42">
        <w:t>.</w:t>
      </w:r>
    </w:p>
    <w:p w:rsidR="0042451E" w:rsidRPr="00CF1335" w:rsidP="0019023C">
      <w:pPr>
        <w:pStyle w:val="NumPar1"/>
        <w:numPr>
          <w:ilvl w:val="0"/>
          <w:numId w:val="15"/>
        </w:numPr>
      </w:pPr>
      <w:r w:rsidRPr="00CF1335">
        <w:t xml:space="preserve">Data models shall be versioned. </w:t>
      </w:r>
    </w:p>
    <w:p w:rsidR="00C92D7B" w:rsidRPr="0022272E" w:rsidP="00C92D7B">
      <w:pPr>
        <w:pStyle w:val="Titrearticle"/>
        <w:rPr>
          <w:b/>
          <w:bCs/>
          <w:i w:val="0"/>
          <w:iCs/>
        </w:rPr>
      </w:pPr>
      <w:r w:rsidRPr="00191B42">
        <w:t>Article </w:t>
      </w:r>
      <w:r w:rsidRPr="00191B42" w:rsidR="00C4630C">
        <w:t>1</w:t>
      </w:r>
      <w:r w:rsidR="00C4630C">
        <w:t>2</w:t>
      </w:r>
      <w:r w:rsidRPr="00191B42" w:rsidR="00C4630C">
        <w:t xml:space="preserve"> </w:t>
      </w:r>
      <w:r w:rsidR="004046CC">
        <w:br/>
      </w:r>
      <w:r w:rsidRPr="0022272E" w:rsidR="004046CC">
        <w:rPr>
          <w:b/>
          <w:bCs/>
          <w:i w:val="0"/>
          <w:iCs/>
        </w:rPr>
        <w:t>Sema</w:t>
      </w:r>
      <w:r w:rsidRPr="0022272E" w:rsidR="00A028FE">
        <w:rPr>
          <w:b/>
          <w:bCs/>
          <w:i w:val="0"/>
          <w:iCs/>
        </w:rPr>
        <w:t>n</w:t>
      </w:r>
      <w:r w:rsidRPr="0022272E" w:rsidR="004046CC">
        <w:rPr>
          <w:b/>
          <w:bCs/>
          <w:i w:val="0"/>
          <w:iCs/>
        </w:rPr>
        <w:t>tic repository</w:t>
      </w:r>
    </w:p>
    <w:p w:rsidR="003B10C6" w:rsidP="0019023C">
      <w:pPr>
        <w:pStyle w:val="NumPar1"/>
        <w:numPr>
          <w:ilvl w:val="0"/>
          <w:numId w:val="25"/>
        </w:numPr>
      </w:pPr>
      <w:r w:rsidRPr="00191B42">
        <w:t xml:space="preserve">The Commission shall establish and maintain a </w:t>
      </w:r>
      <w:r w:rsidRPr="00191B42" w:rsidR="00307187">
        <w:t xml:space="preserve">digital product passport </w:t>
      </w:r>
      <w:r w:rsidRPr="00191B42" w:rsidR="0B9C1ECA">
        <w:t>s</w:t>
      </w:r>
      <w:r w:rsidRPr="00191B42">
        <w:t xml:space="preserve">emantic </w:t>
      </w:r>
      <w:r w:rsidRPr="00191B42" w:rsidR="6E3DC0A5">
        <w:t>r</w:t>
      </w:r>
      <w:r w:rsidRPr="00191B42">
        <w:t>epository</w:t>
      </w:r>
      <w:r w:rsidR="00842994">
        <w:t xml:space="preserve">, which </w:t>
      </w:r>
      <w:r w:rsidRPr="00191B42">
        <w:t>serve</w:t>
      </w:r>
      <w:r w:rsidR="00842994">
        <w:t>s</w:t>
      </w:r>
      <w:r w:rsidRPr="00191B42">
        <w:t xml:space="preserve"> as </w:t>
      </w:r>
      <w:r w:rsidRPr="00191B42" w:rsidR="00307187">
        <w:t xml:space="preserve">an </w:t>
      </w:r>
      <w:r w:rsidRPr="00191B42">
        <w:t>authoritative</w:t>
      </w:r>
      <w:r w:rsidR="00C7588B">
        <w:t xml:space="preserve"> and</w:t>
      </w:r>
      <w:r w:rsidRPr="00191B42">
        <w:t xml:space="preserve"> machine-readable source for the data models, semantic definitions and vocabularies applicable to digital product passports across all product groups.</w:t>
      </w:r>
      <w:r w:rsidR="0042451E">
        <w:t xml:space="preserve"> </w:t>
      </w:r>
      <w:r w:rsidRPr="0042451E" w:rsidR="0042451E">
        <w:t xml:space="preserve">The semantic repository shall be developed and </w:t>
      </w:r>
      <w:r w:rsidRPr="00BB4637" w:rsidR="0042451E">
        <w:t xml:space="preserve">maintained in </w:t>
      </w:r>
      <w:r w:rsidRPr="00BB4637" w:rsidR="463F080B">
        <w:t>accordance</w:t>
      </w:r>
      <w:r w:rsidRPr="00BB4637" w:rsidR="0042451E">
        <w:t xml:space="preserve"> with</w:t>
      </w:r>
      <w:r w:rsidRPr="0042451E" w:rsidR="0042451E">
        <w:t xml:space="preserve"> Regulation (EU) 2024/903</w:t>
      </w:r>
      <w:r w:rsidR="00352D74">
        <w:t xml:space="preserve"> </w:t>
      </w:r>
      <w:r w:rsidRPr="00352D74" w:rsidR="00352D74">
        <w:t>of the European Parliament and of the Council</w:t>
      </w:r>
      <w:r>
        <w:rPr>
          <w:rStyle w:val="FootnoteReference"/>
        </w:rPr>
        <w:footnoteReference w:id="19"/>
      </w:r>
      <w:r w:rsidR="0042451E">
        <w:t>.</w:t>
      </w:r>
    </w:p>
    <w:p w:rsidR="00342ABF" w:rsidRPr="00191B42" w:rsidP="0019023C">
      <w:pPr>
        <w:pStyle w:val="NumPar1"/>
        <w:numPr>
          <w:ilvl w:val="0"/>
          <w:numId w:val="25"/>
        </w:numPr>
      </w:pPr>
      <w:r w:rsidRPr="00191B42">
        <w:t xml:space="preserve">The </w:t>
      </w:r>
      <w:r w:rsidRPr="00191B42" w:rsidR="0E711ED9">
        <w:t>s</w:t>
      </w:r>
      <w:r w:rsidRPr="00191B42">
        <w:t xml:space="preserve">emantic </w:t>
      </w:r>
      <w:r w:rsidRPr="00191B42" w:rsidR="0461E86B">
        <w:t>r</w:t>
      </w:r>
      <w:r w:rsidRPr="00191B42">
        <w:t>epository shall</w:t>
      </w:r>
      <w:r w:rsidRPr="00191B42" w:rsidR="00307187">
        <w:t xml:space="preserve"> </w:t>
      </w:r>
      <w:r w:rsidR="00A23984">
        <w:t>lay down</w:t>
      </w:r>
      <w:r w:rsidRPr="00191B42">
        <w:t xml:space="preserve"> in particular:</w:t>
      </w:r>
    </w:p>
    <w:p w:rsidR="00171851" w:rsidP="0019023C">
      <w:pPr>
        <w:pStyle w:val="Point1letter"/>
        <w:numPr>
          <w:ilvl w:val="3"/>
          <w:numId w:val="8"/>
        </w:numPr>
      </w:pPr>
      <w:r w:rsidRPr="00A329C7">
        <w:t>the semantic meaning of data attributes required within a digital product passport</w:t>
      </w:r>
      <w:r w:rsidR="00790BAD">
        <w:t xml:space="preserve"> </w:t>
      </w:r>
      <w:r w:rsidRPr="00A329C7">
        <w:t>and technical specifications for creating, where relevant,</w:t>
      </w:r>
      <w:r w:rsidR="00790BAD">
        <w:t xml:space="preserve"> </w:t>
      </w:r>
      <w:r w:rsidR="0042451E">
        <w:t xml:space="preserve">typed and resolvable </w:t>
      </w:r>
      <w:r w:rsidRPr="00A329C7">
        <w:t>links between different digital product passports,</w:t>
      </w:r>
      <w:r>
        <w:t xml:space="preserve"> </w:t>
      </w:r>
      <w:r w:rsidRPr="00A329C7">
        <w:t>and</w:t>
      </w:r>
      <w:r>
        <w:t xml:space="preserve"> </w:t>
      </w:r>
      <w:r w:rsidRPr="00A329C7">
        <w:t>links between digital product passport</w:t>
      </w:r>
      <w:r>
        <w:t xml:space="preserve"> </w:t>
      </w:r>
      <w:r w:rsidRPr="00A329C7">
        <w:t>attributes</w:t>
      </w:r>
      <w:r>
        <w:t xml:space="preserve"> </w:t>
      </w:r>
      <w:r w:rsidRPr="00A329C7">
        <w:t>and</w:t>
      </w:r>
      <w:r>
        <w:t xml:space="preserve"> </w:t>
      </w:r>
      <w:r w:rsidRPr="00A329C7">
        <w:t>underlying</w:t>
      </w:r>
      <w:r>
        <w:t xml:space="preserve"> </w:t>
      </w:r>
      <w:r w:rsidRPr="00A329C7">
        <w:t>evidence</w:t>
      </w:r>
      <w:r>
        <w:t xml:space="preserve"> </w:t>
      </w:r>
      <w:r w:rsidRPr="00A329C7">
        <w:t>communicated</w:t>
      </w:r>
      <w:r>
        <w:t xml:space="preserve"> </w:t>
      </w:r>
      <w:r w:rsidRPr="00A329C7">
        <w:t>through the product value chain</w:t>
      </w:r>
      <w:r w:rsidRPr="00191B42" w:rsidR="00342ABF">
        <w:t>;</w:t>
      </w:r>
    </w:p>
    <w:p w:rsidR="00342ABF" w:rsidP="0019023C">
      <w:pPr>
        <w:pStyle w:val="Point1letter"/>
        <w:numPr>
          <w:ilvl w:val="3"/>
          <w:numId w:val="8"/>
        </w:numPr>
      </w:pPr>
      <w:r w:rsidRPr="00191B42">
        <w:t xml:space="preserve">the structure of the data models </w:t>
      </w:r>
      <w:r w:rsidR="0042451E">
        <w:t xml:space="preserve">for the different products in scope </w:t>
      </w:r>
      <w:r w:rsidRPr="00191B42">
        <w:t>and their formats;</w:t>
      </w:r>
    </w:p>
    <w:p w:rsidR="00AA3132" w:rsidRPr="00191B42" w:rsidP="0019023C">
      <w:pPr>
        <w:pStyle w:val="Point1letter"/>
        <w:numPr>
          <w:ilvl w:val="3"/>
          <w:numId w:val="8"/>
        </w:numPr>
      </w:pPr>
      <w:r>
        <w:t>t</w:t>
      </w:r>
      <w:r>
        <w:t>he metadata collected regarding the data models for the data products;</w:t>
      </w:r>
    </w:p>
    <w:p w:rsidR="00342ABF" w:rsidP="0019023C">
      <w:pPr>
        <w:pStyle w:val="Point1letter"/>
        <w:numPr>
          <w:ilvl w:val="3"/>
          <w:numId w:val="8"/>
        </w:numPr>
      </w:pPr>
      <w:r w:rsidRPr="00191B42">
        <w:t xml:space="preserve">the semantic meaning </w:t>
      </w:r>
      <w:r w:rsidRPr="00191B42" w:rsidR="003A614C">
        <w:t xml:space="preserve">of the </w:t>
      </w:r>
      <w:r w:rsidRPr="00191B42" w:rsidR="006A5C4E">
        <w:t xml:space="preserve">roles </w:t>
      </w:r>
      <w:r w:rsidR="000837C8">
        <w:t>provided for</w:t>
      </w:r>
      <w:r w:rsidRPr="00191B42" w:rsidR="000837C8">
        <w:t xml:space="preserve"> </w:t>
      </w:r>
      <w:r w:rsidRPr="00191B42" w:rsidR="00A2570A">
        <w:t xml:space="preserve">in the applicable delegated acts adopted pursuant to Article 4 of Regulation (EU) 2024/1781, or </w:t>
      </w:r>
      <w:r w:rsidRPr="00191B42" w:rsidR="00F44482">
        <w:t>by</w:t>
      </w:r>
      <w:r w:rsidRPr="00191B42" w:rsidR="00A2570A">
        <w:t xml:space="preserve"> other Union legislation applicable to </w:t>
      </w:r>
      <w:r w:rsidR="00781938">
        <w:t>any</w:t>
      </w:r>
      <w:r w:rsidRPr="00191B42" w:rsidR="00781938">
        <w:t xml:space="preserve"> </w:t>
      </w:r>
      <w:r w:rsidRPr="00191B42" w:rsidR="00A2570A">
        <w:t xml:space="preserve">product that is </w:t>
      </w:r>
      <w:r w:rsidR="00781938">
        <w:t>required</w:t>
      </w:r>
      <w:r w:rsidRPr="00191B42" w:rsidR="00781938">
        <w:t xml:space="preserve"> </w:t>
      </w:r>
      <w:r w:rsidRPr="00191B42" w:rsidR="00A2570A">
        <w:t>to use a digital product passport</w:t>
      </w:r>
      <w:r w:rsidR="5EB20C97">
        <w:t>;</w:t>
      </w:r>
      <w:r w:rsidRPr="00191B42" w:rsidR="003A614C">
        <w:t xml:space="preserve"> </w:t>
      </w:r>
    </w:p>
    <w:p w:rsidR="00AA3132" w:rsidRPr="00191B42" w:rsidP="0019023C">
      <w:pPr>
        <w:pStyle w:val="Point1letter"/>
        <w:numPr>
          <w:ilvl w:val="3"/>
          <w:numId w:val="8"/>
        </w:numPr>
      </w:pPr>
      <w:r w:rsidRPr="00AA3132">
        <w:t>multilingual labels and definitions for all mandatory data attributes.</w:t>
      </w:r>
    </w:p>
    <w:p w:rsidR="00F974A1" w:rsidP="00B0175D">
      <w:pPr>
        <w:pStyle w:val="NumPar1"/>
      </w:pPr>
      <w:r>
        <w:t>T</w:t>
      </w:r>
      <w:r w:rsidRPr="00191B42">
        <w:t xml:space="preserve">he </w:t>
      </w:r>
      <w:r w:rsidR="00E244E3">
        <w:t xml:space="preserve">metadata </w:t>
      </w:r>
      <w:r>
        <w:t>as referred to in paragraph 2 letter (</w:t>
      </w:r>
      <w:r w:rsidR="00E244E3">
        <w:t>c</w:t>
      </w:r>
      <w:r>
        <w:t>)</w:t>
      </w:r>
      <w:r w:rsidR="00643181">
        <w:t xml:space="preserve"> shall be in conformity with the DCAT-AP</w:t>
      </w:r>
      <w:r>
        <w:rPr>
          <w:rStyle w:val="FootnoteReference"/>
        </w:rPr>
        <w:footnoteReference w:id="20"/>
      </w:r>
      <w:r w:rsidR="00643181">
        <w:t xml:space="preserve"> specifications.</w:t>
      </w:r>
    </w:p>
    <w:p w:rsidR="000D6780" w:rsidRPr="000D6780" w:rsidP="000D6780">
      <w:pPr>
        <w:pStyle w:val="NumPar1"/>
      </w:pPr>
      <w:r w:rsidRPr="00AA3132">
        <w:t xml:space="preserve">The Commission shall ensure that </w:t>
      </w:r>
      <w:r>
        <w:t xml:space="preserve">the </w:t>
      </w:r>
      <w:r w:rsidRPr="00AA3132">
        <w:t xml:space="preserve">multilingual coverage for </w:t>
      </w:r>
      <w:r w:rsidR="009A4D0C">
        <w:t xml:space="preserve">the </w:t>
      </w:r>
      <w:r w:rsidRPr="00AA3132">
        <w:t xml:space="preserve">mandatory data attributes </w:t>
      </w:r>
      <w:r w:rsidR="009A4D0C">
        <w:t>as referred to in paragraph 2 letter (</w:t>
      </w:r>
      <w:r w:rsidR="002E1255">
        <w:t>d</w:t>
      </w:r>
      <w:r w:rsidR="009A4D0C">
        <w:t xml:space="preserve">) </w:t>
      </w:r>
      <w:r w:rsidR="00E2795C">
        <w:t xml:space="preserve">that are new </w:t>
      </w:r>
      <w:r w:rsidRPr="00AA3132">
        <w:t>is published in the semantic repository</w:t>
      </w:r>
      <w:r w:rsidR="003969E1">
        <w:t>.</w:t>
      </w:r>
    </w:p>
    <w:p w:rsidR="003B10C6" w:rsidP="00B0175D">
      <w:pPr>
        <w:pStyle w:val="NumPar1"/>
      </w:pPr>
      <w:r w:rsidRPr="00191B42">
        <w:t xml:space="preserve">The </w:t>
      </w:r>
      <w:r w:rsidRPr="00191B42" w:rsidR="1DCA4267">
        <w:t>s</w:t>
      </w:r>
      <w:r w:rsidRPr="00191B42">
        <w:t xml:space="preserve">emantic </w:t>
      </w:r>
      <w:r w:rsidRPr="00191B42" w:rsidR="0514A817">
        <w:t>r</w:t>
      </w:r>
      <w:r w:rsidRPr="00191B42">
        <w:t xml:space="preserve">epository shall include a search service to allow any user to </w:t>
      </w:r>
      <w:r w:rsidRPr="00191B42" w:rsidR="00307187">
        <w:t>read</w:t>
      </w:r>
      <w:r w:rsidRPr="00191B42">
        <w:t>, search</w:t>
      </w:r>
      <w:r w:rsidR="00BA111E">
        <w:t xml:space="preserve"> </w:t>
      </w:r>
      <w:r w:rsidR="00F22FDF">
        <w:t xml:space="preserve">and </w:t>
      </w:r>
      <w:r w:rsidR="00AA3132">
        <w:t xml:space="preserve">retrieve </w:t>
      </w:r>
      <w:r w:rsidRPr="00F22FDF">
        <w:t>semantic</w:t>
      </w:r>
      <w:r w:rsidRPr="00191B42">
        <w:t xml:space="preserve"> definitions and data structures.</w:t>
      </w:r>
    </w:p>
    <w:p w:rsidR="003B10C6" w:rsidP="003E4993">
      <w:pPr>
        <w:pStyle w:val="NumPar1"/>
      </w:pPr>
      <w:r w:rsidRPr="00191B42">
        <w:t xml:space="preserve">The Commission shall ensure that the content of the </w:t>
      </w:r>
      <w:r w:rsidRPr="00191B42" w:rsidR="40855064">
        <w:t>s</w:t>
      </w:r>
      <w:r w:rsidRPr="00191B42">
        <w:t xml:space="preserve">emantic </w:t>
      </w:r>
      <w:r w:rsidRPr="00191B42" w:rsidR="290D6448">
        <w:t>r</w:t>
      </w:r>
      <w:r w:rsidRPr="00191B42">
        <w:t xml:space="preserve">epository is accessible </w:t>
      </w:r>
      <w:r w:rsidR="00C05AFE">
        <w:t>through</w:t>
      </w:r>
      <w:r w:rsidRPr="00191B42">
        <w:t xml:space="preserve"> publicly documented APIs. The</w:t>
      </w:r>
      <w:r w:rsidR="00C7588B">
        <w:t>se</w:t>
      </w:r>
      <w:r w:rsidRPr="00191B42">
        <w:t xml:space="preserve"> APIs shall support common data formats</w:t>
      </w:r>
      <w:r w:rsidR="00AA3132">
        <w:t xml:space="preserve"> and provide machine-readable semantic assets</w:t>
      </w:r>
      <w:r w:rsidRPr="00191B42">
        <w:t xml:space="preserve"> to facilitate automated use by external systems.</w:t>
      </w:r>
    </w:p>
    <w:p w:rsidR="003E4993" w:rsidRPr="00191B42" w:rsidP="003E4993">
      <w:pPr>
        <w:pStyle w:val="NumPar1"/>
      </w:pPr>
      <w:r w:rsidRPr="00191B42">
        <w:t xml:space="preserve">Access to and use of the </w:t>
      </w:r>
      <w:r w:rsidRPr="00191B42" w:rsidR="0B4D5718">
        <w:t>s</w:t>
      </w:r>
      <w:r w:rsidRPr="00191B42">
        <w:t xml:space="preserve">emantic </w:t>
      </w:r>
      <w:r w:rsidRPr="00191B42" w:rsidR="565E04DD">
        <w:t>r</w:t>
      </w:r>
      <w:r w:rsidRPr="00191B42">
        <w:t xml:space="preserve">epository and its APIs shall be </w:t>
      </w:r>
      <w:r w:rsidR="00B16860">
        <w:t xml:space="preserve">provided </w:t>
      </w:r>
      <w:r w:rsidRPr="00191B42">
        <w:t xml:space="preserve">free of charge. </w:t>
      </w:r>
    </w:p>
    <w:p w:rsidR="003E4993" w:rsidRPr="0022272E" w:rsidP="003E4993">
      <w:pPr>
        <w:pStyle w:val="Titrearticle"/>
        <w:rPr>
          <w:b/>
          <w:bCs/>
          <w:i w:val="0"/>
          <w:iCs/>
        </w:rPr>
      </w:pPr>
      <w:r w:rsidRPr="00191B42">
        <w:t>Article </w:t>
      </w:r>
      <w:r w:rsidRPr="00191B42" w:rsidR="00C4630C">
        <w:t>1</w:t>
      </w:r>
      <w:r w:rsidR="00C4630C">
        <w:t>3</w:t>
      </w:r>
      <w:r w:rsidR="004046CC">
        <w:br/>
      </w:r>
      <w:r w:rsidRPr="0022272E" w:rsidR="004046CC">
        <w:rPr>
          <w:b/>
          <w:bCs/>
          <w:i w:val="0"/>
          <w:iCs/>
        </w:rPr>
        <w:t>Technical support</w:t>
      </w:r>
    </w:p>
    <w:p w:rsidR="003B10C6" w:rsidRPr="00BB4637" w:rsidP="0019023C">
      <w:pPr>
        <w:pStyle w:val="NumPar1"/>
        <w:numPr>
          <w:ilvl w:val="0"/>
          <w:numId w:val="34"/>
        </w:numPr>
      </w:pPr>
      <w:r w:rsidRPr="00191B42">
        <w:t xml:space="preserve">The Commission shall provide a helpdesk service to ensure </w:t>
      </w:r>
      <w:r w:rsidR="00C7588B">
        <w:t xml:space="preserve">that </w:t>
      </w:r>
      <w:r w:rsidRPr="00191B42">
        <w:t xml:space="preserve">economic operators, </w:t>
      </w:r>
      <w:r w:rsidR="00933F06">
        <w:t xml:space="preserve">other valu chain actors, </w:t>
      </w:r>
      <w:r w:rsidR="00537F76">
        <w:t xml:space="preserve">competent national authorities and </w:t>
      </w:r>
      <w:r w:rsidRPr="00191B42">
        <w:t xml:space="preserve">customs authorities </w:t>
      </w:r>
      <w:r w:rsidR="00D065AD">
        <w:t xml:space="preserve">are able to </w:t>
      </w:r>
      <w:r w:rsidRPr="00191B42">
        <w:t>receive technical support</w:t>
      </w:r>
      <w:r w:rsidR="00113056">
        <w:t xml:space="preserve"> upon request</w:t>
      </w:r>
      <w:r w:rsidRPr="00191B42">
        <w:t xml:space="preserve">. The helpdesk service shall be available during </w:t>
      </w:r>
      <w:r w:rsidR="007F5BD2">
        <w:t xml:space="preserve">the </w:t>
      </w:r>
      <w:r w:rsidRPr="00191B42">
        <w:t>Commission</w:t>
      </w:r>
      <w:r w:rsidR="007F5BD2">
        <w:t>’s</w:t>
      </w:r>
      <w:r w:rsidRPr="00191B42">
        <w:t xml:space="preserve"> working days, as determined yearly </w:t>
      </w:r>
      <w:r w:rsidR="00FD77C1">
        <w:t>by</w:t>
      </w:r>
      <w:r w:rsidRPr="00191B42">
        <w:t xml:space="preserve"> the Commission Decision on public holidays for </w:t>
      </w:r>
      <w:r w:rsidRPr="007B1626" w:rsidR="007B1626">
        <w:t>officials and other servants of the European Union serving</w:t>
      </w:r>
      <w:r w:rsidRPr="007B1626" w:rsidR="007B1626">
        <w:t xml:space="preserve"> </w:t>
      </w:r>
      <w:r w:rsidRPr="00191B42">
        <w:t>in Brussels and Luxembourg</w:t>
      </w:r>
      <w:r w:rsidR="00FD3663">
        <w:t>,</w:t>
      </w:r>
      <w:r w:rsidR="004F5A2E">
        <w:t xml:space="preserve"> </w:t>
      </w:r>
      <w:r w:rsidR="00DA2B26">
        <w:t xml:space="preserve">and during normal working </w:t>
      </w:r>
      <w:r w:rsidRPr="00BB4637" w:rsidR="00DA2B26">
        <w:t>hours</w:t>
      </w:r>
      <w:r w:rsidRPr="00BB4637">
        <w:t>. Those working days shall be published on the</w:t>
      </w:r>
      <w:r w:rsidRPr="00BB4637" w:rsidR="00002401">
        <w:t xml:space="preserve"> Commission’s</w:t>
      </w:r>
      <w:r w:rsidRPr="00BB4637">
        <w:t xml:space="preserve"> website. However, technical support for urgent requests shall be ensured</w:t>
      </w:r>
      <w:r w:rsidRPr="00BB4637" w:rsidR="008A62E9">
        <w:t xml:space="preserve"> on working days</w:t>
      </w:r>
      <w:r w:rsidRPr="00BB4637">
        <w:t xml:space="preserve"> between 27 and</w:t>
      </w:r>
      <w:r w:rsidRPr="00BB4637" w:rsidR="006356CB">
        <w:t xml:space="preserve"> </w:t>
      </w:r>
      <w:r w:rsidRPr="00BB4637">
        <w:t>31 December.</w:t>
      </w:r>
    </w:p>
    <w:p w:rsidR="09722F0A" w:rsidRPr="00191B42" w:rsidP="0B92A961">
      <w:pPr>
        <w:pStyle w:val="NumPar1"/>
      </w:pPr>
      <w:r w:rsidRPr="00191B42">
        <w:t>Written exchanges between economic operators</w:t>
      </w:r>
      <w:r w:rsidR="00537F76">
        <w:t>,</w:t>
      </w:r>
      <w:r w:rsidRPr="00537F76" w:rsidR="00537F76">
        <w:t xml:space="preserve"> </w:t>
      </w:r>
      <w:r w:rsidR="00537F76">
        <w:t xml:space="preserve">other valu chain actors, competent national authorities or </w:t>
      </w:r>
      <w:r w:rsidRPr="00BB4637" w:rsidR="00537F76">
        <w:t>customs authorities</w:t>
      </w:r>
      <w:r w:rsidRPr="00BB4637">
        <w:t xml:space="preserve"> and the helpdesk shall be stored for six months after the </w:t>
      </w:r>
      <w:r w:rsidRPr="00BB4637" w:rsidR="00AC02F9">
        <w:t>request</w:t>
      </w:r>
      <w:r w:rsidRPr="00BB4637">
        <w:t xml:space="preserve"> </w:t>
      </w:r>
      <w:r w:rsidRPr="00BB4637" w:rsidR="00113056">
        <w:t xml:space="preserve">referred to in paragraph </w:t>
      </w:r>
      <w:r w:rsidRPr="00BB4637" w:rsidR="58ADD370">
        <w:t xml:space="preserve">1 </w:t>
      </w:r>
      <w:r w:rsidRPr="00BB4637">
        <w:t>has been</w:t>
      </w:r>
      <w:r w:rsidRPr="00191B42">
        <w:t xml:space="preserve"> closed and made available to market surveillance authorities upon request.</w:t>
      </w:r>
    </w:p>
    <w:p w:rsidR="00C92D7B" w:rsidRPr="0022272E" w:rsidP="00C92D7B">
      <w:pPr>
        <w:pStyle w:val="Titrearticle"/>
        <w:rPr>
          <w:b/>
          <w:bCs/>
          <w:i w:val="0"/>
          <w:iCs/>
        </w:rPr>
      </w:pPr>
      <w:r w:rsidRPr="00191B42">
        <w:t xml:space="preserve">Article </w:t>
      </w:r>
      <w:r w:rsidRPr="00191B42" w:rsidR="00C4630C">
        <w:t>1</w:t>
      </w:r>
      <w:r w:rsidR="00C4630C">
        <w:t>4</w:t>
      </w:r>
      <w:r w:rsidR="004046CC">
        <w:br/>
      </w:r>
      <w:r w:rsidRPr="0022272E" w:rsidR="004046CC">
        <w:rPr>
          <w:b/>
          <w:bCs/>
          <w:i w:val="0"/>
          <w:iCs/>
        </w:rPr>
        <w:t>Log system</w:t>
      </w:r>
    </w:p>
    <w:p w:rsidR="003B10C6" w:rsidP="0019023C">
      <w:pPr>
        <w:pStyle w:val="NumPar1"/>
        <w:numPr>
          <w:ilvl w:val="0"/>
          <w:numId w:val="26"/>
        </w:numPr>
      </w:pPr>
      <w:r w:rsidRPr="00191B42">
        <w:t>The Commission shall establish</w:t>
      </w:r>
      <w:r w:rsidR="00DC54FF">
        <w:t>,</w:t>
      </w:r>
      <w:r w:rsidRPr="00191B42">
        <w:t xml:space="preserve"> maintain </w:t>
      </w:r>
      <w:r w:rsidR="00DC54FF">
        <w:t xml:space="preserve">and run </w:t>
      </w:r>
      <w:r w:rsidRPr="00191B42">
        <w:t xml:space="preserve">a </w:t>
      </w:r>
      <w:r w:rsidR="00AD7E03">
        <w:t xml:space="preserve">log </w:t>
      </w:r>
      <w:r w:rsidRPr="00191B42">
        <w:t xml:space="preserve">system. </w:t>
      </w:r>
      <w:r w:rsidR="2242D7D6">
        <w:t xml:space="preserve">The </w:t>
      </w:r>
      <w:r w:rsidR="00412216">
        <w:t xml:space="preserve">Commission </w:t>
      </w:r>
      <w:r w:rsidRPr="00191B42">
        <w:t>shall ensure the creation of a complete, accurate and reliable audit trail</w:t>
      </w:r>
      <w:r w:rsidR="006A78C5">
        <w:t xml:space="preserve"> in the log system</w:t>
      </w:r>
      <w:r w:rsidRPr="00191B42">
        <w:t>.</w:t>
      </w:r>
    </w:p>
    <w:p w:rsidR="001A4282" w:rsidRPr="00191B42" w:rsidP="70F295F0">
      <w:pPr>
        <w:pStyle w:val="NumPar1"/>
      </w:pPr>
      <w:r>
        <w:t>In the log system t</w:t>
      </w:r>
      <w:r w:rsidRPr="00191B42" w:rsidR="00C92D7B">
        <w:t>he Commission shall log</w:t>
      </w:r>
      <w:r w:rsidRPr="00191B42" w:rsidR="000A19F5">
        <w:t xml:space="preserve"> events for </w:t>
      </w:r>
      <w:r w:rsidR="7BF5CB57">
        <w:t xml:space="preserve">all of </w:t>
      </w:r>
      <w:r w:rsidR="000A19F5">
        <w:t>the</w:t>
      </w:r>
      <w:r w:rsidRPr="00191B42" w:rsidR="000A19F5">
        <w:t xml:space="preserve"> following categories of actions:</w:t>
      </w:r>
      <w:r w:rsidRPr="00191B42" w:rsidR="00C92D7B">
        <w:t xml:space="preserve"> </w:t>
      </w:r>
    </w:p>
    <w:p w:rsidR="001A4282" w:rsidRPr="00191B42" w:rsidP="0019023C">
      <w:pPr>
        <w:pStyle w:val="Point1letter"/>
        <w:numPr>
          <w:ilvl w:val="3"/>
          <w:numId w:val="9"/>
        </w:numPr>
      </w:pPr>
      <w:r>
        <w:t xml:space="preserve">data related to </w:t>
      </w:r>
      <w:r w:rsidRPr="00191B42">
        <w:t xml:space="preserve">access and authentication </w:t>
      </w:r>
      <w:r>
        <w:t>entries</w:t>
      </w:r>
      <w:r w:rsidRPr="00191B42">
        <w:t>;</w:t>
      </w:r>
    </w:p>
    <w:p w:rsidR="001A4282" w:rsidRPr="00191B42" w:rsidP="0019023C">
      <w:pPr>
        <w:pStyle w:val="Point1letter"/>
        <w:numPr>
          <w:ilvl w:val="3"/>
          <w:numId w:val="9"/>
        </w:numPr>
      </w:pPr>
      <w:r w:rsidRPr="00191B42">
        <w:t>data modification</w:t>
      </w:r>
      <w:r w:rsidRPr="00191B42" w:rsidR="00594BA3">
        <w:t>s by all registry users</w:t>
      </w:r>
      <w:r w:rsidRPr="00191B42">
        <w:t>, including the uploading or updating of data referred to in Article 13(4) of Regulation (EU) 2024/1781</w:t>
      </w:r>
      <w:r w:rsidRPr="006E5D66" w:rsidR="006E5D66">
        <w:t xml:space="preserve"> or of data required to be uploaded in the registry pursuant to other Union legislation that mandates the use of </w:t>
      </w:r>
      <w:r w:rsidR="00113056">
        <w:t>the</w:t>
      </w:r>
      <w:r w:rsidRPr="006E5D66" w:rsidR="006E5D66">
        <w:t xml:space="preserve"> digital product passport for </w:t>
      </w:r>
      <w:r w:rsidR="00113056">
        <w:t>a</w:t>
      </w:r>
      <w:r w:rsidRPr="006E5D66" w:rsidR="006E5D66">
        <w:t xml:space="preserve"> product</w:t>
      </w:r>
      <w:r w:rsidRPr="00191B42">
        <w:t>;</w:t>
      </w:r>
    </w:p>
    <w:p w:rsidR="00C92D7B" w:rsidRPr="00191B42" w:rsidP="0019023C">
      <w:pPr>
        <w:pStyle w:val="Point1letter"/>
        <w:numPr>
          <w:ilvl w:val="3"/>
          <w:numId w:val="9"/>
        </w:numPr>
      </w:pPr>
      <w:r w:rsidRPr="00191B42">
        <w:t>administrative actions</w:t>
      </w:r>
      <w:r w:rsidRPr="00191B42" w:rsidR="00594BA3">
        <w:t xml:space="preserve"> by all registry users</w:t>
      </w:r>
      <w:r w:rsidRPr="00191B42">
        <w:t>, including the creation</w:t>
      </w:r>
      <w:r w:rsidRPr="00191B42" w:rsidR="00594BA3">
        <w:t>, change or deletion</w:t>
      </w:r>
      <w:r w:rsidRPr="00191B42">
        <w:t xml:space="preserve"> of user accounts, changes to access rights and permissions, and any changes to the registry’s configuration</w:t>
      </w:r>
      <w:r w:rsidR="009F2559">
        <w:t xml:space="preserve"> </w:t>
      </w:r>
      <w:r w:rsidRPr="009F2559" w:rsidR="009F2559">
        <w:t>and other administrative actions of registry users</w:t>
      </w:r>
      <w:r w:rsidR="002B69BB">
        <w:t>;</w:t>
      </w:r>
    </w:p>
    <w:p w:rsidR="00BA4610" w:rsidRPr="00191B42" w:rsidP="0019023C">
      <w:pPr>
        <w:pStyle w:val="Point1letter"/>
        <w:numPr>
          <w:ilvl w:val="3"/>
          <w:numId w:val="9"/>
        </w:numPr>
      </w:pPr>
      <w:r w:rsidRPr="00191B42">
        <w:t>data exchange logs</w:t>
      </w:r>
      <w:r w:rsidRPr="00191B42" w:rsidR="00D77797">
        <w:t>.</w:t>
      </w:r>
      <w:r w:rsidRPr="00191B42">
        <w:t xml:space="preserve"> </w:t>
      </w:r>
    </w:p>
    <w:p w:rsidR="007D2537" w:rsidRPr="00BB4637" w:rsidP="003B10C6">
      <w:pPr>
        <w:pStyle w:val="NumPar1"/>
      </w:pPr>
      <w:r w:rsidRPr="00191B42">
        <w:t xml:space="preserve">To ensure that the data stored in the registry </w:t>
      </w:r>
      <w:r w:rsidR="0017497B">
        <w:t>is</w:t>
      </w:r>
      <w:r w:rsidRPr="00191B42" w:rsidR="0017497B">
        <w:t xml:space="preserve"> </w:t>
      </w:r>
      <w:r w:rsidRPr="00191B42">
        <w:t xml:space="preserve">processed securely and in compliance with Union law, </w:t>
      </w:r>
      <w:r w:rsidRPr="00191B42" w:rsidR="00C92D7B">
        <w:t xml:space="preserve">the </w:t>
      </w:r>
      <w:r w:rsidRPr="00BB4637" w:rsidR="00C92D7B">
        <w:t xml:space="preserve">Commission shall keep </w:t>
      </w:r>
      <w:r w:rsidRPr="00BB4637">
        <w:t>the logs for a period of:</w:t>
      </w:r>
    </w:p>
    <w:p w:rsidR="007D2537" w:rsidRPr="00BB4637" w:rsidP="0019023C">
      <w:pPr>
        <w:pStyle w:val="Point1letter"/>
        <w:numPr>
          <w:ilvl w:val="3"/>
          <w:numId w:val="19"/>
        </w:numPr>
      </w:pPr>
      <w:r w:rsidRPr="00BB4637">
        <w:t xml:space="preserve">six </w:t>
      </w:r>
      <w:r w:rsidRPr="00BB4637">
        <w:t xml:space="preserve">months for </w:t>
      </w:r>
      <w:r w:rsidRPr="00BB4637" w:rsidR="004E22C2">
        <w:t>the categories of actions referred to in</w:t>
      </w:r>
      <w:r w:rsidRPr="00BB4637">
        <w:t xml:space="preserve"> paragraph 2</w:t>
      </w:r>
      <w:r w:rsidRPr="00BB4637" w:rsidR="004E22C2">
        <w:t>, point (a)</w:t>
      </w:r>
      <w:r w:rsidRPr="00BB4637">
        <w:t>;</w:t>
      </w:r>
    </w:p>
    <w:p w:rsidR="007568BB" w:rsidRPr="00BB4637" w:rsidP="0019023C">
      <w:pPr>
        <w:pStyle w:val="Point1letter"/>
        <w:numPr>
          <w:ilvl w:val="3"/>
          <w:numId w:val="19"/>
        </w:numPr>
      </w:pPr>
      <w:r w:rsidRPr="00BB4637">
        <w:t xml:space="preserve">five years for </w:t>
      </w:r>
      <w:r w:rsidRPr="00BB4637" w:rsidR="00C22062">
        <w:t xml:space="preserve">the </w:t>
      </w:r>
      <w:r w:rsidRPr="00BB4637">
        <w:t>categories of actions referred to in paragraph 2</w:t>
      </w:r>
      <w:r w:rsidRPr="00BB4637" w:rsidR="00B02A47">
        <w:t>, points</w:t>
      </w:r>
      <w:r w:rsidRPr="00BB4637">
        <w:t xml:space="preserve"> (</w:t>
      </w:r>
      <w:r w:rsidRPr="00BB4637" w:rsidR="00EA39A0">
        <w:t>c</w:t>
      </w:r>
      <w:r w:rsidRPr="00BB4637">
        <w:t>) and (</w:t>
      </w:r>
      <w:r w:rsidRPr="00BB4637" w:rsidR="00EA39A0">
        <w:t>d</w:t>
      </w:r>
      <w:r w:rsidRPr="00BB4637">
        <w:t>)</w:t>
      </w:r>
      <w:r w:rsidRPr="00BB4637" w:rsidR="00B02A47">
        <w:t>;</w:t>
      </w:r>
    </w:p>
    <w:p w:rsidR="007D2537" w:rsidRPr="00BB4637" w:rsidP="0019023C">
      <w:pPr>
        <w:pStyle w:val="Point1letter"/>
        <w:numPr>
          <w:ilvl w:val="3"/>
          <w:numId w:val="19"/>
        </w:numPr>
      </w:pPr>
      <w:r w:rsidRPr="00BB4637">
        <w:t xml:space="preserve">for the duration of the registration for </w:t>
      </w:r>
      <w:r w:rsidRPr="00BB4637" w:rsidR="0083047C">
        <w:t>the categories of actions referred to in paragraph 2,</w:t>
      </w:r>
      <w:r w:rsidRPr="00BB4637" w:rsidR="00C4345E">
        <w:t xml:space="preserve"> </w:t>
      </w:r>
      <w:r w:rsidRPr="00BB4637">
        <w:t>point (</w:t>
      </w:r>
      <w:r w:rsidRPr="00BB4637" w:rsidR="00EA39A0">
        <w:t>b</w:t>
      </w:r>
      <w:r w:rsidRPr="00BB4637">
        <w:t>).</w:t>
      </w:r>
    </w:p>
    <w:p w:rsidR="00C92D7B" w:rsidRPr="00BB4637" w:rsidP="003B10C6">
      <w:pPr>
        <w:pStyle w:val="NumPar1"/>
      </w:pPr>
      <w:r w:rsidRPr="00BB4637">
        <w:t xml:space="preserve">In </w:t>
      </w:r>
      <w:r w:rsidRPr="00BB4637" w:rsidR="662DDC0C">
        <w:t>the</w:t>
      </w:r>
      <w:r w:rsidRPr="00BB4637">
        <w:t xml:space="preserve"> case of susp</w:t>
      </w:r>
      <w:r w:rsidRPr="00BB4637" w:rsidR="00C067B1">
        <w:t>ected</w:t>
      </w:r>
      <w:r w:rsidRPr="00BB4637">
        <w:t xml:space="preserve"> incidents and for the purposes of audits and random checks of security performed </w:t>
      </w:r>
      <w:r w:rsidRPr="00BB4637" w:rsidR="004D02AC">
        <w:t xml:space="preserve">by </w:t>
      </w:r>
      <w:r w:rsidRPr="00BB4637" w:rsidR="00113056">
        <w:t xml:space="preserve">competent </w:t>
      </w:r>
      <w:r w:rsidRPr="00BB4637">
        <w:t>national authorities</w:t>
      </w:r>
      <w:r w:rsidRPr="00BB4637" w:rsidR="008B040A">
        <w:t xml:space="preserve"> and customs authorities</w:t>
      </w:r>
      <w:r w:rsidRPr="00BB4637">
        <w:t>, the Commission shall make the relevant logs referred to in paragraph 2</w:t>
      </w:r>
      <w:r w:rsidRPr="00BB4637" w:rsidR="007D2537">
        <w:t xml:space="preserve"> available to the relevant national authorit</w:t>
      </w:r>
      <w:r w:rsidRPr="00BB4637" w:rsidR="00113056">
        <w:t>ies</w:t>
      </w:r>
      <w:r w:rsidRPr="00BB4637">
        <w:t>.</w:t>
      </w:r>
    </w:p>
    <w:p w:rsidR="00C92D7B" w:rsidRPr="00191B42" w:rsidP="00E43B6A">
      <w:pPr>
        <w:pStyle w:val="NumPar1"/>
      </w:pPr>
      <w:r w:rsidRPr="00191B42">
        <w:t xml:space="preserve">The Commission shall implement appropriate technical and organisational measures to guarantee the security of </w:t>
      </w:r>
      <w:r w:rsidR="004C17BF">
        <w:t>all</w:t>
      </w:r>
      <w:r w:rsidRPr="00191B42" w:rsidR="004C17BF">
        <w:t xml:space="preserve"> </w:t>
      </w:r>
      <w:r w:rsidRPr="00191B42">
        <w:t xml:space="preserve">logs and protect </w:t>
      </w:r>
      <w:r w:rsidR="00E0227C">
        <w:t>their integrity, in particular</w:t>
      </w:r>
      <w:r w:rsidRPr="00191B42">
        <w:t xml:space="preserve"> against unauthorised or unlawful processing, accidental loss, destruction or damage. </w:t>
      </w:r>
      <w:r w:rsidR="16FA2F73">
        <w:t>Such</w:t>
      </w:r>
      <w:r w:rsidRPr="00191B42">
        <w:t xml:space="preserve"> measures shall, </w:t>
      </w:r>
      <w:r w:rsidR="00BD3D9B">
        <w:t>at least</w:t>
      </w:r>
      <w:r w:rsidRPr="00191B42">
        <w:t>, ensure</w:t>
      </w:r>
      <w:r w:rsidR="00BD3D9B">
        <w:t xml:space="preserve"> </w:t>
      </w:r>
      <w:r w:rsidRPr="00191B42">
        <w:t xml:space="preserve">the immutability </w:t>
      </w:r>
      <w:r w:rsidR="00231337">
        <w:t xml:space="preserve">and confidentiality </w:t>
      </w:r>
      <w:r w:rsidRPr="00191B42">
        <w:t>of the logs</w:t>
      </w:r>
      <w:r w:rsidRPr="00191B42" w:rsidR="003E4993">
        <w:t>.</w:t>
      </w:r>
    </w:p>
    <w:p w:rsidR="00C92D7B" w:rsidRPr="0022272E" w:rsidP="00C92D7B">
      <w:pPr>
        <w:pStyle w:val="Titrearticle"/>
        <w:rPr>
          <w:b/>
          <w:bCs/>
          <w:i w:val="0"/>
          <w:iCs/>
        </w:rPr>
      </w:pPr>
      <w:r w:rsidRPr="00191B42">
        <w:t>Article </w:t>
      </w:r>
      <w:r w:rsidRPr="00191B42" w:rsidR="00C4630C">
        <w:t>1</w:t>
      </w:r>
      <w:r w:rsidR="00C4630C">
        <w:t>5</w:t>
      </w:r>
      <w:r w:rsidR="004046CC">
        <w:br/>
      </w:r>
      <w:r w:rsidRPr="0022272E" w:rsidR="004046CC">
        <w:rPr>
          <w:b/>
          <w:bCs/>
          <w:i w:val="0"/>
          <w:iCs/>
        </w:rPr>
        <w:t>Maintenance and registry availability</w:t>
      </w:r>
    </w:p>
    <w:p w:rsidR="003B10C6" w:rsidP="0019023C">
      <w:pPr>
        <w:pStyle w:val="NumPar1"/>
        <w:numPr>
          <w:ilvl w:val="0"/>
          <w:numId w:val="16"/>
        </w:numPr>
      </w:pPr>
      <w:r w:rsidRPr="00191B42">
        <w:t>The Commission shall make available</w:t>
      </w:r>
      <w:r w:rsidRPr="00191B42" w:rsidR="00B07829">
        <w:t xml:space="preserve"> on its website</w:t>
      </w:r>
      <w:r w:rsidRPr="00191B42">
        <w:t xml:space="preserve"> guidelines and instructions on how to register and manage </w:t>
      </w:r>
      <w:r w:rsidRPr="00191B42" w:rsidR="37FF470C">
        <w:t xml:space="preserve">data </w:t>
      </w:r>
      <w:r w:rsidRPr="00191B42">
        <w:t xml:space="preserve">in the </w:t>
      </w:r>
      <w:r w:rsidRPr="00191B42" w:rsidR="0BAE872F">
        <w:t>registry</w:t>
      </w:r>
      <w:r w:rsidRPr="00191B42">
        <w:t>.</w:t>
      </w:r>
    </w:p>
    <w:p w:rsidR="003B10C6" w:rsidP="06588499">
      <w:pPr>
        <w:pStyle w:val="NumPar1"/>
      </w:pPr>
      <w:r w:rsidRPr="00191B42">
        <w:t xml:space="preserve">The </w:t>
      </w:r>
      <w:r w:rsidR="00820449">
        <w:t>r</w:t>
      </w:r>
      <w:r w:rsidRPr="00191B42">
        <w:t xml:space="preserve">egistry shall be accessible at all times, except during necessary maintenance activities </w:t>
      </w:r>
      <w:r w:rsidRPr="00BB4637">
        <w:t>such as deployment of new software releases</w:t>
      </w:r>
      <w:r w:rsidRPr="00BB4637" w:rsidR="001E6FB1">
        <w:t>, and without prejudice to paragraph 3</w:t>
      </w:r>
      <w:r w:rsidRPr="00BB4637">
        <w:t xml:space="preserve">. </w:t>
      </w:r>
      <w:r w:rsidRPr="00BB4637" w:rsidR="00ED2D97">
        <w:t>In</w:t>
      </w:r>
      <w:r w:rsidRPr="00BB4637" w:rsidR="004B7F2E">
        <w:t xml:space="preserve"> those instances, t</w:t>
      </w:r>
      <w:r w:rsidRPr="00BB4637">
        <w:t>he Commission shall issue an advance notice of inaccessibility on</w:t>
      </w:r>
      <w:r w:rsidRPr="00191B42">
        <w:t xml:space="preserve"> the public website</w:t>
      </w:r>
      <w:r w:rsidR="00015146">
        <w:t xml:space="preserve"> of the registry</w:t>
      </w:r>
      <w:r w:rsidRPr="00191B42">
        <w:t>.</w:t>
      </w:r>
    </w:p>
    <w:p w:rsidR="003B10C6" w:rsidP="00C92D7B">
      <w:pPr>
        <w:pStyle w:val="NumPar1"/>
      </w:pPr>
      <w:r w:rsidRPr="00191B42">
        <w:t xml:space="preserve">The Commission may suspend the availability of the </w:t>
      </w:r>
      <w:r w:rsidRPr="00191B42" w:rsidR="64B4D822">
        <w:t>registry</w:t>
      </w:r>
      <w:r w:rsidRPr="00191B42">
        <w:t xml:space="preserve">, without prior notice, </w:t>
      </w:r>
      <w:r w:rsidR="00D8490E">
        <w:t>where it is necessary in view</w:t>
      </w:r>
      <w:r w:rsidRPr="00191B42">
        <w:t xml:space="preserve"> of a malfunction or of a cyber-attack or a </w:t>
      </w:r>
      <w:r w:rsidR="00015146">
        <w:t xml:space="preserve">compelling </w:t>
      </w:r>
      <w:r w:rsidRPr="00191B42">
        <w:t xml:space="preserve">urgent security </w:t>
      </w:r>
      <w:r w:rsidR="00015146">
        <w:t>need,</w:t>
      </w:r>
      <w:r w:rsidRPr="00191B42" w:rsidR="00015146">
        <w:t xml:space="preserve"> </w:t>
      </w:r>
      <w:r w:rsidRPr="00191B42">
        <w:t xml:space="preserve">until </w:t>
      </w:r>
      <w:r w:rsidR="00847C58">
        <w:t xml:space="preserve">the </w:t>
      </w:r>
      <w:r w:rsidR="00355D47">
        <w:t>issue</w:t>
      </w:r>
      <w:r w:rsidR="00847C58">
        <w:t xml:space="preserve"> is resolved</w:t>
      </w:r>
      <w:r w:rsidRPr="00191B42">
        <w:t>.</w:t>
      </w:r>
    </w:p>
    <w:p w:rsidR="003B10C6" w:rsidP="07E0D328">
      <w:pPr>
        <w:pStyle w:val="NumPar1"/>
      </w:pPr>
      <w:r>
        <w:t xml:space="preserve">Where </w:t>
      </w:r>
      <w:r w:rsidRPr="00191B42" w:rsidR="00C92D7B">
        <w:t xml:space="preserve">registration is prevented by </w:t>
      </w:r>
      <w:r w:rsidR="013AC904">
        <w:t xml:space="preserve">the </w:t>
      </w:r>
      <w:r w:rsidRPr="00191B42" w:rsidR="00C92D7B">
        <w:t xml:space="preserve">temporary unavailability or malfunctioning of the </w:t>
      </w:r>
      <w:r w:rsidRPr="00191B42" w:rsidR="735E169F">
        <w:t>registry</w:t>
      </w:r>
      <w:r w:rsidRPr="00191B42" w:rsidR="00C92D7B">
        <w:t xml:space="preserve">, the Commission shall record </w:t>
      </w:r>
      <w:r w:rsidR="003356A5">
        <w:t xml:space="preserve">the </w:t>
      </w:r>
      <w:r w:rsidRPr="00191B42" w:rsidR="00C92D7B">
        <w:t>dat</w:t>
      </w:r>
      <w:r>
        <w:t>e</w:t>
      </w:r>
      <w:r w:rsidRPr="00191B42" w:rsidR="00C92D7B">
        <w:t xml:space="preserve"> and time of unavailability and make </w:t>
      </w:r>
      <w:r w:rsidR="003927C6">
        <w:t>such information</w:t>
      </w:r>
      <w:r w:rsidRPr="00191B42" w:rsidR="00C92D7B">
        <w:t xml:space="preserve"> available to</w:t>
      </w:r>
      <w:r w:rsidR="00175965">
        <w:t xml:space="preserve"> economic operators, other value chain actors, competent national</w:t>
      </w:r>
      <w:r w:rsidRPr="00191B42" w:rsidR="00C92D7B">
        <w:t xml:space="preserve"> authorities </w:t>
      </w:r>
      <w:r w:rsidR="00175965">
        <w:t xml:space="preserve">and customs autorities </w:t>
      </w:r>
      <w:r w:rsidRPr="00191B42" w:rsidR="00C92D7B">
        <w:t>upon request for no less than five years.</w:t>
      </w:r>
    </w:p>
    <w:p w:rsidR="003E4993" w:rsidRPr="0022272E" w:rsidP="005763C1">
      <w:pPr>
        <w:pStyle w:val="Titrearticle"/>
        <w:rPr>
          <w:b/>
          <w:bCs/>
          <w:i w:val="0"/>
          <w:iCs/>
        </w:rPr>
      </w:pPr>
      <w:r w:rsidRPr="00191B42">
        <w:t>Article 1</w:t>
      </w:r>
      <w:r w:rsidR="00C4630C">
        <w:t>6</w:t>
      </w:r>
      <w:r w:rsidR="004046CC">
        <w:br/>
      </w:r>
      <w:r w:rsidRPr="0022272E" w:rsidR="004046CC">
        <w:rPr>
          <w:b/>
          <w:bCs/>
          <w:i w:val="0"/>
          <w:iCs/>
        </w:rPr>
        <w:t>Information system security and technical audits</w:t>
      </w:r>
    </w:p>
    <w:p w:rsidR="00C92D7B" w:rsidRPr="00BB4637" w:rsidP="0019023C">
      <w:pPr>
        <w:pStyle w:val="NumPar1"/>
        <w:numPr>
          <w:ilvl w:val="0"/>
          <w:numId w:val="20"/>
        </w:numPr>
      </w:pPr>
      <w:r w:rsidRPr="006505A9">
        <w:t xml:space="preserve">The </w:t>
      </w:r>
      <w:r w:rsidRPr="00BB4637">
        <w:t xml:space="preserve">Commission shall ensure the security of </w:t>
      </w:r>
      <w:r w:rsidRPr="00BB4637" w:rsidR="00972C0B">
        <w:t>the registry and its components</w:t>
      </w:r>
      <w:r w:rsidRPr="00BB4637">
        <w:t xml:space="preserve"> </w:t>
      </w:r>
      <w:r w:rsidRPr="00BB4637" w:rsidR="00766F4A">
        <w:t xml:space="preserve">as </w:t>
      </w:r>
      <w:r w:rsidRPr="00BB4637" w:rsidR="004849CA">
        <w:t xml:space="preserve">referred to </w:t>
      </w:r>
      <w:r w:rsidRPr="00BB4637">
        <w:t>in Article 3.</w:t>
      </w:r>
      <w:r w:rsidRPr="00BB4637" w:rsidR="00015146">
        <w:t xml:space="preserve"> To that end</w:t>
      </w:r>
      <w:r w:rsidRPr="00BB4637" w:rsidR="005763C1">
        <w:t>, t</w:t>
      </w:r>
      <w:r w:rsidRPr="00BB4637" w:rsidR="577BAF43">
        <w:t>he</w:t>
      </w:r>
      <w:r w:rsidRPr="00BB4637" w:rsidR="7C4FDD4D">
        <w:t xml:space="preserve"> </w:t>
      </w:r>
      <w:r w:rsidRPr="00BB4637" w:rsidR="50090469">
        <w:t>Commission</w:t>
      </w:r>
      <w:r w:rsidRPr="00BB4637" w:rsidR="7C4FDD4D">
        <w:t xml:space="preserve"> </w:t>
      </w:r>
      <w:r w:rsidRPr="00BB4637" w:rsidR="005763C1">
        <w:t xml:space="preserve">may </w:t>
      </w:r>
      <w:r w:rsidRPr="00BB4637" w:rsidR="7C4FDD4D">
        <w:t xml:space="preserve">conduct </w:t>
      </w:r>
      <w:r w:rsidRPr="00BB4637" w:rsidR="40C73A8C">
        <w:t>technical</w:t>
      </w:r>
      <w:r w:rsidRPr="00BB4637" w:rsidR="7C4FDD4D">
        <w:t xml:space="preserve"> audits and random </w:t>
      </w:r>
      <w:r w:rsidRPr="00BB4637" w:rsidR="5065E56D">
        <w:t xml:space="preserve">checks on the components of the </w:t>
      </w:r>
      <w:r w:rsidRPr="00BB4637" w:rsidR="35534F93">
        <w:t>r</w:t>
      </w:r>
      <w:r w:rsidRPr="00BB4637" w:rsidR="5065E56D">
        <w:t>egistry.</w:t>
      </w:r>
    </w:p>
    <w:p w:rsidR="14FCF3EB" w:rsidRPr="00BB4637" w:rsidP="003B10C6">
      <w:pPr>
        <w:pStyle w:val="NumPar1"/>
      </w:pPr>
      <w:r w:rsidRPr="00BB4637">
        <w:t>For the purpose</w:t>
      </w:r>
      <w:r w:rsidRPr="00BB4637" w:rsidR="00015146">
        <w:t>s</w:t>
      </w:r>
      <w:r w:rsidRPr="00BB4637">
        <w:t xml:space="preserve"> of paragraph </w:t>
      </w:r>
      <w:r w:rsidRPr="00BB4637" w:rsidR="005763C1">
        <w:t>1</w:t>
      </w:r>
      <w:r w:rsidRPr="00BB4637">
        <w:t>,</w:t>
      </w:r>
      <w:r w:rsidRPr="00BB4637" w:rsidR="1CB9D342">
        <w:t xml:space="preserve"> the Commission shall take the necessary measures </w:t>
      </w:r>
      <w:r w:rsidRPr="00BB4637" w:rsidR="00015146">
        <w:t xml:space="preserve">in order </w:t>
      </w:r>
      <w:r w:rsidRPr="00BB4637" w:rsidR="1CB9D342">
        <w:t xml:space="preserve">to: </w:t>
      </w:r>
    </w:p>
    <w:p w:rsidR="1CB9D342" w:rsidRPr="00191B42" w:rsidP="0019023C">
      <w:pPr>
        <w:pStyle w:val="Point1letter"/>
        <w:numPr>
          <w:ilvl w:val="3"/>
          <w:numId w:val="10"/>
        </w:numPr>
      </w:pPr>
      <w:r w:rsidRPr="00191B42">
        <w:t xml:space="preserve">prevent any unauthorised </w:t>
      </w:r>
      <w:r w:rsidRPr="00191B42" w:rsidR="00DC1E0E">
        <w:t>access</w:t>
      </w:r>
      <w:r w:rsidR="00015146">
        <w:t xml:space="preserve"> to the registry</w:t>
      </w:r>
      <w:r w:rsidRPr="00191B42">
        <w:t xml:space="preserve">; </w:t>
      </w:r>
    </w:p>
    <w:p w:rsidR="1CB9D342" w:rsidRPr="00191B42" w:rsidP="0019023C">
      <w:pPr>
        <w:pStyle w:val="Point1letter"/>
        <w:numPr>
          <w:ilvl w:val="3"/>
          <w:numId w:val="10"/>
        </w:numPr>
      </w:pPr>
      <w:r w:rsidRPr="00191B42">
        <w:t xml:space="preserve">prevent </w:t>
      </w:r>
      <w:r w:rsidRPr="00191B42" w:rsidR="00DC1E0E">
        <w:t xml:space="preserve">any unauthorised processing </w:t>
      </w:r>
      <w:r w:rsidRPr="00191B42">
        <w:t xml:space="preserve">of </w:t>
      </w:r>
      <w:r w:rsidR="00015146">
        <w:t xml:space="preserve">registry </w:t>
      </w:r>
      <w:r w:rsidRPr="00191B42">
        <w:t xml:space="preserve">data; </w:t>
      </w:r>
    </w:p>
    <w:p w:rsidR="00AE3B72" w:rsidP="0019023C">
      <w:pPr>
        <w:pStyle w:val="Point1letter"/>
        <w:numPr>
          <w:ilvl w:val="3"/>
          <w:numId w:val="10"/>
        </w:numPr>
      </w:pPr>
      <w:r w:rsidRPr="00191B42">
        <w:t xml:space="preserve">detect any </w:t>
      </w:r>
      <w:r w:rsidRPr="00191B42" w:rsidR="00DC1E0E">
        <w:t>unauthorised activities</w:t>
      </w:r>
      <w:r w:rsidR="00015146">
        <w:t xml:space="preserve"> in the registry</w:t>
      </w:r>
      <w:r w:rsidR="00660BB5">
        <w:t>;</w:t>
      </w:r>
      <w:r w:rsidRPr="00191B42" w:rsidR="00DC1E0E">
        <w:t xml:space="preserve"> </w:t>
      </w:r>
    </w:p>
    <w:p w:rsidR="1CB9D342" w:rsidRPr="00191B42" w:rsidP="0019023C">
      <w:pPr>
        <w:pStyle w:val="Point1letter"/>
        <w:numPr>
          <w:ilvl w:val="3"/>
          <w:numId w:val="10"/>
        </w:numPr>
      </w:pPr>
      <w:r w:rsidRPr="00191B42">
        <w:t>avoid any data breaches</w:t>
      </w:r>
      <w:r w:rsidR="00015146">
        <w:t xml:space="preserve"> </w:t>
      </w:r>
      <w:r w:rsidR="1E956575">
        <w:t>of</w:t>
      </w:r>
      <w:r w:rsidR="00015146">
        <w:t xml:space="preserve"> the registry</w:t>
      </w:r>
      <w:r w:rsidRPr="00191B42">
        <w:t>;</w:t>
      </w:r>
    </w:p>
    <w:p w:rsidR="147BFB2D" w:rsidRPr="00191B42" w:rsidP="0019023C">
      <w:pPr>
        <w:pStyle w:val="Point1letter"/>
        <w:numPr>
          <w:ilvl w:val="3"/>
          <w:numId w:val="10"/>
        </w:numPr>
      </w:pPr>
      <w:r w:rsidRPr="00191B42">
        <w:t xml:space="preserve">ensure that security events are logged in accordance with the information technology security standards applied </w:t>
      </w:r>
      <w:r w:rsidR="00675C19">
        <w:t>by</w:t>
      </w:r>
      <w:r w:rsidRPr="00191B42">
        <w:t xml:space="preserve"> the Commission</w:t>
      </w:r>
      <w:r w:rsidRPr="00191B42" w:rsidR="00D96002">
        <w:t>.</w:t>
      </w:r>
    </w:p>
    <w:p w:rsidR="00C92D7B" w:rsidRPr="0022272E" w:rsidP="14B2530A">
      <w:pPr>
        <w:pStyle w:val="Titrearticle"/>
        <w:rPr>
          <w:b/>
          <w:bCs/>
          <w:i w:val="0"/>
          <w:iCs/>
        </w:rPr>
      </w:pPr>
      <w:r w:rsidRPr="00191B42">
        <w:t>Article </w:t>
      </w:r>
      <w:r w:rsidRPr="00191B42" w:rsidR="002C59E5">
        <w:t>1</w:t>
      </w:r>
      <w:r w:rsidR="00C4630C">
        <w:t>7</w:t>
      </w:r>
      <w:r w:rsidR="004046CC">
        <w:br/>
      </w:r>
      <w:r w:rsidRPr="0022272E" w:rsidR="004046CC">
        <w:rPr>
          <w:b/>
          <w:bCs/>
          <w:i w:val="0"/>
          <w:iCs/>
        </w:rPr>
        <w:t>Inappropriate or fraudulent use of the registry</w:t>
      </w:r>
    </w:p>
    <w:p w:rsidR="00C92D7B" w:rsidRPr="00191B42" w:rsidP="06588499">
      <w:r w:rsidRPr="00191B42">
        <w:t>Where the Commission identifies</w:t>
      </w:r>
      <w:r w:rsidR="00015146">
        <w:t xml:space="preserve"> an</w:t>
      </w:r>
      <w:r w:rsidRPr="00191B42">
        <w:t xml:space="preserve"> inappropriate or fraudulent activity</w:t>
      </w:r>
      <w:r w:rsidR="00015146">
        <w:t xml:space="preserve"> in the registry</w:t>
      </w:r>
      <w:r w:rsidRPr="00191B42">
        <w:t xml:space="preserve">, including </w:t>
      </w:r>
      <w:r w:rsidR="00420C7F">
        <w:t xml:space="preserve">any such activity </w:t>
      </w:r>
      <w:r w:rsidRPr="00191B42">
        <w:t xml:space="preserve">linked to massive data download, it shall take the necessary measures </w:t>
      </w:r>
      <w:r w:rsidR="00015146">
        <w:t>aiming at</w:t>
      </w:r>
      <w:r w:rsidRPr="00191B42" w:rsidR="00015146">
        <w:t xml:space="preserve"> </w:t>
      </w:r>
      <w:r w:rsidRPr="00191B42">
        <w:t>avoid</w:t>
      </w:r>
      <w:r w:rsidR="00015146">
        <w:t>ing</w:t>
      </w:r>
      <w:r w:rsidRPr="00191B42">
        <w:t xml:space="preserve"> </w:t>
      </w:r>
      <w:r w:rsidR="00616CBA">
        <w:t xml:space="preserve">and countering </w:t>
      </w:r>
      <w:r w:rsidR="00015146">
        <w:t>that activity</w:t>
      </w:r>
      <w:r w:rsidR="00653B69">
        <w:t xml:space="preserve"> a</w:t>
      </w:r>
      <w:r w:rsidR="00061813">
        <w:t>nd mitigating the effects thereof</w:t>
      </w:r>
      <w:r w:rsidRPr="00191B42">
        <w:t>.</w:t>
      </w:r>
    </w:p>
    <w:p w:rsidR="00167C72" w:rsidRPr="00191B42" w:rsidP="00167C72">
      <w:r w:rsidRPr="00191B42">
        <w:t>Any user who becomes aware of</w:t>
      </w:r>
      <w:r w:rsidR="00071C5B">
        <w:t>,</w:t>
      </w:r>
      <w:r w:rsidRPr="00191B42">
        <w:t xml:space="preserve"> or has reasonable grounds to suspect</w:t>
      </w:r>
      <w:r w:rsidR="00071C5B">
        <w:t>,</w:t>
      </w:r>
      <w:r w:rsidRPr="00191B42">
        <w:t xml:space="preserve"> malicious behaviour in </w:t>
      </w:r>
      <w:r w:rsidR="002756B8">
        <w:t xml:space="preserve">or against </w:t>
      </w:r>
      <w:r w:rsidRPr="00191B42">
        <w:t xml:space="preserve">the registry shall immediately inform </w:t>
      </w:r>
      <w:r w:rsidRPr="00191B42" w:rsidR="00595F3A">
        <w:t xml:space="preserve">thereof </w:t>
      </w:r>
      <w:r w:rsidRPr="00191B42">
        <w:t>the Commission and the Member States</w:t>
      </w:r>
      <w:r w:rsidR="002756B8">
        <w:t xml:space="preserve"> </w:t>
      </w:r>
      <w:r w:rsidRPr="00191B42" w:rsidR="002756B8">
        <w:t>concerned</w:t>
      </w:r>
      <w:r w:rsidRPr="00191B42">
        <w:t>.</w:t>
      </w:r>
    </w:p>
    <w:p w:rsidR="00C92D7B" w:rsidRPr="0022272E" w:rsidP="00C92D7B">
      <w:pPr>
        <w:pStyle w:val="Titrearticle"/>
        <w:rPr>
          <w:b/>
          <w:bCs/>
          <w:i w:val="0"/>
          <w:iCs/>
        </w:rPr>
      </w:pPr>
      <w:r w:rsidRPr="00191B42">
        <w:t>Article </w:t>
      </w:r>
      <w:r w:rsidRPr="00191B42" w:rsidR="002C59E5">
        <w:t>1</w:t>
      </w:r>
      <w:r w:rsidR="00C4630C">
        <w:t>8</w:t>
      </w:r>
      <w:r w:rsidR="004046CC">
        <w:br/>
      </w:r>
      <w:r w:rsidRPr="0022272E" w:rsidR="004046CC">
        <w:rPr>
          <w:b/>
          <w:bCs/>
          <w:i w:val="0"/>
          <w:iCs/>
        </w:rPr>
        <w:t>Personal data</w:t>
      </w:r>
    </w:p>
    <w:p w:rsidR="00C92D7B" w:rsidRPr="00191B42" w:rsidP="0019023C">
      <w:pPr>
        <w:pStyle w:val="NumPar1"/>
        <w:numPr>
          <w:ilvl w:val="0"/>
          <w:numId w:val="27"/>
        </w:numPr>
      </w:pPr>
      <w:r w:rsidRPr="00191B42">
        <w:t xml:space="preserve">The </w:t>
      </w:r>
      <w:r w:rsidR="000C08E5">
        <w:t xml:space="preserve">Commission shall store the </w:t>
      </w:r>
      <w:r w:rsidRPr="00191B42">
        <w:t xml:space="preserve">following personal data in the registry to ensure the verification of </w:t>
      </w:r>
      <w:r w:rsidR="00DE605E">
        <w:t xml:space="preserve">the </w:t>
      </w:r>
      <w:r w:rsidRPr="00191B42">
        <w:t>identity of all users:</w:t>
      </w:r>
    </w:p>
    <w:p w:rsidR="00C92D7B" w:rsidRPr="00191B42" w:rsidP="0019023C">
      <w:pPr>
        <w:pStyle w:val="Point1letter"/>
        <w:numPr>
          <w:ilvl w:val="3"/>
          <w:numId w:val="28"/>
        </w:numPr>
      </w:pPr>
      <w:r w:rsidRPr="00191B42">
        <w:t>first and last name</w:t>
      </w:r>
      <w:r w:rsidR="00DE32E2">
        <w:t xml:space="preserve"> of</w:t>
      </w:r>
      <w:r w:rsidR="005E792A">
        <w:t xml:space="preserve"> each user</w:t>
      </w:r>
      <w:r w:rsidRPr="00191B42">
        <w:t>; or first and last name of the person legally entitled to act as a legal representative for the economic operator, where applicable;</w:t>
      </w:r>
    </w:p>
    <w:p w:rsidR="00F064E7" w:rsidRPr="00933F06" w:rsidP="00933F06">
      <w:pPr>
        <w:pStyle w:val="Point1letter"/>
      </w:pPr>
      <w:r w:rsidRPr="00933F06">
        <w:t xml:space="preserve">authentication </w:t>
      </w:r>
      <w:r w:rsidRPr="00933F06">
        <w:t>credentials</w:t>
      </w:r>
      <w:r w:rsidRPr="00933F06">
        <w:t xml:space="preserve"> associated with the</w:t>
      </w:r>
      <w:r w:rsidR="00CF7D00">
        <w:t xml:space="preserve"> user</w:t>
      </w:r>
      <w:r w:rsidRPr="00933F06" w:rsidR="0005346F">
        <w:t xml:space="preserve">, including </w:t>
      </w:r>
      <w:r w:rsidRPr="00933F06">
        <w:t>login credentials</w:t>
      </w:r>
      <w:r w:rsidRPr="00933F06">
        <w:t xml:space="preserve"> or authentication tokens</w:t>
      </w:r>
      <w:r w:rsidRPr="00933F06" w:rsidR="0005346F">
        <w:t>,</w:t>
      </w:r>
      <w:r w:rsidRPr="00933F06">
        <w:t xml:space="preserve"> necessary for secure access</w:t>
      </w:r>
      <w:r w:rsidRPr="00933F06" w:rsidR="00595F3A">
        <w:t xml:space="preserve"> </w:t>
      </w:r>
      <w:r w:rsidRPr="00933F06" w:rsidR="250DD071">
        <w:t xml:space="preserve">to </w:t>
      </w:r>
      <w:r w:rsidRPr="00933F06" w:rsidR="00595F3A">
        <w:t>the registry</w:t>
      </w:r>
      <w:r w:rsidRPr="00933F06">
        <w:t>;</w:t>
      </w:r>
    </w:p>
    <w:p w:rsidR="00F064E7" w:rsidRPr="00933F06" w:rsidP="00933F06">
      <w:pPr>
        <w:pStyle w:val="Point1letter"/>
      </w:pPr>
      <w:r w:rsidRPr="00933F06">
        <w:t>postal address</w:t>
      </w:r>
      <w:r w:rsidRPr="00933F06" w:rsidR="005E792A">
        <w:t xml:space="preserve"> of </w:t>
      </w:r>
      <w:r w:rsidR="00CF7D00">
        <w:t xml:space="preserve">the </w:t>
      </w:r>
      <w:r w:rsidRPr="00933F06" w:rsidR="005E792A">
        <w:t xml:space="preserve">economic operators and </w:t>
      </w:r>
      <w:r w:rsidRPr="00933F06" w:rsidR="006F2E69">
        <w:t>other value chain actors</w:t>
      </w:r>
      <w:r w:rsidR="00CF7D00">
        <w:t xml:space="preserve"> that </w:t>
      </w:r>
      <w:r w:rsidR="001447EB">
        <w:t>are users</w:t>
      </w:r>
      <w:r w:rsidRPr="00933F06">
        <w:t>;</w:t>
      </w:r>
    </w:p>
    <w:p w:rsidR="00C92D7B" w:rsidRPr="00933F06" w:rsidP="00933F06">
      <w:pPr>
        <w:pStyle w:val="Point1letter"/>
      </w:pPr>
      <w:r w:rsidRPr="00191B42">
        <w:t>email address</w:t>
      </w:r>
      <w:r w:rsidR="002D635C">
        <w:t xml:space="preserve"> of each user</w:t>
      </w:r>
      <w:r w:rsidRPr="00191B42">
        <w:t>;</w:t>
      </w:r>
    </w:p>
    <w:p w:rsidR="00FD3B08" w:rsidP="00933F06">
      <w:pPr>
        <w:pStyle w:val="Point1letter"/>
      </w:pPr>
      <w:r w:rsidRPr="00191B42">
        <w:t>metadata embedded in uploaded documents</w:t>
      </w:r>
      <w:r w:rsidR="00AA3132">
        <w:t xml:space="preserve"> where such metadata cont</w:t>
      </w:r>
      <w:r w:rsidR="00470F12">
        <w:t>r</w:t>
      </w:r>
      <w:r w:rsidR="00AA3132">
        <w:t xml:space="preserve">ibutes to the identification or verification of </w:t>
      </w:r>
      <w:r w:rsidR="002E2F73">
        <w:t>a</w:t>
      </w:r>
      <w:r w:rsidR="00AA3132">
        <w:t xml:space="preserve"> user</w:t>
      </w:r>
      <w:r w:rsidRPr="00191B42" w:rsidR="00F064E7">
        <w:t>.</w:t>
      </w:r>
    </w:p>
    <w:p w:rsidR="002D635C" w:rsidRPr="002D635C" w:rsidP="00933F06">
      <w:pPr>
        <w:pStyle w:val="NumPar1"/>
      </w:pPr>
      <w:r>
        <w:t xml:space="preserve">In </w:t>
      </w:r>
      <w:r w:rsidR="05B185FA">
        <w:t xml:space="preserve">the </w:t>
      </w:r>
      <w:r>
        <w:t>case of natural persons,</w:t>
      </w:r>
      <w:r w:rsidR="00DB639D">
        <w:t xml:space="preserve"> </w:t>
      </w:r>
      <w:r w:rsidR="2655E0A4">
        <w:t xml:space="preserve">it shall </w:t>
      </w:r>
      <w:r w:rsidR="00DB639D">
        <w:t>also</w:t>
      </w:r>
      <w:r>
        <w:t xml:space="preserve"> </w:t>
      </w:r>
      <w:r w:rsidR="3BF26AE4">
        <w:t xml:space="preserve">be required to store </w:t>
      </w:r>
      <w:r>
        <w:t>personal</w:t>
      </w:r>
      <w:r w:rsidRPr="00191B42">
        <w:t xml:space="preserve"> identifier</w:t>
      </w:r>
      <w:r w:rsidR="00DB639D">
        <w:t>s</w:t>
      </w:r>
      <w:r w:rsidRPr="00191B42">
        <w:t>, such as a passport number, national identity card number</w:t>
      </w:r>
      <w:r w:rsidR="00AA3132">
        <w:t xml:space="preserve"> or nati</w:t>
      </w:r>
      <w:r w:rsidR="00DC4888">
        <w:t>o</w:t>
      </w:r>
      <w:r w:rsidR="00AA3132">
        <w:t>nal eID number</w:t>
      </w:r>
      <w:r w:rsidRPr="00191B42">
        <w:t>, civil registry</w:t>
      </w:r>
      <w:r w:rsidR="00AA3132">
        <w:t xml:space="preserve"> number</w:t>
      </w:r>
      <w:r w:rsidRPr="00191B42">
        <w:t>, tax identification number issued by the relevant national authority of the respective Member State</w:t>
      </w:r>
      <w:r>
        <w:t>,</w:t>
      </w:r>
      <w:r w:rsidRPr="00191B42">
        <w:t xml:space="preserve"> or any third-country identifier that is assigned to a person or documentation that identifies th</w:t>
      </w:r>
      <w:r>
        <w:t>at</w:t>
      </w:r>
      <w:r w:rsidRPr="00191B42">
        <w:t xml:space="preserve"> person</w:t>
      </w:r>
      <w:r w:rsidR="00DB639D">
        <w:t>.</w:t>
      </w:r>
      <w:r w:rsidRPr="00191B42">
        <w:t xml:space="preserve">  </w:t>
      </w:r>
    </w:p>
    <w:p w:rsidR="00C92D7B" w:rsidRPr="00191B42" w:rsidP="003B10C6">
      <w:pPr>
        <w:pStyle w:val="NumPar1"/>
      </w:pPr>
      <w:r w:rsidRPr="00191B42">
        <w:t xml:space="preserve">Personal data collected </w:t>
      </w:r>
      <w:r w:rsidRPr="00191B42" w:rsidR="290AC0C6">
        <w:t xml:space="preserve">shall be processed in accordance with Regulation (EU) 2018/1725. </w:t>
      </w:r>
    </w:p>
    <w:p w:rsidR="059931A6" w:rsidRPr="0022272E" w:rsidP="10C8BDA9">
      <w:pPr>
        <w:pStyle w:val="Titrearticle"/>
        <w:rPr>
          <w:b/>
          <w:bCs/>
          <w:i w:val="0"/>
          <w:iCs/>
        </w:rPr>
      </w:pPr>
      <w:r w:rsidRPr="00191B42">
        <w:t xml:space="preserve">Article </w:t>
      </w:r>
      <w:r w:rsidRPr="00191B42" w:rsidR="002C59E5">
        <w:t>1</w:t>
      </w:r>
      <w:r w:rsidR="00C4630C">
        <w:t>9</w:t>
      </w:r>
      <w:r w:rsidR="006C55B8">
        <w:br/>
      </w:r>
      <w:r w:rsidRPr="0022272E" w:rsidR="006C55B8">
        <w:rPr>
          <w:b/>
          <w:bCs/>
          <w:i w:val="0"/>
          <w:iCs/>
        </w:rPr>
        <w:t xml:space="preserve">Responsibilities of </w:t>
      </w:r>
      <w:r w:rsidR="007725E2">
        <w:rPr>
          <w:b/>
          <w:bCs/>
          <w:i w:val="0"/>
          <w:iCs/>
        </w:rPr>
        <w:t xml:space="preserve">the </w:t>
      </w:r>
      <w:r w:rsidR="00692BFD">
        <w:rPr>
          <w:b/>
          <w:bCs/>
          <w:i w:val="0"/>
          <w:iCs/>
        </w:rPr>
        <w:t xml:space="preserve">verified </w:t>
      </w:r>
      <w:r w:rsidRPr="0022272E" w:rsidR="006C55B8">
        <w:rPr>
          <w:b/>
          <w:bCs/>
          <w:i w:val="0"/>
          <w:iCs/>
        </w:rPr>
        <w:t>economic operator</w:t>
      </w:r>
    </w:p>
    <w:p w:rsidR="003B10C6" w:rsidRPr="0005346F" w:rsidP="0019023C">
      <w:pPr>
        <w:pStyle w:val="NumPar1"/>
        <w:numPr>
          <w:ilvl w:val="0"/>
          <w:numId w:val="17"/>
        </w:numPr>
      </w:pPr>
      <w:r>
        <w:t>A v</w:t>
      </w:r>
      <w:r w:rsidR="00692BFD">
        <w:t>erified</w:t>
      </w:r>
      <w:r w:rsidRPr="0005346F" w:rsidR="00692BFD">
        <w:t xml:space="preserve"> </w:t>
      </w:r>
      <w:r w:rsidRPr="0005346F" w:rsidR="059931A6">
        <w:t xml:space="preserve">economic operator requesting the registration of a digital product passport shall provide the </w:t>
      </w:r>
      <w:r w:rsidRPr="0005346F" w:rsidR="00595F3A">
        <w:t xml:space="preserve">Commission as </w:t>
      </w:r>
      <w:r w:rsidR="0005346F">
        <w:t>manager</w:t>
      </w:r>
      <w:r w:rsidRPr="0005346F" w:rsidR="0005346F">
        <w:t xml:space="preserve"> </w:t>
      </w:r>
      <w:r w:rsidRPr="0005346F" w:rsidR="00595F3A">
        <w:t xml:space="preserve">of the </w:t>
      </w:r>
      <w:r w:rsidRPr="0005346F" w:rsidR="00A17AF2">
        <w:t>r</w:t>
      </w:r>
      <w:r w:rsidRPr="0005346F" w:rsidR="059931A6">
        <w:t xml:space="preserve">egistry with all information necessary for the registration, </w:t>
      </w:r>
      <w:r w:rsidRPr="00BB4637" w:rsidR="059931A6">
        <w:t xml:space="preserve">as </w:t>
      </w:r>
      <w:r w:rsidRPr="00BB4637" w:rsidR="004A2F6A">
        <w:t xml:space="preserve">provided for </w:t>
      </w:r>
      <w:r w:rsidRPr="00BB4637" w:rsidR="059931A6">
        <w:t xml:space="preserve">in Article </w:t>
      </w:r>
      <w:r w:rsidRPr="00BB4637" w:rsidR="006E64D8">
        <w:t>8</w:t>
      </w:r>
      <w:r w:rsidRPr="00BB4637" w:rsidR="059931A6">
        <w:t>. The</w:t>
      </w:r>
      <w:r w:rsidRPr="0005346F" w:rsidR="059931A6">
        <w:t xml:space="preserve"> </w:t>
      </w:r>
      <w:r w:rsidR="00692BFD">
        <w:t xml:space="preserve">verified </w:t>
      </w:r>
      <w:r w:rsidRPr="0005346F" w:rsidR="059931A6">
        <w:t>economic operator shall be responsible for the accuracy and completeness of the information submitted at the time of registration.</w:t>
      </w:r>
    </w:p>
    <w:p w:rsidR="003B10C6" w:rsidP="0019023C">
      <w:pPr>
        <w:pStyle w:val="NumPar1"/>
        <w:numPr>
          <w:ilvl w:val="0"/>
          <w:numId w:val="17"/>
        </w:numPr>
      </w:pPr>
      <w:r w:rsidRPr="00191B42">
        <w:t xml:space="preserve">The </w:t>
      </w:r>
      <w:r w:rsidR="00692BFD">
        <w:t xml:space="preserve">verified </w:t>
      </w:r>
      <w:r w:rsidRPr="00191B42">
        <w:t>economic operator shall ensure that the information stored in the registry of the digital product passport is kept accurate</w:t>
      </w:r>
      <w:r w:rsidR="00C11CCF">
        <w:t>, complete</w:t>
      </w:r>
      <w:r w:rsidRPr="00191B42">
        <w:t xml:space="preserve"> and up to date at all times.</w:t>
      </w:r>
      <w:r w:rsidRPr="00191B42" w:rsidR="00A17AF2">
        <w:t xml:space="preserve"> </w:t>
      </w:r>
    </w:p>
    <w:p w:rsidR="003B10C6" w:rsidP="0019023C">
      <w:pPr>
        <w:pStyle w:val="NumPar1"/>
        <w:numPr>
          <w:ilvl w:val="0"/>
          <w:numId w:val="17"/>
        </w:numPr>
      </w:pPr>
      <w:r w:rsidRPr="00191B42">
        <w:t xml:space="preserve">The </w:t>
      </w:r>
      <w:r w:rsidR="00692BFD">
        <w:t xml:space="preserve">verified </w:t>
      </w:r>
      <w:r w:rsidRPr="00191B42">
        <w:t xml:space="preserve">economic operator shall be responsible for implementing appropriate technical and organisational security measures to its </w:t>
      </w:r>
      <w:r w:rsidRPr="00191B42" w:rsidR="00A17AF2">
        <w:t xml:space="preserve">IT </w:t>
      </w:r>
      <w:r w:rsidRPr="00191B42">
        <w:t xml:space="preserve">systems and credentials used to access the </w:t>
      </w:r>
      <w:r w:rsidRPr="00191B42" w:rsidR="00A17AF2">
        <w:t>r</w:t>
      </w:r>
      <w:r w:rsidRPr="00191B42">
        <w:t xml:space="preserve">egistry, to prevent </w:t>
      </w:r>
      <w:r w:rsidRPr="00191B42" w:rsidR="00A17AF2">
        <w:t xml:space="preserve">any </w:t>
      </w:r>
      <w:r w:rsidRPr="00191B42">
        <w:t>unauthorised access to or modification of registration data</w:t>
      </w:r>
      <w:r w:rsidRPr="00191B42" w:rsidR="00A17AF2">
        <w:t xml:space="preserve"> th</w:t>
      </w:r>
      <w:r w:rsidR="00595F3A">
        <w:t>r</w:t>
      </w:r>
      <w:r w:rsidRPr="00191B42" w:rsidR="00A17AF2">
        <w:t xml:space="preserve">ough </w:t>
      </w:r>
      <w:r w:rsidR="00BF539C">
        <w:t>its</w:t>
      </w:r>
      <w:r w:rsidRPr="00191B42" w:rsidR="00A17AF2">
        <w:t xml:space="preserve"> IT system</w:t>
      </w:r>
      <w:r w:rsidRPr="00191B42">
        <w:t>.</w:t>
      </w:r>
    </w:p>
    <w:p w:rsidR="003B10C6" w:rsidP="6D94992A">
      <w:pPr>
        <w:pStyle w:val="NumPar1"/>
      </w:pPr>
      <w:r w:rsidRPr="00191B42">
        <w:t>Where a</w:t>
      </w:r>
      <w:r w:rsidR="00692BFD">
        <w:t xml:space="preserve"> verified</w:t>
      </w:r>
      <w:r w:rsidRPr="00191B42">
        <w:t xml:space="preserve"> economic operator authorises a third party to perform registration actions in the </w:t>
      </w:r>
      <w:r w:rsidRPr="00191B42" w:rsidR="006B0662">
        <w:t>r</w:t>
      </w:r>
      <w:r w:rsidRPr="00191B42">
        <w:t xml:space="preserve">egistry on its behalf, the </w:t>
      </w:r>
      <w:r w:rsidR="00692BFD">
        <w:t xml:space="preserve">verified </w:t>
      </w:r>
      <w:r w:rsidRPr="00191B42">
        <w:t xml:space="preserve">economic operator shall remain fully responsible for compliance with </w:t>
      </w:r>
      <w:r w:rsidR="175D984C">
        <w:t xml:space="preserve">the </w:t>
      </w:r>
      <w:r>
        <w:t>obligations</w:t>
      </w:r>
      <w:r w:rsidRPr="00191B42">
        <w:t xml:space="preserve"> </w:t>
      </w:r>
      <w:r w:rsidR="00BF539C">
        <w:t>set out in</w:t>
      </w:r>
      <w:r w:rsidRPr="00191B42">
        <w:t xml:space="preserve"> this Regulation. </w:t>
      </w:r>
    </w:p>
    <w:p w:rsidR="00674863" w:rsidRPr="00191B42" w:rsidP="0019023C">
      <w:pPr>
        <w:pStyle w:val="NumPar1"/>
        <w:numPr>
          <w:ilvl w:val="0"/>
          <w:numId w:val="17"/>
        </w:numPr>
      </w:pPr>
      <w:r w:rsidRPr="00191B42">
        <w:t xml:space="preserve">Each </w:t>
      </w:r>
      <w:r w:rsidR="00692BFD">
        <w:t xml:space="preserve">verified </w:t>
      </w:r>
      <w:r w:rsidRPr="00191B42" w:rsidR="005004B4">
        <w:t>economic operator</w:t>
      </w:r>
      <w:r w:rsidRPr="00191B42" w:rsidR="00B50036">
        <w:t xml:space="preserve"> shall be responsible for the data </w:t>
      </w:r>
      <w:r w:rsidR="00584934">
        <w:t>it</w:t>
      </w:r>
      <w:r w:rsidRPr="00191B42" w:rsidR="00B50036">
        <w:t xml:space="preserve"> submit</w:t>
      </w:r>
      <w:r w:rsidR="00584934">
        <w:t>s</w:t>
      </w:r>
      <w:r w:rsidRPr="00191B42" w:rsidR="00B50036">
        <w:t xml:space="preserve"> to the </w:t>
      </w:r>
      <w:r w:rsidR="00595F3A">
        <w:t>Commission as manager of the registry</w:t>
      </w:r>
      <w:r w:rsidRPr="00191B42" w:rsidR="00B50036">
        <w:t xml:space="preserve"> and </w:t>
      </w:r>
      <w:r w:rsidRPr="00191B42">
        <w:t xml:space="preserve">shall </w:t>
      </w:r>
      <w:r w:rsidRPr="00191B42" w:rsidR="00B50036">
        <w:t xml:space="preserve">be considered as the </w:t>
      </w:r>
      <w:r w:rsidRPr="0005346F" w:rsidR="00B50036">
        <w:t>controller</w:t>
      </w:r>
      <w:r w:rsidRPr="00191B42" w:rsidR="00B50036">
        <w:t xml:space="preserve"> of the data </w:t>
      </w:r>
      <w:r w:rsidR="00584934">
        <w:t>it</w:t>
      </w:r>
      <w:r w:rsidRPr="00191B42">
        <w:t xml:space="preserve"> </w:t>
      </w:r>
      <w:r w:rsidRPr="00191B42" w:rsidR="004120B9">
        <w:t>submit</w:t>
      </w:r>
      <w:r w:rsidR="00584934">
        <w:t>s</w:t>
      </w:r>
      <w:r w:rsidRPr="00191B42">
        <w:t xml:space="preserve">. </w:t>
      </w:r>
    </w:p>
    <w:p w:rsidR="006F2E69" w:rsidRPr="0022272E" w:rsidP="006F2E69">
      <w:pPr>
        <w:pStyle w:val="Titrearticle"/>
        <w:rPr>
          <w:b/>
          <w:bCs/>
          <w:i w:val="0"/>
          <w:iCs/>
        </w:rPr>
      </w:pPr>
      <w:r w:rsidRPr="006E64D8">
        <w:t>Article</w:t>
      </w:r>
      <w:r w:rsidRPr="006E64D8" w:rsidR="006E64D8">
        <w:t xml:space="preserve"> 20</w:t>
      </w:r>
      <w:r w:rsidRPr="006E64D8">
        <w:br/>
      </w:r>
      <w:r w:rsidRPr="006E64D8">
        <w:rPr>
          <w:b/>
          <w:bCs/>
          <w:i w:val="0"/>
          <w:iCs/>
        </w:rPr>
        <w:t>Responsibilities of other</w:t>
      </w:r>
      <w:r w:rsidR="006E64D8">
        <w:rPr>
          <w:b/>
          <w:bCs/>
          <w:i w:val="0"/>
          <w:iCs/>
        </w:rPr>
        <w:t xml:space="preserve"> verified</w:t>
      </w:r>
      <w:r w:rsidRPr="006E64D8">
        <w:rPr>
          <w:b/>
          <w:bCs/>
          <w:i w:val="0"/>
          <w:iCs/>
        </w:rPr>
        <w:t xml:space="preserve"> value chain actors</w:t>
      </w:r>
    </w:p>
    <w:p w:rsidR="006E64D8" w:rsidRPr="006E64D8" w:rsidP="0019023C">
      <w:pPr>
        <w:pStyle w:val="NumPar1"/>
        <w:numPr>
          <w:ilvl w:val="0"/>
          <w:numId w:val="22"/>
        </w:numPr>
      </w:pPr>
      <w:r w:rsidRPr="006E64D8">
        <w:t xml:space="preserve">Where a verified value chain actor other than the economic operator authorises a third party to act on its behalf, the verified value chain actor shall remain responsible for compliance with </w:t>
      </w:r>
      <w:r w:rsidR="06F55F22">
        <w:t>the</w:t>
      </w:r>
      <w:r w:rsidRPr="006E64D8">
        <w:t xml:space="preserve"> obligations set out in this Regulation. </w:t>
      </w:r>
    </w:p>
    <w:p w:rsidR="006E64D8" w:rsidRPr="006E64D8" w:rsidP="0019023C">
      <w:pPr>
        <w:pStyle w:val="NumPar1"/>
        <w:numPr>
          <w:ilvl w:val="0"/>
          <w:numId w:val="22"/>
        </w:numPr>
      </w:pPr>
      <w:r w:rsidRPr="006E64D8">
        <w:t xml:space="preserve">A verified value chain actor other than the economic operator shall be responsible for implementing appropriate technical and organisational security measures </w:t>
      </w:r>
      <w:r w:rsidR="00C077F7">
        <w:t>with regard to</w:t>
      </w:r>
      <w:r w:rsidRPr="006E64D8">
        <w:t xml:space="preserve"> its IT systems and credentials </w:t>
      </w:r>
      <w:r w:rsidR="00C077F7">
        <w:t xml:space="preserve">that are </w:t>
      </w:r>
      <w:r w:rsidRPr="006E64D8">
        <w:t xml:space="preserve">used to access the registry, </w:t>
      </w:r>
      <w:r w:rsidR="00C077F7">
        <w:t xml:space="preserve">in order </w:t>
      </w:r>
      <w:r w:rsidRPr="006E64D8">
        <w:t>to prevent any unauthorised access to or modification of registration data through its IT system.</w:t>
      </w:r>
    </w:p>
    <w:p w:rsidR="006F2E69" w:rsidRPr="006E64D8" w:rsidP="0019023C">
      <w:pPr>
        <w:pStyle w:val="NumPar1"/>
        <w:numPr>
          <w:ilvl w:val="0"/>
          <w:numId w:val="17"/>
        </w:numPr>
      </w:pPr>
      <w:r>
        <w:t>Where Union law provides for other value chain actors than economic operators to upload any information to the digital product passport registry, e</w:t>
      </w:r>
      <w:r w:rsidRPr="006E64D8">
        <w:t xml:space="preserve">ach </w:t>
      </w:r>
      <w:r>
        <w:t xml:space="preserve">verified </w:t>
      </w:r>
      <w:r w:rsidRPr="006E64D8">
        <w:t xml:space="preserve">value chain actor shall be responsible for the data it submits to the Commission as manager of the registry and shall be considered as the controller of the data it submits. </w:t>
      </w:r>
    </w:p>
    <w:p w:rsidR="00C92D7B" w:rsidRPr="0022272E" w:rsidP="00C92D7B">
      <w:pPr>
        <w:pStyle w:val="Titrearticle"/>
        <w:rPr>
          <w:b/>
          <w:bCs/>
          <w:i w:val="0"/>
          <w:iCs/>
        </w:rPr>
      </w:pPr>
      <w:r w:rsidRPr="00191B42">
        <w:t xml:space="preserve">Article </w:t>
      </w:r>
      <w:r w:rsidR="00C4630C">
        <w:t>21</w:t>
      </w:r>
      <w:r w:rsidR="006C55B8">
        <w:br/>
      </w:r>
      <w:r w:rsidRPr="0022272E" w:rsidR="006C55B8">
        <w:rPr>
          <w:b/>
          <w:bCs/>
          <w:i w:val="0"/>
          <w:iCs/>
        </w:rPr>
        <w:t>Responsibilities of the Commission</w:t>
      </w:r>
    </w:p>
    <w:p w:rsidR="001C35DF" w:rsidRPr="00946EF4" w:rsidP="0019023C">
      <w:pPr>
        <w:pStyle w:val="NumPar1"/>
        <w:numPr>
          <w:ilvl w:val="0"/>
          <w:numId w:val="18"/>
        </w:numPr>
        <w:rPr>
          <w:rFonts w:eastAsia="Times New Roman"/>
        </w:rPr>
      </w:pPr>
      <w:r w:rsidRPr="00946EF4">
        <w:rPr>
          <w:rFonts w:eastAsia="Times New Roman"/>
        </w:rPr>
        <w:t xml:space="preserve">The Commission shall ensure that the data stored in the registry </w:t>
      </w:r>
      <w:r w:rsidRPr="00946EF4" w:rsidR="00DE7CF6">
        <w:rPr>
          <w:rFonts w:eastAsia="Times New Roman"/>
        </w:rPr>
        <w:t xml:space="preserve">is </w:t>
      </w:r>
      <w:r w:rsidRPr="00946EF4">
        <w:rPr>
          <w:rFonts w:eastAsia="Times New Roman"/>
        </w:rPr>
        <w:t>processed securely and in compliance with Union law, including applicable rules on the protection of personal data.</w:t>
      </w:r>
    </w:p>
    <w:p w:rsidR="00C92D7B" w:rsidP="0019023C">
      <w:pPr>
        <w:pStyle w:val="NumPar1"/>
        <w:numPr>
          <w:ilvl w:val="0"/>
          <w:numId w:val="18"/>
        </w:numPr>
        <w:rPr>
          <w:rFonts w:eastAsia="Times New Roman"/>
        </w:rPr>
      </w:pPr>
      <w:r w:rsidRPr="00946EF4">
        <w:rPr>
          <w:rFonts w:eastAsia="Times New Roman"/>
        </w:rPr>
        <w:t xml:space="preserve">The Commission shall be the owner of the registry and responsible for </w:t>
      </w:r>
      <w:r w:rsidRPr="00946EF4" w:rsidR="000F222F">
        <w:rPr>
          <w:rFonts w:eastAsia="Times New Roman"/>
        </w:rPr>
        <w:t xml:space="preserve">its </w:t>
      </w:r>
      <w:r w:rsidRPr="00946EF4" w:rsidR="00595F3A">
        <w:rPr>
          <w:rFonts w:eastAsia="Times New Roman"/>
        </w:rPr>
        <w:t xml:space="preserve">management, including its </w:t>
      </w:r>
      <w:r w:rsidRPr="00946EF4">
        <w:rPr>
          <w:rFonts w:eastAsia="Times New Roman"/>
        </w:rPr>
        <w:t xml:space="preserve">development, availability, monitoring, updating, maintenance and hosting. </w:t>
      </w:r>
    </w:p>
    <w:p w:rsidR="002072B3" w:rsidRPr="002072B3" w:rsidP="0019023C">
      <w:pPr>
        <w:pStyle w:val="NumPar1"/>
        <w:numPr>
          <w:ilvl w:val="0"/>
          <w:numId w:val="18"/>
        </w:numPr>
      </w:pPr>
      <w:r w:rsidRPr="002072B3">
        <w:rPr>
          <w:rFonts w:eastAsia="Times New Roman"/>
        </w:rPr>
        <w:t xml:space="preserve">The data that the Commission can obtain from the registry may be transmitted to the relevant services within the Commission or to competent national authorities for the purposes of carrying out measures required under other EU legislative acts, including market surveillance, consumer protection and customs compliance. </w:t>
      </w:r>
    </w:p>
    <w:p w:rsidR="00C92D7B" w:rsidRPr="0022272E" w:rsidP="00C92D7B">
      <w:pPr>
        <w:pStyle w:val="Titrearticle"/>
        <w:rPr>
          <w:b/>
          <w:bCs/>
          <w:i w:val="0"/>
          <w:iCs/>
        </w:rPr>
      </w:pPr>
      <w:r w:rsidRPr="00191B42">
        <w:t xml:space="preserve">Article </w:t>
      </w:r>
      <w:r w:rsidR="00C4630C">
        <w:t>22</w:t>
      </w:r>
      <w:r w:rsidR="006C55B8">
        <w:br/>
      </w:r>
      <w:r w:rsidRPr="0022272E" w:rsidR="006C55B8">
        <w:rPr>
          <w:b/>
          <w:bCs/>
          <w:i w:val="0"/>
          <w:iCs/>
        </w:rPr>
        <w:t xml:space="preserve">Responsibilities of </w:t>
      </w:r>
      <w:r w:rsidR="002144D3">
        <w:rPr>
          <w:b/>
          <w:bCs/>
          <w:i w:val="0"/>
          <w:iCs/>
        </w:rPr>
        <w:t xml:space="preserve">the </w:t>
      </w:r>
      <w:r w:rsidRPr="0022272E" w:rsidR="006C55B8">
        <w:rPr>
          <w:b/>
          <w:bCs/>
          <w:i w:val="0"/>
          <w:iCs/>
        </w:rPr>
        <w:t>Member States</w:t>
      </w:r>
    </w:p>
    <w:p w:rsidR="003B10C6" w:rsidRPr="003B10C6" w:rsidP="0019023C">
      <w:pPr>
        <w:pStyle w:val="NumPar1"/>
        <w:numPr>
          <w:ilvl w:val="0"/>
          <w:numId w:val="35"/>
        </w:numPr>
      </w:pPr>
      <w:r>
        <w:rPr>
          <w:rFonts w:eastAsia="Times New Roman"/>
        </w:rPr>
        <w:t xml:space="preserve">Where </w:t>
      </w:r>
      <w:r w:rsidRPr="00946EF4" w:rsidR="0ABBB1AD">
        <w:rPr>
          <w:rFonts w:eastAsia="Times New Roman"/>
        </w:rPr>
        <w:t>Member State</w:t>
      </w:r>
      <w:r w:rsidRPr="00946EF4" w:rsidR="00052F11">
        <w:rPr>
          <w:rFonts w:eastAsia="Times New Roman"/>
        </w:rPr>
        <w:t>s</w:t>
      </w:r>
      <w:r w:rsidRPr="00946EF4" w:rsidR="0ABBB1AD">
        <w:rPr>
          <w:rFonts w:eastAsia="Times New Roman"/>
        </w:rPr>
        <w:t xml:space="preserve"> </w:t>
      </w:r>
      <w:r>
        <w:rPr>
          <w:rFonts w:eastAsia="Times New Roman"/>
        </w:rPr>
        <w:t>create an interconnection with the registry, they</w:t>
      </w:r>
      <w:r w:rsidRPr="00946EF4">
        <w:rPr>
          <w:rFonts w:eastAsia="Times New Roman"/>
        </w:rPr>
        <w:t xml:space="preserve"> </w:t>
      </w:r>
      <w:r w:rsidRPr="00946EF4" w:rsidR="0ABBB1AD">
        <w:rPr>
          <w:rFonts w:eastAsia="Times New Roman"/>
        </w:rPr>
        <w:t xml:space="preserve">shall be considered the </w:t>
      </w:r>
      <w:r w:rsidRPr="00946EF4" w:rsidR="00052F11">
        <w:rPr>
          <w:rFonts w:eastAsia="Times New Roman"/>
        </w:rPr>
        <w:t xml:space="preserve">respective </w:t>
      </w:r>
      <w:r w:rsidRPr="00946EF4" w:rsidR="0ABBB1AD">
        <w:rPr>
          <w:rFonts w:eastAsia="Times New Roman"/>
        </w:rPr>
        <w:t>owner</w:t>
      </w:r>
      <w:r w:rsidRPr="00946EF4" w:rsidR="004E5F91">
        <w:rPr>
          <w:rFonts w:eastAsia="Times New Roman"/>
        </w:rPr>
        <w:t>s</w:t>
      </w:r>
      <w:r w:rsidRPr="00946EF4" w:rsidR="0ABBB1AD">
        <w:rPr>
          <w:rFonts w:eastAsia="Times New Roman"/>
        </w:rPr>
        <w:t xml:space="preserve"> </w:t>
      </w:r>
      <w:r w:rsidRPr="00946EF4" w:rsidR="004F6315">
        <w:rPr>
          <w:rFonts w:eastAsia="Times New Roman"/>
        </w:rPr>
        <w:t xml:space="preserve">of </w:t>
      </w:r>
      <w:r w:rsidRPr="00946EF4" w:rsidR="00DB639D">
        <w:rPr>
          <w:rFonts w:eastAsia="Times New Roman"/>
        </w:rPr>
        <w:t>their information</w:t>
      </w:r>
      <w:r>
        <w:rPr>
          <w:rFonts w:eastAsia="Times New Roman"/>
        </w:rPr>
        <w:t xml:space="preserve"> systems, including any </w:t>
      </w:r>
      <w:r w:rsidR="005056DF">
        <w:rPr>
          <w:rFonts w:eastAsia="Times New Roman"/>
        </w:rPr>
        <w:t>components developed by Member States for the intercon</w:t>
      </w:r>
      <w:r>
        <w:rPr>
          <w:rFonts w:eastAsia="Times New Roman"/>
        </w:rPr>
        <w:t xml:space="preserve">nection. Member States </w:t>
      </w:r>
      <w:r w:rsidRPr="00946EF4" w:rsidR="00F056EB">
        <w:rPr>
          <w:rFonts w:eastAsia="Times New Roman"/>
        </w:rPr>
        <w:t xml:space="preserve">shall </w:t>
      </w:r>
      <w:r w:rsidRPr="00946EF4" w:rsidR="003D12D3">
        <w:rPr>
          <w:rFonts w:eastAsia="Times New Roman"/>
        </w:rPr>
        <w:t xml:space="preserve">be </w:t>
      </w:r>
      <w:r w:rsidRPr="00946EF4" w:rsidR="0ABBB1AD">
        <w:rPr>
          <w:rFonts w:eastAsia="Times New Roman"/>
        </w:rPr>
        <w:t>responsible for the establishment, the development, availability, monitoring, updating, maintenance and hosting</w:t>
      </w:r>
      <w:r w:rsidRPr="00946EF4" w:rsidR="685A4506">
        <w:rPr>
          <w:rFonts w:eastAsia="Times New Roman"/>
        </w:rPr>
        <w:t xml:space="preserve"> of </w:t>
      </w:r>
      <w:r w:rsidRPr="00946EF4" w:rsidR="00595F3A">
        <w:rPr>
          <w:rFonts w:eastAsia="Times New Roman"/>
        </w:rPr>
        <w:t xml:space="preserve">the </w:t>
      </w:r>
      <w:r w:rsidRPr="00946EF4" w:rsidR="685A4506">
        <w:rPr>
          <w:rFonts w:eastAsia="Times New Roman"/>
        </w:rPr>
        <w:t xml:space="preserve">components used to access the </w:t>
      </w:r>
      <w:r w:rsidRPr="00946EF4" w:rsidR="7D8EF2E2">
        <w:rPr>
          <w:rFonts w:eastAsia="Times New Roman"/>
        </w:rPr>
        <w:t>r</w:t>
      </w:r>
      <w:r w:rsidRPr="00946EF4" w:rsidR="685A4506">
        <w:rPr>
          <w:rFonts w:eastAsia="Times New Roman"/>
        </w:rPr>
        <w:t xml:space="preserve">egistry under </w:t>
      </w:r>
      <w:r w:rsidRPr="00946EF4" w:rsidR="00B648B2">
        <w:rPr>
          <w:rFonts w:eastAsia="Times New Roman"/>
        </w:rPr>
        <w:t>their</w:t>
      </w:r>
      <w:r w:rsidRPr="00946EF4" w:rsidR="685A4506">
        <w:rPr>
          <w:rFonts w:eastAsia="Times New Roman"/>
        </w:rPr>
        <w:t xml:space="preserve"> responsibility. </w:t>
      </w:r>
    </w:p>
    <w:p w:rsidR="003B10C6" w:rsidRPr="003B10C6" w:rsidP="0019023C">
      <w:pPr>
        <w:pStyle w:val="NumPar1"/>
        <w:numPr>
          <w:ilvl w:val="0"/>
          <w:numId w:val="18"/>
        </w:numPr>
      </w:pPr>
      <w:r w:rsidRPr="003B10C6">
        <w:rPr>
          <w:rFonts w:eastAsia="Times New Roman"/>
        </w:rPr>
        <w:t xml:space="preserve">Member States shall ensure </w:t>
      </w:r>
      <w:r w:rsidRPr="003B10C6" w:rsidR="7F95EE7E">
        <w:rPr>
          <w:rFonts w:eastAsia="Times New Roman"/>
        </w:rPr>
        <w:t xml:space="preserve">an appropriate level of </w:t>
      </w:r>
      <w:r w:rsidRPr="003B10C6">
        <w:rPr>
          <w:rFonts w:eastAsia="Times New Roman"/>
        </w:rPr>
        <w:t xml:space="preserve">security of the national components </w:t>
      </w:r>
      <w:r w:rsidRPr="003B10C6" w:rsidR="11FA5202">
        <w:rPr>
          <w:rFonts w:eastAsia="Times New Roman"/>
        </w:rPr>
        <w:t xml:space="preserve">used to access the </w:t>
      </w:r>
      <w:r w:rsidRPr="003B10C6" w:rsidR="706A3A1C">
        <w:rPr>
          <w:rFonts w:eastAsia="Times New Roman"/>
        </w:rPr>
        <w:t>r</w:t>
      </w:r>
      <w:r w:rsidRPr="003B10C6" w:rsidR="11FA5202">
        <w:rPr>
          <w:rFonts w:eastAsia="Times New Roman"/>
        </w:rPr>
        <w:t>egistry</w:t>
      </w:r>
      <w:r w:rsidRPr="003B10C6" w:rsidR="7C57527A">
        <w:rPr>
          <w:rFonts w:eastAsia="Times New Roman"/>
        </w:rPr>
        <w:t xml:space="preserve">, in accordance with Union law. </w:t>
      </w:r>
      <w:r w:rsidRPr="003B10C6">
        <w:rPr>
          <w:rFonts w:eastAsia="Times New Roman"/>
        </w:rPr>
        <w:t>Member States shall inform</w:t>
      </w:r>
      <w:r w:rsidR="007800CF">
        <w:rPr>
          <w:rFonts w:eastAsia="Times New Roman"/>
        </w:rPr>
        <w:t>,</w:t>
      </w:r>
      <w:r w:rsidRPr="003B10C6">
        <w:rPr>
          <w:rFonts w:eastAsia="Times New Roman"/>
        </w:rPr>
        <w:t xml:space="preserve"> </w:t>
      </w:r>
      <w:r w:rsidRPr="003B10C6" w:rsidR="7B448B8E">
        <w:rPr>
          <w:rFonts w:eastAsia="Times New Roman"/>
        </w:rPr>
        <w:t>without undue delay</w:t>
      </w:r>
      <w:r w:rsidR="007800CF">
        <w:rPr>
          <w:rFonts w:eastAsia="Times New Roman"/>
        </w:rPr>
        <w:t>,</w:t>
      </w:r>
      <w:r w:rsidRPr="003B10C6" w:rsidR="7B448B8E">
        <w:rPr>
          <w:rFonts w:eastAsia="Times New Roman"/>
        </w:rPr>
        <w:t xml:space="preserve"> </w:t>
      </w:r>
      <w:r w:rsidRPr="003B10C6">
        <w:rPr>
          <w:rFonts w:eastAsia="Times New Roman"/>
        </w:rPr>
        <w:t xml:space="preserve">the Commission of changes and updates to the components under their responsibility that may </w:t>
      </w:r>
      <w:r w:rsidR="003E7EC2">
        <w:rPr>
          <w:rFonts w:eastAsia="Times New Roman"/>
        </w:rPr>
        <w:t>affect</w:t>
      </w:r>
      <w:r w:rsidRPr="003B10C6">
        <w:rPr>
          <w:rFonts w:eastAsia="Times New Roman"/>
        </w:rPr>
        <w:t xml:space="preserve"> the functioning</w:t>
      </w:r>
      <w:r w:rsidRPr="003B10C6" w:rsidR="5F3D619C">
        <w:rPr>
          <w:rFonts w:eastAsia="Times New Roman"/>
        </w:rPr>
        <w:t xml:space="preserve">, availability and reliability of the </w:t>
      </w:r>
      <w:r w:rsidRPr="003B10C6" w:rsidR="4992A2B9">
        <w:rPr>
          <w:rFonts w:eastAsia="Times New Roman"/>
        </w:rPr>
        <w:t>r</w:t>
      </w:r>
      <w:r w:rsidRPr="003B10C6" w:rsidR="5F3D619C">
        <w:rPr>
          <w:rFonts w:eastAsia="Times New Roman"/>
        </w:rPr>
        <w:t xml:space="preserve">egistry. </w:t>
      </w:r>
    </w:p>
    <w:p w:rsidR="003B10C6" w:rsidRPr="003B10C6" w:rsidP="0019023C">
      <w:pPr>
        <w:pStyle w:val="NumPar1"/>
        <w:numPr>
          <w:ilvl w:val="0"/>
          <w:numId w:val="18"/>
        </w:numPr>
      </w:pPr>
      <w:r>
        <w:rPr>
          <w:rFonts w:eastAsia="Calibri"/>
        </w:rPr>
        <w:t>W</w:t>
      </w:r>
      <w:r w:rsidRPr="003B10C6" w:rsidR="406D39C8">
        <w:rPr>
          <w:rFonts w:eastAsia="Calibri"/>
        </w:rPr>
        <w:t>hen processing personal data for the purpose</w:t>
      </w:r>
      <w:r w:rsidRPr="003B10C6" w:rsidR="005B79A3">
        <w:rPr>
          <w:rFonts w:eastAsia="Calibri"/>
        </w:rPr>
        <w:t>s</w:t>
      </w:r>
      <w:r w:rsidRPr="003B10C6" w:rsidR="406D39C8">
        <w:rPr>
          <w:rFonts w:eastAsia="Calibri"/>
        </w:rPr>
        <w:t xml:space="preserve"> </w:t>
      </w:r>
      <w:r w:rsidR="00A17914">
        <w:rPr>
          <w:rFonts w:eastAsia="Calibri"/>
        </w:rPr>
        <w:t xml:space="preserve">of </w:t>
      </w:r>
      <w:r w:rsidRPr="003B10C6" w:rsidR="005B79A3">
        <w:rPr>
          <w:rFonts w:eastAsia="Calibri"/>
        </w:rPr>
        <w:t xml:space="preserve">carrying out their </w:t>
      </w:r>
      <w:r w:rsidR="00C153FD">
        <w:rPr>
          <w:rFonts w:eastAsia="Calibri"/>
        </w:rPr>
        <w:t>duties defined in Union law or under national law in compliance with Union law</w:t>
      </w:r>
      <w:r w:rsidRPr="003B10C6" w:rsidR="406D39C8">
        <w:rPr>
          <w:rFonts w:eastAsia="Calibri"/>
        </w:rPr>
        <w:t>,</w:t>
      </w:r>
      <w:r>
        <w:rPr>
          <w:rFonts w:eastAsia="Calibri"/>
        </w:rPr>
        <w:t xml:space="preserve"> Member States</w:t>
      </w:r>
      <w:r w:rsidRPr="003B10C6" w:rsidR="406D39C8">
        <w:rPr>
          <w:rFonts w:eastAsia="Calibri"/>
        </w:rPr>
        <w:t xml:space="preserve"> shall be regarded as controllers</w:t>
      </w:r>
      <w:r w:rsidR="005814EA">
        <w:rPr>
          <w:rFonts w:eastAsia="Calibri"/>
        </w:rPr>
        <w:t xml:space="preserve"> as defined in </w:t>
      </w:r>
      <w:r w:rsidRPr="003B10C6" w:rsidR="406D39C8">
        <w:rPr>
          <w:rFonts w:eastAsia="Calibri"/>
        </w:rPr>
        <w:t>Article 4</w:t>
      </w:r>
      <w:r w:rsidR="005814EA">
        <w:rPr>
          <w:rFonts w:eastAsia="Calibri"/>
        </w:rPr>
        <w:t>, point (7)</w:t>
      </w:r>
      <w:r w:rsidR="008D4B28">
        <w:rPr>
          <w:rFonts w:eastAsia="Calibri"/>
        </w:rPr>
        <w:t>,</w:t>
      </w:r>
      <w:r w:rsidRPr="003B10C6" w:rsidR="406D39C8">
        <w:rPr>
          <w:rFonts w:eastAsia="Calibri"/>
        </w:rPr>
        <w:t xml:space="preserve"> of Regulation (EU) 2016/679. </w:t>
      </w:r>
    </w:p>
    <w:p w:rsidR="00C92D7B" w:rsidRPr="00191B42" w:rsidP="0019023C">
      <w:pPr>
        <w:pStyle w:val="NumPar1"/>
        <w:numPr>
          <w:ilvl w:val="0"/>
          <w:numId w:val="18"/>
        </w:numPr>
      </w:pPr>
      <w:r w:rsidRPr="003B10C6">
        <w:rPr>
          <w:rFonts w:eastAsia="Calibri"/>
        </w:rPr>
        <w:t xml:space="preserve">Member States shall be responsible for </w:t>
      </w:r>
      <w:r w:rsidR="005A6640">
        <w:rPr>
          <w:rFonts w:eastAsia="Calibri"/>
        </w:rPr>
        <w:t>any</w:t>
      </w:r>
      <w:r w:rsidRPr="003B10C6" w:rsidR="005A6640">
        <w:rPr>
          <w:rFonts w:eastAsia="Calibri"/>
        </w:rPr>
        <w:t xml:space="preserve"> </w:t>
      </w:r>
      <w:r w:rsidR="00A370C8">
        <w:rPr>
          <w:rFonts w:eastAsia="Calibri"/>
        </w:rPr>
        <w:t xml:space="preserve">data </w:t>
      </w:r>
      <w:r w:rsidRPr="003B10C6">
        <w:rPr>
          <w:rFonts w:eastAsia="Calibri"/>
        </w:rPr>
        <w:t xml:space="preserve">processing activities, including: </w:t>
      </w:r>
      <w:r w:rsidRPr="003B10C6" w:rsidR="0FCFE953">
        <w:rPr>
          <w:rFonts w:eastAsia="Calibri"/>
        </w:rPr>
        <w:t xml:space="preserve"> </w:t>
      </w:r>
    </w:p>
    <w:p w:rsidR="00C92D7B" w:rsidRPr="00BB4637" w:rsidP="0019023C">
      <w:pPr>
        <w:pStyle w:val="Point1letter"/>
        <w:numPr>
          <w:ilvl w:val="3"/>
          <w:numId w:val="36"/>
        </w:numPr>
      </w:pPr>
      <w:r w:rsidRPr="00BB4637">
        <w:t xml:space="preserve">managing the registration and onboarding of </w:t>
      </w:r>
      <w:r w:rsidRPr="00BB4637" w:rsidR="00D97027">
        <w:t xml:space="preserve">competent </w:t>
      </w:r>
      <w:r w:rsidRPr="00BB4637">
        <w:t xml:space="preserve">national authorities and </w:t>
      </w:r>
      <w:r w:rsidR="00BB4637">
        <w:t xml:space="preserve">where relevant, </w:t>
      </w:r>
      <w:r w:rsidRPr="00BB4637">
        <w:t>custom</w:t>
      </w:r>
      <w:r w:rsidRPr="00BB4637" w:rsidR="00674B58">
        <w:t>s</w:t>
      </w:r>
      <w:r w:rsidRPr="00BB4637">
        <w:t xml:space="preserve"> authorities, </w:t>
      </w:r>
      <w:r w:rsidRPr="00BB4637" w:rsidR="00D97027">
        <w:t xml:space="preserve">through </w:t>
      </w:r>
      <w:r w:rsidRPr="00BB4637">
        <w:t>the designated national administrator</w:t>
      </w:r>
      <w:r w:rsidRPr="00BB4637" w:rsidR="00A370C8">
        <w:t xml:space="preserve"> as referred to in Article </w:t>
      </w:r>
      <w:r w:rsidRPr="00BB4637" w:rsidR="00134DAA">
        <w:t>7</w:t>
      </w:r>
      <w:r w:rsidRPr="00BB4637" w:rsidR="0005346F">
        <w:t>(2)</w:t>
      </w:r>
      <w:r w:rsidRPr="00BB4637">
        <w:t>;</w:t>
      </w:r>
    </w:p>
    <w:p w:rsidR="00C92D7B" w:rsidRPr="00191B42" w:rsidP="0019023C">
      <w:pPr>
        <w:pStyle w:val="Point1letter"/>
        <w:numPr>
          <w:ilvl w:val="3"/>
          <w:numId w:val="28"/>
        </w:numPr>
      </w:pPr>
      <w:r w:rsidRPr="00191B42">
        <w:t>ensuring that</w:t>
      </w:r>
      <w:r w:rsidRPr="00191B42" w:rsidR="00674863">
        <w:t xml:space="preserve"> any data</w:t>
      </w:r>
      <w:r w:rsidRPr="00191B42">
        <w:t xml:space="preserve"> processing taking place within their sphere of control is </w:t>
      </w:r>
      <w:r w:rsidRPr="00191B42" w:rsidR="00674863">
        <w:t xml:space="preserve">performed </w:t>
      </w:r>
      <w:r w:rsidRPr="00191B42">
        <w:t xml:space="preserve">in </w:t>
      </w:r>
      <w:r w:rsidR="00037168">
        <w:t>accordance</w:t>
      </w:r>
      <w:r w:rsidRPr="00191B42" w:rsidR="00037168">
        <w:t xml:space="preserve"> </w:t>
      </w:r>
      <w:r w:rsidRPr="00191B42">
        <w:t>with Regulation (EU) 2016/679;</w:t>
      </w:r>
    </w:p>
    <w:p w:rsidR="00C92D7B" w:rsidRPr="00B07829" w:rsidP="0019023C">
      <w:pPr>
        <w:pStyle w:val="Point1letter"/>
        <w:numPr>
          <w:ilvl w:val="3"/>
          <w:numId w:val="28"/>
        </w:numPr>
      </w:pPr>
      <w:r w:rsidRPr="00191B42">
        <w:t xml:space="preserve">withdrawing </w:t>
      </w:r>
      <w:r w:rsidR="00A370C8">
        <w:t xml:space="preserve">a </w:t>
      </w:r>
      <w:r w:rsidR="00030E75">
        <w:t>user’s rights</w:t>
      </w:r>
      <w:r w:rsidR="00A370C8">
        <w:t xml:space="preserve"> of access</w:t>
      </w:r>
      <w:r w:rsidR="00030E75">
        <w:t xml:space="preserve"> </w:t>
      </w:r>
      <w:r w:rsidR="00A7476E">
        <w:t>to the registry</w:t>
      </w:r>
      <w:r w:rsidR="00386F59">
        <w:t xml:space="preserve"> </w:t>
      </w:r>
      <w:r w:rsidRPr="00191B42">
        <w:t>in case of unauthori</w:t>
      </w:r>
      <w:r w:rsidRPr="00191B42" w:rsidR="00674863">
        <w:t>s</w:t>
      </w:r>
      <w:r w:rsidRPr="00191B42">
        <w:t xml:space="preserve">ed </w:t>
      </w:r>
      <w:r w:rsidR="00A370C8">
        <w:t>or</w:t>
      </w:r>
      <w:r w:rsidRPr="00191B42" w:rsidR="00A370C8">
        <w:t xml:space="preserve"> </w:t>
      </w:r>
      <w:r w:rsidRPr="00191B42">
        <w:t xml:space="preserve">incorrect access to the </w:t>
      </w:r>
      <w:r w:rsidRPr="00191B42" w:rsidR="13D13C36">
        <w:t>r</w:t>
      </w:r>
      <w:r w:rsidRPr="00191B42">
        <w:t>egistry</w:t>
      </w:r>
      <w:r w:rsidRPr="00B07829" w:rsidR="7088F7F8">
        <w:t>.</w:t>
      </w:r>
    </w:p>
    <w:p w:rsidR="00C92D7B" w:rsidRPr="0022272E" w:rsidP="00C92D7B">
      <w:pPr>
        <w:pStyle w:val="Titrearticle"/>
        <w:rPr>
          <w:b/>
          <w:bCs/>
          <w:i w:val="0"/>
          <w:iCs/>
        </w:rPr>
      </w:pPr>
      <w:r w:rsidRPr="00B07829">
        <w:t>Article 2</w:t>
      </w:r>
      <w:r w:rsidR="00C4630C">
        <w:t>3</w:t>
      </w:r>
      <w:r w:rsidR="006C55B8">
        <w:br/>
      </w:r>
      <w:r w:rsidRPr="0022272E" w:rsidR="006C55B8">
        <w:rPr>
          <w:b/>
          <w:bCs/>
          <w:i w:val="0"/>
          <w:iCs/>
        </w:rPr>
        <w:t xml:space="preserve">Entry into force </w:t>
      </w:r>
    </w:p>
    <w:p w:rsidR="00C92D7B" w:rsidRPr="00B07829" w:rsidP="00C92D7B">
      <w:r w:rsidRPr="00B07829">
        <w:t>This Regulation shall enter into force on the twentieth day following that of its publication in the </w:t>
      </w:r>
      <w:r w:rsidRPr="00B07829">
        <w:rPr>
          <w:i/>
          <w:iCs/>
        </w:rPr>
        <w:t>Official Journal of the European Union</w:t>
      </w:r>
      <w:r w:rsidRPr="00B07829">
        <w:t>.</w:t>
      </w:r>
    </w:p>
    <w:p w:rsidR="00C92D7B" w:rsidRPr="00B07829" w:rsidP="00C92D7B">
      <w:r w:rsidRPr="00B07829">
        <w:t>This Regulation shall be binding in its entirety and directly applicable in all Member States.</w:t>
      </w:r>
    </w:p>
    <w:p w:rsidR="00C92D7B" w:rsidRPr="00B07829" w:rsidP="0042427F">
      <w:pPr>
        <w:pStyle w:val="Fait"/>
      </w:pPr>
      <w:r w:rsidRPr="0042427F">
        <w:t>Done at Brussels,</w:t>
      </w:r>
    </w:p>
    <w:p w:rsidR="002B01E0" w:rsidP="002B01E0">
      <w:pPr>
        <w:pStyle w:val="Institutionquisigne"/>
      </w:pPr>
      <w:r>
        <w:tab/>
      </w:r>
      <w:r w:rsidRPr="0052043B">
        <w:t>For the Commission</w:t>
      </w:r>
    </w:p>
    <w:p w:rsidR="00675B4A" w:rsidRPr="00B03169" w:rsidP="002B01E0">
      <w:pPr>
        <w:pStyle w:val="Personnequisigne"/>
        <w:rPr>
          <w:lang w:val="de-DE"/>
        </w:rPr>
      </w:pPr>
      <w:r w:rsidRPr="0052043B">
        <w:tab/>
      </w:r>
      <w:r w:rsidRPr="00B03169">
        <w:rPr>
          <w:lang w:val="de-DE"/>
        </w:rPr>
        <w:t>The President</w:t>
      </w:r>
      <w:r w:rsidRPr="00B03169">
        <w:rPr>
          <w:lang w:val="de-DE"/>
        </w:rPr>
        <w:br/>
      </w:r>
      <w:r w:rsidRPr="00B03169" w:rsidR="00287557">
        <w:rPr>
          <w:lang w:val="de-DE"/>
        </w:rPr>
        <w:tab/>
      </w:r>
      <w:r w:rsidRPr="00B03169" w:rsidR="00171851">
        <w:rPr>
          <w:lang w:val="de-DE"/>
        </w:rPr>
        <w:t>Ursula von der Leyen</w:t>
      </w:r>
    </w:p>
    <w:sectPr w:rsidSect="007C03D5">
      <w:headerReference w:type="even" r:id="rId16"/>
      <w:footerReference w:type="even" r:id="rId17"/>
      <w:footerReference w:type="default" r:id="rId18"/>
      <w:headerReference w:type="first" r:id="rId19"/>
      <w:footerReference w:type="first" r:id="rId20"/>
      <w:pgSz w:w="11907" w:h="16839"/>
      <w:pgMar w:top="1134" w:right="1417" w:bottom="1134" w:left="1417"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5B4A" w:rsidRPr="007C03D5" w:rsidP="007C03D5">
    <w:pPr>
      <w:pStyle w:val="Footer"/>
      <w:rPr>
        <w:rFonts w:ascii="Arial" w:hAnsi="Arial" w:cs="Arial"/>
        <w:b/>
        <w:sz w:val="48"/>
      </w:rPr>
    </w:pPr>
    <w:r w:rsidRPr="007C03D5">
      <w:rPr>
        <w:rFonts w:ascii="Arial" w:hAnsi="Arial" w:cs="Arial"/>
        <w:b/>
        <w:sz w:val="48"/>
      </w:rPr>
      <w:t>EN</w:t>
    </w:r>
    <w:r w:rsidRPr="007C03D5">
      <w:rPr>
        <w:rFonts w:ascii="Arial" w:hAnsi="Arial" w:cs="Arial"/>
        <w:b/>
        <w:sz w:val="48"/>
      </w:rPr>
      <w:tab/>
    </w:r>
    <w:r w:rsidRPr="007C03D5">
      <w:rPr>
        <w:rFonts w:ascii="Arial" w:hAnsi="Arial" w:cs="Arial"/>
        <w:b/>
        <w:sz w:val="48"/>
      </w:rPr>
      <w:tab/>
    </w:r>
    <w:r w:rsidRPr="007C03D5">
      <w:tab/>
    </w:r>
    <w:r w:rsidRPr="007C03D5">
      <w:rPr>
        <w:rFonts w:ascii="Arial" w:hAnsi="Arial" w:cs="Arial"/>
        <w:b/>
        <w:sz w:val="48"/>
      </w:rPr>
      <w:t>EN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5B4A" w:rsidRPr="007C03D5" w:rsidP="007C03D5">
    <w:pPr>
      <w:pStyle w:val="Footer"/>
      <w:rPr>
        <w:rFonts w:ascii="Arial" w:hAnsi="Arial" w:cs="Arial"/>
        <w:b/>
        <w:sz w:val="48"/>
      </w:rPr>
    </w:pPr>
    <w:r w:rsidRPr="007C03D5">
      <w:rPr>
        <w:rFonts w:ascii="Arial" w:hAnsi="Arial" w:cs="Arial"/>
        <w:b/>
        <w:sz w:val="48"/>
      </w:rPr>
      <w:t>EN</w:t>
    </w:r>
    <w:r w:rsidRPr="007C03D5">
      <w:rPr>
        <w:rFonts w:ascii="Arial" w:hAnsi="Arial" w:cs="Arial"/>
        <w:b/>
        <w:sz w:val="48"/>
      </w:rPr>
      <w:tab/>
    </w:r>
    <w:r w:rsidRPr="007C03D5">
      <w:rPr>
        <w:rFonts w:ascii="Arial" w:hAnsi="Arial" w:cs="Arial"/>
        <w:b/>
        <w:sz w:val="48"/>
      </w:rPr>
      <w:tab/>
    </w:r>
    <w:r w:rsidRPr="007C03D5">
      <w:tab/>
    </w:r>
    <w:r w:rsidRPr="007C03D5">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C03D5" w:rsidRPr="007C03D5" w:rsidP="007C03D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52ED" w:rsidRPr="00E11DDF" w:rsidP="00E11DDF">
    <w:pPr>
      <w:pStyle w:val="Footer"/>
      <w:rPr>
        <w:rFonts w:ascii="Arial" w:hAnsi="Arial" w:cs="Arial"/>
        <w:b/>
        <w:sz w:val="48"/>
      </w:rPr>
    </w:pPr>
    <w:r w:rsidRPr="00E11DDF">
      <w:rPr>
        <w:rFonts w:ascii="Arial" w:hAnsi="Arial" w:cs="Arial"/>
        <w:b/>
        <w:sz w:val="48"/>
      </w:rPr>
      <w:t>EN</w:t>
    </w:r>
    <w:r w:rsidRPr="00E11DDF">
      <w:rPr>
        <w:rFonts w:ascii="Arial" w:hAnsi="Arial" w:cs="Arial"/>
        <w:b/>
        <w:sz w:val="48"/>
      </w:rPr>
      <w:tab/>
    </w:r>
    <w:r w:rsidRPr="00E11DDF">
      <w:rPr>
        <w:rFonts w:ascii="Arial" w:hAnsi="Arial" w:cs="Arial"/>
        <w:b/>
        <w:sz w:val="48"/>
      </w:rPr>
      <w:tab/>
    </w:r>
    <w:r w:rsidRPr="00E11DDF">
      <w:tab/>
    </w:r>
    <w:r w:rsidRPr="00E11DDF">
      <w:rPr>
        <w:rFonts w:ascii="Arial" w:hAnsi="Arial" w:cs="Arial"/>
        <w:b/>
        <w:sz w:val="48"/>
      </w:rPr>
      <w:t>EN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C03D5" w:rsidRPr="007C03D5" w:rsidP="007C03D5">
    <w:pPr>
      <w:pStyle w:val="Footer"/>
      <w:rPr>
        <w:rFonts w:ascii="Arial" w:hAnsi="Arial" w:cs="Arial"/>
        <w:b/>
        <w:sz w:val="48"/>
      </w:rPr>
    </w:pPr>
    <w:r w:rsidRPr="007C03D5">
      <w:rPr>
        <w:rFonts w:ascii="Arial" w:hAnsi="Arial" w:cs="Arial"/>
        <w:b/>
        <w:sz w:val="48"/>
      </w:rPr>
      <w:t>EN</w:t>
    </w:r>
    <w:r w:rsidRPr="007C03D5">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7C03D5">
      <w:tab/>
    </w:r>
    <w:r w:rsidRPr="007C03D5">
      <w:rPr>
        <w:rFonts w:ascii="Arial" w:hAnsi="Arial" w:cs="Arial"/>
        <w:b/>
        <w:sz w:val="48"/>
      </w:rPr>
      <w:t>EN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52ED" w:rsidP="007C03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487116" w:rsidRPr="00B07829" w:rsidP="00675B4A">
      <w:pPr>
        <w:spacing w:before="0" w:after="0"/>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width:3.75pt;height:1.5pt;margin-top:0;margin-left:0;position:absolute;z-index:0">
            <v:fill r:id="rId1" o:title=""/>
            <v:stroke r:id="rId1" o:title=""/>
            <v:shadow color="#868686"/>
            <v:textpath style="font-family:Arial;font-size:1pt;v-text-kern:t" trim="t" fitpath="t" string="DRAFT"/>
          </v:shape>
        </w:pict>
      </w:r>
      <w:r w:rsidRPr="00B07829">
        <w:separator/>
      </w:r>
    </w:p>
  </w:footnote>
  <w:footnote w:type="continuationSeparator" w:id="1">
    <w:p w:rsidR="00487116" w:rsidRPr="00B07829" w:rsidP="00675B4A">
      <w:pPr>
        <w:spacing w:before="0" w:after="0"/>
      </w:pPr>
      <w:r w:rsidRPr="00B07829">
        <w:continuationSeparator/>
      </w:r>
    </w:p>
  </w:footnote>
  <w:footnote w:type="continuationNotice" w:id="2">
    <w:p w:rsidR="00487116" w:rsidRPr="00B07829">
      <w:pPr>
        <w:spacing w:before="0" w:after="0"/>
      </w:pPr>
    </w:p>
  </w:footnote>
  <w:footnote w:id="3">
    <w:p w:rsidR="009266EA" w:rsidRPr="000A5BE6">
      <w:pPr>
        <w:pStyle w:val="FootnoteText"/>
        <w:rPr>
          <w:lang w:val="it-IT"/>
        </w:rPr>
      </w:pPr>
      <w:r w:rsidRPr="00EB5011">
        <w:rPr>
          <w:rStyle w:val="FootnoteReference"/>
        </w:rPr>
        <w:footnoteRef/>
      </w:r>
      <w:r w:rsidR="00EB5011">
        <w:rPr>
          <w:lang w:val="it-IT"/>
        </w:rPr>
        <w:tab/>
      </w:r>
      <w:r w:rsidRPr="000A5BE6" w:rsidR="003200E9">
        <w:rPr>
          <w:lang w:val="it-IT"/>
        </w:rPr>
        <w:t>OJ L, 2024/1781, 28.6.2024,</w:t>
      </w:r>
      <w:r w:rsidRPr="000A5BE6" w:rsidR="00F56E3F">
        <w:rPr>
          <w:lang w:val="it-IT"/>
        </w:rPr>
        <w:t xml:space="preserve"> p.1,</w:t>
      </w:r>
      <w:r w:rsidRPr="000A5BE6" w:rsidR="003200E9">
        <w:rPr>
          <w:lang w:val="it-IT"/>
        </w:rPr>
        <w:t xml:space="preserve"> ELI: </w:t>
      </w:r>
      <w:r>
        <w:fldChar w:fldCharType="begin"/>
      </w:r>
      <w:r>
        <w:instrText xml:space="preserve"> HYPERLINK "http://data.europa.eu/eli/reg/2024/1781/oj" </w:instrText>
      </w:r>
      <w:r>
        <w:fldChar w:fldCharType="separate"/>
      </w:r>
      <w:r w:rsidRPr="000A5BE6" w:rsidR="003200E9">
        <w:rPr>
          <w:rStyle w:val="Hyperlink"/>
          <w:lang w:val="it-IT"/>
        </w:rPr>
        <w:t>http://data.europa.eu/eli/reg/2024/1781/oj</w:t>
      </w:r>
      <w:r>
        <w:fldChar w:fldCharType="end"/>
      </w:r>
      <w:r w:rsidRPr="000A5BE6" w:rsidR="003200E9">
        <w:rPr>
          <w:lang w:val="it-IT"/>
        </w:rPr>
        <w:t>.</w:t>
      </w:r>
    </w:p>
  </w:footnote>
  <w:footnote w:id="4">
    <w:p w:rsidR="00C92D7B" w:rsidRPr="00B07829" w:rsidP="00C92D7B">
      <w:pPr>
        <w:pStyle w:val="FootnoteText"/>
      </w:pPr>
      <w:r w:rsidRPr="00E11DDF">
        <w:rPr>
          <w:rStyle w:val="FootnoteReference"/>
        </w:rPr>
        <w:footnoteRef/>
      </w:r>
      <w:r w:rsidR="00E11DDF">
        <w:tab/>
      </w:r>
      <w:r w:rsidRPr="00B07829">
        <w:t xml:space="preserve">Regulation (EU) 2023/1542 of the European Parliament and of the Council of 12 July 2023 concerning batteries and waste batteries, amending Directive 2008/98/EC and Regulation (EU) 2019/1020 and repealing Directive 2006/66/EC </w:t>
      </w:r>
      <w:r w:rsidR="00DE55E4">
        <w:t>(</w:t>
      </w:r>
      <w:r w:rsidRPr="00B07829">
        <w:t>OJ L 191, 28.7.2023, p. 1</w:t>
      </w:r>
      <w:r w:rsidR="00017FAE">
        <w:t xml:space="preserve">, ELI: </w:t>
      </w:r>
      <w:r>
        <w:fldChar w:fldCharType="begin"/>
      </w:r>
      <w:r>
        <w:instrText xml:space="preserve"> HYPERLINK "http://data.europa.eu/eli/reg/2023/1542/oj" </w:instrText>
      </w:r>
      <w:r>
        <w:fldChar w:fldCharType="separate"/>
      </w:r>
      <w:r w:rsidRPr="008F02C8" w:rsidR="00017FAE">
        <w:rPr>
          <w:rStyle w:val="Hyperlink"/>
        </w:rPr>
        <w:t>http://data.europa.eu/eli/reg/2023/1542/oj</w:t>
      </w:r>
      <w:r>
        <w:fldChar w:fldCharType="end"/>
      </w:r>
      <w:r w:rsidR="00017FAE">
        <w:t>)</w:t>
      </w:r>
      <w:r w:rsidRPr="00B07829">
        <w:t>.</w:t>
      </w:r>
      <w:r w:rsidR="00017FAE">
        <w:t xml:space="preserve"> </w:t>
      </w:r>
    </w:p>
  </w:footnote>
  <w:footnote w:id="5">
    <w:p w:rsidR="006C3681" w:rsidRPr="00DD6DCE">
      <w:pPr>
        <w:pStyle w:val="FootnoteText"/>
      </w:pPr>
      <w:r w:rsidRPr="00EB5011">
        <w:rPr>
          <w:rStyle w:val="FootnoteReference"/>
        </w:rPr>
        <w:footnoteRef/>
      </w:r>
      <w:r w:rsidR="00EB5011">
        <w:tab/>
      </w:r>
      <w:r w:rsidRPr="00F826AE" w:rsidR="00F826AE">
        <w:t>Regulation (EU) 2024/3110 of the European Parliament and of the Council of 27 November 2024 laying down harmonised rules for the marketing of construction products and repealing Regulation (EU) No 305/2011</w:t>
      </w:r>
      <w:r w:rsidR="00F03E24">
        <w:t xml:space="preserve"> (</w:t>
      </w:r>
      <w:r w:rsidRPr="008556B8" w:rsidR="008556B8">
        <w:t xml:space="preserve">OJ L, 2024/3110, 18.12.2024, ELI: </w:t>
      </w:r>
      <w:r>
        <w:fldChar w:fldCharType="begin"/>
      </w:r>
      <w:r>
        <w:instrText xml:space="preserve"> HYPERLINK "http://data.europa.eu/eli/reg/2024/3110/oj" </w:instrText>
      </w:r>
      <w:r>
        <w:fldChar w:fldCharType="separate"/>
      </w:r>
      <w:r w:rsidRPr="00E01E22" w:rsidR="008556B8">
        <w:rPr>
          <w:rStyle w:val="Hyperlink"/>
        </w:rPr>
        <w:t>http://data.europa.eu/eli/reg/2024/3110/oj</w:t>
      </w:r>
      <w:r>
        <w:fldChar w:fldCharType="end"/>
      </w:r>
      <w:r w:rsidR="008556B8">
        <w:t xml:space="preserve">). </w:t>
      </w:r>
    </w:p>
  </w:footnote>
  <w:footnote w:id="6">
    <w:p w:rsidR="009C6991" w:rsidRPr="00DD6DCE">
      <w:pPr>
        <w:pStyle w:val="FootnoteText"/>
      </w:pPr>
      <w:r w:rsidRPr="00EB5011">
        <w:rPr>
          <w:rStyle w:val="FootnoteReference"/>
        </w:rPr>
        <w:footnoteRef/>
      </w:r>
      <w:r w:rsidR="00EB5011">
        <w:tab/>
      </w:r>
      <w:r w:rsidRPr="00D21EC9">
        <w:t>Regulation (EU) 2025/2509 of the European Parliament and of the Council of 26 November 2025 on the safety of toys and repealing Directive 2009/48/EC</w:t>
      </w:r>
      <w:r w:rsidRPr="00D21EC9" w:rsidR="00CD00F8">
        <w:t xml:space="preserve"> (OJ L, 2025/2509, 12.12.2025, ELI: </w:t>
      </w:r>
      <w:r>
        <w:fldChar w:fldCharType="begin"/>
      </w:r>
      <w:r>
        <w:instrText xml:space="preserve"> HYPERLINK "http://data.europa.eu/eli/reg/2025/2509/oj" </w:instrText>
      </w:r>
      <w:r>
        <w:fldChar w:fldCharType="separate"/>
      </w:r>
      <w:r w:rsidRPr="00D21EC9" w:rsidR="00CD00F8">
        <w:rPr>
          <w:rStyle w:val="Hyperlink"/>
        </w:rPr>
        <w:t>http://data.europa.eu/eli/reg/2025/2509/oj</w:t>
      </w:r>
      <w:r>
        <w:fldChar w:fldCharType="end"/>
      </w:r>
      <w:r w:rsidRPr="00D21EC9" w:rsidR="00CD00F8">
        <w:t xml:space="preserve">). </w:t>
      </w:r>
    </w:p>
  </w:footnote>
  <w:footnote w:id="7">
    <w:p w:rsidR="008F730A" w:rsidRPr="00B65609">
      <w:pPr>
        <w:pStyle w:val="FootnoteText"/>
        <w:rPr>
          <w:lang w:val="en-US"/>
        </w:rPr>
      </w:pPr>
      <w:r w:rsidRPr="00EB5011">
        <w:rPr>
          <w:rStyle w:val="FootnoteReference"/>
        </w:rPr>
        <w:footnoteRef/>
      </w:r>
      <w:r w:rsidR="00EB5011">
        <w:tab/>
      </w:r>
      <w:r w:rsidRPr="00750192" w:rsidR="00750192">
        <w:t>Regulation (EU) 2026/405 of the European Parliament and of the Council of 11 February 2026 on detergents and surfactants, and repealing Regulation (EC) No 648/2004</w:t>
      </w:r>
      <w:r w:rsidR="00750192">
        <w:t xml:space="preserve"> (</w:t>
      </w:r>
      <w:r w:rsidRPr="00AC483E" w:rsidR="00AC483E">
        <w:t xml:space="preserve">OJ L, 2026/405, 2.3.2026, ELI: </w:t>
      </w:r>
      <w:r>
        <w:fldChar w:fldCharType="begin"/>
      </w:r>
      <w:r>
        <w:instrText xml:space="preserve"> HYPERLINK "http://data.europa.eu/eli/reg/2026/405/oj" </w:instrText>
      </w:r>
      <w:r>
        <w:fldChar w:fldCharType="separate"/>
      </w:r>
      <w:r w:rsidRPr="00E01E22" w:rsidR="00AC483E">
        <w:rPr>
          <w:rStyle w:val="Hyperlink"/>
        </w:rPr>
        <w:t>http://data.europa.eu/eli/reg/2026/405/oj</w:t>
      </w:r>
      <w:r>
        <w:fldChar w:fldCharType="end"/>
      </w:r>
      <w:r w:rsidR="00AC483E">
        <w:t xml:space="preserve">). </w:t>
      </w:r>
    </w:p>
  </w:footnote>
  <w:footnote w:id="8">
    <w:p w:rsidR="00EE7A97" w:rsidRPr="00EE7A97" w:rsidP="00EE7A97">
      <w:pPr>
        <w:pStyle w:val="FootnoteText"/>
      </w:pPr>
      <w:r w:rsidRPr="00E11DDF">
        <w:rPr>
          <w:rStyle w:val="FootnoteReference"/>
        </w:rPr>
        <w:footnoteRef/>
      </w:r>
      <w:r w:rsidR="00E11DDF">
        <w:tab/>
      </w:r>
      <w:r>
        <w:t xml:space="preserve">Regulation (EU) No 910/2014 of the European Parliament and of the Council of 23 July 2014 on electronic identification and trust services for electronic transactions in the internal market and repealing Directive 1999/93/EC </w:t>
      </w:r>
      <w:r w:rsidR="00AA2D39">
        <w:t>(</w:t>
      </w:r>
      <w:r>
        <w:t>OJ L 257, 28.8.2014,</w:t>
      </w:r>
      <w:r w:rsidR="00AA2D39">
        <w:t xml:space="preserve"> p. 73,</w:t>
      </w:r>
      <w:r>
        <w:t xml:space="preserve"> ELI: </w:t>
      </w:r>
      <w:r>
        <w:fldChar w:fldCharType="begin"/>
      </w:r>
      <w:r>
        <w:instrText xml:space="preserve"> HYPERLINK "http://data.europa.eu/eli/reg/2014/910/oj" </w:instrText>
      </w:r>
      <w:r>
        <w:fldChar w:fldCharType="separate"/>
      </w:r>
      <w:r w:rsidRPr="003A7929">
        <w:rPr>
          <w:rStyle w:val="Hyperlink"/>
        </w:rPr>
        <w:t>http://data.europa.eu/eli/reg/2014/910/oj</w:t>
      </w:r>
      <w:r>
        <w:fldChar w:fldCharType="end"/>
      </w:r>
      <w:r w:rsidR="004C1092">
        <w:t>).</w:t>
      </w:r>
      <w:r>
        <w:t xml:space="preserve"> </w:t>
      </w:r>
    </w:p>
  </w:footnote>
  <w:footnote w:id="9">
    <w:p w:rsidR="009149C6" w:rsidRPr="004B5B54">
      <w:pPr>
        <w:pStyle w:val="FootnoteText"/>
        <w:rPr>
          <w:lang w:val="en-IE"/>
        </w:rPr>
      </w:pPr>
      <w:r w:rsidRPr="00EB5011">
        <w:rPr>
          <w:rStyle w:val="FootnoteReference"/>
        </w:rPr>
        <w:footnoteRef/>
      </w:r>
      <w:r w:rsidR="00EB5011">
        <w:rPr>
          <w:lang w:val="en-IE"/>
        </w:rPr>
        <w:tab/>
      </w:r>
      <w:r w:rsidRPr="004B5B54" w:rsidR="003B793B">
        <w:rPr>
          <w:lang w:val="en-IE"/>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ELI: </w:t>
      </w:r>
      <w:r>
        <w:fldChar w:fldCharType="begin"/>
      </w:r>
      <w:r>
        <w:instrText xml:space="preserve"> HYPERLINK "http://data.europa.eu/eli/reg/2018/1725/oj" </w:instrText>
      </w:r>
      <w:r>
        <w:fldChar w:fldCharType="separate"/>
      </w:r>
      <w:r w:rsidRPr="004B5B54" w:rsidR="008264B8">
        <w:rPr>
          <w:rStyle w:val="Hyperlink"/>
          <w:lang w:val="en-IE"/>
        </w:rPr>
        <w:t>http://data.europa.eu/eli/reg/2018/1725/oj</w:t>
      </w:r>
      <w:r>
        <w:fldChar w:fldCharType="end"/>
      </w:r>
      <w:r w:rsidRPr="004B5B54" w:rsidR="008264B8">
        <w:rPr>
          <w:lang w:val="en-IE"/>
        </w:rPr>
        <w:t xml:space="preserve">). </w:t>
      </w:r>
    </w:p>
  </w:footnote>
  <w:footnote w:id="10">
    <w:p w:rsidR="006E6AD8" w:rsidRPr="006E6AD8" w:rsidP="006E6AD8">
      <w:pPr>
        <w:rPr>
          <w:sz w:val="20"/>
          <w:szCs w:val="20"/>
        </w:rPr>
      </w:pPr>
      <w:r w:rsidRPr="00EB5011">
        <w:rPr>
          <w:rStyle w:val="FootnoteReference"/>
        </w:rPr>
        <w:footnoteRef/>
      </w:r>
      <w:r w:rsidR="00EB5011">
        <w:tab/>
      </w:r>
      <w:r w:rsidRPr="006E6AD8">
        <w:rPr>
          <w:sz w:val="20"/>
          <w:szCs w:val="20"/>
        </w:rPr>
        <w:t>Commission notice The ‘Blue Guide’ on the implementation of EU product rules 2022 (Text with EEA relevance) 2022/C 247/01</w:t>
      </w:r>
      <w:r w:rsidRPr="006E6AD8">
        <w:t xml:space="preserve"> </w:t>
      </w:r>
      <w:r>
        <w:t>(</w:t>
      </w:r>
      <w:r w:rsidRPr="006E6AD8">
        <w:rPr>
          <w:sz w:val="20"/>
          <w:szCs w:val="20"/>
        </w:rPr>
        <w:t>OJ C 247, 29.6.2022, pp. 1–152</w:t>
      </w:r>
      <w:r>
        <w:rPr>
          <w:sz w:val="20"/>
          <w:szCs w:val="20"/>
        </w:rPr>
        <w:t>).</w:t>
      </w:r>
    </w:p>
  </w:footnote>
  <w:footnote w:id="11">
    <w:p w:rsidR="00FD0695" w:rsidRPr="00FD0695">
      <w:pPr>
        <w:pStyle w:val="FootnoteText"/>
      </w:pPr>
      <w:r w:rsidRPr="00EB5011">
        <w:rPr>
          <w:rStyle w:val="FootnoteReference"/>
        </w:rPr>
        <w:footnoteRef/>
      </w:r>
      <w:r w:rsidR="00EB5011">
        <w:tab/>
      </w:r>
      <w:r>
        <w:fldChar w:fldCharType="begin"/>
      </w:r>
      <w:r>
        <w:instrText xml:space="preserve"> HYPERLINK "https://commission.europa.eu/document/09579818-64a6-4dd5-9577-446ab6219113_en" </w:instrText>
      </w:r>
      <w:r>
        <w:fldChar w:fldCharType="separate"/>
      </w:r>
      <w:r w:rsidRPr="00132C7A" w:rsidR="00D53C89">
        <w:rPr>
          <w:rStyle w:val="Hyperlink"/>
        </w:rPr>
        <w:t>https://commission.europa.eu/document/09579818-64a6-4dd5-9577-446ab6219113_en</w:t>
      </w:r>
      <w:r>
        <w:fldChar w:fldCharType="end"/>
      </w:r>
      <w:r>
        <w:t xml:space="preserve"> </w:t>
      </w:r>
    </w:p>
  </w:footnote>
  <w:footnote w:id="12">
    <w:p w:rsidR="009D0C4A" w:rsidRPr="002C20A5">
      <w:pPr>
        <w:pStyle w:val="FootnoteText"/>
        <w:rPr>
          <w:lang w:val="en-IE"/>
        </w:rPr>
      </w:pPr>
      <w:r w:rsidRPr="00EB5011">
        <w:rPr>
          <w:rStyle w:val="FootnoteReference"/>
        </w:rPr>
        <w:footnoteRef/>
      </w:r>
      <w:r w:rsidR="00EB5011">
        <w:rPr>
          <w:lang w:val="en-IE"/>
        </w:rPr>
        <w:tab/>
      </w:r>
      <w:r w:rsidRPr="002C20A5" w:rsidR="00BE46B4">
        <w:rPr>
          <w:lang w:val="en-IE"/>
        </w:rPr>
        <w:t xml:space="preserve">Regulation (EU) 2016/679 of the European Parliament and of the Council of 27 April 2016 on the protection of natural persons with regard to the processing of personal data and on the free movement of such data, and repealing Directive 95/46/EC (General Data Protection Regulation) (OJ L 119, 4.5.2016, p. 1, ELI: </w:t>
      </w:r>
      <w:r>
        <w:fldChar w:fldCharType="begin"/>
      </w:r>
      <w:r>
        <w:instrText xml:space="preserve"> HYPERLINK "http://data.europa.eu/eli/reg/2016/679/oj" </w:instrText>
      </w:r>
      <w:r>
        <w:fldChar w:fldCharType="separate"/>
      </w:r>
      <w:r w:rsidRPr="002C20A5" w:rsidR="00BE46B4">
        <w:rPr>
          <w:rStyle w:val="Hyperlink"/>
          <w:lang w:val="en-IE"/>
        </w:rPr>
        <w:t>http://data.europa.eu/eli/reg/2016/679/oj</w:t>
      </w:r>
      <w:r>
        <w:fldChar w:fldCharType="end"/>
      </w:r>
      <w:r w:rsidRPr="002C20A5" w:rsidR="00BE46B4">
        <w:rPr>
          <w:lang w:val="en-IE"/>
        </w:rPr>
        <w:t xml:space="preserve">). </w:t>
      </w:r>
    </w:p>
  </w:footnote>
  <w:footnote w:id="13">
    <w:p w:rsidR="006364E0" w:rsidRPr="00283C62">
      <w:pPr>
        <w:pStyle w:val="FootnoteText"/>
      </w:pPr>
      <w:r w:rsidRPr="00EB5011">
        <w:rPr>
          <w:rStyle w:val="FootnoteReference"/>
        </w:rPr>
        <w:footnoteRef/>
      </w:r>
      <w:r w:rsidR="00EB5011">
        <w:tab/>
      </w:r>
      <w:r w:rsidRPr="00FD0695">
        <w:t xml:space="preserve">Directive (EU) 2019/1024 of the European Parliament and of the Council of 20 June 2019 on open data and the re-use of public sector information (recast) (OJ L 172, 26.6.2019, p. 56, </w:t>
      </w:r>
      <w:r w:rsidRPr="00FD0695" w:rsidR="00283C62">
        <w:t xml:space="preserve">ELI: </w:t>
      </w:r>
      <w:r>
        <w:fldChar w:fldCharType="begin"/>
      </w:r>
      <w:r>
        <w:instrText xml:space="preserve"> HYPERLINK "http://data.europa.eu/eli/dir/2019/1024/oj" </w:instrText>
      </w:r>
      <w:r>
        <w:fldChar w:fldCharType="separate"/>
      </w:r>
      <w:r w:rsidRPr="00FD0695" w:rsidR="00283C62">
        <w:rPr>
          <w:rStyle w:val="Hyperlink"/>
        </w:rPr>
        <w:t>http://data.europa.eu/eli/dir/2019/1024/oj</w:t>
      </w:r>
      <w:r>
        <w:fldChar w:fldCharType="end"/>
      </w:r>
      <w:r w:rsidRPr="00FD0695" w:rsidR="00283C62">
        <w:t xml:space="preserve">). </w:t>
      </w:r>
    </w:p>
  </w:footnote>
  <w:footnote w:id="14">
    <w:p w:rsidR="000A1109" w:rsidRPr="000A1109">
      <w:pPr>
        <w:pStyle w:val="FootnoteText"/>
        <w:rPr>
          <w:lang w:val="et-EE"/>
        </w:rPr>
      </w:pPr>
      <w:r w:rsidRPr="00EB5011">
        <w:rPr>
          <w:rStyle w:val="FootnoteReference"/>
        </w:rPr>
        <w:footnoteRef/>
      </w:r>
      <w:r w:rsidR="00EB5011">
        <w:tab/>
      </w:r>
      <w:r w:rsidRPr="002E144D">
        <w:rPr>
          <w:lang w:val="en-IE"/>
        </w:rPr>
        <w:t>Regulation (EU) No 952/2013 of the European Parliament and of the Council of 9 October 2013 laying down the Union Customs Code (OJ L 269, 10.10.2013, p. 1,</w:t>
      </w:r>
      <w:r w:rsidRPr="000E7C76">
        <w:rPr>
          <w:lang w:val="en-US"/>
        </w:rPr>
        <w:t xml:space="preserve"> </w:t>
      </w:r>
      <w:r w:rsidRPr="002E144D">
        <w:rPr>
          <w:lang w:val="en"/>
        </w:rPr>
        <w:t>ELI: </w:t>
      </w:r>
      <w:r>
        <w:fldChar w:fldCharType="begin"/>
      </w:r>
      <w:r>
        <w:instrText xml:space="preserve"> HYPERLINK "http://data.europa.eu/eli/reg/2013/952/oj" \o "Gives access to this document through its ELI URI." </w:instrText>
      </w:r>
      <w:r>
        <w:fldChar w:fldCharType="separate"/>
      </w:r>
      <w:r w:rsidRPr="002E144D">
        <w:rPr>
          <w:rStyle w:val="Hyperlink"/>
          <w:lang w:val="en"/>
        </w:rPr>
        <w:t>http://data.europa.eu/eli/reg/2013/952/oj</w:t>
      </w:r>
      <w:r>
        <w:fldChar w:fldCharType="end"/>
      </w:r>
      <w:r>
        <w:rPr>
          <w:lang w:val="en"/>
        </w:rPr>
        <w:t>).</w:t>
      </w:r>
    </w:p>
  </w:footnote>
  <w:footnote w:id="15">
    <w:p w:rsidR="00866263" w:rsidRPr="00B07829">
      <w:pPr>
        <w:pStyle w:val="FootnoteText"/>
      </w:pPr>
      <w:r w:rsidRPr="00E11DDF">
        <w:rPr>
          <w:rStyle w:val="FootnoteReference"/>
        </w:rPr>
        <w:footnoteRef/>
      </w:r>
      <w:r w:rsidR="00E11DDF">
        <w:tab/>
      </w:r>
      <w:r w:rsidRPr="00B07829">
        <w:rPr>
          <w:sz w:val="19"/>
          <w:szCs w:val="19"/>
          <w:shd w:val="clear" w:color="auto" w:fill="FFFFFF"/>
        </w:rPr>
        <w:t>Regulation (EU) 2018/1807 of the European Parliament and of the Council of 14 November 2018 on a framework for the free flow of non-personal data in the European Union</w:t>
      </w:r>
      <w:r w:rsidRPr="00B07829" w:rsidR="000E1107">
        <w:rPr>
          <w:sz w:val="19"/>
          <w:szCs w:val="19"/>
          <w:shd w:val="clear" w:color="auto" w:fill="FFFFFF"/>
        </w:rPr>
        <w:t xml:space="preserve"> </w:t>
      </w:r>
      <w:r w:rsidR="006C608F">
        <w:rPr>
          <w:sz w:val="19"/>
          <w:szCs w:val="19"/>
          <w:shd w:val="clear" w:color="auto" w:fill="FFFFFF"/>
        </w:rPr>
        <w:t>(</w:t>
      </w:r>
      <w:r>
        <w:fldChar w:fldCharType="begin"/>
      </w:r>
      <w:r>
        <w:instrText xml:space="preserve"> HYPERLINK "https://eur-lex.europa.eu/legal-content/EN/AUTO/?uri=OJ:L:2018:303:TOC" </w:instrText>
      </w:r>
      <w:r>
        <w:fldChar w:fldCharType="separate"/>
      </w:r>
      <w:r w:rsidRPr="000E7C76">
        <w:rPr>
          <w:rStyle w:val="Hyperlink"/>
          <w:color w:val="auto"/>
          <w:sz w:val="19"/>
          <w:szCs w:val="19"/>
          <w:u w:val="none"/>
          <w:shd w:val="clear" w:color="auto" w:fill="FFFFFF"/>
        </w:rPr>
        <w:t>OJ L 303, 28.11.2018</w:t>
      </w:r>
      <w:r>
        <w:fldChar w:fldCharType="end"/>
      </w:r>
      <w:r w:rsidR="006C608F">
        <w:t xml:space="preserve">, p. 59, ELI: </w:t>
      </w:r>
      <w:r>
        <w:fldChar w:fldCharType="begin"/>
      </w:r>
      <w:r>
        <w:instrText xml:space="preserve"> HYPERLINK "http://data.europa.eu/eli/reg/2018/1807/oj" </w:instrText>
      </w:r>
      <w:r>
        <w:fldChar w:fldCharType="separate"/>
      </w:r>
      <w:r w:rsidRPr="00233A3D" w:rsidR="006C608F">
        <w:rPr>
          <w:rStyle w:val="Hyperlink"/>
        </w:rPr>
        <w:t>http://data.europa.eu/eli/reg/2018/1807/oj</w:t>
      </w:r>
      <w:r>
        <w:fldChar w:fldCharType="end"/>
      </w:r>
      <w:r w:rsidR="006C608F">
        <w:t>)</w:t>
      </w:r>
      <w:r w:rsidRPr="00B07829">
        <w:rPr>
          <w:sz w:val="19"/>
          <w:szCs w:val="19"/>
          <w:shd w:val="clear" w:color="auto" w:fill="FFFFFF"/>
        </w:rPr>
        <w:t>.</w:t>
      </w:r>
      <w:r w:rsidR="006C608F">
        <w:rPr>
          <w:sz w:val="19"/>
          <w:szCs w:val="19"/>
          <w:shd w:val="clear" w:color="auto" w:fill="FFFFFF"/>
        </w:rPr>
        <w:t xml:space="preserve"> </w:t>
      </w:r>
      <w:r w:rsidRPr="00B07829">
        <w:rPr>
          <w:sz w:val="19"/>
          <w:szCs w:val="19"/>
          <w:shd w:val="clear" w:color="auto" w:fill="FFFFFF"/>
        </w:rPr>
        <w:t xml:space="preserve"> </w:t>
      </w:r>
    </w:p>
  </w:footnote>
  <w:footnote w:id="16">
    <w:p w:rsidR="00625DBE" w:rsidRPr="00B07829" w:rsidP="00625DBE">
      <w:pPr>
        <w:pStyle w:val="FootnoteText"/>
      </w:pPr>
      <w:r w:rsidRPr="00E11DDF">
        <w:rPr>
          <w:rStyle w:val="FootnoteReference"/>
        </w:rPr>
        <w:footnoteRef/>
      </w:r>
      <w:r w:rsidR="00E11DDF">
        <w:tab/>
      </w:r>
      <w:r w:rsidRPr="00B07829">
        <w:t xml:space="preserve">Directive (EU) 2022/2555 of the European Parliament and of the Council of 14 December 2022 on measures for a high common level of cybersecurity across the Union, amending Regulation (EU) No 910/2014 and Directive (EU) 2018/1972, and repealing Directive (EU) 2016/1148 (NIS 2 Directive) </w:t>
      </w:r>
      <w:r w:rsidR="00231D3A">
        <w:t>(</w:t>
      </w:r>
      <w:r w:rsidRPr="00B07829">
        <w:t>OJ L 333,</w:t>
      </w:r>
      <w:r w:rsidR="007B6CCC">
        <w:t xml:space="preserve"> 27.12.2022, p. 80,</w:t>
      </w:r>
      <w:r w:rsidRPr="00B07829">
        <w:t xml:space="preserve"> ELI: </w:t>
      </w:r>
      <w:r>
        <w:fldChar w:fldCharType="begin"/>
      </w:r>
      <w:r>
        <w:instrText xml:space="preserve"> HYPERLINK "http://data.europa.eu/eli/dir/2022/2555/oj" \o "Gives access to this document through its ELI URI." </w:instrText>
      </w:r>
      <w:r>
        <w:fldChar w:fldCharType="separate"/>
      </w:r>
      <w:r w:rsidRPr="00B07829">
        <w:rPr>
          <w:rStyle w:val="Hyperlink"/>
        </w:rPr>
        <w:t>http://data.europa.eu/eli/dir/2022/2555/oj</w:t>
      </w:r>
      <w:r>
        <w:fldChar w:fldCharType="end"/>
      </w:r>
      <w:r w:rsidR="007B6CCC">
        <w:t xml:space="preserve">). </w:t>
      </w:r>
    </w:p>
  </w:footnote>
  <w:footnote w:id="17">
    <w:p w:rsidR="000E1107" w:rsidRPr="00B07829" w:rsidP="000E1107">
      <w:pPr>
        <w:pStyle w:val="FootnoteText"/>
      </w:pPr>
      <w:r w:rsidRPr="00E11DDF">
        <w:rPr>
          <w:rStyle w:val="FootnoteReference"/>
        </w:rPr>
        <w:footnoteRef/>
      </w:r>
      <w:r w:rsidR="00E11DDF">
        <w:tab/>
      </w:r>
      <w:r w:rsidRPr="00B07829">
        <w:t xml:space="preserve">Regulation (EU) 2019/1020 of the European Parliament and of the Council of 20 June 2019 on market surveillance and compliance of products and amending Directive 2004/42/EC and Regulations (EC) No 765/2008 and (EU) No 305/2011 </w:t>
      </w:r>
      <w:r w:rsidR="000426E4">
        <w:t>(</w:t>
      </w:r>
      <w:r w:rsidRPr="00B07829">
        <w:t>OJ L 169, 25.6.2019,</w:t>
      </w:r>
      <w:r w:rsidR="00577DD3">
        <w:t xml:space="preserve"> p. 1,</w:t>
      </w:r>
      <w:r w:rsidRPr="00B07829">
        <w:t xml:space="preserve"> ELI: </w:t>
      </w:r>
      <w:r>
        <w:fldChar w:fldCharType="begin"/>
      </w:r>
      <w:r>
        <w:instrText xml:space="preserve"> HYPERLINK "http://data.europa.eu/eli/reg/2019/1020/oj" </w:instrText>
      </w:r>
      <w:r>
        <w:fldChar w:fldCharType="separate"/>
      </w:r>
      <w:r w:rsidRPr="00B07829">
        <w:rPr>
          <w:rStyle w:val="Hyperlink"/>
        </w:rPr>
        <w:t>http://data.europa.eu/eli/reg/2019/1020/oj</w:t>
      </w:r>
      <w:r>
        <w:fldChar w:fldCharType="end"/>
      </w:r>
      <w:r w:rsidR="00577DD3">
        <w:t xml:space="preserve">). </w:t>
      </w:r>
      <w:r w:rsidRPr="00B07829">
        <w:t xml:space="preserve"> </w:t>
      </w:r>
    </w:p>
  </w:footnote>
  <w:footnote w:id="18">
    <w:p w:rsidR="00D11A9B" w:rsidRPr="00902926" w:rsidP="00D11A9B">
      <w:pPr>
        <w:pStyle w:val="FootnoteText"/>
      </w:pPr>
      <w:r w:rsidRPr="00EB5011">
        <w:rPr>
          <w:rStyle w:val="FootnoteReference"/>
        </w:rPr>
        <w:footnoteRef/>
      </w:r>
      <w:r w:rsidR="00EB5011">
        <w:tab/>
      </w:r>
      <w:r w:rsidRPr="00B07829">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(Text with EEA relevance.) </w:t>
      </w:r>
      <w:r w:rsidRPr="00902926">
        <w:t>OJ L 295, 21.11.2018, ELI: </w:t>
      </w:r>
      <w:r>
        <w:fldChar w:fldCharType="begin"/>
      </w:r>
      <w:r>
        <w:instrText xml:space="preserve"> HYPERLINK "http://data.europa.eu/eli/reg/2018/1725/oj" \o "Gives access to this document through its ELI URI." </w:instrText>
      </w:r>
      <w:r>
        <w:fldChar w:fldCharType="separate"/>
      </w:r>
      <w:r w:rsidRPr="00902926">
        <w:rPr>
          <w:rStyle w:val="Hyperlink"/>
        </w:rPr>
        <w:t>http://data.europa.eu/eli/reg/2018/1725/oj</w:t>
      </w:r>
      <w:r>
        <w:fldChar w:fldCharType="end"/>
      </w:r>
      <w:r w:rsidRPr="00902926">
        <w:t xml:space="preserve"> </w:t>
      </w:r>
    </w:p>
  </w:footnote>
  <w:footnote w:id="19">
    <w:p w:rsidR="00352D74" w:rsidRPr="00F97B03">
      <w:pPr>
        <w:pStyle w:val="FootnoteText"/>
        <w:rPr>
          <w:lang w:val="en-IE"/>
        </w:rPr>
      </w:pPr>
      <w:r w:rsidRPr="00EB5011">
        <w:rPr>
          <w:rStyle w:val="FootnoteReference"/>
        </w:rPr>
        <w:footnoteRef/>
      </w:r>
      <w:r w:rsidR="00EB5011">
        <w:rPr>
          <w:lang w:val="en-IE"/>
        </w:rPr>
        <w:tab/>
      </w:r>
      <w:r w:rsidRPr="00F97B03" w:rsidR="00E91508">
        <w:rPr>
          <w:lang w:val="en-IE"/>
        </w:rPr>
        <w:t xml:space="preserve">Regulation (EU) 2024/903 of the European Parliament and of the Council of 13 March 2024 laying down measures for a high level of public sector interoperability across the Union (OJ L, 2024/903, 22.3.2024, ELI: </w:t>
      </w:r>
      <w:r>
        <w:fldChar w:fldCharType="begin"/>
      </w:r>
      <w:r>
        <w:instrText xml:space="preserve"> HYPERLINK "http://data.europa.eu/eli/reg/2024/903/oj" </w:instrText>
      </w:r>
      <w:r>
        <w:fldChar w:fldCharType="separate"/>
      </w:r>
      <w:r w:rsidRPr="00F97B03" w:rsidR="00E91508">
        <w:rPr>
          <w:rStyle w:val="Hyperlink"/>
          <w:lang w:val="en-IE"/>
        </w:rPr>
        <w:t>http://data.europa.eu/eli/reg/2024/903/oj</w:t>
      </w:r>
      <w:r>
        <w:fldChar w:fldCharType="end"/>
      </w:r>
      <w:r w:rsidRPr="00F97B03" w:rsidR="00E91508">
        <w:rPr>
          <w:lang w:val="en-IE"/>
        </w:rPr>
        <w:t xml:space="preserve">). </w:t>
      </w:r>
    </w:p>
  </w:footnote>
  <w:footnote w:id="20">
    <w:p w:rsidR="00F97B03" w:rsidRPr="00A877A9">
      <w:pPr>
        <w:pStyle w:val="FootnoteText"/>
        <w:rPr>
          <w:lang w:val="en-IE"/>
        </w:rPr>
      </w:pPr>
      <w:r w:rsidRPr="00EB5011">
        <w:rPr>
          <w:rStyle w:val="FootnoteReference"/>
        </w:rPr>
        <w:footnoteRef/>
      </w:r>
      <w:r w:rsidRPr="00A877A9" w:rsidR="00EB5011">
        <w:rPr>
          <w:lang w:val="en-IE"/>
        </w:rPr>
        <w:tab/>
      </w:r>
      <w:r w:rsidRPr="00074C81">
        <w:rPr>
          <w:lang w:val="it-IT"/>
        </w:rPr>
        <w:t>Data Catalog Application Profile (https://interoperable-europe.ec.europa.eu/collection/semic-support-centre/solution/dcat-application-profile-data-portals-europe).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532B" w:rsidRPr="007C03D5" w:rsidP="007C03D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49706569"/>
      <w:lock w:val="sdtContentLocked"/>
      <w:placeholder>
        <w:docPart w:val="DefaultPlaceholder_-1854013440"/>
      </w:placeholder>
      <w:group/>
    </w:sdtPr>
    <w:sdtContent>
      <w:p w:rsidR="00AD532B" w:rsidRPr="007C03D5" w:rsidP="007C03D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Draft_LW" o:spid="_x0000_s2049" type="#_x0000_t136" style="width:402.5pt;height:175.75pt;margin-top:0;margin-left:0;mso-position-horizontal:center;mso-position-horizontal-relative:margin;mso-position-vertical:center;mso-position-vertical-relative:margin;position:absolute;rotation:315;z-index:251658240" fillcolor="silver" stroked="f">
              <v:fill opacity="0.5"/>
              <v:stroke r:id="rId1" o:title=""/>
              <v:shadow color="#868686"/>
              <v:textpath style="font-family:Arial;font-size:1pt;v-text-kern:t" trim="t" fitpath="t" string="DRAFT"/>
              <o:lock v:ext="edit" aspectratio="t"/>
              <w10:wrap side="largest"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C03D5" w:rsidRPr="007C03D5" w:rsidP="007C03D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52ED">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52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1"/>
    <w:multiLevelType w:val="singleLevel"/>
    <w:tmpl w:val="DCD0A70C"/>
    <w:lvl w:ilvl="0">
      <w:start w:val="1"/>
      <w:numFmt w:val="bullet"/>
      <w:pStyle w:val="ListBullet4"/>
      <w:lvlText w:val=""/>
      <w:lvlJc w:val="left"/>
      <w:pPr>
        <w:tabs>
          <w:tab w:val="num" w:pos="1209"/>
        </w:tabs>
        <w:ind w:left="1209" w:hanging="360"/>
      </w:pPr>
      <w:rPr>
        <w:rFonts w:ascii="Symbol" w:hAnsi="Symbol" w:hint="default"/>
      </w:rPr>
    </w:lvl>
  </w:abstractNum>
  <w:abstractNum w:abstractNumId="1">
    <w:nsid w:val="FFFFFF82"/>
    <w:multiLevelType w:val="singleLevel"/>
    <w:tmpl w:val="92148516"/>
    <w:lvl w:ilvl="0">
      <w:start w:val="1"/>
      <w:numFmt w:val="bullet"/>
      <w:pStyle w:val="ListBullet3"/>
      <w:lvlText w:val=""/>
      <w:lvlJc w:val="left"/>
      <w:pPr>
        <w:tabs>
          <w:tab w:val="num" w:pos="926"/>
        </w:tabs>
        <w:ind w:left="926" w:hanging="360"/>
      </w:pPr>
      <w:rPr>
        <w:rFonts w:ascii="Symbol" w:hAnsi="Symbol" w:hint="default"/>
      </w:rPr>
    </w:lvl>
  </w:abstractNum>
  <w:abstractNum w:abstractNumId="2">
    <w:nsid w:val="FFFFFF83"/>
    <w:multiLevelType w:val="singleLevel"/>
    <w:tmpl w:val="EBCEE364"/>
    <w:lvl w:ilvl="0">
      <w:start w:val="1"/>
      <w:numFmt w:val="bullet"/>
      <w:pStyle w:val="ListBullet2"/>
      <w:lvlText w:val=""/>
      <w:lvlJc w:val="left"/>
      <w:pPr>
        <w:tabs>
          <w:tab w:val="num" w:pos="643"/>
        </w:tabs>
        <w:ind w:left="643" w:hanging="360"/>
      </w:pPr>
      <w:rPr>
        <w:rFonts w:ascii="Symbol" w:hAnsi="Symbol" w:hint="default"/>
      </w:rPr>
    </w:lvl>
  </w:abstractNum>
  <w:abstractNum w:abstractNumId="3">
    <w:nsid w:val="FFFFFF89"/>
    <w:multiLevelType w:val="singleLevel"/>
    <w:tmpl w:val="7B7A921E"/>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1B3C78B8"/>
    <w:multiLevelType w:val="multilevel"/>
    <w:tmpl w:val="2ED4F4D0"/>
    <w:name w:val="Point"/>
    <w:lvl w:ilvl="0">
      <w:start w:val="1"/>
      <w:numFmt w:val="decimal"/>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nsid w:val="22E44180"/>
    <w:multiLevelType w:val="multilevel"/>
    <w:tmpl w:val="DFC88CEC"/>
    <w:name w:val="NumPar"/>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2CB72C6E"/>
    <w:multiLevelType w:val="singleLevel"/>
    <w:tmpl w:val="10ACD464"/>
    <w:name w:val="Bullet 3"/>
    <w:lvl w:ilvl="0">
      <w:start w:val="1"/>
      <w:numFmt w:val="bullet"/>
      <w:pStyle w:val="Bullet3"/>
      <w:lvlText w:val=""/>
      <w:lvlJc w:val="left"/>
      <w:pPr>
        <w:tabs>
          <w:tab w:val="num" w:pos="2551"/>
        </w:tabs>
        <w:ind w:left="2551" w:hanging="567"/>
      </w:pPr>
      <w:rPr>
        <w:rFonts w:ascii="Symbol" w:hAnsi="Symbol" w:hint="default"/>
      </w:rPr>
    </w:lvl>
  </w:abstractNum>
  <w:abstractNum w:abstractNumId="7">
    <w:nsid w:val="2CE9221F"/>
    <w:multiLevelType w:val="singleLevel"/>
    <w:tmpl w:val="9B4AFB48"/>
    <w:name w:val="Tiret 3"/>
    <w:lvl w:ilvl="0">
      <w:start w:val="1"/>
      <w:numFmt w:val="bullet"/>
      <w:pStyle w:val="Tiret3"/>
      <w:lvlText w:val="–"/>
      <w:lvlJc w:val="left"/>
      <w:pPr>
        <w:tabs>
          <w:tab w:val="num" w:pos="2551"/>
        </w:tabs>
        <w:ind w:left="2551" w:hanging="567"/>
      </w:pPr>
    </w:lvl>
  </w:abstractNum>
  <w:abstractNum w:abstractNumId="8">
    <w:nsid w:val="42713452"/>
    <w:multiLevelType w:val="singleLevel"/>
    <w:tmpl w:val="3B8CC7EA"/>
    <w:name w:val="Tiret 1"/>
    <w:lvl w:ilvl="0">
      <w:start w:val="1"/>
      <w:numFmt w:val="bullet"/>
      <w:pStyle w:val="Tiret1"/>
      <w:lvlText w:val="–"/>
      <w:lvlJc w:val="left"/>
      <w:pPr>
        <w:tabs>
          <w:tab w:val="num" w:pos="1417"/>
        </w:tabs>
        <w:ind w:left="1417" w:hanging="567"/>
      </w:pPr>
    </w:lvl>
  </w:abstractNum>
  <w:abstractNum w:abstractNumId="9">
    <w:nsid w:val="42FC0772"/>
    <w:multiLevelType w:val="singleLevel"/>
    <w:tmpl w:val="4128FCF8"/>
    <w:name w:val="Tiret 4"/>
    <w:lvl w:ilvl="0">
      <w:start w:val="1"/>
      <w:numFmt w:val="bullet"/>
      <w:pStyle w:val="Tiret4"/>
      <w:lvlText w:val="–"/>
      <w:lvlJc w:val="left"/>
      <w:pPr>
        <w:tabs>
          <w:tab w:val="num" w:pos="3118"/>
        </w:tabs>
        <w:ind w:left="3118" w:hanging="567"/>
      </w:pPr>
    </w:lvl>
  </w:abstractNum>
  <w:abstractNum w:abstractNumId="10">
    <w:nsid w:val="42FC077D"/>
    <w:multiLevelType w:val="singleLevel"/>
    <w:tmpl w:val="4128FD03"/>
    <w:name w:val="Tiret 5"/>
    <w:lvl w:ilvl="0">
      <w:start w:val="1"/>
      <w:numFmt w:val="bullet"/>
      <w:pStyle w:val="Tiret5"/>
      <w:lvlText w:val="–"/>
      <w:lvlJc w:val="left"/>
      <w:pPr>
        <w:tabs>
          <w:tab w:val="num" w:pos="3685"/>
        </w:tabs>
        <w:ind w:left="3685" w:hanging="567"/>
      </w:pPr>
    </w:lvl>
  </w:abstractNum>
  <w:abstractNum w:abstractNumId="11">
    <w:nsid w:val="4552127F"/>
    <w:multiLevelType w:val="singleLevel"/>
    <w:tmpl w:val="057A5296"/>
    <w:name w:val="Bullet 0"/>
    <w:lvl w:ilvl="0">
      <w:start w:val="1"/>
      <w:numFmt w:val="bullet"/>
      <w:pStyle w:val="Bullet0"/>
      <w:lvlText w:val=""/>
      <w:lvlJc w:val="left"/>
      <w:pPr>
        <w:tabs>
          <w:tab w:val="num" w:pos="850"/>
        </w:tabs>
        <w:ind w:left="850" w:hanging="850"/>
      </w:pPr>
      <w:rPr>
        <w:rFonts w:ascii="Symbol" w:hAnsi="Symbol" w:hint="default"/>
      </w:rPr>
    </w:lvl>
  </w:abstractNum>
  <w:abstractNum w:abstractNumId="12">
    <w:nsid w:val="556E1D63"/>
    <w:multiLevelType w:val="singleLevel"/>
    <w:tmpl w:val="493AAFF0"/>
    <w:name w:val="Bullet 4"/>
    <w:lvl w:ilvl="0">
      <w:start w:val="1"/>
      <w:numFmt w:val="bullet"/>
      <w:pStyle w:val="Bullet4"/>
      <w:lvlText w:val=""/>
      <w:lvlJc w:val="left"/>
      <w:pPr>
        <w:tabs>
          <w:tab w:val="num" w:pos="3118"/>
        </w:tabs>
        <w:ind w:left="3118" w:hanging="567"/>
      </w:pPr>
      <w:rPr>
        <w:rFonts w:ascii="Symbol" w:hAnsi="Symbol" w:hint="default"/>
      </w:rPr>
    </w:lvl>
  </w:abstractNum>
  <w:abstractNum w:abstractNumId="13">
    <w:nsid w:val="5B395AAA"/>
    <w:multiLevelType w:val="singleLevel"/>
    <w:tmpl w:val="96D02E8A"/>
    <w:name w:val="Bullet 1"/>
    <w:lvl w:ilvl="0">
      <w:start w:val="1"/>
      <w:numFmt w:val="bullet"/>
      <w:pStyle w:val="Bullet1"/>
      <w:lvlText w:val=""/>
      <w:lvlJc w:val="left"/>
      <w:pPr>
        <w:tabs>
          <w:tab w:val="num" w:pos="1417"/>
        </w:tabs>
        <w:ind w:left="1417" w:hanging="567"/>
      </w:pPr>
      <w:rPr>
        <w:rFonts w:ascii="Symbol" w:hAnsi="Symbol" w:hint="default"/>
      </w:rPr>
    </w:lvl>
  </w:abstractNum>
  <w:abstractNum w:abstractNumId="14">
    <w:nsid w:val="5C056EE5"/>
    <w:multiLevelType w:val="singleLevel"/>
    <w:tmpl w:val="3378D27C"/>
    <w:name w:val="Bullet 2"/>
    <w:lvl w:ilvl="0">
      <w:start w:val="1"/>
      <w:numFmt w:val="bullet"/>
      <w:pStyle w:val="Bullet2"/>
      <w:lvlText w:val=""/>
      <w:lvlJc w:val="left"/>
      <w:pPr>
        <w:tabs>
          <w:tab w:val="num" w:pos="1984"/>
        </w:tabs>
        <w:ind w:left="1984" w:hanging="567"/>
      </w:pPr>
      <w:rPr>
        <w:rFonts w:ascii="Symbol" w:hAnsi="Symbol" w:hint="default"/>
      </w:rPr>
    </w:lvl>
  </w:abstractNum>
  <w:abstractNum w:abstractNumId="15">
    <w:nsid w:val="5CA31A15"/>
    <w:multiLevelType w:val="singleLevel"/>
    <w:tmpl w:val="CB981644"/>
    <w:name w:val="Tiret 0"/>
    <w:lvl w:ilvl="0">
      <w:start w:val="1"/>
      <w:numFmt w:val="bullet"/>
      <w:pStyle w:val="Tiret0"/>
      <w:lvlText w:val="–"/>
      <w:lvlJc w:val="left"/>
      <w:pPr>
        <w:tabs>
          <w:tab w:val="num" w:pos="850"/>
        </w:tabs>
        <w:ind w:left="850" w:hanging="850"/>
      </w:pPr>
    </w:lvl>
  </w:abstractNum>
  <w:abstractNum w:abstractNumId="16">
    <w:nsid w:val="64A12FA4"/>
    <w:multiLevelType w:val="multilevel"/>
    <w:tmpl w:val="428ECF3E"/>
    <w:name w:val="Heading"/>
    <w:lvl w:ilvl="0">
      <w:start w:val="1"/>
      <w:numFmt w:val="decimal"/>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67B856F6"/>
    <w:multiLevelType w:val="singleLevel"/>
    <w:tmpl w:val="0AB28E9C"/>
    <w:name w:val="Tiret 2"/>
    <w:lvl w:ilvl="0">
      <w:start w:val="1"/>
      <w:numFmt w:val="bullet"/>
      <w:pStyle w:val="Tiret2"/>
      <w:lvlText w:val="–"/>
      <w:lvlJc w:val="left"/>
      <w:pPr>
        <w:tabs>
          <w:tab w:val="num" w:pos="1984"/>
        </w:tabs>
        <w:ind w:left="1984" w:hanging="567"/>
      </w:pPr>
    </w:lvl>
  </w:abstractNum>
  <w:abstractNum w:abstractNumId="18">
    <w:nsid w:val="7CBE4812"/>
    <w:multiLevelType w:val="singleLevel"/>
    <w:tmpl w:val="23C821E4"/>
    <w:name w:val="Considérant"/>
    <w:lvl w:ilvl="0">
      <w:start w:val="1"/>
      <w:numFmt w:val="decimal"/>
      <w:pStyle w:val="Considrant"/>
      <w:lvlText w:val="(%1)"/>
      <w:lvlJc w:val="left"/>
      <w:pPr>
        <w:tabs>
          <w:tab w:val="num" w:pos="709"/>
        </w:tabs>
        <w:ind w:left="709" w:hanging="709"/>
      </w:pPr>
    </w:lvl>
  </w:abstractNum>
  <w:num w:numId="1">
    <w:abstractNumId w:val="3"/>
  </w:num>
  <w:num w:numId="2">
    <w:abstractNumId w:val="2"/>
  </w:num>
  <w:num w:numId="3">
    <w:abstractNumId w:val="1"/>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lvlOverride w:ilvl="0">
      <w:startOverride w:val="1"/>
    </w:lvlOverride>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num>
  <w:num w:numId="42">
    <w:abstractNumId w:val="8"/>
  </w:num>
  <w:num w:numId="43">
    <w:abstractNumId w:val="17"/>
  </w:num>
  <w:num w:numId="44">
    <w:abstractNumId w:val="7"/>
  </w:num>
  <w:num w:numId="45">
    <w:abstractNumId w:val="9"/>
  </w:num>
  <w:num w:numId="46">
    <w:abstractNumId w:val="10"/>
  </w:num>
  <w:num w:numId="47">
    <w:abstractNumId w:val="5"/>
  </w:num>
  <w:num w:numId="48">
    <w:abstractNumId w:val="16"/>
  </w:num>
  <w:num w:numId="49">
    <w:abstractNumId w:val="4"/>
  </w:num>
  <w:num w:numId="50">
    <w:abstractNumId w:val="11"/>
  </w:num>
  <w:num w:numId="51">
    <w:abstractNumId w:val="13"/>
  </w:num>
  <w:num w:numId="52">
    <w:abstractNumId w:val="14"/>
  </w:num>
  <w:num w:numId="53">
    <w:abstractNumId w:val="6"/>
  </w:num>
  <w:num w:numId="54">
    <w:abstractNumId w:val="12"/>
  </w:num>
  <w:num w:numId="5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characterSpacingControl w:val="doNotCompress"/>
  <w:footnotePr>
    <w:footnote w:id="0"/>
    <w:footnote w:id="1"/>
    <w:footnote w:id="2"/>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Setting w:name="differentiateMultirowTableHeaders" w:uri="http://schemas.microsoft.com/office/word" w:val="1"/>
  </w:compat>
  <w:docVars>
    <w:docVar w:name="CR_RefLast" w:val="0"/>
    <w:docVar w:name="DQCDateTime" w:val="2026-04-28 17:31:31"/>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43E3D8D4-9C2C-4522-8D60-EA2E660158C6"/>
    <w:docVar w:name="LW_COVERPAGE_TYPE" w:val="2"/>
    <w:docVar w:name="LW_CreatedUtc" w:val="2025-11-17T14:42:13.9171444Z"/>
    <w:docVar w:name="LW_CROSSREFERENCE" w:val="&lt;UNUSED&gt;"/>
    <w:docVar w:name="LW_DATE.ADOPT.CP" w:val="of XXX"/>
    <w:docVar w:name="LW_DATE.ADOPT.CP_DATEFORMAT" w:val="of %DATE%"/>
    <w:docVar w:name="LW_DATE.ADOPT.CP_ISODATE" w:val="&lt;EMPTY&gt;"/>
    <w:docVar w:name="LW_DocType" w:val="COM"/>
    <w:docVar w:name="LW_EMISSION" w:val="&lt;EMPTY&gt;"/>
    <w:docVar w:name="LW_EMISSION_ISODATE" w:val="&lt;EMPTY&gt;"/>
    <w:docVar w:name="LW_EMISSION_LOCATION" w:val="BRX"/>
    <w:docVar w:name="LW_EMISSION_PREFIX" w:val="Brussels, "/>
    <w:docVar w:name="LW_EMISSION_SUFFIX" w:val=" "/>
    <w:docVar w:name="LW_ID_DOCMODEL" w:val="SJ-004"/>
    <w:docVar w:name="LW_ID_DOCSIGNATURE" w:val="SJ-004"/>
    <w:docVar w:name="LW_ID_DOCSTRUCTURE" w:val="COM/AA"/>
    <w:docVar w:name="LW_ID_DOCTYPE" w:val="SJ-004"/>
    <w:docVar w:name="LW_INTERETEEE.CP" w:val="(Text with EEA relevance)"/>
    <w:docVar w:name="LW_LANGUE" w:val="EN"/>
    <w:docVar w:name="LW_LANGUESFAISANTFOI.CP" w:val="&lt;UNUSED&gt;"/>
    <w:docVar w:name="LW_LEVEL_OF_SENSITIVITY" w:val="Standard treatment"/>
    <w:docVar w:name="LW_NOM.INST" w:val="EUROPEAN COMMISSION"/>
    <w:docVar w:name="LW_NOM.INST_JOINTDOC" w:val="&lt;EMPTY&gt;"/>
    <w:docVar w:name="LW_PART_NBR" w:val="1"/>
    <w:docVar w:name="LW_PART_NBR_TOTAL" w:val="1"/>
    <w:docVar w:name="LW_REF.INST.NEW" w:val="&lt;EMPTY&gt;"/>
    <w:docVar w:name="LW_REF.INST.NEW_ADOPTED" w:val="draft"/>
    <w:docVar w:name="LW_REF.INST.NEW_TEXT" w:val="(2026) XXX"/>
    <w:docVar w:name="LW_REF.INTERNE" w:val="&lt;UNUSED&gt;"/>
    <w:docVar w:name="LW_SENSITIVITY" w:val="&lt;?xml version=&quot;1.0&quot; encoding=&quot;utf-8&quot;?&gt;&#13;_x000a_&lt;SensitivityLevel xmlns:xsd=&quot;http://www.w3.org/2001/XMLSchema&quot; xmlns:xsi=&quot;http://www.w3.org/2001/XMLSchema-instance&quot; id=&quot;standard&quot;&gt;&#13;_x000a_  &lt;nicename EN=&quot;Standard treatment&quot; FR=&quot;Traitement standard&quot; /&gt;&#13;_x000a_  &lt;documentProperty&gt;Standard treatment&lt;/documentProperty&gt;&#13;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13;_x000a_  &lt;chosenMainMarking xsi:nil=&quot;true&quot; /&gt;&#13;_x000a_  &lt;dateMarking xsi:nil=&quot;true&quot; /&gt;&#13;_x000a_  &lt;releasableToConfig isAvailable=&quot;false&quot; institutionListSee=&quot;DefaultInstitutions&quot; /&gt;&#13;_x000a_  &lt;chosenReleasableTo xsi:nil=&quot;true&quot; /&gt;&#13;_x000a_  &lt;detached xsi:nil=&quot;true&quot; /&gt;&#13;_x000a_  &lt;declassify xsi:nil=&quot;true&quot; /&gt;&#13;_x000a_  &lt;headerTexts xsi:nil=&quot;true&quot; /&gt;&#13;_x000a_  &lt;footerTexts xsi:nil=&quot;true&quot; /&gt;&#13;_x000a_  &lt;isRestricted&gt;false&lt;/isRestricted&gt;&#13;_x000a_&lt;/SensitivityLevel&gt;"/>
    <w:docVar w:name="LW_SUPERTITRE" w:val="&lt;UNUSED&gt;"/>
    <w:docVar w:name="LW_TITRE.OBJ.CP" w:val="laying down the implementation arrangements for the digital product passport registry set up under Regulation (EU) 2024/1781 of the European Parliament and of the Council"/>
    <w:docVar w:name="LW_TYPE.DOC.CP" w:val="COMMISSION IMPLEMENTING REGULATION (EU) \u8230?/..."/>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4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8"/>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48"/>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48"/>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48"/>
      </w:numPr>
      <w:outlineLvl w:val="6"/>
    </w:pPr>
    <w:rPr>
      <w:rFonts w:eastAsiaTheme="majorEastAsia"/>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675B4A"/>
    <w:pPr>
      <w:numPr>
        <w:numId w:val="1"/>
      </w:numPr>
    </w:pPr>
    <w:rPr>
      <w:rFonts w:eastAsia="Times New Roman"/>
      <w:lang w:eastAsia="en-GB"/>
    </w:rPr>
  </w:style>
  <w:style w:type="paragraph" w:styleId="ListBullet2">
    <w:name w:val="List Bullet 2"/>
    <w:basedOn w:val="Normal"/>
    <w:uiPriority w:val="99"/>
    <w:semiHidden/>
    <w:unhideWhenUsed/>
    <w:rsid w:val="00C92D7B"/>
    <w:pPr>
      <w:numPr>
        <w:numId w:val="2"/>
      </w:numPr>
      <w:tabs>
        <w:tab w:val="num" w:pos="360"/>
        <w:tab w:val="clear" w:pos="643"/>
      </w:tabs>
      <w:ind w:left="0" w:firstLine="0"/>
      <w:contextualSpacing/>
    </w:pPr>
  </w:style>
  <w:style w:type="paragraph" w:styleId="ListBullet3">
    <w:name w:val="List Bullet 3"/>
    <w:basedOn w:val="Normal"/>
    <w:uiPriority w:val="99"/>
    <w:semiHidden/>
    <w:unhideWhenUsed/>
    <w:rsid w:val="00C92D7B"/>
    <w:pPr>
      <w:numPr>
        <w:numId w:val="3"/>
      </w:numPr>
      <w:contextualSpacing/>
    </w:pPr>
  </w:style>
  <w:style w:type="paragraph" w:styleId="ListBullet4">
    <w:name w:val="List Bullet 4"/>
    <w:basedOn w:val="Normal"/>
    <w:uiPriority w:val="99"/>
    <w:semiHidden/>
    <w:unhideWhenUsed/>
    <w:rsid w:val="00C92D7B"/>
    <w:pPr>
      <w:numPr>
        <w:numId w:val="4"/>
      </w:numPr>
      <w:contextualSpacing/>
    </w:pPr>
  </w:style>
  <w:style w:type="character" w:styleId="CommentReference">
    <w:name w:val="annotation reference"/>
    <w:basedOn w:val="DefaultParagraphFont"/>
    <w:uiPriority w:val="99"/>
    <w:semiHidden/>
    <w:unhideWhenUsed/>
    <w:rsid w:val="00C92D7B"/>
    <w:rPr>
      <w:sz w:val="16"/>
      <w:szCs w:val="16"/>
    </w:rPr>
  </w:style>
  <w:style w:type="paragraph" w:styleId="CommentText">
    <w:name w:val="annotation text"/>
    <w:basedOn w:val="Normal"/>
    <w:link w:val="CommentTextChar"/>
    <w:uiPriority w:val="99"/>
    <w:unhideWhenUsed/>
    <w:rsid w:val="00C92D7B"/>
    <w:rPr>
      <w:sz w:val="20"/>
      <w:szCs w:val="20"/>
    </w:rPr>
  </w:style>
  <w:style w:type="character" w:customStyle="1" w:styleId="CommentTextChar">
    <w:name w:val="Comment Text Char"/>
    <w:basedOn w:val="DefaultParagraphFont"/>
    <w:link w:val="CommentText"/>
    <w:uiPriority w:val="99"/>
    <w:rsid w:val="00C92D7B"/>
    <w:rPr>
      <w:rFonts w:ascii="Times New Roman" w:hAnsi="Times New Roman" w:cs="Times New Roman"/>
      <w:sz w:val="20"/>
      <w:szCs w:val="20"/>
      <w:lang w:val="en-GB"/>
    </w:rPr>
  </w:style>
  <w:style w:type="character" w:styleId="Hyperlink">
    <w:name w:val="Hyperlink"/>
    <w:basedOn w:val="DefaultParagraphFont"/>
    <w:uiPriority w:val="99"/>
    <w:unhideWhenUsed/>
    <w:rsid w:val="00C92D7B"/>
    <w:rPr>
      <w:color w:val="0000FF" w:themeColor="hyperlink"/>
      <w:u w:val="single"/>
    </w:rPr>
  </w:style>
  <w:style w:type="paragraph" w:styleId="ListParagraph">
    <w:name w:val="List Paragraph"/>
    <w:basedOn w:val="Normal"/>
    <w:uiPriority w:val="34"/>
    <w:qFormat/>
    <w:rsid w:val="00EE10A6"/>
    <w:pPr>
      <w:ind w:left="720"/>
      <w:contextualSpacing/>
    </w:pPr>
  </w:style>
  <w:style w:type="paragraph" w:styleId="CommentSubject">
    <w:name w:val="annotation subject"/>
    <w:basedOn w:val="CommentText"/>
    <w:next w:val="CommentText"/>
    <w:link w:val="CommentSubjectChar"/>
    <w:uiPriority w:val="99"/>
    <w:semiHidden/>
    <w:unhideWhenUsed/>
    <w:rsid w:val="002C12F8"/>
    <w:rPr>
      <w:b/>
      <w:bCs/>
    </w:rPr>
  </w:style>
  <w:style w:type="character" w:customStyle="1" w:styleId="CommentSubjectChar">
    <w:name w:val="Comment Subject Char"/>
    <w:basedOn w:val="CommentTextChar"/>
    <w:link w:val="CommentSubject"/>
    <w:uiPriority w:val="99"/>
    <w:semiHidden/>
    <w:rsid w:val="002C12F8"/>
    <w:rPr>
      <w:rFonts w:ascii="Times New Roman" w:hAnsi="Times New Roman" w:cs="Times New Roman"/>
      <w:b/>
      <w:bCs/>
      <w:sz w:val="20"/>
      <w:szCs w:val="20"/>
      <w:lang w:val="en-GB"/>
    </w:rPr>
  </w:style>
  <w:style w:type="paragraph" w:styleId="Revision">
    <w:name w:val="Revision"/>
    <w:hidden/>
    <w:uiPriority w:val="99"/>
    <w:semiHidden/>
    <w:rsid w:val="00466446"/>
    <w:pPr>
      <w:spacing w:after="0" w:line="240" w:lineRule="auto"/>
    </w:pPr>
    <w:rPr>
      <w:rFonts w:ascii="Times New Roman" w:hAnsi="Times New Roman" w:cs="Times New Roman"/>
      <w:sz w:val="24"/>
      <w:lang w:val="en-GB"/>
    </w:rPr>
  </w:style>
  <w:style w:type="character" w:customStyle="1" w:styleId="UnresolvedMention">
    <w:name w:val="Unresolved Mention"/>
    <w:basedOn w:val="DefaultParagraphFont"/>
    <w:uiPriority w:val="99"/>
    <w:semiHidden/>
    <w:unhideWhenUsed/>
    <w:rsid w:val="00466446"/>
    <w:rPr>
      <w:color w:val="605E5C"/>
      <w:shd w:val="clear" w:color="auto" w:fill="E1DFDD"/>
    </w:rPr>
  </w:style>
  <w:style w:type="character" w:styleId="FollowedHyperlink">
    <w:name w:val="FollowedHyperlink"/>
    <w:basedOn w:val="DefaultParagraphFont"/>
    <w:uiPriority w:val="99"/>
    <w:semiHidden/>
    <w:unhideWhenUsed/>
    <w:rsid w:val="006E1B71"/>
    <w:rPr>
      <w:color w:val="800080" w:themeColor="followedHyperlink"/>
      <w:u w:val="single"/>
    </w:rPr>
  </w:style>
  <w:style w:type="character" w:customStyle="1" w:styleId="Mention">
    <w:name w:val="Mention"/>
    <w:basedOn w:val="DefaultParagraphFont"/>
    <w:uiPriority w:val="99"/>
    <w:unhideWhenUsed/>
    <w:rsid w:val="006C456C"/>
    <w:rPr>
      <w:color w:val="2B579A"/>
      <w:shd w:val="clear" w:color="auto" w:fill="E1DFDD"/>
    </w:rPr>
  </w:style>
  <w:style w:type="paragraph" w:customStyle="1" w:styleId="oj-normal">
    <w:name w:val="oj-normal"/>
    <w:basedOn w:val="Normal"/>
    <w:rsid w:val="00621A32"/>
    <w:pPr>
      <w:spacing w:before="100" w:beforeAutospacing="1" w:after="100" w:afterAutospacing="1"/>
      <w:jc w:val="left"/>
    </w:pPr>
    <w:rPr>
      <w:rFonts w:eastAsia="Times New Roman"/>
      <w:szCs w:val="24"/>
      <w:lang w:eastAsia="en-GB"/>
    </w:rPr>
  </w:style>
  <w:style w:type="paragraph" w:customStyle="1" w:styleId="paragraph">
    <w:name w:val="paragraph"/>
    <w:basedOn w:val="Normal"/>
    <w:rsid w:val="003D7424"/>
    <w:pPr>
      <w:spacing w:before="100" w:beforeAutospacing="1" w:after="100" w:afterAutospacing="1"/>
      <w:jc w:val="left"/>
    </w:pPr>
    <w:rPr>
      <w:rFonts w:eastAsia="Times New Roman"/>
      <w:szCs w:val="24"/>
      <w:lang w:eastAsia="en-GB"/>
    </w:rPr>
  </w:style>
  <w:style w:type="character" w:customStyle="1" w:styleId="normaltextrun">
    <w:name w:val="normaltextrun"/>
    <w:basedOn w:val="DefaultParagraphFont"/>
    <w:rsid w:val="003D7424"/>
  </w:style>
  <w:style w:type="character" w:customStyle="1" w:styleId="eop">
    <w:name w:val="eop"/>
    <w:basedOn w:val="DefaultParagraphFont"/>
    <w:rsid w:val="003D7424"/>
  </w:style>
  <w:style w:type="paragraph" w:styleId="NormalWeb">
    <w:name w:val="Normal (Web)"/>
    <w:basedOn w:val="Normal"/>
    <w:uiPriority w:val="99"/>
    <w:semiHidden/>
    <w:unhideWhenUsed/>
    <w:rsid w:val="009F4FBA"/>
    <w:pPr>
      <w:spacing w:before="100" w:beforeAutospacing="1" w:after="100" w:afterAutospacing="1"/>
      <w:jc w:val="left"/>
    </w:pPr>
    <w:rPr>
      <w:rFonts w:eastAsia="Times New Roman"/>
      <w:szCs w:val="24"/>
      <w:lang w:eastAsia="en-GB"/>
    </w:rPr>
  </w:style>
  <w:style w:type="character" w:styleId="Strong">
    <w:name w:val="Strong"/>
    <w:basedOn w:val="DefaultParagraphFont"/>
    <w:uiPriority w:val="22"/>
    <w:qFormat/>
    <w:rsid w:val="00AB471A"/>
    <w:rPr>
      <w:b/>
      <w:bCs/>
    </w:rPr>
  </w:style>
  <w:style w:type="character" w:styleId="PlaceholderText">
    <w:name w:val="Placeholder Text"/>
    <w:basedOn w:val="DefaultParagraphFont"/>
    <w:uiPriority w:val="99"/>
    <w:semiHidden/>
    <w:rsid w:val="00A877A9"/>
    <w:rPr>
      <w:color w:val="666666"/>
    </w:rPr>
  </w:style>
  <w:style w:type="paragraph" w:styleId="Header">
    <w:name w:val="header"/>
    <w:basedOn w:val="Normal"/>
    <w:link w:val="HeaderChar"/>
    <w:uiPriority w:val="99"/>
    <w:semiHidden/>
    <w:unhideWhenUsed/>
    <w:pPr>
      <w:tabs>
        <w:tab w:val="center" w:pos="4535"/>
        <w:tab w:val="right" w:pos="9071"/>
      </w:tabs>
      <w:spacing w:before="0"/>
    </w:pPr>
  </w:style>
  <w:style w:type="character" w:customStyle="1" w:styleId="HeaderChar">
    <w:name w:val="Header Char"/>
    <w:basedOn w:val="DefaultParagraphFont"/>
    <w:link w:val="Header"/>
    <w:uiPriority w:val="99"/>
    <w:semiHidden/>
    <w:rPr>
      <w:rFonts w:ascii="Times New Roman" w:hAnsi="Times New Roman" w:cs="Times New Roman"/>
      <w:sz w:val="24"/>
      <w:shd w:val="clear" w:color="auto" w:fill="auto"/>
      <w:lang w:val="en-GB"/>
    </w:rPr>
  </w:style>
  <w:style w:type="paragraph" w:styleId="Footer">
    <w:name w:val="footer"/>
    <w:basedOn w:val="Normal"/>
    <w:link w:val="FooterChar"/>
    <w:uiPriority w:val="99"/>
    <w:semiHidden/>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semiHidden/>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hAnsi="Times New Roman" w:eastAsiaTheme="majorEastAsia"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hAnsi="Times New Roman" w:eastAsiaTheme="majorEastAsia"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hAnsi="Times New Roman" w:eastAsiaTheme="majorEastAsia" w:cs="Times New Roman"/>
      <w:bCs/>
      <w:i/>
      <w:sz w:val="24"/>
      <w:lang w:val="en-GB"/>
    </w:rPr>
  </w:style>
  <w:style w:type="character" w:customStyle="1" w:styleId="Heading4Char">
    <w:name w:val="Heading 4 Char"/>
    <w:basedOn w:val="DefaultParagraphFont"/>
    <w:link w:val="Heading4"/>
    <w:uiPriority w:val="9"/>
    <w:semiHidden/>
    <w:rPr>
      <w:rFonts w:ascii="Times New Roman" w:hAnsi="Times New Roman" w:eastAsiaTheme="majorEastAsia" w:cs="Times New Roman"/>
      <w:bCs/>
      <w:iCs/>
      <w:sz w:val="24"/>
      <w:lang w:val="en-GB"/>
    </w:rPr>
  </w:style>
  <w:style w:type="character" w:customStyle="1" w:styleId="Heading5Char">
    <w:name w:val="Heading 5 Char"/>
    <w:basedOn w:val="DefaultParagraphFont"/>
    <w:link w:val="Heading5"/>
    <w:uiPriority w:val="9"/>
    <w:semiHidden/>
    <w:rPr>
      <w:rFonts w:ascii="Times New Roman" w:hAnsi="Times New Roman" w:eastAsiaTheme="majorEastAsia" w:cs="Times New Roman"/>
      <w:sz w:val="24"/>
      <w:lang w:val="en-GB"/>
    </w:rPr>
  </w:style>
  <w:style w:type="character" w:customStyle="1" w:styleId="Heading6Char">
    <w:name w:val="Heading 6 Char"/>
    <w:basedOn w:val="DefaultParagraphFont"/>
    <w:link w:val="Heading6"/>
    <w:uiPriority w:val="9"/>
    <w:semiHidden/>
    <w:rPr>
      <w:rFonts w:ascii="Times New Roman" w:hAnsi="Times New Roman" w:eastAsiaTheme="majorEastAsia" w:cs="Times New Roman"/>
      <w:iCs/>
      <w:sz w:val="24"/>
      <w:lang w:val="en-GB"/>
    </w:rPr>
  </w:style>
  <w:style w:type="character" w:customStyle="1" w:styleId="Heading7Char">
    <w:name w:val="Heading 7 Char"/>
    <w:basedOn w:val="DefaultParagraphFont"/>
    <w:link w:val="Heading7"/>
    <w:uiPriority w:val="9"/>
    <w:semiHidden/>
    <w:rPr>
      <w:rFonts w:ascii="Times New Roman" w:hAnsi="Times New Roman" w:eastAsiaTheme="majorEastAsia" w:cs="Times New Roman"/>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41"/>
      </w:numPr>
    </w:pPr>
  </w:style>
  <w:style w:type="paragraph" w:customStyle="1" w:styleId="Tiret1">
    <w:name w:val="Tiret 1"/>
    <w:basedOn w:val="Point1"/>
    <w:pPr>
      <w:numPr>
        <w:numId w:val="42"/>
      </w:numPr>
    </w:pPr>
  </w:style>
  <w:style w:type="paragraph" w:customStyle="1" w:styleId="Tiret2">
    <w:name w:val="Tiret 2"/>
    <w:basedOn w:val="Point2"/>
    <w:pPr>
      <w:numPr>
        <w:numId w:val="43"/>
      </w:numPr>
    </w:pPr>
  </w:style>
  <w:style w:type="paragraph" w:customStyle="1" w:styleId="Tiret3">
    <w:name w:val="Tiret 3"/>
    <w:basedOn w:val="Point3"/>
    <w:pPr>
      <w:numPr>
        <w:numId w:val="44"/>
      </w:numPr>
    </w:pPr>
  </w:style>
  <w:style w:type="paragraph" w:customStyle="1" w:styleId="Tiret4">
    <w:name w:val="Tiret 4"/>
    <w:basedOn w:val="Point4"/>
    <w:pPr>
      <w:numPr>
        <w:numId w:val="45"/>
      </w:numPr>
    </w:pPr>
  </w:style>
  <w:style w:type="paragraph" w:customStyle="1" w:styleId="Tiret5">
    <w:name w:val="Tiret 5"/>
    <w:basedOn w:val="Point5"/>
    <w:pPr>
      <w:numPr>
        <w:numId w:val="4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7"/>
      </w:numPr>
    </w:pPr>
  </w:style>
  <w:style w:type="paragraph" w:customStyle="1" w:styleId="NumPar2">
    <w:name w:val="NumPar 2"/>
    <w:basedOn w:val="Normal"/>
    <w:next w:val="Text1"/>
    <w:pPr>
      <w:numPr>
        <w:ilvl w:val="1"/>
        <w:numId w:val="47"/>
      </w:numPr>
    </w:pPr>
  </w:style>
  <w:style w:type="paragraph" w:customStyle="1" w:styleId="NumPar3">
    <w:name w:val="NumPar 3"/>
    <w:basedOn w:val="Normal"/>
    <w:next w:val="Text1"/>
    <w:pPr>
      <w:numPr>
        <w:ilvl w:val="2"/>
        <w:numId w:val="47"/>
      </w:numPr>
    </w:pPr>
  </w:style>
  <w:style w:type="paragraph" w:customStyle="1" w:styleId="NumPar4">
    <w:name w:val="NumPar 4"/>
    <w:basedOn w:val="Normal"/>
    <w:next w:val="Text1"/>
    <w:pPr>
      <w:numPr>
        <w:ilvl w:val="3"/>
        <w:numId w:val="47"/>
      </w:numPr>
    </w:pPr>
  </w:style>
  <w:style w:type="paragraph" w:customStyle="1" w:styleId="NumPar5">
    <w:name w:val="NumPar 5"/>
    <w:basedOn w:val="Normal"/>
    <w:next w:val="Text2"/>
    <w:pPr>
      <w:numPr>
        <w:ilvl w:val="4"/>
        <w:numId w:val="47"/>
      </w:numPr>
    </w:pPr>
  </w:style>
  <w:style w:type="paragraph" w:customStyle="1" w:styleId="NumPar6">
    <w:name w:val="NumPar 6"/>
    <w:basedOn w:val="Normal"/>
    <w:next w:val="Text2"/>
    <w:pPr>
      <w:numPr>
        <w:ilvl w:val="5"/>
        <w:numId w:val="47"/>
      </w:numPr>
    </w:pPr>
  </w:style>
  <w:style w:type="paragraph" w:customStyle="1" w:styleId="NumPar7">
    <w:name w:val="NumPar 7"/>
    <w:basedOn w:val="Normal"/>
    <w:next w:val="Text2"/>
    <w:pPr>
      <w:numPr>
        <w:ilvl w:val="6"/>
        <w:numId w:val="4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9"/>
      </w:numPr>
    </w:pPr>
  </w:style>
  <w:style w:type="paragraph" w:customStyle="1" w:styleId="Point1number">
    <w:name w:val="Point 1 (number)"/>
    <w:basedOn w:val="Normal"/>
    <w:pPr>
      <w:numPr>
        <w:ilvl w:val="2"/>
        <w:numId w:val="49"/>
      </w:numPr>
    </w:pPr>
  </w:style>
  <w:style w:type="paragraph" w:customStyle="1" w:styleId="Point2number">
    <w:name w:val="Point 2 (number)"/>
    <w:basedOn w:val="Normal"/>
    <w:pPr>
      <w:numPr>
        <w:ilvl w:val="4"/>
        <w:numId w:val="49"/>
      </w:numPr>
    </w:pPr>
  </w:style>
  <w:style w:type="paragraph" w:customStyle="1" w:styleId="Point3number">
    <w:name w:val="Point 3 (number)"/>
    <w:basedOn w:val="Normal"/>
    <w:pPr>
      <w:numPr>
        <w:ilvl w:val="6"/>
        <w:numId w:val="49"/>
      </w:numPr>
    </w:pPr>
  </w:style>
  <w:style w:type="paragraph" w:customStyle="1" w:styleId="Point0letter">
    <w:name w:val="Point 0 (letter)"/>
    <w:basedOn w:val="Normal"/>
    <w:pPr>
      <w:numPr>
        <w:ilvl w:val="1"/>
        <w:numId w:val="49"/>
      </w:numPr>
    </w:pPr>
  </w:style>
  <w:style w:type="paragraph" w:customStyle="1" w:styleId="Point1letter">
    <w:name w:val="Point 1 (letter)"/>
    <w:basedOn w:val="Normal"/>
    <w:pPr>
      <w:numPr>
        <w:ilvl w:val="3"/>
        <w:numId w:val="49"/>
      </w:numPr>
    </w:pPr>
  </w:style>
  <w:style w:type="paragraph" w:customStyle="1" w:styleId="Point2letter">
    <w:name w:val="Point 2 (letter)"/>
    <w:basedOn w:val="Normal"/>
    <w:pPr>
      <w:numPr>
        <w:ilvl w:val="5"/>
        <w:numId w:val="49"/>
      </w:numPr>
    </w:pPr>
  </w:style>
  <w:style w:type="paragraph" w:customStyle="1" w:styleId="Point3letter">
    <w:name w:val="Point 3 (letter)"/>
    <w:basedOn w:val="Normal"/>
    <w:pPr>
      <w:numPr>
        <w:ilvl w:val="7"/>
        <w:numId w:val="49"/>
      </w:numPr>
    </w:pPr>
  </w:style>
  <w:style w:type="paragraph" w:customStyle="1" w:styleId="Point4letter">
    <w:name w:val="Point 4 (letter)"/>
    <w:basedOn w:val="Normal"/>
    <w:pPr>
      <w:numPr>
        <w:ilvl w:val="8"/>
        <w:numId w:val="49"/>
      </w:numPr>
    </w:pPr>
  </w:style>
  <w:style w:type="paragraph" w:customStyle="1" w:styleId="Bullet0">
    <w:name w:val="Bullet 0"/>
    <w:basedOn w:val="Normal"/>
    <w:pPr>
      <w:numPr>
        <w:numId w:val="50"/>
      </w:numPr>
    </w:pPr>
  </w:style>
  <w:style w:type="paragraph" w:customStyle="1" w:styleId="Bullet1">
    <w:name w:val="Bullet 1"/>
    <w:basedOn w:val="Normal"/>
    <w:pPr>
      <w:numPr>
        <w:numId w:val="51"/>
      </w:numPr>
    </w:pPr>
  </w:style>
  <w:style w:type="paragraph" w:customStyle="1" w:styleId="Bullet2">
    <w:name w:val="Bullet 2"/>
    <w:basedOn w:val="Normal"/>
    <w:pPr>
      <w:numPr>
        <w:numId w:val="52"/>
      </w:numPr>
    </w:pPr>
  </w:style>
  <w:style w:type="paragraph" w:customStyle="1" w:styleId="Bullet3">
    <w:name w:val="Bullet 3"/>
    <w:basedOn w:val="Normal"/>
    <w:pPr>
      <w:numPr>
        <w:numId w:val="53"/>
      </w:numPr>
    </w:pPr>
  </w:style>
  <w:style w:type="paragraph" w:customStyle="1" w:styleId="Bullet4">
    <w:name w:val="Bullet 4"/>
    <w:basedOn w:val="Normal"/>
    <w:pPr>
      <w:numPr>
        <w:numId w:val="54"/>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5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rsid w:val="00E664ED"/>
    <w:pPr>
      <w:spacing w:before="360" w:after="24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rsid w:val="00E664ED"/>
    <w:pPr>
      <w:spacing w:after="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Normal"/>
    <w:rsid w:val="00E664ED"/>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Rfrencecroise"/>
    <w:rsid w:val="00E664ED"/>
    <w:pPr>
      <w:spacing w:before="360" w:after="24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header" Target="header4.xml" /><Relationship Id="rId17" Type="http://schemas.openxmlformats.org/officeDocument/2006/relationships/footer" Target="footer4.xml" /><Relationship Id="rId18" Type="http://schemas.openxmlformats.org/officeDocument/2006/relationships/footer" Target="footer5.xml" /><Relationship Id="rId19" Type="http://schemas.openxmlformats.org/officeDocument/2006/relationships/header" Target="header5.xml" /><Relationship Id="rId2" Type="http://schemas.openxmlformats.org/officeDocument/2006/relationships/settings" Target="settings.xml" /><Relationship Id="rId20" Type="http://schemas.openxmlformats.org/officeDocument/2006/relationships/footer" Target="footer6.xml" /><Relationship Id="rId21" Type="http://schemas.openxmlformats.org/officeDocument/2006/relationships/glossaryDocument" Target="glossary/document.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2.emf" /></Relationships>
</file>

<file path=word/_rels/footnotes.xml.rels>&#65279;<?xml version="1.0" encoding="utf-8" standalone="yes"?><Relationships xmlns="http://schemas.openxmlformats.org/package/2006/relationships"><Relationship Id="rId1" Type="http://schemas.openxmlformats.org/officeDocument/2006/relationships/image" Target="media/image1.jpeg" /></Relationships>
</file>

<file path=word/_rels/header2.xml.rels>&#65279;<?xml version="1.0" encoding="utf-8" standalone="yes"?><Relationships xmlns="http://schemas.openxmlformats.org/package/2006/relationships"><Relationship Id="rId1" Type="http://schemas.openxmlformats.org/officeDocument/2006/relationships/image" Target="media/image1.jpeg"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Public\Documents\Templates\COM.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DefaultPlaceholder_-1854013440"/>
        <w:category>
          <w:name w:val="General"/>
          <w:gallery w:val="placeholder"/>
        </w:category>
        <w:types>
          <w:type w:val="bbPlcHdr"/>
        </w:types>
        <w:behaviors>
          <w:behavior w:val="content"/>
        </w:behaviors>
        <w:guid w:val="{7E3E9E4F-FAF0-44D3-BF00-29D81652901F}"/>
      </w:docPartPr>
      <w:docPartBody>
        <w:p w:rsidR="00410F3E">
          <w:r w:rsidRPr="0023111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10F3E"/>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E3CFC5956E0E44894BD610C3E161CE" ma:contentTypeVersion="25" ma:contentTypeDescription="Create a new document." ma:contentTypeScope="" ma:versionID="96fac6027b22f921c22d07f2b952ce2d">
  <xsd:schema xmlns:xsd="http://www.w3.org/2001/XMLSchema" xmlns:xs="http://www.w3.org/2001/XMLSchema" xmlns:p="http://schemas.microsoft.com/office/2006/metadata/properties" xmlns:ns2="2f134f0d-b81a-4db3-9631-0979b1a603b0" xmlns:ns3="3b20e946-f1f7-452d-9a28-4a22b2f5d814" targetNamespace="http://schemas.microsoft.com/office/2006/metadata/properties" ma:root="true" ma:fieldsID="969b52323ef9c0c5b34a5a7f11688641" ns2:_="" ns3:_="">
    <xsd:import namespace="2f134f0d-b81a-4db3-9631-0979b1a603b0"/>
    <xsd:import namespace="3b20e946-f1f7-452d-9a28-4a22b2f5d8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134f0d-b81a-4db3-9631-0979b1a603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3173f27-4ec8-4913-b298-ff3ad292e6a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20e946-f1f7-452d-9a28-4a22b2f5d81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ef53013-43d6-4eb8-936b-bee8cc9330b0}" ma:internalName="TaxCatchAll" ma:showField="CatchAllData" ma:web="3b20e946-f1f7-452d-9a28-4a22b2f5d8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f134f0d-b81a-4db3-9631-0979b1a603b0">
      <Terms xmlns="http://schemas.microsoft.com/office/infopath/2007/PartnerControls"/>
    </lcf76f155ced4ddcb4097134ff3c332f>
    <TaxCatchAll xmlns="3b20e946-f1f7-452d-9a28-4a22b2f5d81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46961B-203A-4869-BF52-7986D309E5BE}"/>
</file>

<file path=customXml/itemProps2.xml><?xml version="1.0" encoding="utf-8"?>
<ds:datastoreItem xmlns:ds="http://schemas.openxmlformats.org/officeDocument/2006/customXml" ds:itemID="{A2504DC7-A2B2-4288-AEF6-6EC342267BA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CEE197C-5FEA-4CBD-8DFE-981C4255B156}">
  <ds:schemaRefs>
    <ds:schemaRef ds:uri="http://schemas.microsoft.com/sharepoint/v3/contenttype/forms"/>
  </ds:schemaRefs>
</ds:datastoreItem>
</file>

<file path=customXml/itemProps4.xml><?xml version="1.0" encoding="utf-8"?>
<ds:datastoreItem xmlns:ds="http://schemas.openxmlformats.org/officeDocument/2006/customXml" ds:itemID="{BBED290C-0565-45D5-B24E-75518259A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0x010100D1E3CFC5956E0E44894BD610C3E161CE</vt:lpwstr>
  </property>
</Properties>
</file>