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CF07C" w14:textId="77777777" w:rsidR="00676835" w:rsidRDefault="00676835">
      <w:pPr>
        <w:widowControl w:val="0"/>
        <w:pBdr>
          <w:top w:val="nil"/>
          <w:left w:val="nil"/>
          <w:bottom w:val="nil"/>
          <w:right w:val="nil"/>
          <w:between w:val="nil"/>
        </w:pBdr>
        <w:spacing w:after="0" w:line="276" w:lineRule="auto"/>
        <w:rPr>
          <w:rFonts w:ascii="Arial" w:eastAsia="Arial" w:hAnsi="Arial" w:cs="Arial"/>
          <w:color w:val="FFFFFF"/>
          <w:sz w:val="14"/>
          <w:szCs w:val="14"/>
        </w:rPr>
      </w:pPr>
    </w:p>
    <w:tbl>
      <w:tblPr>
        <w:tblStyle w:val="a"/>
        <w:tblW w:w="11218" w:type="dxa"/>
        <w:tblInd w:w="-419" w:type="dxa"/>
        <w:tblBorders>
          <w:top w:val="nil"/>
          <w:left w:val="nil"/>
          <w:bottom w:val="nil"/>
          <w:right w:val="nil"/>
          <w:insideH w:val="nil"/>
          <w:insideV w:val="nil"/>
        </w:tblBorders>
        <w:tblLayout w:type="fixed"/>
        <w:tblLook w:val="0400" w:firstRow="0" w:lastRow="0" w:firstColumn="0" w:lastColumn="0" w:noHBand="0" w:noVBand="1"/>
      </w:tblPr>
      <w:tblGrid>
        <w:gridCol w:w="2108"/>
        <w:gridCol w:w="9110"/>
      </w:tblGrid>
      <w:tr w:rsidR="00676835" w14:paraId="1946CC38" w14:textId="77777777">
        <w:trPr>
          <w:trHeight w:val="1169"/>
        </w:trPr>
        <w:tc>
          <w:tcPr>
            <w:tcW w:w="2108" w:type="dxa"/>
            <w:tcMar>
              <w:top w:w="144" w:type="dxa"/>
              <w:left w:w="144" w:type="dxa"/>
              <w:bottom w:w="144" w:type="dxa"/>
              <w:right w:w="144" w:type="dxa"/>
            </w:tcMar>
          </w:tcPr>
          <w:p w14:paraId="6002AB8C" w14:textId="77777777" w:rsidR="00676835" w:rsidRDefault="00000000">
            <w:pPr>
              <w:jc w:val="right"/>
              <w:rPr>
                <w:rFonts w:ascii="BenchNine" w:eastAsia="BenchNine" w:hAnsi="BenchNine" w:cs="BenchNine"/>
                <w:b/>
                <w:color w:val="FFFFFF"/>
                <w:sz w:val="32"/>
                <w:szCs w:val="32"/>
              </w:rPr>
            </w:pPr>
            <w:r>
              <w:rPr>
                <w:rFonts w:ascii="BenchNine" w:eastAsia="BenchNine" w:hAnsi="BenchNine" w:cs="BenchNine"/>
                <w:b/>
                <w:color w:val="FFFFFF"/>
                <w:sz w:val="32"/>
                <w:szCs w:val="32"/>
              </w:rPr>
              <w:t>General Information</w:t>
            </w:r>
          </w:p>
        </w:tc>
        <w:tc>
          <w:tcPr>
            <w:tcW w:w="9110" w:type="dxa"/>
            <w:tcMar>
              <w:top w:w="144" w:type="dxa"/>
              <w:left w:w="360" w:type="dxa"/>
              <w:bottom w:w="144" w:type="dxa"/>
              <w:right w:w="144" w:type="dxa"/>
            </w:tcMar>
          </w:tcPr>
          <w:p w14:paraId="617C0647" w14:textId="77777777" w:rsidR="00676835" w:rsidRDefault="00000000">
            <w:pPr>
              <w:numPr>
                <w:ilvl w:val="0"/>
                <w:numId w:val="1"/>
              </w:numPr>
              <w:pBdr>
                <w:top w:val="nil"/>
                <w:left w:val="nil"/>
                <w:bottom w:val="nil"/>
                <w:right w:val="nil"/>
                <w:between w:val="nil"/>
              </w:pBdr>
              <w:spacing w:line="259" w:lineRule="auto"/>
              <w:ind w:left="259" w:hanging="259"/>
              <w:rPr>
                <w:color w:val="000000"/>
                <w:sz w:val="18"/>
                <w:szCs w:val="18"/>
              </w:rPr>
            </w:pPr>
            <w:r>
              <w:rPr>
                <w:color w:val="000000"/>
                <w:sz w:val="18"/>
                <w:szCs w:val="18"/>
              </w:rPr>
              <w:t>The NIH is running a large, multi-center study across the country that will use new deep phenotyping (‘Omics and other molecular interrogation) and imaging technologies to understand CKD and AKI better than we ever could before.</w:t>
            </w:r>
          </w:p>
          <w:p w14:paraId="6E09CBA0" w14:textId="77777777" w:rsidR="00676835" w:rsidRDefault="00000000">
            <w:pPr>
              <w:numPr>
                <w:ilvl w:val="0"/>
                <w:numId w:val="1"/>
              </w:numPr>
              <w:pBdr>
                <w:top w:val="nil"/>
                <w:left w:val="nil"/>
                <w:bottom w:val="nil"/>
                <w:right w:val="nil"/>
                <w:between w:val="nil"/>
              </w:pBdr>
              <w:spacing w:line="259" w:lineRule="auto"/>
              <w:ind w:left="259" w:hanging="259"/>
              <w:rPr>
                <w:color w:val="000000"/>
                <w:sz w:val="18"/>
                <w:szCs w:val="18"/>
              </w:rPr>
            </w:pPr>
            <w:r>
              <w:rPr>
                <w:color w:val="000000"/>
                <w:sz w:val="18"/>
                <w:szCs w:val="18"/>
              </w:rPr>
              <w:t xml:space="preserve">Participation requires a </w:t>
            </w:r>
            <w:r>
              <w:rPr>
                <w:b/>
                <w:color w:val="000000"/>
                <w:sz w:val="18"/>
                <w:szCs w:val="18"/>
              </w:rPr>
              <w:t>kidney biopsy; blood, urine and stool collection, and longitudinal follow-up</w:t>
            </w:r>
            <w:r>
              <w:rPr>
                <w:color w:val="000000"/>
                <w:sz w:val="18"/>
                <w:szCs w:val="18"/>
              </w:rPr>
              <w:t xml:space="preserve"> (up to 10 years)</w:t>
            </w:r>
          </w:p>
          <w:p w14:paraId="08D5A04E" w14:textId="77777777" w:rsidR="00676835" w:rsidRDefault="00000000">
            <w:pPr>
              <w:numPr>
                <w:ilvl w:val="0"/>
                <w:numId w:val="1"/>
              </w:numPr>
              <w:pBdr>
                <w:top w:val="nil"/>
                <w:left w:val="nil"/>
                <w:bottom w:val="nil"/>
                <w:right w:val="nil"/>
                <w:between w:val="nil"/>
              </w:pBdr>
              <w:spacing w:line="259" w:lineRule="auto"/>
              <w:ind w:left="259" w:hanging="259"/>
              <w:rPr>
                <w:color w:val="000000"/>
                <w:sz w:val="18"/>
                <w:szCs w:val="18"/>
              </w:rPr>
            </w:pPr>
            <w:r>
              <w:rPr>
                <w:color w:val="000000"/>
                <w:sz w:val="18"/>
                <w:szCs w:val="18"/>
              </w:rPr>
              <w:t>That biopsy will not only get all the standard analyses, but also numerous novel tests derived from KPMP technologies (genomics, proteomics, metabolomics, multi-dimensional microscopy) that will ultimately give rise to better clinical diagnostics and treatments.</w:t>
            </w:r>
          </w:p>
          <w:p w14:paraId="06738876" w14:textId="77777777" w:rsidR="00676835" w:rsidRDefault="00000000">
            <w:pPr>
              <w:numPr>
                <w:ilvl w:val="0"/>
                <w:numId w:val="1"/>
              </w:numPr>
              <w:pBdr>
                <w:top w:val="nil"/>
                <w:left w:val="nil"/>
                <w:bottom w:val="nil"/>
                <w:right w:val="nil"/>
                <w:between w:val="nil"/>
              </w:pBdr>
              <w:spacing w:after="120" w:line="259" w:lineRule="auto"/>
              <w:ind w:left="259" w:hanging="259"/>
              <w:rPr>
                <w:color w:val="000000"/>
                <w:sz w:val="18"/>
                <w:szCs w:val="18"/>
              </w:rPr>
            </w:pPr>
            <w:r>
              <w:rPr>
                <w:color w:val="000000"/>
                <w:sz w:val="18"/>
                <w:szCs w:val="18"/>
              </w:rPr>
              <w:t>Your patient will get information about what caused their kidney disease as well as about the underlying health of their kidney. And they will also be contributing to help understand, diagnose, and treat CKD and AKI in the future.</w:t>
            </w:r>
          </w:p>
        </w:tc>
      </w:tr>
      <w:tr w:rsidR="00676835" w14:paraId="4BC26468" w14:textId="77777777">
        <w:trPr>
          <w:trHeight w:val="1025"/>
        </w:trPr>
        <w:tc>
          <w:tcPr>
            <w:tcW w:w="2108" w:type="dxa"/>
            <w:tcMar>
              <w:top w:w="144" w:type="dxa"/>
              <w:left w:w="144" w:type="dxa"/>
              <w:bottom w:w="144" w:type="dxa"/>
              <w:right w:w="144" w:type="dxa"/>
            </w:tcMar>
          </w:tcPr>
          <w:p w14:paraId="4C154068" w14:textId="77777777" w:rsidR="00676835" w:rsidRDefault="00000000">
            <w:pPr>
              <w:jc w:val="right"/>
              <w:rPr>
                <w:rFonts w:ascii="BenchNine" w:eastAsia="BenchNine" w:hAnsi="BenchNine" w:cs="BenchNine"/>
                <w:b/>
                <w:color w:val="FFFFFF"/>
                <w:sz w:val="30"/>
                <w:szCs w:val="30"/>
              </w:rPr>
            </w:pPr>
            <w:r>
              <w:rPr>
                <w:rFonts w:ascii="BenchNine" w:eastAsia="BenchNine" w:hAnsi="BenchNine" w:cs="BenchNine"/>
                <w:b/>
                <w:color w:val="FFFFFF"/>
                <w:sz w:val="30"/>
                <w:szCs w:val="30"/>
              </w:rPr>
              <w:t>AKI</w:t>
            </w:r>
            <w:r>
              <w:rPr>
                <w:rFonts w:ascii="BenchNine" w:eastAsia="BenchNine" w:hAnsi="BenchNine" w:cs="BenchNine"/>
                <w:b/>
                <w:color w:val="FFFFFF"/>
                <w:sz w:val="30"/>
                <w:szCs w:val="30"/>
              </w:rPr>
              <w:br/>
              <w:t>Inclusion/Exclusion</w:t>
            </w:r>
            <w:r>
              <w:rPr>
                <w:rFonts w:ascii="BenchNine" w:eastAsia="BenchNine" w:hAnsi="BenchNine" w:cs="BenchNine"/>
                <w:b/>
                <w:color w:val="FFFFFF"/>
                <w:sz w:val="30"/>
                <w:szCs w:val="30"/>
              </w:rPr>
              <w:br/>
              <w:t>Criteria</w:t>
            </w:r>
          </w:p>
        </w:tc>
        <w:tc>
          <w:tcPr>
            <w:tcW w:w="9110" w:type="dxa"/>
            <w:tcMar>
              <w:top w:w="144" w:type="dxa"/>
              <w:left w:w="360" w:type="dxa"/>
              <w:bottom w:w="144" w:type="dxa"/>
              <w:right w:w="144" w:type="dxa"/>
            </w:tcMar>
          </w:tcPr>
          <w:tbl>
            <w:tblPr>
              <w:tblStyle w:val="a0"/>
              <w:tblW w:w="8236" w:type="dxa"/>
              <w:tblBorders>
                <w:top w:val="nil"/>
                <w:left w:val="nil"/>
                <w:bottom w:val="nil"/>
                <w:right w:val="nil"/>
                <w:insideH w:val="nil"/>
                <w:insideV w:val="nil"/>
              </w:tblBorders>
              <w:tblLayout w:type="fixed"/>
              <w:tblLook w:val="0400" w:firstRow="0" w:lastRow="0" w:firstColumn="0" w:lastColumn="0" w:noHBand="0" w:noVBand="1"/>
            </w:tblPr>
            <w:tblGrid>
              <w:gridCol w:w="3981"/>
              <w:gridCol w:w="4255"/>
            </w:tblGrid>
            <w:tr w:rsidR="00C13A2A" w14:paraId="1F405544" w14:textId="77777777" w:rsidTr="00C13A2A">
              <w:tc>
                <w:tcPr>
                  <w:tcW w:w="3981" w:type="dxa"/>
                </w:tcPr>
                <w:p w14:paraId="5B9FC463" w14:textId="77777777" w:rsidR="00676835" w:rsidRDefault="00000000">
                  <w:pPr>
                    <w:rPr>
                      <w:b/>
                      <w:sz w:val="18"/>
                      <w:szCs w:val="18"/>
                    </w:rPr>
                  </w:pPr>
                  <w:r>
                    <w:rPr>
                      <w:b/>
                      <w:sz w:val="18"/>
                      <w:szCs w:val="18"/>
                    </w:rPr>
                    <w:t>Inclusion:</w:t>
                  </w:r>
                </w:p>
                <w:p w14:paraId="1B3DF0C5" w14:textId="3B2E1185" w:rsidR="00676835" w:rsidRDefault="00000000">
                  <w:pPr>
                    <w:numPr>
                      <w:ilvl w:val="0"/>
                      <w:numId w:val="2"/>
                    </w:numPr>
                    <w:pBdr>
                      <w:top w:val="nil"/>
                      <w:left w:val="nil"/>
                      <w:bottom w:val="nil"/>
                      <w:right w:val="nil"/>
                      <w:between w:val="nil"/>
                    </w:pBdr>
                    <w:spacing w:line="259" w:lineRule="auto"/>
                    <w:ind w:left="215" w:right="629" w:hanging="215"/>
                    <w:rPr>
                      <w:color w:val="000000"/>
                      <w:sz w:val="18"/>
                      <w:szCs w:val="18"/>
                    </w:rPr>
                  </w:pPr>
                  <w:r>
                    <w:rPr>
                      <w:color w:val="000000"/>
                      <w:sz w:val="18"/>
                      <w:szCs w:val="18"/>
                    </w:rPr>
                    <w:t>Baseline eGFR &gt; 45mL/min/1.73m2</w:t>
                  </w:r>
                  <w:r w:rsidR="00C13A2A">
                    <w:rPr>
                      <w:color w:val="000000"/>
                      <w:sz w:val="18"/>
                      <w:szCs w:val="18"/>
                    </w:rPr>
                    <w:br/>
                  </w:r>
                  <w:r w:rsidR="00C13A2A">
                    <w:rPr>
                      <w:color w:val="000000"/>
                      <w:sz w:val="18"/>
                      <w:szCs w:val="18"/>
                    </w:rPr>
                    <w:t>AND one of the following</w:t>
                  </w:r>
                  <w:r w:rsidR="00C13A2A">
                    <w:rPr>
                      <w:color w:val="000000"/>
                      <w:sz w:val="18"/>
                      <w:szCs w:val="18"/>
                    </w:rPr>
                    <w:t>:</w:t>
                  </w:r>
                </w:p>
                <w:p w14:paraId="75934573" w14:textId="77777777" w:rsidR="00C13A2A" w:rsidRPr="00C13A2A" w:rsidRDefault="00C13A2A" w:rsidP="00C13A2A">
                  <w:pPr>
                    <w:numPr>
                      <w:ilvl w:val="1"/>
                      <w:numId w:val="2"/>
                    </w:numPr>
                    <w:pBdr>
                      <w:top w:val="nil"/>
                      <w:left w:val="nil"/>
                      <w:bottom w:val="nil"/>
                      <w:right w:val="nil"/>
                      <w:between w:val="nil"/>
                    </w:pBdr>
                    <w:ind w:left="450" w:right="343" w:hanging="180"/>
                    <w:rPr>
                      <w:color w:val="000000"/>
                      <w:sz w:val="18"/>
                      <w:szCs w:val="18"/>
                    </w:rPr>
                  </w:pPr>
                  <w:r w:rsidRPr="00C13A2A">
                    <w:rPr>
                      <w:color w:val="000000"/>
                      <w:sz w:val="18"/>
                      <w:szCs w:val="18"/>
                    </w:rPr>
                    <w:t xml:space="preserve">Drop in urine output (&lt;500 ml/24 hours) </w:t>
                  </w:r>
                </w:p>
                <w:p w14:paraId="2DDC48A3" w14:textId="77777777" w:rsidR="00C13A2A" w:rsidRPr="00C13A2A" w:rsidRDefault="00C13A2A" w:rsidP="00C13A2A">
                  <w:pPr>
                    <w:numPr>
                      <w:ilvl w:val="1"/>
                      <w:numId w:val="2"/>
                    </w:numPr>
                    <w:pBdr>
                      <w:top w:val="nil"/>
                      <w:left w:val="nil"/>
                      <w:bottom w:val="nil"/>
                      <w:right w:val="nil"/>
                      <w:between w:val="nil"/>
                    </w:pBdr>
                    <w:ind w:left="450" w:right="343" w:hanging="180"/>
                    <w:rPr>
                      <w:color w:val="000000"/>
                      <w:sz w:val="18"/>
                      <w:szCs w:val="18"/>
                    </w:rPr>
                  </w:pPr>
                  <w:r w:rsidRPr="00C13A2A">
                    <w:rPr>
                      <w:color w:val="000000"/>
                      <w:sz w:val="18"/>
                      <w:szCs w:val="18"/>
                    </w:rPr>
                    <w:t>Any rise in serum creatinine greater than or equal to 0.3 mg/dL over baseline</w:t>
                  </w:r>
                </w:p>
                <w:p w14:paraId="76DB526E" w14:textId="77777777" w:rsidR="00C13A2A" w:rsidRPr="00C13A2A" w:rsidRDefault="00C13A2A" w:rsidP="00C13A2A">
                  <w:pPr>
                    <w:numPr>
                      <w:ilvl w:val="1"/>
                      <w:numId w:val="2"/>
                    </w:numPr>
                    <w:pBdr>
                      <w:top w:val="nil"/>
                      <w:left w:val="nil"/>
                      <w:bottom w:val="nil"/>
                      <w:right w:val="nil"/>
                      <w:between w:val="nil"/>
                    </w:pBdr>
                    <w:ind w:left="450" w:right="343" w:hanging="180"/>
                    <w:rPr>
                      <w:color w:val="000000"/>
                      <w:sz w:val="18"/>
                      <w:szCs w:val="18"/>
                    </w:rPr>
                  </w:pPr>
                  <w:r w:rsidRPr="00C13A2A">
                    <w:rPr>
                      <w:color w:val="000000"/>
                      <w:sz w:val="18"/>
                      <w:szCs w:val="18"/>
                    </w:rPr>
                    <w:t xml:space="preserve">A rise in serum creatinine &gt;0.1 mg/dL in a patient with high risk of AKI and at least one of the following: </w:t>
                  </w:r>
                </w:p>
                <w:p w14:paraId="54E2F7DC" w14:textId="77777777" w:rsidR="00C13A2A" w:rsidRDefault="00C13A2A" w:rsidP="00C13A2A">
                  <w:pPr>
                    <w:numPr>
                      <w:ilvl w:val="2"/>
                      <w:numId w:val="2"/>
                    </w:numPr>
                    <w:pBdr>
                      <w:top w:val="nil"/>
                      <w:left w:val="nil"/>
                      <w:bottom w:val="nil"/>
                      <w:right w:val="nil"/>
                      <w:between w:val="nil"/>
                    </w:pBdr>
                    <w:ind w:left="720" w:right="343" w:hanging="270"/>
                    <w:rPr>
                      <w:color w:val="000000"/>
                      <w:sz w:val="18"/>
                      <w:szCs w:val="18"/>
                    </w:rPr>
                  </w:pPr>
                  <w:r w:rsidRPr="00C13A2A">
                    <w:rPr>
                      <w:color w:val="000000"/>
                      <w:sz w:val="18"/>
                      <w:szCs w:val="18"/>
                    </w:rPr>
                    <w:t>Positive kidney injury urine biomarkers (NGAL, Kim1, TIMP2 x IGFBP7)</w:t>
                  </w:r>
                </w:p>
                <w:p w14:paraId="1A153967" w14:textId="21DEEA76" w:rsidR="00676835" w:rsidRPr="00C13A2A" w:rsidRDefault="00C13A2A" w:rsidP="00C13A2A">
                  <w:pPr>
                    <w:numPr>
                      <w:ilvl w:val="2"/>
                      <w:numId w:val="2"/>
                    </w:numPr>
                    <w:pBdr>
                      <w:top w:val="nil"/>
                      <w:left w:val="nil"/>
                      <w:bottom w:val="nil"/>
                      <w:right w:val="nil"/>
                      <w:between w:val="nil"/>
                    </w:pBdr>
                    <w:ind w:left="720" w:right="343" w:hanging="270"/>
                    <w:rPr>
                      <w:color w:val="000000"/>
                      <w:sz w:val="18"/>
                      <w:szCs w:val="18"/>
                    </w:rPr>
                  </w:pPr>
                  <w:r w:rsidRPr="00C13A2A">
                    <w:rPr>
                      <w:color w:val="000000"/>
                      <w:sz w:val="18"/>
                      <w:szCs w:val="18"/>
                    </w:rPr>
                    <w:t>Urine microscopy suggestive of ATN</w:t>
                  </w:r>
                </w:p>
              </w:tc>
              <w:tc>
                <w:tcPr>
                  <w:tcW w:w="4255" w:type="dxa"/>
                </w:tcPr>
                <w:p w14:paraId="3B47EBFA" w14:textId="77777777" w:rsidR="00676835" w:rsidRDefault="00000000">
                  <w:pPr>
                    <w:rPr>
                      <w:b/>
                      <w:sz w:val="18"/>
                      <w:szCs w:val="18"/>
                    </w:rPr>
                  </w:pPr>
                  <w:r>
                    <w:rPr>
                      <w:b/>
                      <w:sz w:val="18"/>
                      <w:szCs w:val="18"/>
                    </w:rPr>
                    <w:t>Exclusion:</w:t>
                  </w:r>
                </w:p>
                <w:p w14:paraId="51349B34" w14:textId="77777777" w:rsidR="00676835" w:rsidRDefault="00000000">
                  <w:pPr>
                    <w:numPr>
                      <w:ilvl w:val="0"/>
                      <w:numId w:val="3"/>
                    </w:numPr>
                    <w:pBdr>
                      <w:top w:val="nil"/>
                      <w:left w:val="nil"/>
                      <w:bottom w:val="nil"/>
                      <w:right w:val="nil"/>
                      <w:between w:val="nil"/>
                    </w:pBdr>
                    <w:spacing w:line="259" w:lineRule="auto"/>
                    <w:rPr>
                      <w:color w:val="000000"/>
                      <w:sz w:val="18"/>
                      <w:szCs w:val="18"/>
                    </w:rPr>
                  </w:pPr>
                  <w:proofErr w:type="gramStart"/>
                  <w:r>
                    <w:rPr>
                      <w:color w:val="000000"/>
                      <w:sz w:val="18"/>
                      <w:szCs w:val="18"/>
                    </w:rPr>
                    <w:t>Age  (</w:t>
                  </w:r>
                  <w:proofErr w:type="gramEnd"/>
                  <w:r>
                    <w:rPr>
                      <w:color w:val="000000"/>
                      <w:sz w:val="18"/>
                      <w:szCs w:val="18"/>
                    </w:rPr>
                    <w:t>&lt;18years old)</w:t>
                  </w:r>
                </w:p>
                <w:p w14:paraId="6A32FB5F" w14:textId="77777777" w:rsidR="00676835" w:rsidRDefault="00000000">
                  <w:pPr>
                    <w:numPr>
                      <w:ilvl w:val="0"/>
                      <w:numId w:val="3"/>
                    </w:numPr>
                    <w:pBdr>
                      <w:top w:val="nil"/>
                      <w:left w:val="nil"/>
                      <w:bottom w:val="nil"/>
                      <w:right w:val="nil"/>
                      <w:between w:val="nil"/>
                    </w:pBdr>
                    <w:spacing w:line="259" w:lineRule="auto"/>
                    <w:rPr>
                      <w:color w:val="000000"/>
                      <w:sz w:val="18"/>
                      <w:szCs w:val="18"/>
                    </w:rPr>
                  </w:pPr>
                  <w:r>
                    <w:rPr>
                      <w:color w:val="000000"/>
                      <w:sz w:val="18"/>
                      <w:szCs w:val="18"/>
                    </w:rPr>
                    <w:t>Inability to provide informed consent (LAR, ventilator dependent)</w:t>
                  </w:r>
                </w:p>
                <w:p w14:paraId="40E2516A" w14:textId="77777777" w:rsidR="00676835" w:rsidRDefault="00000000">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Glomerular disease (autoimmune disease, dysproteinemia, viral disease) </w:t>
                  </w:r>
                </w:p>
                <w:p w14:paraId="455A2A8C" w14:textId="77777777" w:rsidR="00676835" w:rsidRDefault="00000000">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Kidney transplant </w:t>
                  </w:r>
                </w:p>
                <w:p w14:paraId="2F1F0AF0" w14:textId="77777777" w:rsidR="00676835" w:rsidRDefault="00000000">
                  <w:pPr>
                    <w:numPr>
                      <w:ilvl w:val="0"/>
                      <w:numId w:val="3"/>
                    </w:numPr>
                    <w:pBdr>
                      <w:top w:val="nil"/>
                      <w:left w:val="nil"/>
                      <w:bottom w:val="nil"/>
                      <w:right w:val="nil"/>
                      <w:between w:val="nil"/>
                    </w:pBdr>
                    <w:spacing w:line="259" w:lineRule="auto"/>
                    <w:rPr>
                      <w:color w:val="000000"/>
                      <w:sz w:val="18"/>
                      <w:szCs w:val="18"/>
                    </w:rPr>
                  </w:pPr>
                  <w:r>
                    <w:rPr>
                      <w:color w:val="000000"/>
                      <w:sz w:val="18"/>
                      <w:szCs w:val="18"/>
                    </w:rPr>
                    <w:t>Pregnancy</w:t>
                  </w:r>
                </w:p>
                <w:p w14:paraId="54F35701" w14:textId="77777777" w:rsidR="00676835" w:rsidRDefault="00000000">
                  <w:pPr>
                    <w:numPr>
                      <w:ilvl w:val="0"/>
                      <w:numId w:val="3"/>
                    </w:numPr>
                    <w:pBdr>
                      <w:top w:val="nil"/>
                      <w:left w:val="nil"/>
                      <w:bottom w:val="nil"/>
                      <w:right w:val="nil"/>
                      <w:between w:val="nil"/>
                    </w:pBdr>
                    <w:spacing w:line="259" w:lineRule="auto"/>
                    <w:rPr>
                      <w:color w:val="000000"/>
                      <w:sz w:val="18"/>
                      <w:szCs w:val="18"/>
                    </w:rPr>
                  </w:pPr>
                  <w:r>
                    <w:rPr>
                      <w:color w:val="000000"/>
                      <w:sz w:val="18"/>
                      <w:szCs w:val="18"/>
                    </w:rPr>
                    <w:t>Increased biopsy complication risk (Chronic anticoagulation, Platelets &lt;100, INR&gt;1.4, Hb &lt;</w:t>
                  </w:r>
                  <w:r>
                    <w:rPr>
                      <w:sz w:val="18"/>
                      <w:szCs w:val="18"/>
                    </w:rPr>
                    <w:t>8.5</w:t>
                  </w:r>
                  <w:r>
                    <w:rPr>
                      <w:color w:val="000000"/>
                      <w:sz w:val="18"/>
                      <w:szCs w:val="18"/>
                    </w:rPr>
                    <w:t>, aspirin intake within 7 days of biopsy)</w:t>
                  </w:r>
                </w:p>
                <w:p w14:paraId="165D9596" w14:textId="77777777" w:rsidR="00676835" w:rsidRDefault="00000000">
                  <w:pPr>
                    <w:pBdr>
                      <w:top w:val="nil"/>
                      <w:left w:val="nil"/>
                      <w:bottom w:val="nil"/>
                      <w:right w:val="nil"/>
                      <w:between w:val="nil"/>
                    </w:pBdr>
                    <w:spacing w:after="120" w:line="259" w:lineRule="auto"/>
                    <w:ind w:left="360"/>
                    <w:rPr>
                      <w:color w:val="000000"/>
                      <w:sz w:val="18"/>
                      <w:szCs w:val="18"/>
                    </w:rPr>
                  </w:pPr>
                  <w:r>
                    <w:rPr>
                      <w:color w:val="000000"/>
                      <w:sz w:val="18"/>
                      <w:szCs w:val="18"/>
                    </w:rPr>
                    <w:t>Hypotension or BP that cannot be controlled to &gt;160/100mmHg at time of biopsy</w:t>
                  </w:r>
                </w:p>
              </w:tc>
            </w:tr>
          </w:tbl>
          <w:p w14:paraId="0213C6E8" w14:textId="77777777" w:rsidR="00676835" w:rsidRDefault="00676835">
            <w:pPr>
              <w:pBdr>
                <w:top w:val="nil"/>
                <w:left w:val="nil"/>
                <w:bottom w:val="nil"/>
                <w:right w:val="nil"/>
                <w:between w:val="nil"/>
              </w:pBdr>
              <w:spacing w:after="120" w:line="259" w:lineRule="auto"/>
              <w:ind w:left="360"/>
              <w:rPr>
                <w:color w:val="000000"/>
                <w:sz w:val="18"/>
                <w:szCs w:val="18"/>
              </w:rPr>
            </w:pPr>
          </w:p>
        </w:tc>
      </w:tr>
      <w:tr w:rsidR="00676835" w14:paraId="181E4B2A" w14:textId="77777777">
        <w:trPr>
          <w:trHeight w:val="3122"/>
        </w:trPr>
        <w:tc>
          <w:tcPr>
            <w:tcW w:w="2108" w:type="dxa"/>
            <w:tcMar>
              <w:top w:w="144" w:type="dxa"/>
              <w:left w:w="144" w:type="dxa"/>
              <w:bottom w:w="144" w:type="dxa"/>
              <w:right w:w="144" w:type="dxa"/>
            </w:tcMar>
          </w:tcPr>
          <w:p w14:paraId="7B92D77A" w14:textId="77777777" w:rsidR="00676835" w:rsidRDefault="00000000">
            <w:pPr>
              <w:jc w:val="right"/>
              <w:rPr>
                <w:rFonts w:ascii="BenchNine" w:eastAsia="BenchNine" w:hAnsi="BenchNine" w:cs="BenchNine"/>
                <w:b/>
                <w:color w:val="FFFFFF"/>
                <w:sz w:val="32"/>
                <w:szCs w:val="32"/>
              </w:rPr>
            </w:pPr>
            <w:r>
              <w:rPr>
                <w:rFonts w:ascii="BenchNine" w:eastAsia="BenchNine" w:hAnsi="BenchNine" w:cs="BenchNine"/>
                <w:b/>
                <w:color w:val="FFFFFF"/>
                <w:sz w:val="32"/>
                <w:szCs w:val="32"/>
              </w:rPr>
              <w:t>Frequently Asked Questions</w:t>
            </w:r>
          </w:p>
          <w:p w14:paraId="4B61512A" w14:textId="77777777" w:rsidR="00676835" w:rsidRDefault="00676835">
            <w:pPr>
              <w:jc w:val="right"/>
              <w:rPr>
                <w:rFonts w:ascii="BenchNine" w:eastAsia="BenchNine" w:hAnsi="BenchNine" w:cs="BenchNine"/>
                <w:b/>
                <w:color w:val="FFFFFF"/>
                <w:sz w:val="32"/>
                <w:szCs w:val="32"/>
              </w:rPr>
            </w:pPr>
          </w:p>
          <w:p w14:paraId="6F739D09" w14:textId="77777777" w:rsidR="00676835" w:rsidRDefault="00676835">
            <w:pPr>
              <w:jc w:val="right"/>
              <w:rPr>
                <w:rFonts w:ascii="BenchNine" w:eastAsia="BenchNine" w:hAnsi="BenchNine" w:cs="BenchNine"/>
                <w:b/>
                <w:color w:val="FFFFFF"/>
                <w:sz w:val="32"/>
                <w:szCs w:val="32"/>
              </w:rPr>
            </w:pPr>
          </w:p>
          <w:p w14:paraId="415C47DF" w14:textId="77777777" w:rsidR="00676835" w:rsidRDefault="00676835">
            <w:pPr>
              <w:jc w:val="right"/>
              <w:rPr>
                <w:rFonts w:ascii="BenchNine" w:eastAsia="BenchNine" w:hAnsi="BenchNine" w:cs="BenchNine"/>
                <w:b/>
                <w:color w:val="FFFFFF"/>
                <w:sz w:val="32"/>
                <w:szCs w:val="32"/>
              </w:rPr>
            </w:pPr>
          </w:p>
          <w:p w14:paraId="0C3E1B8B" w14:textId="77777777" w:rsidR="00676835" w:rsidRDefault="00676835">
            <w:pPr>
              <w:jc w:val="right"/>
              <w:rPr>
                <w:rFonts w:ascii="BenchNine" w:eastAsia="BenchNine" w:hAnsi="BenchNine" w:cs="BenchNine"/>
                <w:b/>
                <w:color w:val="FFFFFF"/>
                <w:sz w:val="32"/>
                <w:szCs w:val="32"/>
              </w:rPr>
            </w:pPr>
          </w:p>
          <w:p w14:paraId="45B35BB1" w14:textId="77777777" w:rsidR="00676835" w:rsidRDefault="00676835">
            <w:pPr>
              <w:jc w:val="right"/>
              <w:rPr>
                <w:rFonts w:ascii="BenchNine" w:eastAsia="BenchNine" w:hAnsi="BenchNine" w:cs="BenchNine"/>
                <w:b/>
                <w:color w:val="FFFFFF"/>
                <w:sz w:val="32"/>
                <w:szCs w:val="32"/>
              </w:rPr>
            </w:pPr>
          </w:p>
          <w:p w14:paraId="0CD177FC" w14:textId="77777777" w:rsidR="00676835" w:rsidRDefault="00676835">
            <w:pPr>
              <w:jc w:val="right"/>
              <w:rPr>
                <w:rFonts w:ascii="BenchNine" w:eastAsia="BenchNine" w:hAnsi="BenchNine" w:cs="BenchNine"/>
                <w:b/>
                <w:color w:val="FFFFFF"/>
                <w:sz w:val="32"/>
                <w:szCs w:val="32"/>
              </w:rPr>
            </w:pPr>
          </w:p>
          <w:p w14:paraId="5AF4BA7D" w14:textId="77777777" w:rsidR="00676835" w:rsidRDefault="00676835">
            <w:pPr>
              <w:jc w:val="right"/>
              <w:rPr>
                <w:rFonts w:ascii="BenchNine" w:eastAsia="BenchNine" w:hAnsi="BenchNine" w:cs="BenchNine"/>
                <w:b/>
                <w:color w:val="FFFFFF"/>
                <w:sz w:val="32"/>
                <w:szCs w:val="32"/>
              </w:rPr>
            </w:pPr>
          </w:p>
          <w:p w14:paraId="79A3333C" w14:textId="77777777" w:rsidR="00676835" w:rsidRDefault="00676835">
            <w:pPr>
              <w:jc w:val="right"/>
              <w:rPr>
                <w:rFonts w:ascii="BenchNine" w:eastAsia="BenchNine" w:hAnsi="BenchNine" w:cs="BenchNine"/>
                <w:b/>
                <w:color w:val="FFFFFF"/>
                <w:sz w:val="32"/>
                <w:szCs w:val="32"/>
              </w:rPr>
            </w:pPr>
          </w:p>
          <w:p w14:paraId="04F17F3C" w14:textId="77777777" w:rsidR="00676835" w:rsidRDefault="00676835">
            <w:pPr>
              <w:jc w:val="right"/>
              <w:rPr>
                <w:rFonts w:ascii="BenchNine" w:eastAsia="BenchNine" w:hAnsi="BenchNine" w:cs="BenchNine"/>
                <w:b/>
                <w:color w:val="FFFFFF"/>
                <w:sz w:val="32"/>
                <w:szCs w:val="32"/>
              </w:rPr>
            </w:pPr>
          </w:p>
          <w:p w14:paraId="3FAACCA1" w14:textId="77777777" w:rsidR="00676835" w:rsidRDefault="00676835">
            <w:pPr>
              <w:jc w:val="right"/>
              <w:rPr>
                <w:rFonts w:ascii="BenchNine" w:eastAsia="BenchNine" w:hAnsi="BenchNine" w:cs="BenchNine"/>
                <w:b/>
                <w:color w:val="FFFFFF"/>
                <w:sz w:val="32"/>
                <w:szCs w:val="32"/>
              </w:rPr>
            </w:pPr>
          </w:p>
          <w:p w14:paraId="1679204C" w14:textId="77777777" w:rsidR="00676835" w:rsidRDefault="00676835">
            <w:pPr>
              <w:widowControl w:val="0"/>
              <w:spacing w:line="276" w:lineRule="auto"/>
              <w:rPr>
                <w:rFonts w:ascii="Arial" w:eastAsia="Arial" w:hAnsi="Arial" w:cs="Arial"/>
                <w:color w:val="FFFFFF"/>
                <w:sz w:val="14"/>
                <w:szCs w:val="14"/>
              </w:rPr>
            </w:pPr>
          </w:p>
          <w:p w14:paraId="3FD8B4FD" w14:textId="77777777" w:rsidR="00676835" w:rsidRDefault="00676835">
            <w:pPr>
              <w:widowControl w:val="0"/>
              <w:spacing w:line="276" w:lineRule="auto"/>
              <w:rPr>
                <w:rFonts w:ascii="Arial" w:eastAsia="Arial" w:hAnsi="Arial" w:cs="Arial"/>
                <w:color w:val="FFFFFF"/>
                <w:sz w:val="14"/>
                <w:szCs w:val="14"/>
              </w:rPr>
            </w:pPr>
          </w:p>
          <w:p w14:paraId="77A41C48" w14:textId="77777777" w:rsidR="00676835" w:rsidRDefault="00676835">
            <w:pPr>
              <w:widowControl w:val="0"/>
              <w:spacing w:line="276" w:lineRule="auto"/>
              <w:rPr>
                <w:rFonts w:ascii="Arial" w:eastAsia="Arial" w:hAnsi="Arial" w:cs="Arial"/>
                <w:color w:val="FFFFFF"/>
                <w:sz w:val="14"/>
                <w:szCs w:val="14"/>
              </w:rPr>
            </w:pPr>
          </w:p>
          <w:p w14:paraId="6DDDF635" w14:textId="77777777" w:rsidR="00676835" w:rsidRDefault="00676835">
            <w:pPr>
              <w:widowControl w:val="0"/>
              <w:spacing w:line="276" w:lineRule="auto"/>
              <w:rPr>
                <w:rFonts w:ascii="Arial" w:eastAsia="Arial" w:hAnsi="Arial" w:cs="Arial"/>
                <w:color w:val="FFFFFF"/>
                <w:sz w:val="14"/>
                <w:szCs w:val="14"/>
              </w:rPr>
            </w:pPr>
          </w:p>
          <w:p w14:paraId="773B396D" w14:textId="77777777" w:rsidR="00676835" w:rsidRDefault="00676835">
            <w:pPr>
              <w:widowControl w:val="0"/>
              <w:spacing w:line="276" w:lineRule="auto"/>
              <w:rPr>
                <w:rFonts w:ascii="Arial" w:eastAsia="Arial" w:hAnsi="Arial" w:cs="Arial"/>
                <w:color w:val="FFFFFF"/>
                <w:sz w:val="14"/>
                <w:szCs w:val="14"/>
              </w:rPr>
            </w:pPr>
          </w:p>
          <w:p w14:paraId="3616F346" w14:textId="0B30B5B5" w:rsidR="00676835" w:rsidRDefault="00000000">
            <w:pPr>
              <w:widowControl w:val="0"/>
              <w:spacing w:line="276" w:lineRule="auto"/>
              <w:rPr>
                <w:rFonts w:ascii="BenchNine" w:eastAsia="BenchNine" w:hAnsi="BenchNine" w:cs="BenchNine"/>
                <w:b/>
                <w:color w:val="FFFFFF"/>
                <w:sz w:val="32"/>
                <w:szCs w:val="32"/>
              </w:rPr>
            </w:pPr>
            <w:r>
              <w:rPr>
                <w:rFonts w:ascii="Arial" w:eastAsia="Arial" w:hAnsi="Arial" w:cs="Arial"/>
                <w:color w:val="FFFFFF"/>
                <w:sz w:val="14"/>
                <w:szCs w:val="14"/>
              </w:rPr>
              <w:t>COM011 v0</w:t>
            </w:r>
            <w:r w:rsidR="00C13A2A">
              <w:rPr>
                <w:rFonts w:ascii="Arial" w:eastAsia="Arial" w:hAnsi="Arial" w:cs="Arial"/>
                <w:color w:val="FFFFFF"/>
                <w:sz w:val="14"/>
                <w:szCs w:val="14"/>
              </w:rPr>
              <w:t>3</w:t>
            </w:r>
            <w:r>
              <w:rPr>
                <w:rFonts w:ascii="Arial" w:eastAsia="Arial" w:hAnsi="Arial" w:cs="Arial"/>
                <w:color w:val="FFFFFF"/>
                <w:sz w:val="14"/>
                <w:szCs w:val="14"/>
              </w:rPr>
              <w:t xml:space="preserve"> </w:t>
            </w:r>
            <w:r w:rsidR="00C13A2A">
              <w:rPr>
                <w:rFonts w:ascii="Arial" w:eastAsia="Arial" w:hAnsi="Arial" w:cs="Arial"/>
                <w:color w:val="FFFFFF"/>
                <w:sz w:val="14"/>
                <w:szCs w:val="14"/>
              </w:rPr>
              <w:t>07</w:t>
            </w:r>
            <w:r>
              <w:rPr>
                <w:rFonts w:ascii="Arial" w:eastAsia="Arial" w:hAnsi="Arial" w:cs="Arial"/>
                <w:color w:val="FFFFFF"/>
                <w:sz w:val="14"/>
                <w:szCs w:val="14"/>
              </w:rPr>
              <w:t>.</w:t>
            </w:r>
            <w:r w:rsidR="00C13A2A">
              <w:rPr>
                <w:rFonts w:ascii="Arial" w:eastAsia="Arial" w:hAnsi="Arial" w:cs="Arial"/>
                <w:color w:val="FFFFFF"/>
                <w:sz w:val="14"/>
                <w:szCs w:val="14"/>
              </w:rPr>
              <w:t>17</w:t>
            </w:r>
            <w:r>
              <w:rPr>
                <w:rFonts w:ascii="Arial" w:eastAsia="Arial" w:hAnsi="Arial" w:cs="Arial"/>
                <w:color w:val="FFFFFF"/>
                <w:sz w:val="14"/>
                <w:szCs w:val="14"/>
              </w:rPr>
              <w:t>.202</w:t>
            </w:r>
            <w:r w:rsidR="00C13A2A">
              <w:rPr>
                <w:rFonts w:ascii="Arial" w:eastAsia="Arial" w:hAnsi="Arial" w:cs="Arial"/>
                <w:color w:val="FFFFFF"/>
                <w:sz w:val="14"/>
                <w:szCs w:val="14"/>
              </w:rPr>
              <w:t>5</w:t>
            </w:r>
          </w:p>
        </w:tc>
        <w:tc>
          <w:tcPr>
            <w:tcW w:w="9110" w:type="dxa"/>
            <w:tcMar>
              <w:top w:w="144" w:type="dxa"/>
              <w:left w:w="360" w:type="dxa"/>
              <w:bottom w:w="144" w:type="dxa"/>
              <w:right w:w="144" w:type="dxa"/>
            </w:tcMar>
          </w:tcPr>
          <w:p w14:paraId="297F94D4" w14:textId="77777777" w:rsidR="00676835" w:rsidRDefault="00000000">
            <w:pPr>
              <w:spacing w:after="120"/>
              <w:rPr>
                <w:color w:val="000000"/>
                <w:sz w:val="18"/>
                <w:szCs w:val="18"/>
              </w:rPr>
            </w:pPr>
            <w:r>
              <w:rPr>
                <w:b/>
                <w:color w:val="000000"/>
                <w:sz w:val="18"/>
                <w:szCs w:val="18"/>
              </w:rPr>
              <w:t xml:space="preserve">Why are you interested in doing a research biopsy on patients with AKI? </w:t>
            </w:r>
            <w:r>
              <w:rPr>
                <w:color w:val="000000"/>
                <w:sz w:val="18"/>
                <w:szCs w:val="18"/>
              </w:rPr>
              <w:t xml:space="preserve">A lot of people in the hospital develop AKI, but we are often unsure of the cause, what the long-term effect will be, and there are no treatments available other than supportive care. There is uncertainty around the use of </w:t>
            </w:r>
            <w:proofErr w:type="gramStart"/>
            <w:r>
              <w:rPr>
                <w:color w:val="000000"/>
                <w:sz w:val="18"/>
                <w:szCs w:val="18"/>
              </w:rPr>
              <w:t>biopsy</w:t>
            </w:r>
            <w:proofErr w:type="gramEnd"/>
            <w:r>
              <w:rPr>
                <w:color w:val="000000"/>
                <w:sz w:val="18"/>
                <w:szCs w:val="18"/>
              </w:rPr>
              <w:t xml:space="preserve"> and this study can help establish its utility for AKI. Many of our early AKI biopsies in KPMP are showing that the biopsy findings were (a) not high on the treating team’s suspicions for cause of AKI, and (b) in some cases altering management course.</w:t>
            </w:r>
          </w:p>
          <w:p w14:paraId="1E7D5F09" w14:textId="77777777" w:rsidR="00676835" w:rsidRDefault="00000000">
            <w:pPr>
              <w:spacing w:after="120"/>
              <w:rPr>
                <w:b/>
                <w:color w:val="000000"/>
                <w:sz w:val="18"/>
                <w:szCs w:val="18"/>
              </w:rPr>
            </w:pPr>
            <w:r>
              <w:rPr>
                <w:b/>
                <w:color w:val="000000"/>
                <w:sz w:val="18"/>
                <w:szCs w:val="18"/>
              </w:rPr>
              <w:t xml:space="preserve">Does a patient with sepsis qualify for KPMP? </w:t>
            </w:r>
            <w:r>
              <w:rPr>
                <w:color w:val="000000"/>
                <w:sz w:val="18"/>
                <w:szCs w:val="18"/>
              </w:rPr>
              <w:t xml:space="preserve">Yes, so long as they meet the rest of our inclusion criteria. Sepsis is the most common form of AKI and is almost never </w:t>
            </w:r>
            <w:proofErr w:type="gramStart"/>
            <w:r>
              <w:rPr>
                <w:color w:val="000000"/>
                <w:sz w:val="18"/>
                <w:szCs w:val="18"/>
              </w:rPr>
              <w:t>biopsied</w:t>
            </w:r>
            <w:proofErr w:type="gramEnd"/>
            <w:r>
              <w:rPr>
                <w:color w:val="000000"/>
                <w:sz w:val="18"/>
                <w:szCs w:val="18"/>
              </w:rPr>
              <w:t xml:space="preserve"> so our understanding of the disease is quite limited.</w:t>
            </w:r>
            <w:r>
              <w:rPr>
                <w:b/>
                <w:color w:val="000000"/>
                <w:sz w:val="18"/>
                <w:szCs w:val="18"/>
              </w:rPr>
              <w:t xml:space="preserve"> </w:t>
            </w:r>
          </w:p>
          <w:p w14:paraId="4AB3A3D3" w14:textId="77777777" w:rsidR="00676835" w:rsidRDefault="00000000">
            <w:pPr>
              <w:spacing w:after="120"/>
              <w:rPr>
                <w:b/>
                <w:sz w:val="18"/>
                <w:szCs w:val="18"/>
              </w:rPr>
            </w:pPr>
            <w:r>
              <w:rPr>
                <w:b/>
                <w:color w:val="000000"/>
                <w:sz w:val="18"/>
                <w:szCs w:val="18"/>
              </w:rPr>
              <w:t xml:space="preserve">Can my ICU patient with AKI qualify for the study? </w:t>
            </w:r>
            <w:r>
              <w:rPr>
                <w:color w:val="000000"/>
                <w:sz w:val="18"/>
                <w:szCs w:val="18"/>
              </w:rPr>
              <w:t>Maybe. Please contact the study investigator to discuss potential ICU patients who may qualify.</w:t>
            </w:r>
            <w:r>
              <w:rPr>
                <w:b/>
                <w:sz w:val="18"/>
                <w:szCs w:val="18"/>
              </w:rPr>
              <w:t xml:space="preserve"> </w:t>
            </w:r>
          </w:p>
          <w:p w14:paraId="68A0C166" w14:textId="77777777" w:rsidR="00676835" w:rsidRDefault="00000000">
            <w:pPr>
              <w:spacing w:after="120"/>
              <w:rPr>
                <w:sz w:val="18"/>
                <w:szCs w:val="18"/>
              </w:rPr>
            </w:pPr>
            <w:r>
              <w:rPr>
                <w:b/>
                <w:sz w:val="18"/>
                <w:szCs w:val="18"/>
              </w:rPr>
              <w:t xml:space="preserve">Are KPMP biopsies all clinically indicated biopsies? </w:t>
            </w:r>
            <w:r>
              <w:rPr>
                <w:sz w:val="18"/>
                <w:szCs w:val="18"/>
              </w:rPr>
              <w:t>Not necessarily, and not usually, but they can be. KPMP attempts to obtain three cores. One core is retained for clinical diagnostics. Two cores are saved for additional research.</w:t>
            </w:r>
          </w:p>
          <w:p w14:paraId="7A284788" w14:textId="77777777" w:rsidR="00676835" w:rsidRDefault="00000000">
            <w:pPr>
              <w:spacing w:after="120"/>
              <w:rPr>
                <w:sz w:val="18"/>
                <w:szCs w:val="18"/>
              </w:rPr>
            </w:pPr>
            <w:r>
              <w:rPr>
                <w:b/>
                <w:sz w:val="18"/>
                <w:szCs w:val="18"/>
              </w:rPr>
              <w:t xml:space="preserve">Will my patient still get a biopsy report from my pathologist? </w:t>
            </w:r>
            <w:r>
              <w:rPr>
                <w:sz w:val="18"/>
                <w:szCs w:val="18"/>
              </w:rPr>
              <w:t>Yes. The clinical pathology report will be the same as for other clinically indicated biopsies.</w:t>
            </w:r>
          </w:p>
          <w:p w14:paraId="764D38AB" w14:textId="77777777" w:rsidR="00676835" w:rsidRDefault="00000000">
            <w:pPr>
              <w:spacing w:after="120"/>
              <w:rPr>
                <w:sz w:val="18"/>
                <w:szCs w:val="18"/>
              </w:rPr>
            </w:pPr>
            <w:r>
              <w:rPr>
                <w:b/>
                <w:sz w:val="18"/>
                <w:szCs w:val="18"/>
              </w:rPr>
              <w:t xml:space="preserve">Can I refer a patient I would not consider for a clinically indicated biopsy, just by meeting inclusion criteria? </w:t>
            </w:r>
            <w:r>
              <w:rPr>
                <w:sz w:val="18"/>
                <w:szCs w:val="18"/>
              </w:rPr>
              <w:t>Yes!</w:t>
            </w:r>
          </w:p>
          <w:p w14:paraId="0B83F987" w14:textId="77777777" w:rsidR="00676835" w:rsidRDefault="00000000">
            <w:pPr>
              <w:spacing w:after="120"/>
              <w:rPr>
                <w:sz w:val="18"/>
                <w:szCs w:val="18"/>
              </w:rPr>
            </w:pPr>
            <w:r>
              <w:rPr>
                <w:b/>
                <w:sz w:val="18"/>
                <w:szCs w:val="18"/>
              </w:rPr>
              <w:t xml:space="preserve">Will my patient be charged by the insurance for participating in the study, or complications related to the biopsy? </w:t>
            </w:r>
            <w:r>
              <w:rPr>
                <w:sz w:val="18"/>
                <w:szCs w:val="18"/>
              </w:rPr>
              <w:t>No.</w:t>
            </w:r>
          </w:p>
          <w:p w14:paraId="610857D4" w14:textId="77777777" w:rsidR="00676835" w:rsidRDefault="00000000">
            <w:pPr>
              <w:spacing w:after="120"/>
              <w:rPr>
                <w:sz w:val="18"/>
                <w:szCs w:val="18"/>
              </w:rPr>
            </w:pPr>
            <w:r>
              <w:rPr>
                <w:b/>
                <w:sz w:val="18"/>
                <w:szCs w:val="18"/>
              </w:rPr>
              <w:t xml:space="preserve">Who will have access to the molecular data? </w:t>
            </w:r>
            <w:r>
              <w:rPr>
                <w:sz w:val="18"/>
                <w:szCs w:val="18"/>
              </w:rPr>
              <w:t>KPMP data are freely shared with the scientific community, with some provisions related to identifiable genetic information.</w:t>
            </w:r>
          </w:p>
        </w:tc>
      </w:tr>
      <w:tr w:rsidR="00676835" w14:paraId="25F4B824" w14:textId="77777777">
        <w:trPr>
          <w:trHeight w:val="1880"/>
        </w:trPr>
        <w:tc>
          <w:tcPr>
            <w:tcW w:w="2108" w:type="dxa"/>
            <w:tcMar>
              <w:top w:w="144" w:type="dxa"/>
              <w:left w:w="144" w:type="dxa"/>
              <w:bottom w:w="144" w:type="dxa"/>
              <w:right w:w="144" w:type="dxa"/>
            </w:tcMar>
          </w:tcPr>
          <w:p w14:paraId="5D365A5B" w14:textId="77777777" w:rsidR="00676835" w:rsidRDefault="00000000">
            <w:pPr>
              <w:jc w:val="right"/>
              <w:rPr>
                <w:rFonts w:ascii="BenchNine" w:eastAsia="BenchNine" w:hAnsi="BenchNine" w:cs="BenchNine"/>
                <w:b/>
                <w:color w:val="FFFFFF"/>
                <w:sz w:val="32"/>
                <w:szCs w:val="32"/>
              </w:rPr>
            </w:pPr>
            <w:r>
              <w:rPr>
                <w:rFonts w:ascii="BenchNine" w:eastAsia="BenchNine" w:hAnsi="BenchNine" w:cs="BenchNine"/>
                <w:b/>
                <w:color w:val="FFFFFF"/>
                <w:sz w:val="32"/>
                <w:szCs w:val="32"/>
              </w:rPr>
              <w:lastRenderedPageBreak/>
              <w:t>Contact</w:t>
            </w:r>
          </w:p>
        </w:tc>
        <w:tc>
          <w:tcPr>
            <w:tcW w:w="9110" w:type="dxa"/>
            <w:tcMar>
              <w:top w:w="144" w:type="dxa"/>
              <w:left w:w="360" w:type="dxa"/>
              <w:bottom w:w="144" w:type="dxa"/>
              <w:right w:w="144" w:type="dxa"/>
            </w:tcMar>
          </w:tcPr>
          <w:p w14:paraId="09353592" w14:textId="77777777" w:rsidR="00676835" w:rsidRDefault="00000000">
            <w:pPr>
              <w:spacing w:after="120"/>
              <w:rPr>
                <w:b/>
                <w:sz w:val="18"/>
                <w:szCs w:val="18"/>
              </w:rPr>
            </w:pPr>
            <w:r>
              <w:rPr>
                <w:sz w:val="18"/>
                <w:szCs w:val="18"/>
              </w:rPr>
              <w:t>For more information, go to:</w:t>
            </w:r>
            <w:r>
              <w:rPr>
                <w:b/>
                <w:sz w:val="18"/>
                <w:szCs w:val="18"/>
              </w:rPr>
              <w:t xml:space="preserve"> </w:t>
            </w:r>
            <w:hyperlink r:id="rId8">
              <w:r>
                <w:rPr>
                  <w:b/>
                  <w:color w:val="0000FF"/>
                  <w:sz w:val="18"/>
                  <w:szCs w:val="18"/>
                  <w:u w:val="single"/>
                </w:rPr>
                <w:t>https://www.kpmp.org/for-clinicians</w:t>
              </w:r>
            </w:hyperlink>
            <w:r>
              <w:rPr>
                <w:b/>
                <w:sz w:val="18"/>
                <w:szCs w:val="18"/>
              </w:rPr>
              <w:t xml:space="preserve">  </w:t>
            </w:r>
          </w:p>
          <w:p w14:paraId="5954D3B7" w14:textId="77777777" w:rsidR="00676835" w:rsidRDefault="00000000">
            <w:pPr>
              <w:spacing w:after="120"/>
              <w:rPr>
                <w:b/>
                <w:sz w:val="18"/>
                <w:szCs w:val="18"/>
              </w:rPr>
            </w:pPr>
            <w:r>
              <w:rPr>
                <w:b/>
                <w:sz w:val="18"/>
                <w:szCs w:val="18"/>
              </w:rPr>
              <w:t>If you have a potential candidate for study enrollment, please contact:</w:t>
            </w:r>
          </w:p>
          <w:p w14:paraId="264AFDBB" w14:textId="77777777" w:rsidR="00676835" w:rsidRDefault="00000000">
            <w:pPr>
              <w:spacing w:after="120"/>
              <w:rPr>
                <w:b/>
                <w:sz w:val="18"/>
                <w:szCs w:val="18"/>
              </w:rPr>
            </w:pPr>
            <w:r>
              <w:rPr>
                <w:b/>
                <w:sz w:val="18"/>
                <w:szCs w:val="18"/>
              </w:rPr>
              <w:t>Name</w:t>
            </w:r>
            <w:r>
              <w:rPr>
                <w:b/>
                <w:sz w:val="18"/>
                <w:szCs w:val="18"/>
              </w:rPr>
              <w:br/>
            </w:r>
            <w:r>
              <w:rPr>
                <w:sz w:val="18"/>
                <w:szCs w:val="18"/>
              </w:rPr>
              <w:t>Title</w:t>
            </w:r>
            <w:r>
              <w:rPr>
                <w:sz w:val="18"/>
                <w:szCs w:val="18"/>
              </w:rPr>
              <w:br/>
            </w:r>
            <w:hyperlink r:id="rId9">
              <w:r>
                <w:rPr>
                  <w:color w:val="0000FF"/>
                  <w:sz w:val="18"/>
                  <w:szCs w:val="18"/>
                  <w:u w:val="single"/>
                </w:rPr>
                <w:t>name@email.com</w:t>
              </w:r>
            </w:hyperlink>
            <w:r>
              <w:rPr>
                <w:sz w:val="18"/>
                <w:szCs w:val="18"/>
              </w:rPr>
              <w:br/>
              <w:t>phone</w:t>
            </w:r>
          </w:p>
        </w:tc>
      </w:tr>
    </w:tbl>
    <w:p w14:paraId="38490250" w14:textId="77777777" w:rsidR="00676835" w:rsidRDefault="00676835">
      <w:pPr>
        <w:spacing w:after="60" w:line="240" w:lineRule="auto"/>
        <w:ind w:left="1440" w:hanging="1440"/>
        <w:rPr>
          <w:b/>
          <w:sz w:val="10"/>
          <w:szCs w:val="10"/>
        </w:rPr>
      </w:pPr>
    </w:p>
    <w:p w14:paraId="2BD28C34" w14:textId="77777777" w:rsidR="00C13A2A" w:rsidRPr="00C13A2A" w:rsidRDefault="00C13A2A" w:rsidP="00C13A2A">
      <w:pPr>
        <w:rPr>
          <w:sz w:val="10"/>
          <w:szCs w:val="10"/>
        </w:rPr>
      </w:pPr>
    </w:p>
    <w:p w14:paraId="4B486A2C" w14:textId="77777777" w:rsidR="00C13A2A" w:rsidRPr="00C13A2A" w:rsidRDefault="00C13A2A" w:rsidP="00C13A2A">
      <w:pPr>
        <w:rPr>
          <w:sz w:val="10"/>
          <w:szCs w:val="10"/>
        </w:rPr>
      </w:pPr>
    </w:p>
    <w:p w14:paraId="7C1157F8" w14:textId="77777777" w:rsidR="00C13A2A" w:rsidRPr="00C13A2A" w:rsidRDefault="00C13A2A" w:rsidP="00C13A2A">
      <w:pPr>
        <w:rPr>
          <w:sz w:val="10"/>
          <w:szCs w:val="10"/>
        </w:rPr>
      </w:pPr>
    </w:p>
    <w:p w14:paraId="0BAB45B6" w14:textId="77777777" w:rsidR="00C13A2A" w:rsidRPr="00C13A2A" w:rsidRDefault="00C13A2A" w:rsidP="00C13A2A">
      <w:pPr>
        <w:rPr>
          <w:sz w:val="10"/>
          <w:szCs w:val="10"/>
        </w:rPr>
      </w:pPr>
    </w:p>
    <w:p w14:paraId="7E9054CF" w14:textId="77777777" w:rsidR="00C13A2A" w:rsidRPr="00C13A2A" w:rsidRDefault="00C13A2A" w:rsidP="00C13A2A">
      <w:pPr>
        <w:rPr>
          <w:sz w:val="10"/>
          <w:szCs w:val="10"/>
        </w:rPr>
      </w:pPr>
    </w:p>
    <w:p w14:paraId="1BD4EA1A" w14:textId="77777777" w:rsidR="00C13A2A" w:rsidRPr="00C13A2A" w:rsidRDefault="00C13A2A" w:rsidP="00C13A2A">
      <w:pPr>
        <w:rPr>
          <w:sz w:val="10"/>
          <w:szCs w:val="10"/>
        </w:rPr>
      </w:pPr>
    </w:p>
    <w:p w14:paraId="0989C355" w14:textId="77777777" w:rsidR="00C13A2A" w:rsidRPr="00C13A2A" w:rsidRDefault="00C13A2A" w:rsidP="00C13A2A">
      <w:pPr>
        <w:rPr>
          <w:sz w:val="10"/>
          <w:szCs w:val="10"/>
        </w:rPr>
      </w:pPr>
    </w:p>
    <w:p w14:paraId="6A7DAFB1" w14:textId="77777777" w:rsidR="00C13A2A" w:rsidRPr="00C13A2A" w:rsidRDefault="00C13A2A" w:rsidP="00C13A2A">
      <w:pPr>
        <w:rPr>
          <w:sz w:val="10"/>
          <w:szCs w:val="10"/>
        </w:rPr>
      </w:pPr>
    </w:p>
    <w:p w14:paraId="4C589185" w14:textId="77777777" w:rsidR="00C13A2A" w:rsidRPr="00C13A2A" w:rsidRDefault="00C13A2A" w:rsidP="00C13A2A">
      <w:pPr>
        <w:rPr>
          <w:sz w:val="10"/>
          <w:szCs w:val="10"/>
        </w:rPr>
      </w:pPr>
    </w:p>
    <w:p w14:paraId="58B240A6" w14:textId="77777777" w:rsidR="00C13A2A" w:rsidRDefault="00C13A2A" w:rsidP="00C13A2A">
      <w:pPr>
        <w:rPr>
          <w:b/>
          <w:sz w:val="10"/>
          <w:szCs w:val="10"/>
        </w:rPr>
      </w:pPr>
    </w:p>
    <w:p w14:paraId="0FF5DF57" w14:textId="6685BB95" w:rsidR="00C13A2A" w:rsidRPr="00C13A2A" w:rsidRDefault="00C13A2A" w:rsidP="00C13A2A">
      <w:pPr>
        <w:tabs>
          <w:tab w:val="left" w:pos="4663"/>
        </w:tabs>
        <w:rPr>
          <w:sz w:val="10"/>
          <w:szCs w:val="10"/>
        </w:rPr>
      </w:pPr>
      <w:r>
        <w:rPr>
          <w:sz w:val="10"/>
          <w:szCs w:val="10"/>
        </w:rPr>
        <w:tab/>
      </w:r>
    </w:p>
    <w:sectPr w:rsidR="00C13A2A" w:rsidRPr="00C13A2A">
      <w:headerReference w:type="default" r:id="rId10"/>
      <w:footerReference w:type="default" r:id="rId11"/>
      <w:pgSz w:w="12240" w:h="15840"/>
      <w:pgMar w:top="415" w:right="720" w:bottom="720" w:left="720" w:header="36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FA9E0" w14:textId="77777777" w:rsidR="00E841B0" w:rsidRDefault="00E841B0">
      <w:pPr>
        <w:spacing w:after="0" w:line="240" w:lineRule="auto"/>
      </w:pPr>
      <w:r>
        <w:separator/>
      </w:r>
    </w:p>
  </w:endnote>
  <w:endnote w:type="continuationSeparator" w:id="0">
    <w:p w14:paraId="7315EB2D" w14:textId="77777777" w:rsidR="00E841B0" w:rsidRDefault="00E8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2040504020204"/>
    <w:charset w:val="00"/>
    <w:family w:val="swiss"/>
    <w:pitch w:val="variable"/>
    <w:sig w:usb0="E00002FF" w:usb1="4000001F" w:usb2="08000029" w:usb3="00000000" w:csb0="00000001" w:csb1="00000000"/>
    <w:embedRegular r:id="rId1" w:fontKey="{C244E0EE-0C95-2F4E-97D3-E557D1ECA1D7}"/>
  </w:font>
  <w:font w:name="Courier New">
    <w:panose1 w:val="02070309020205020404"/>
    <w:charset w:val="00"/>
    <w:family w:val="modern"/>
    <w:pitch w:val="fixed"/>
    <w:sig w:usb0="E0002AFF" w:usb1="C0007843" w:usb2="00000009" w:usb3="00000000" w:csb0="000001FF" w:csb1="00000000"/>
    <w:embedRegular r:id="rId2" w:fontKey="{8E2906FA-1AC6-1F40-AAD9-E574B20F49F2}"/>
  </w:font>
  <w:font w:name="Calibri">
    <w:panose1 w:val="020F0502020204030204"/>
    <w:charset w:val="00"/>
    <w:family w:val="swiss"/>
    <w:pitch w:val="variable"/>
    <w:sig w:usb0="E0002AFF" w:usb1="C000247B" w:usb2="00000009" w:usb3="00000000" w:csb0="000001FF" w:csb1="00000000"/>
    <w:embedRegular r:id="rId3" w:fontKey="{0B2AEAA4-B4A1-834E-A01B-0B7FBE9DAB4F}"/>
    <w:embedBold r:id="rId4" w:fontKey="{0072973A-3F9D-3C42-B109-CDD3FBE8849F}"/>
  </w:font>
  <w:font w:name="Times New Roman">
    <w:panose1 w:val="02020603050405020304"/>
    <w:charset w:val="00"/>
    <w:family w:val="roman"/>
    <w:pitch w:val="variable"/>
    <w:sig w:usb0="E0002EFF" w:usb1="C000785B" w:usb2="00000009" w:usb3="00000000" w:csb0="000001FF" w:csb1="00000000"/>
    <w:embedRegular r:id="rId5" w:fontKey="{2C86514A-237F-1D48-9070-AEE95FD25AF7}"/>
  </w:font>
  <w:font w:name="Georgia">
    <w:panose1 w:val="02040502050405020303"/>
    <w:charset w:val="00"/>
    <w:family w:val="roman"/>
    <w:pitch w:val="variable"/>
    <w:sig w:usb0="00000287" w:usb1="00000000" w:usb2="00000000" w:usb3="00000000" w:csb0="0000009F" w:csb1="00000000"/>
    <w:embedRegular r:id="rId6" w:fontKey="{D439A5F4-F7BB-3F49-B8B0-426E6B08569F}"/>
    <w:embedItalic r:id="rId7" w:fontKey="{CB363AB9-CAAE-694A-A7EC-12E526A80E04}"/>
  </w:font>
  <w:font w:name="Arial">
    <w:panose1 w:val="020B0604020202020204"/>
    <w:charset w:val="00"/>
    <w:family w:val="swiss"/>
    <w:pitch w:val="variable"/>
    <w:sig w:usb0="E0002EFF" w:usb1="C000785B" w:usb2="00000009" w:usb3="00000000" w:csb0="000001FF" w:csb1="00000000"/>
    <w:embedRegular r:id="rId8" w:fontKey="{E49B9A3C-0109-6349-9162-C83FAD0854FB}"/>
  </w:font>
  <w:font w:name="BenchNine">
    <w:panose1 w:val="020B0604020202020204"/>
    <w:charset w:val="00"/>
    <w:family w:val="auto"/>
    <w:pitch w:val="variable"/>
    <w:sig w:usb0="A00000EF" w:usb1="4000204A" w:usb2="00000000" w:usb3="00000000" w:csb0="00000093" w:csb1="00000000"/>
    <w:embedRegular r:id="rId9" w:fontKey="{169A70FE-0308-BB45-9C3E-3D486739067D}"/>
    <w:embedBold r:id="rId10" w:fontKey="{20640972-862C-8641-99DC-83D8DAAFE8DE}"/>
  </w:font>
  <w:font w:name="Cambria">
    <w:panose1 w:val="02040503050406030204"/>
    <w:charset w:val="00"/>
    <w:family w:val="roman"/>
    <w:pitch w:val="variable"/>
    <w:sig w:usb0="E00006FF" w:usb1="420024FF" w:usb2="02000000" w:usb3="00000000" w:csb0="0000019F" w:csb1="00000000"/>
    <w:embedRegular r:id="rId11" w:fontKey="{8C9396E2-04A6-1542-8EC1-7D742537E9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A921" w14:textId="77777777" w:rsidR="00676835"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1312" behindDoc="1" locked="0" layoutInCell="1" hidden="0" allowOverlap="1" wp14:anchorId="3FFDCAC8" wp14:editId="0659394B">
          <wp:simplePos x="0" y="0"/>
          <wp:positionH relativeFrom="column">
            <wp:posOffset>-470262</wp:posOffset>
          </wp:positionH>
          <wp:positionV relativeFrom="paragraph">
            <wp:posOffset>-123098</wp:posOffset>
          </wp:positionV>
          <wp:extent cx="7830511" cy="1054853"/>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30511" cy="105485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F0D61" w14:textId="77777777" w:rsidR="00E841B0" w:rsidRDefault="00E841B0">
      <w:pPr>
        <w:spacing w:after="0" w:line="240" w:lineRule="auto"/>
      </w:pPr>
      <w:r>
        <w:separator/>
      </w:r>
    </w:p>
  </w:footnote>
  <w:footnote w:type="continuationSeparator" w:id="0">
    <w:p w14:paraId="2398A5DD" w14:textId="77777777" w:rsidR="00E841B0" w:rsidRDefault="00E84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BDF6" w14:textId="77777777" w:rsidR="00676835" w:rsidRDefault="00000000">
    <w:pPr>
      <w:spacing w:line="240" w:lineRule="auto"/>
      <w:ind w:left="1890"/>
      <w:jc w:val="center"/>
    </w:pPr>
    <w:r>
      <w:rPr>
        <w:rFonts w:ascii="BenchNine" w:eastAsia="BenchNine" w:hAnsi="BenchNine" w:cs="BenchNine"/>
        <w:color w:val="233A5A"/>
        <w:sz w:val="40"/>
        <w:szCs w:val="40"/>
      </w:rPr>
      <w:t>The Kidney Precision Medicine Project for Clinicians with AKI Patients</w:t>
    </w:r>
    <w:r>
      <w:rPr>
        <w:noProof/>
      </w:rPr>
      <mc:AlternateContent>
        <mc:Choice Requires="wps">
          <w:drawing>
            <wp:anchor distT="0" distB="0" distL="0" distR="0" simplePos="0" relativeHeight="251658240" behindDoc="1" locked="0" layoutInCell="1" hidden="0" allowOverlap="1" wp14:anchorId="1DBFAB21" wp14:editId="5D14D074">
              <wp:simplePos x="0" y="0"/>
              <wp:positionH relativeFrom="column">
                <wp:posOffset>-457199</wp:posOffset>
              </wp:positionH>
              <wp:positionV relativeFrom="paragraph">
                <wp:posOffset>-317499</wp:posOffset>
              </wp:positionV>
              <wp:extent cx="7781892" cy="10175925"/>
              <wp:effectExtent l="0" t="0" r="0" b="0"/>
              <wp:wrapNone/>
              <wp:docPr id="2" name="Rectangle 2"/>
              <wp:cNvGraphicFramePr/>
              <a:graphic xmlns:a="http://schemas.openxmlformats.org/drawingml/2006/main">
                <a:graphicData uri="http://schemas.microsoft.com/office/word/2010/wordprocessingShape">
                  <wps:wsp>
                    <wps:cNvSpPr/>
                    <wps:spPr>
                      <a:xfrm>
                        <a:off x="1459817" y="0"/>
                        <a:ext cx="7772367" cy="7560000"/>
                      </a:xfrm>
                      <a:prstGeom prst="rect">
                        <a:avLst/>
                      </a:prstGeom>
                      <a:gradFill>
                        <a:gsLst>
                          <a:gs pos="0">
                            <a:schemeClr val="lt1"/>
                          </a:gs>
                          <a:gs pos="51000">
                            <a:schemeClr val="lt1"/>
                          </a:gs>
                          <a:gs pos="73000">
                            <a:srgbClr val="ECEDED"/>
                          </a:gs>
                          <a:gs pos="91000">
                            <a:srgbClr val="DDDCD9"/>
                          </a:gs>
                          <a:gs pos="100000">
                            <a:srgbClr val="DBDBD6"/>
                          </a:gs>
                        </a:gsLst>
                        <a:path path="circle">
                          <a:fillToRect t="100000" r="100000"/>
                        </a:path>
                        <a:tileRect l="-100000" b="-100000"/>
                      </a:gradFill>
                      <a:ln>
                        <a:noFill/>
                      </a:ln>
                    </wps:spPr>
                    <wps:txbx>
                      <w:txbxContent>
                        <w:p w14:paraId="27F7B589" w14:textId="77777777" w:rsidR="00676835" w:rsidRDefault="006768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BFAB21" id="Rectangle 2" o:spid="_x0000_s1026" style="position:absolute;left:0;text-align:left;margin-left:-36pt;margin-top:-25pt;width:612.75pt;height:801.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w0FOgIAANYEAAAOAAAAZHJzL2Uyb0RvYy54bWysVM1u2zAMvg/YOwi6N7bTJm6MOMUaJ8OA&#13;&#10;ogvW7gEUWf4BZEmTlNh9+1Gy43hbD8OwHBRS5EeRH0mvH7qGozPTppYixdEsxIgJKvNalCn+/rq/&#13;&#10;ucfIWCJywqVgKX5jBj9sPn5Ytyphc1lJnjONIIgwSatSXFmrkiAwtGINMTOpmABjIXVDLKi6DHJN&#13;&#10;Woje8GAehsuglTpXWlJmDNxmvRFvfPyiYNR+LQrDLOIphtysP7U/j+4MNmuSlJqoqqZDGuQfsmhI&#13;&#10;LeDRMVRGLEEnXf8RqqmplkYWdkZlE8iiqCnzNUA1UfhbNS8VUczXAuQYNdJk/l9Y+nx+UQcNNLTK&#13;&#10;JAZEV0VX6Mb9Q36og7beLVb3UYzR20gZ6yyiYIrjeH67BBMFW7xYhvBzpAbXIEob+5nJBjkhxRp6&#13;&#10;4qki5ydje9eLy8Bgvq8597IBl15ASkLZoUf66WBbrtGZQF+5jYYnSzN1XkQuGXfzl4D4dgTo8jjG&#13;&#10;32132S5794nV9YkpIsuybbZ6F+EAl6x+gTxmj9lyAgEGy0v5itgKuSPFtNaUu6EgSQEsvcpvwKeb&#13;&#10;6yEwguEexIFbgDlvW3PmfYGxm4sz7MBF7r1hFUb2uXA4IV03equ7Ca6D4iTbHTswOvEo87eDRkbR&#13;&#10;fQ2tfiLGHoiGdYowamHFUmx+nIhmGPEvApq5iu7mC9jJqaKnynGqEEErCcVRqzHqla0Fve+wkJ9O&#13;&#10;Vha1H6hrMkO6sDx+JIdFd9s51b3X9XO0+QkAAP//AwBQSwMEFAAGAAgAAAAhAHOlj0PlAAAAEgEA&#13;&#10;AA8AAABkcnMvZG93bnJldi54bWxMj0FPwzAMhe9I/IfISNy2tIUM1DWdJqaJAxLSBhLXrDFtoXGq&#13;&#10;Jls7fj3eCS7WZ9l+fq9YTa4TJxxC60lDOk9AIFXetlRreH/bzh5BhGjIms4TajhjgFV5fVWY3PqR&#13;&#10;dnjax1qwCIXcaGhi7HMpQ9WgM2HueySeffrBmcjtUEs7mJHFXSezJFlIZ1riD43p8anB6nt/dBrq&#13;&#10;1/sXT+HrY/t83kzZuEjbn3Wn9e3NtFlyWS9BRJzi3wVcMrB/KNnYwR/JBtFpmD1kHCgyqIThspGq&#13;&#10;OwXiwKRUpkCWhfwfpfwFAAD//wMAUEsBAi0AFAAGAAgAAAAhALaDOJL+AAAA4QEAABMAAAAAAAAA&#13;&#10;AAAAAAAAAAAAAFtDb250ZW50X1R5cGVzXS54bWxQSwECLQAUAAYACAAAACEAOP0h/9YAAACUAQAA&#13;&#10;CwAAAAAAAAAAAAAAAAAvAQAAX3JlbHMvLnJlbHNQSwECLQAUAAYACAAAACEAYusNBToCAADWBAAA&#13;&#10;DgAAAAAAAAAAAAAAAAAuAgAAZHJzL2Uyb0RvYy54bWxQSwECLQAUAAYACAAAACEAc6WPQ+UAAAAS&#13;&#10;AQAADwAAAAAAAAAAAAAAAACUBAAAZHJzL2Rvd25yZXYueG1sUEsFBgAAAAAEAAQA8wAAAKYFAAAA&#13;&#10;AA==&#13;&#10;" fillcolor="white [3201]" stroked="f">
              <v:fill color2="#dbdbd6" focusposition=",1" focussize="" colors="0 white;33423f white;47841f #eceded;59638f #dddcd9;1 #dbdbd6" focus="100%" type="gradientRadial"/>
              <v:textbox inset="2.53958mm,2.53958mm,2.53958mm,2.53958mm">
                <w:txbxContent>
                  <w:p w14:paraId="27F7B589" w14:textId="77777777" w:rsidR="00676835" w:rsidRDefault="00676835">
                    <w:pPr>
                      <w:spacing w:after="0" w:line="240" w:lineRule="auto"/>
                      <w:textDirection w:val="btL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028DDD38" wp14:editId="176C501D">
              <wp:simplePos x="0" y="0"/>
              <wp:positionH relativeFrom="column">
                <wp:posOffset>-457199</wp:posOffset>
              </wp:positionH>
              <wp:positionV relativeFrom="paragraph">
                <wp:posOffset>-215899</wp:posOffset>
              </wp:positionV>
              <wp:extent cx="1668145" cy="10078720"/>
              <wp:effectExtent l="0" t="0" r="0" b="0"/>
              <wp:wrapNone/>
              <wp:docPr id="1" name="Rectangle 1"/>
              <wp:cNvGraphicFramePr/>
              <a:graphic xmlns:a="http://schemas.openxmlformats.org/drawingml/2006/main">
                <a:graphicData uri="http://schemas.microsoft.com/office/word/2010/wordprocessingShape">
                  <wps:wsp>
                    <wps:cNvSpPr/>
                    <wps:spPr>
                      <a:xfrm>
                        <a:off x="4516690" y="0"/>
                        <a:ext cx="1658620" cy="7560000"/>
                      </a:xfrm>
                      <a:prstGeom prst="rect">
                        <a:avLst/>
                      </a:prstGeom>
                      <a:solidFill>
                        <a:srgbClr val="00355E"/>
                      </a:solidFill>
                      <a:ln>
                        <a:noFill/>
                      </a:ln>
                    </wps:spPr>
                    <wps:txbx>
                      <w:txbxContent>
                        <w:p w14:paraId="32AF870F" w14:textId="77777777" w:rsidR="00676835" w:rsidRDefault="006768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8DDD38" id="Rectangle 1" o:spid="_x0000_s1027" style="position:absolute;left:0;text-align:left;margin-left:-36pt;margin-top:-17pt;width:131.35pt;height:793.6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eEiyQEAAIcDAAAOAAAAZHJzL2Uyb0RvYy54bWysU8GO2yAQvVfqPyDuje107e5acVbVblNV&#13;&#10;WnUjbfsBGEOMhIEOJHb+vgNOk7R7W9UHzGPGjzdvxqv7adDkIMAraxpaLHJKhOG2U2bX0J8/Nh9u&#13;&#10;KfGBmY5pa0RDj8LT+/X7d6vR1WJpe6s7AQRJjK9H19A+BFdnmee9GJhfWCcMBqWFgQWEsMs6YCOy&#13;&#10;Dzpb5nmVjRY6B5YL7/H0cQ7SdeKXUvDwLKUXgeiGoraQVkhrG9dsvWL1DpjrFT/JYG9QMTBl8NIz&#13;&#10;1SMLjOxBvaIaFAfrrQwLbofMSqm4SDVgNUX+TzUvPXMi1YLmeHe2yf8/Wv798OK2gDaMztcet7GK&#13;&#10;ScIQ36iPTA29KYuqukP7jmfLxBQIx1BRlbfVEkMcY5/KKscnmppdSBz48FXYgcRNQwF7kqxihycf&#13;&#10;5tQ/KfFOb7XqNkrrBGDXPmggBxb7l38syy8n9r/StInJxsbPZsZ4kl1KirswtRNRHWqOFPGktd1x&#13;&#10;C8Q7vlGo7Yn5sGWA/S8oGXEmGup/7RkISvQ3g6bfFTfLEofoGsA1aK8BM7y3OGo8ACUzeAhp9Gax&#13;&#10;n/fBSpUcuIg5qcZuJw9PkxnH6RqnrMv/s/4NAAD//wMAUEsDBBQABgAIAAAAIQC8Jcl25AAAABEB&#13;&#10;AAAPAAAAZHJzL2Rvd25yZXYueG1sTE9NT8MwDL0j8R8iI3Hb0nZ0g67phJg4ssHgwG5pY9qKxqma&#13;&#10;bCv8+nknuFjPevb7yFej7cQRB986UhBPIxBIlTMt1Qo+3p8n9yB80GR05wgV/KCHVXF9levMuBO9&#13;&#10;4XEXasEi5DOtoAmhz6T0VYNW+6nrkZj7coPVgdehlmbQJxa3nUyiaC6tbokdGt3jU4PV9+5g2SR+&#13;&#10;2W7X+9/PNpmXr7FP9+Vmkyp1ezOulzwelyACjuHvAy4dOD8UHKx0BzJedAomi4QLBQazOwaXi4do&#13;&#10;AaJkkKazBGSRy/9NijMAAAD//wMAUEsBAi0AFAAGAAgAAAAhALaDOJL+AAAA4QEAABMAAAAAAAAA&#13;&#10;AAAAAAAAAAAAAFtDb250ZW50X1R5cGVzXS54bWxQSwECLQAUAAYACAAAACEAOP0h/9YAAACUAQAA&#13;&#10;CwAAAAAAAAAAAAAAAAAvAQAAX3JlbHMvLnJlbHNQSwECLQAUAAYACAAAACEAnb3hIskBAACHAwAA&#13;&#10;DgAAAAAAAAAAAAAAAAAuAgAAZHJzL2Uyb0RvYy54bWxQSwECLQAUAAYACAAAACEAvCXJduQAAAAR&#13;&#10;AQAADwAAAAAAAAAAAAAAAAAjBAAAZHJzL2Rvd25yZXYueG1sUEsFBgAAAAAEAAQA8wAAADQFAAAA&#13;&#10;AA==&#13;&#10;" fillcolor="#00355e" stroked="f">
              <v:textbox inset="2.53958mm,2.53958mm,2.53958mm,2.53958mm">
                <w:txbxContent>
                  <w:p w14:paraId="32AF870F" w14:textId="77777777" w:rsidR="00676835" w:rsidRDefault="00676835">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314A26CE" wp14:editId="04BF7525">
          <wp:simplePos x="0" y="0"/>
          <wp:positionH relativeFrom="column">
            <wp:posOffset>-91439</wp:posOffset>
          </wp:positionH>
          <wp:positionV relativeFrom="paragraph">
            <wp:posOffset>0</wp:posOffset>
          </wp:positionV>
          <wp:extent cx="1070610" cy="457200"/>
          <wp:effectExtent l="0" t="0" r="0" b="0"/>
          <wp:wrapNone/>
          <wp:docPr id="4" name="image1.png" descr="A picture containing text, tableware, clipart, dishw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tableware, clipart, dishware&#10;&#10;Description automatically generated"/>
                  <pic:cNvPicPr preferRelativeResize="0"/>
                </pic:nvPicPr>
                <pic:blipFill>
                  <a:blip r:embed="rId1"/>
                  <a:srcRect/>
                  <a:stretch>
                    <a:fillRect/>
                  </a:stretch>
                </pic:blipFill>
                <pic:spPr>
                  <a:xfrm>
                    <a:off x="0" y="0"/>
                    <a:ext cx="1070610" cy="45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67687"/>
    <w:multiLevelType w:val="multilevel"/>
    <w:tmpl w:val="B0D09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50E5477"/>
    <w:multiLevelType w:val="multilevel"/>
    <w:tmpl w:val="5C129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4E05BE"/>
    <w:multiLevelType w:val="multilevel"/>
    <w:tmpl w:val="E18EC0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12946508">
    <w:abstractNumId w:val="1"/>
  </w:num>
  <w:num w:numId="2" w16cid:durableId="1308244968">
    <w:abstractNumId w:val="2"/>
  </w:num>
  <w:num w:numId="3" w16cid:durableId="119990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835"/>
    <w:rsid w:val="003E5470"/>
    <w:rsid w:val="00676835"/>
    <w:rsid w:val="00C13A2A"/>
    <w:rsid w:val="00E84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DFE7E7"/>
  <w15:docId w15:val="{65F8C5C7-A591-3346-88F2-93280FC4E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570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pmp.org/for-clinician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me@e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RuP7sc39doayo14+jtL6ZMBbA==">CgMxLjA4AHIhMWxVWG9LUlFsV2pBQldDZ21VWVVUa2U0U20tY3E1T2ZL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566</Words>
  <Characters>3228</Characters>
  <Application>Microsoft Office Word</Application>
  <DocSecurity>0</DocSecurity>
  <Lines>26</Lines>
  <Paragraphs>7</Paragraphs>
  <ScaleCrop>false</ScaleCrop>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Michael</cp:lastModifiedBy>
  <cp:revision>2</cp:revision>
  <dcterms:created xsi:type="dcterms:W3CDTF">2025-07-17T12:43:00Z</dcterms:created>
  <dcterms:modified xsi:type="dcterms:W3CDTF">2025-07-17T12:51:00Z</dcterms:modified>
</cp:coreProperties>
</file>