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18" w:rsidRDefault="00680DF7" w:rsidP="00CC56C6">
      <w:pPr>
        <w:pStyle w:val="Nadpis2"/>
      </w:pPr>
      <w:bookmarkStart w:id="0" w:name="_y9vd6968ce" w:colFirst="0" w:colLast="0"/>
      <w:bookmarkEnd w:id="0"/>
      <w:r>
        <w:t xml:space="preserve">V bytové nouzi žije v Česku 62 tisíc dětí. Zlepší Zákon </w:t>
      </w:r>
      <w:r>
        <w:br/>
        <w:t>o podpoře bydlení jejich šance na školní úspěch?</w:t>
      </w:r>
    </w:p>
    <w:p w:rsidR="00D67318" w:rsidRDefault="00D67318" w:rsidP="00CC56C6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Nestabilní životní podmínky mají přímý dopad na vzdělávací šance, netýkají se přitom malého počtu dětí – v ČR žije v bytové nouzi přes 160 tisíc lidí (z toho přes 60 tisíc dětí), dalších 300 tisíc občanů ČR je ztrátou bydlení přímo ohroženo. V Senátu i pro</w:t>
      </w:r>
      <w:r>
        <w:rPr>
          <w:rFonts w:ascii="Calibri" w:eastAsia="Calibri" w:hAnsi="Calibri" w:cs="Calibri"/>
          <w:b/>
        </w:rPr>
        <w:t>to nyní čeká na schválení dlouho očekávaný Zákon o podpoře bydlení. Experti a expertky diskutovali u kulatého stolu SKAV a EDUin o negativních dopadech bytové nouze na vzdělávání dětí i o tom, zda a jak případně Zákon o podpoře bydlení vytváří podmínky pro</w:t>
      </w:r>
      <w:r>
        <w:rPr>
          <w:rFonts w:ascii="Calibri" w:eastAsia="Calibri" w:hAnsi="Calibri" w:cs="Calibri"/>
          <w:b/>
        </w:rPr>
        <w:t xml:space="preserve"> potřebné systémové řešení.</w:t>
      </w:r>
    </w:p>
    <w:p w:rsidR="00D67318" w:rsidRDefault="00D67318" w:rsidP="00CC56C6">
      <w:pPr>
        <w:jc w:val="both"/>
        <w:rPr>
          <w:rFonts w:ascii="Calibri" w:eastAsia="Calibri" w:hAnsi="Calibri" w:cs="Calibri"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 w:rsidRPr="00CC56C6">
        <w:rPr>
          <w:rFonts w:ascii="Calibri" w:eastAsia="Calibri" w:hAnsi="Calibri" w:cs="Calibri"/>
          <w:b/>
        </w:rPr>
        <w:t>Praha 2</w:t>
      </w:r>
      <w:r w:rsidR="00345A41">
        <w:rPr>
          <w:rFonts w:ascii="Calibri" w:eastAsia="Calibri" w:hAnsi="Calibri" w:cs="Calibri"/>
          <w:b/>
        </w:rPr>
        <w:t>8</w:t>
      </w:r>
      <w:bookmarkStart w:id="1" w:name="_GoBack"/>
      <w:bookmarkEnd w:id="1"/>
      <w:r w:rsidRPr="00CC56C6">
        <w:rPr>
          <w:rFonts w:ascii="Calibri" w:eastAsia="Calibri" w:hAnsi="Calibri" w:cs="Calibri"/>
          <w:b/>
        </w:rPr>
        <w:t>. dubna 2025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</w:rPr>
        <w:t xml:space="preserve"> Poslanecká sněmovna schválila na svém dubnovém jednání Zákon o podpoře bydlení, který má mimo jiné ambici přispět ke snižování nerovností ve vzdělávání a ke zvýšení šancí dětí ze sociálně znevýhodněného p</w:t>
      </w:r>
      <w:r>
        <w:rPr>
          <w:rFonts w:ascii="Calibri" w:eastAsia="Calibri" w:hAnsi="Calibri" w:cs="Calibri"/>
        </w:rPr>
        <w:t xml:space="preserve">rostředí na školní úspěch. Tématu byl věnán další z řady kulatých stolů SKAV a EDUin, tentokrát na téma </w:t>
      </w:r>
      <w:r>
        <w:rPr>
          <w:rFonts w:ascii="Calibri" w:eastAsia="Calibri" w:hAnsi="Calibri" w:cs="Calibri"/>
          <w:b/>
        </w:rPr>
        <w:t>Přinese Zákon o podpoře bydlení lepší podmínky pro vzdělávání dětí?</w:t>
      </w:r>
      <w:r>
        <w:rPr>
          <w:rFonts w:ascii="Calibri" w:eastAsia="Calibri" w:hAnsi="Calibri" w:cs="Calibri"/>
        </w:rPr>
        <w:t xml:space="preserve"> Na jeho přípravě se vedle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Stálé konference asoci</w:t>
        </w:r>
        <w:r>
          <w:rPr>
            <w:rFonts w:ascii="Calibri" w:eastAsia="Calibri" w:hAnsi="Calibri" w:cs="Calibri"/>
            <w:color w:val="1155CC"/>
            <w:u w:val="single"/>
          </w:rPr>
          <w:t>ací ve vzdělávání</w:t>
        </w:r>
      </w:hyperlink>
      <w:r>
        <w:rPr>
          <w:rFonts w:ascii="Calibri" w:eastAsia="Calibri" w:hAnsi="Calibri" w:cs="Calibri"/>
        </w:rPr>
        <w:t xml:space="preserve"> (SKAV) podílela také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iniciativa Za bydlení</w:t>
        </w:r>
      </w:hyperlink>
      <w:r>
        <w:rPr>
          <w:rFonts w:ascii="Calibri" w:eastAsia="Calibri" w:hAnsi="Calibri" w:cs="Calibri"/>
        </w:rPr>
        <w:t xml:space="preserve">,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Platforma pro sociální bydlení</w:t>
        </w:r>
      </w:hyperlink>
      <w:r>
        <w:rPr>
          <w:rFonts w:ascii="Calibri" w:eastAsia="Calibri" w:hAnsi="Calibri" w:cs="Calibri"/>
        </w:rPr>
        <w:t xml:space="preserve"> a organizace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Society</w:t>
        </w:r>
        <w:r>
          <w:rPr>
            <w:rFonts w:ascii="Calibri" w:eastAsia="Calibri" w:hAnsi="Calibri" w:cs="Calibri"/>
            <w:color w:val="1155CC"/>
            <w:u w:val="single"/>
          </w:rPr>
          <w:t xml:space="preserve"> for all</w:t>
        </w:r>
      </w:hyperlink>
      <w:r>
        <w:rPr>
          <w:rFonts w:ascii="Calibri" w:eastAsia="Calibri" w:hAnsi="Calibri" w:cs="Calibri"/>
        </w:rPr>
        <w:t xml:space="preserve"> (SOFA).</w:t>
      </w:r>
    </w:p>
    <w:p w:rsidR="00D67318" w:rsidRDefault="00D67318" w:rsidP="00CC56C6">
      <w:pPr>
        <w:jc w:val="both"/>
        <w:rPr>
          <w:rFonts w:ascii="Calibri" w:eastAsia="Calibri" w:hAnsi="Calibri" w:cs="Calibri"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Experti a expertky na vzdělávání, inkluzi a ukončování bytové nouze společně diskutovali problematiku negativních dopadů bytové nouze na vzdělávání dětí a také potřebná systémová opatření, mezi které patří i Zákon o podpoře bydlení, který</w:t>
      </w:r>
      <w:r>
        <w:rPr>
          <w:rFonts w:ascii="Calibri" w:eastAsia="Calibri" w:hAnsi="Calibri" w:cs="Calibri"/>
        </w:rPr>
        <w:t xml:space="preserve"> nyní čeká na schválení v Senátu. Experti a expertky diskutovali o negativních dopadech bytové nouze na děti, o tom, zda se daří na úrovni institucí i jednotlivých aktérů včas rozpoznat ohrožené dítě pomoci mu, i o potřebných nástrojích, které k tomu nejen</w:t>
      </w:r>
      <w:r>
        <w:rPr>
          <w:rFonts w:ascii="Calibri" w:eastAsia="Calibri" w:hAnsi="Calibri" w:cs="Calibri"/>
        </w:rPr>
        <w:t xml:space="preserve"> v rámci vzdělávacího systému potřebujeme a kde se můžeme inspirovat dobrou praxí.</w:t>
      </w:r>
    </w:p>
    <w:p w:rsidR="00D67318" w:rsidRDefault="00D67318" w:rsidP="00CC56C6">
      <w:pPr>
        <w:jc w:val="both"/>
        <w:rPr>
          <w:rFonts w:ascii="Calibri" w:eastAsia="Calibri" w:hAnsi="Calibri" w:cs="Calibri"/>
          <w:b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Záznam kulatého stolu je k dispozici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zde</w:t>
        </w:r>
      </w:hyperlink>
      <w:r>
        <w:rPr>
          <w:rFonts w:ascii="Calibri" w:eastAsia="Calibri" w:hAnsi="Calibri" w:cs="Calibri"/>
        </w:rPr>
        <w:t>.</w:t>
      </w:r>
    </w:p>
    <w:p w:rsidR="00D67318" w:rsidRDefault="00D67318" w:rsidP="00CC56C6">
      <w:pPr>
        <w:jc w:val="both"/>
        <w:rPr>
          <w:rFonts w:ascii="Calibri" w:eastAsia="Calibri" w:hAnsi="Calibri" w:cs="Calibri"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„Studie ukazují, že bytová nouze zhoršuje školní doch</w:t>
      </w:r>
      <w:r>
        <w:rPr>
          <w:rFonts w:ascii="Calibri" w:eastAsia="Calibri" w:hAnsi="Calibri" w:cs="Calibri"/>
          <w:i/>
        </w:rPr>
        <w:t xml:space="preserve">ázku, zatímco se standardním bydlením jsou naopak spojené lepší výsledky ve vzdělávání. Velmi negativní dopad na vzdělávání má také časté stěhování, které souvisí s bytovou nouzí. V bytové nouzi se dnes nachází podle poslední </w:t>
      </w:r>
      <w:hyperlink r:id="rId11">
        <w:r>
          <w:rPr>
            <w:rFonts w:ascii="Calibri" w:eastAsia="Calibri" w:hAnsi="Calibri" w:cs="Calibri"/>
            <w:i/>
            <w:color w:val="1155CC"/>
            <w:u w:val="single"/>
          </w:rPr>
          <w:t>Zprávy o</w:t>
        </w:r>
        <w:r w:rsidR="00CC56C6">
          <w:rPr>
            <w:rFonts w:ascii="Calibri" w:eastAsia="Calibri" w:hAnsi="Calibri" w:cs="Calibri"/>
            <w:i/>
            <w:color w:val="1155CC"/>
            <w:u w:val="single"/>
          </w:rPr>
          <w:t> </w:t>
        </w:r>
        <w:r>
          <w:rPr>
            <w:rFonts w:ascii="Calibri" w:eastAsia="Calibri" w:hAnsi="Calibri" w:cs="Calibri"/>
            <w:i/>
            <w:color w:val="1155CC"/>
            <w:u w:val="single"/>
          </w:rPr>
          <w:t>vyloučení z bydlení</w:t>
        </w:r>
      </w:hyperlink>
      <w:r>
        <w:rPr>
          <w:rFonts w:ascii="Calibri" w:eastAsia="Calibri" w:hAnsi="Calibri" w:cs="Calibri"/>
          <w:i/>
        </w:rPr>
        <w:t xml:space="preserve"> 62 000 dětí. Dalším problémem je vylučování dětí v bytové nouzi z běžných škol. V okresech s vysokou mírou bytové nouze je až desetk</w:t>
      </w:r>
      <w:r>
        <w:rPr>
          <w:rFonts w:ascii="Calibri" w:eastAsia="Calibri" w:hAnsi="Calibri" w:cs="Calibri"/>
          <w:i/>
        </w:rPr>
        <w:t xml:space="preserve">rát vyšší výskyt diagnózy lehké mentální postižení a počet dětí, které se vzdělávají ve speciálních školách než tam, kde je bytová nouze nízká. Potřebujeme změnit systém tak, aby všechny děti měly rovné příležitosti pro vzdělávání. Nezbytným krokem, který </w:t>
      </w:r>
      <w:r>
        <w:rPr>
          <w:rFonts w:ascii="Calibri" w:eastAsia="Calibri" w:hAnsi="Calibri" w:cs="Calibri"/>
          <w:i/>
        </w:rPr>
        <w:t xml:space="preserve">nyní musí politici a političky udělat, je schválit Zákon o podpoře bydlení, který přispěje k řešení bytové nouze rodin s dětmi, a tím zvýší šance na lepší vzdělání pro sociálně znevýhodněné děti,“ </w:t>
      </w:r>
      <w:r>
        <w:rPr>
          <w:rFonts w:ascii="Calibri" w:eastAsia="Calibri" w:hAnsi="Calibri" w:cs="Calibri"/>
        </w:rPr>
        <w:t xml:space="preserve">říká </w:t>
      </w:r>
      <w:r>
        <w:rPr>
          <w:rFonts w:ascii="Calibri" w:eastAsia="Calibri" w:hAnsi="Calibri" w:cs="Calibri"/>
          <w:b/>
        </w:rPr>
        <w:t>Jan Klusáček</w:t>
      </w:r>
      <w:r>
        <w:rPr>
          <w:rFonts w:ascii="Calibri" w:eastAsia="Calibri" w:hAnsi="Calibri" w:cs="Calibri"/>
        </w:rPr>
        <w:t xml:space="preserve">, analytik Platformy pro sociální bydlení </w:t>
      </w:r>
      <w:r>
        <w:rPr>
          <w:rFonts w:ascii="Calibri" w:eastAsia="Calibri" w:hAnsi="Calibri" w:cs="Calibri"/>
        </w:rPr>
        <w:t>a autor Zprávy o vyloučení z bydlení 2024.</w:t>
      </w:r>
    </w:p>
    <w:p w:rsidR="00D67318" w:rsidRDefault="00D67318" w:rsidP="00CC56C6">
      <w:pPr>
        <w:jc w:val="both"/>
        <w:rPr>
          <w:rFonts w:ascii="Calibri" w:eastAsia="Calibri" w:hAnsi="Calibri" w:cs="Calibri"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lastRenderedPageBreak/>
        <w:t>„Data i příklady z praxe ukazují, že bytová nouze je u nás do velké míry dědičná. Děti, které se do bytové nouze narodí, mají horší přístup ke vzdělání, má to negativní vliv na jejich zdraví, bezpečí a často jsou</w:t>
      </w:r>
      <w:r>
        <w:rPr>
          <w:rFonts w:ascii="Calibri" w:eastAsia="Calibri" w:hAnsi="Calibri" w:cs="Calibri"/>
          <w:i/>
        </w:rPr>
        <w:t xml:space="preserve"> právě kvůli bytové nouzi z rodin odebírány do náhradní institucionální péče. Situace se v posledních letech nezlepšuje. Abychom prolomili reprodukční kruh chudoby a nerovností, včetně těch v oblasti vzdělávání, potřebujeme dostat z bytové nouze rodiny s d</w:t>
      </w:r>
      <w:r>
        <w:rPr>
          <w:rFonts w:ascii="Calibri" w:eastAsia="Calibri" w:hAnsi="Calibri" w:cs="Calibri"/>
          <w:i/>
        </w:rPr>
        <w:t>ětmi,“</w:t>
      </w:r>
      <w:r>
        <w:rPr>
          <w:rFonts w:ascii="Calibri" w:eastAsia="Calibri" w:hAnsi="Calibri" w:cs="Calibri"/>
        </w:rPr>
        <w:t xml:space="preserve"> vysvětluje ředitelka Platformy pro sociální bydlení </w:t>
      </w:r>
      <w:r>
        <w:rPr>
          <w:rFonts w:ascii="Calibri" w:eastAsia="Calibri" w:hAnsi="Calibri" w:cs="Calibri"/>
          <w:b/>
        </w:rPr>
        <w:t>Barbora Bírová</w:t>
      </w:r>
      <w:r>
        <w:rPr>
          <w:rFonts w:ascii="Calibri" w:eastAsia="Calibri" w:hAnsi="Calibri" w:cs="Calibri"/>
        </w:rPr>
        <w:t>.</w:t>
      </w:r>
    </w:p>
    <w:p w:rsidR="00D67318" w:rsidRDefault="00D67318" w:rsidP="00CC56C6">
      <w:pPr>
        <w:jc w:val="both"/>
        <w:rPr>
          <w:rFonts w:ascii="Calibri" w:eastAsia="Calibri" w:hAnsi="Calibri" w:cs="Calibri"/>
          <w:i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„Situace je kritická, v bytové nouzi, tedy na ubytovnách, v azylových domech, v přelidněných či nevyhovujících podmínkách dnes v České republice žije 62 000 dětí. Postrádáme přitom funkční zákon, </w:t>
      </w:r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který by tuto situaci řešil na systémové úrovni a který by </w:t>
      </w:r>
      <w:r>
        <w:rPr>
          <w:rFonts w:ascii="Calibri" w:eastAsia="Calibri" w:hAnsi="Calibri" w:cs="Calibri"/>
          <w:i/>
        </w:rPr>
        <w:t>kladl důraz na prevenci. V Senátu se teď nachází dlouho očekávaný Zákon o podpoře bydlení, který v případě schválení umožní legislativně a</w:t>
      </w:r>
      <w:r w:rsidR="00CC56C6">
        <w:rPr>
          <w:rFonts w:ascii="Calibri" w:eastAsia="Calibri" w:hAnsi="Calibri" w:cs="Calibri"/>
          <w:i/>
        </w:rPr>
        <w:t> </w:t>
      </w:r>
      <w:r>
        <w:rPr>
          <w:rFonts w:ascii="Calibri" w:eastAsia="Calibri" w:hAnsi="Calibri" w:cs="Calibri"/>
          <w:i/>
        </w:rPr>
        <w:t>institucionálně ukotvit v praxi osvědčené nástroje potírání a předcházení vyloučení domácností ze standardního, čím d</w:t>
      </w:r>
      <w:r>
        <w:rPr>
          <w:rFonts w:ascii="Calibri" w:eastAsia="Calibri" w:hAnsi="Calibri" w:cs="Calibri"/>
          <w:i/>
        </w:rPr>
        <w:t>ále nedostupnějšího, bydlení. Nástroje zákona byly testovány v desítkách měst a</w:t>
      </w:r>
      <w:r w:rsidR="00CC56C6">
        <w:rPr>
          <w:rFonts w:ascii="Calibri" w:eastAsia="Calibri" w:hAnsi="Calibri" w:cs="Calibri"/>
          <w:i/>
        </w:rPr>
        <w:t> </w:t>
      </w:r>
      <w:r>
        <w:rPr>
          <w:rFonts w:ascii="Calibri" w:eastAsia="Calibri" w:hAnsi="Calibri" w:cs="Calibri"/>
          <w:i/>
        </w:rPr>
        <w:t>víme tak, že v českém kontextu fungují velmi dobře. Potřebujeme, aby byl Zákon neprodleně schválen, aby mohl začít fungovat od začátku roku 2026,“</w:t>
      </w:r>
      <w:r>
        <w:rPr>
          <w:rFonts w:ascii="Calibri" w:eastAsia="Calibri" w:hAnsi="Calibri" w:cs="Calibri"/>
        </w:rPr>
        <w:t xml:space="preserve"> upozorňuje mluvčí iniciativy </w:t>
      </w:r>
      <w:r>
        <w:rPr>
          <w:rFonts w:ascii="Calibri" w:eastAsia="Calibri" w:hAnsi="Calibri" w:cs="Calibri"/>
        </w:rPr>
        <w:t xml:space="preserve">Za bydlení </w:t>
      </w:r>
      <w:r>
        <w:rPr>
          <w:rFonts w:ascii="Calibri" w:eastAsia="Calibri" w:hAnsi="Calibri" w:cs="Calibri"/>
          <w:b/>
        </w:rPr>
        <w:t>Mikoláš Opletal</w:t>
      </w:r>
      <w:r>
        <w:rPr>
          <w:rFonts w:ascii="Calibri" w:eastAsia="Calibri" w:hAnsi="Calibri" w:cs="Calibri"/>
        </w:rPr>
        <w:t>.</w:t>
      </w:r>
    </w:p>
    <w:p w:rsidR="00D67318" w:rsidRDefault="00D67318" w:rsidP="00CC56C6">
      <w:pPr>
        <w:jc w:val="both"/>
        <w:rPr>
          <w:rFonts w:ascii="Calibri" w:eastAsia="Calibri" w:hAnsi="Calibri" w:cs="Calibri"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80809"/>
          <w:highlight w:val="white"/>
        </w:rPr>
        <w:t>„Zákon o podpoře bydlení je příslibem systémového řešení bytové nestability a ukončení bezdomovectví v České republice. Pomůže dětem a rodinám, které se nachází v krizových situacích, v</w:t>
      </w:r>
      <w:r w:rsidR="00CC56C6">
        <w:rPr>
          <w:rFonts w:ascii="Calibri" w:eastAsia="Calibri" w:hAnsi="Calibri" w:cs="Calibri"/>
          <w:i/>
          <w:color w:val="080809"/>
          <w:highlight w:val="white"/>
        </w:rPr>
        <w:t> </w:t>
      </w:r>
      <w:r>
        <w:rPr>
          <w:rFonts w:ascii="Calibri" w:eastAsia="Calibri" w:hAnsi="Calibri" w:cs="Calibri"/>
          <w:i/>
          <w:color w:val="080809"/>
          <w:highlight w:val="white"/>
        </w:rPr>
        <w:t>socioekonomicky složitých podmínkách, pom</w:t>
      </w:r>
      <w:r>
        <w:rPr>
          <w:rFonts w:ascii="Calibri" w:eastAsia="Calibri" w:hAnsi="Calibri" w:cs="Calibri"/>
          <w:i/>
          <w:color w:val="080809"/>
          <w:highlight w:val="white"/>
        </w:rPr>
        <w:t xml:space="preserve">ůže ale také třeba starším lidem, lidem se zdravotními handicapy, s duševními obtížemi. Prodlužovat současnou situaci nedává smysl. Potřebujeme co nejrychlejší přijetí Zákona o podpoře bydlení. Vláda se k jeho přijetí zavázala i v programovém prohlášení a </w:t>
      </w:r>
      <w:r>
        <w:rPr>
          <w:rFonts w:ascii="Calibri" w:eastAsia="Calibri" w:hAnsi="Calibri" w:cs="Calibri"/>
          <w:i/>
          <w:color w:val="080809"/>
          <w:highlight w:val="white"/>
        </w:rPr>
        <w:t>volební období za pár měsíců skončí. Nesmíme otálet,“</w:t>
      </w:r>
      <w:r>
        <w:rPr>
          <w:rFonts w:ascii="Calibri" w:eastAsia="Calibri" w:hAnsi="Calibri" w:cs="Calibri"/>
          <w:color w:val="080809"/>
          <w:highlight w:val="white"/>
        </w:rPr>
        <w:t xml:space="preserve"> říká vládní zmocněnkyně pro lidská práva </w:t>
      </w:r>
      <w:r>
        <w:rPr>
          <w:rFonts w:ascii="Calibri" w:eastAsia="Calibri" w:hAnsi="Calibri" w:cs="Calibri"/>
          <w:b/>
          <w:color w:val="080809"/>
          <w:highlight w:val="white"/>
        </w:rPr>
        <w:t>Klára Šimáčková Laurenčíková</w:t>
      </w:r>
      <w:r>
        <w:rPr>
          <w:rFonts w:ascii="Calibri" w:eastAsia="Calibri" w:hAnsi="Calibri" w:cs="Calibri"/>
          <w:color w:val="080809"/>
          <w:highlight w:val="white"/>
        </w:rPr>
        <w:t>.</w:t>
      </w:r>
    </w:p>
    <w:p w:rsidR="00D67318" w:rsidRDefault="00D67318" w:rsidP="00CC56C6">
      <w:pPr>
        <w:jc w:val="both"/>
        <w:rPr>
          <w:rFonts w:ascii="Calibri" w:eastAsia="Calibri" w:hAnsi="Calibri" w:cs="Calibri"/>
          <w:b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„Schválení zákona o podpoře bydlení je nezbytným krokem k eliminaci bytové nouze, ve které žijí desítky tisíc dětí s prokazatelným</w:t>
      </w:r>
      <w:r>
        <w:rPr>
          <w:rFonts w:ascii="Calibri" w:eastAsia="Calibri" w:hAnsi="Calibri" w:cs="Calibri"/>
          <w:i/>
        </w:rPr>
        <w:t>i negativními dopady na jejich vzdělávání, fyzické i duševní zdraví a</w:t>
      </w:r>
      <w:r w:rsidR="00CC56C6">
        <w:rPr>
          <w:rFonts w:ascii="Calibri" w:eastAsia="Calibri" w:hAnsi="Calibri" w:cs="Calibri"/>
          <w:i/>
        </w:rPr>
        <w:t> </w:t>
      </w:r>
      <w:r>
        <w:rPr>
          <w:rFonts w:ascii="Calibri" w:eastAsia="Calibri" w:hAnsi="Calibri" w:cs="Calibri"/>
          <w:i/>
        </w:rPr>
        <w:t>celkové životní uplatnění. Děti žijící v bytové nouzi jsou častěji ohroženy záškoláctvím, předčasnými odchody ze vzdělávání a rizikovým chováním. V důsledku nestimulujícího prostředí a a</w:t>
      </w:r>
      <w:r>
        <w:rPr>
          <w:rFonts w:ascii="Calibri" w:eastAsia="Calibri" w:hAnsi="Calibri" w:cs="Calibri"/>
          <w:i/>
        </w:rPr>
        <w:t>bsence obvyklé školní připravenosti jsou v nadměrné míře neodpovídající jevu v populaci diagnostikovány diagnózou „lehké mentální postižení“ a směrovány do „speciálních“ škol se sníženými nároky a výstupy vzdělávání. V zájmu těchto dětí vyrůstajících v nev</w:t>
      </w:r>
      <w:r>
        <w:rPr>
          <w:rFonts w:ascii="Calibri" w:eastAsia="Calibri" w:hAnsi="Calibri" w:cs="Calibri"/>
          <w:i/>
        </w:rPr>
        <w:t>yhovujících podmínkách a často i bez naplnění bazálních základních životních potřeb, je dále nezbytná mezioborová spolupráce školského, sociálního a</w:t>
      </w:r>
      <w:r w:rsidR="00CC56C6">
        <w:rPr>
          <w:rFonts w:ascii="Calibri" w:eastAsia="Calibri" w:hAnsi="Calibri" w:cs="Calibri"/>
          <w:i/>
        </w:rPr>
        <w:t> </w:t>
      </w:r>
      <w:r>
        <w:rPr>
          <w:rFonts w:ascii="Calibri" w:eastAsia="Calibri" w:hAnsi="Calibri" w:cs="Calibri"/>
          <w:i/>
        </w:rPr>
        <w:t>zdravotního segmentu a systémově ukotvená odborná podpora dostupná přímo ve školách,”</w:t>
      </w:r>
      <w:r>
        <w:rPr>
          <w:rFonts w:ascii="Calibri" w:eastAsia="Calibri" w:hAnsi="Calibri" w:cs="Calibri"/>
        </w:rPr>
        <w:t xml:space="preserve"> dodává </w:t>
      </w:r>
      <w:r>
        <w:rPr>
          <w:rFonts w:ascii="Calibri" w:eastAsia="Calibri" w:hAnsi="Calibri" w:cs="Calibri"/>
          <w:b/>
        </w:rPr>
        <w:t>Lenka Hečková,</w:t>
      </w:r>
      <w:r>
        <w:rPr>
          <w:rFonts w:ascii="Calibri" w:eastAsia="Calibri" w:hAnsi="Calibri" w:cs="Calibri"/>
        </w:rPr>
        <w:t xml:space="preserve"> advokační expertka SOFA.</w:t>
      </w:r>
    </w:p>
    <w:p w:rsidR="00D67318" w:rsidRDefault="00D67318" w:rsidP="00CC56C6">
      <w:pPr>
        <w:jc w:val="both"/>
        <w:rPr>
          <w:rFonts w:ascii="Calibri" w:eastAsia="Calibri" w:hAnsi="Calibri" w:cs="Calibri"/>
        </w:rPr>
      </w:pPr>
    </w:p>
    <w:p w:rsidR="00D67318" w:rsidRDefault="00680DF7" w:rsidP="00CC56C6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Zdroje informací:</w:t>
      </w:r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Česko na křižovatce: Zpráva o vyloučení z bydlení 2024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zde</w:t>
        </w:r>
      </w:hyperlink>
      <w:r>
        <w:rPr>
          <w:rFonts w:ascii="Calibri" w:eastAsia="Calibri" w:hAnsi="Calibri" w:cs="Calibri"/>
        </w:rPr>
        <w:t>.</w:t>
      </w:r>
    </w:p>
    <w:p w:rsidR="00D67318" w:rsidRDefault="00680DF7" w:rsidP="00CC56C6">
      <w:pPr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Kontakt pro média:</w:t>
      </w:r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Radka Hrdinová, mediální koordinátorka SKAV, 603 177 791,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radka.hrdinova@skav.cz</w:t>
        </w:r>
      </w:hyperlink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Barbora Bírová, Platforma pro sociální bydlení, 728 428 534,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barb</w:t>
        </w:r>
        <w:r>
          <w:rPr>
            <w:rFonts w:ascii="Calibri" w:eastAsia="Calibri" w:hAnsi="Calibri" w:cs="Calibri"/>
            <w:color w:val="1155CC"/>
            <w:u w:val="single"/>
          </w:rPr>
          <w:t>ora.birova@socialnibydleni.org</w:t>
        </w:r>
      </w:hyperlink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Mikoláš Opletal, iniciativa Za bydlení, 774 645 467,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mikolas.opletal@socialnibydleni.org</w:t>
        </w:r>
      </w:hyperlink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 Klusáček, Platforma pro sociální bydlení, 775 002 696, </w:t>
      </w:r>
      <w:hyperlink r:id="rId16">
        <w:r>
          <w:rPr>
            <w:rFonts w:ascii="Calibri" w:eastAsia="Calibri" w:hAnsi="Calibri" w:cs="Calibri"/>
            <w:color w:val="1155CC"/>
            <w:u w:val="single"/>
          </w:rPr>
          <w:t>jan.klusacek@socialnibydleni.org</w:t>
        </w:r>
      </w:hyperlink>
    </w:p>
    <w:p w:rsidR="00D67318" w:rsidRDefault="00680DF7" w:rsidP="00CC56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Lenka Hečková, Society for All, 605 904 973, </w:t>
      </w:r>
      <w:hyperlink r:id="rId17">
        <w:r>
          <w:rPr>
            <w:rFonts w:ascii="Calibri" w:eastAsia="Calibri" w:hAnsi="Calibri" w:cs="Calibri"/>
            <w:color w:val="1155CC"/>
            <w:u w:val="single"/>
          </w:rPr>
          <w:t>lenka.heckova@so-fa.cz</w:t>
        </w:r>
      </w:hyperlink>
    </w:p>
    <w:sectPr w:rsidR="00D67318">
      <w:head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F7" w:rsidRDefault="00680DF7">
      <w:pPr>
        <w:spacing w:line="240" w:lineRule="auto"/>
      </w:pPr>
      <w:r>
        <w:separator/>
      </w:r>
    </w:p>
  </w:endnote>
  <w:endnote w:type="continuationSeparator" w:id="0">
    <w:p w:rsidR="00680DF7" w:rsidRDefault="00680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18" w:rsidRDefault="00D673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F7" w:rsidRDefault="00680DF7">
      <w:pPr>
        <w:spacing w:line="240" w:lineRule="auto"/>
      </w:pPr>
      <w:r>
        <w:separator/>
      </w:r>
    </w:p>
  </w:footnote>
  <w:footnote w:type="continuationSeparator" w:id="0">
    <w:p w:rsidR="00680DF7" w:rsidRDefault="00680D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18" w:rsidRDefault="00D673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18" w:rsidRDefault="00680DF7">
    <w:r>
      <w:rPr>
        <w:noProof/>
      </w:rPr>
      <w:drawing>
        <wp:inline distT="0" distB="0" distL="0" distR="0">
          <wp:extent cx="2537619" cy="661988"/>
          <wp:effectExtent l="0" t="0" r="0" b="0"/>
          <wp:docPr id="2" name="image4.png" descr="Československá debatní akademie - Debatován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Československá debatní akademie - Debatování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7619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114300" distB="114300" distL="114300" distR="114300">
          <wp:extent cx="1396488" cy="64293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6488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>
          <wp:extent cx="2195513" cy="58063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513" cy="580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114300" distB="114300" distL="114300" distR="114300">
          <wp:extent cx="1713418" cy="582338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3418" cy="582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18"/>
    <w:rsid w:val="00345A41"/>
    <w:rsid w:val="00680DF7"/>
    <w:rsid w:val="00CC56C6"/>
    <w:rsid w:val="00D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22D2"/>
  <w15:docId w15:val="{3D70071D-9442-4212-B8DF-BC093426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nibydleni.org/" TargetMode="External"/><Relationship Id="rId13" Type="http://schemas.openxmlformats.org/officeDocument/2006/relationships/hyperlink" Target="mailto:radka.hrdinova@skav.cz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bydleni.org/" TargetMode="External"/><Relationship Id="rId12" Type="http://schemas.openxmlformats.org/officeDocument/2006/relationships/hyperlink" Target="http://cdn.prod.website-files.com/5ef4ac1cc5dd69384a10c66e/67051b21b2774f44ad64218a_zprava2024_compr.pdf" TargetMode="External"/><Relationship Id="rId17" Type="http://schemas.openxmlformats.org/officeDocument/2006/relationships/hyperlink" Target="mailto:lenka.heckova@so-f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n.klusacek@socialnibydleni.or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kav.cz/" TargetMode="External"/><Relationship Id="rId11" Type="http://schemas.openxmlformats.org/officeDocument/2006/relationships/hyperlink" Target="https://cdn.prod.website-files.com/5ef4ac1cc5dd69384a10c66e/67051b21b2774f44ad64218a_zprava2024_compr.pdf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ikolas.opletal@socialnibydleni.org" TargetMode="External"/><Relationship Id="rId10" Type="http://schemas.openxmlformats.org/officeDocument/2006/relationships/hyperlink" Target="https://www.facebook.com/SKAVcz/videos/1900197690776809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societyforall.cz/" TargetMode="External"/><Relationship Id="rId14" Type="http://schemas.openxmlformats.org/officeDocument/2006/relationships/hyperlink" Target="mailto:barbora.birova@socialnibydleni.or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Platforma pro sociální bydlení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Schovánek</dc:creator>
  <cp:lastModifiedBy>Petr Schovánek</cp:lastModifiedBy>
  <cp:revision>2</cp:revision>
  <dcterms:created xsi:type="dcterms:W3CDTF">2025-04-28T07:58:00Z</dcterms:created>
  <dcterms:modified xsi:type="dcterms:W3CDTF">2025-04-28T07:58:00Z</dcterms:modified>
</cp:coreProperties>
</file>