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Written Information Security Plan (WISP)</w:t>
      </w:r>
    </w:p>
    <w:p>
      <w:pPr>
        <w:pStyle w:val="Heading1"/>
      </w:pPr>
      <w:r>
        <w:t xml:space="preserve">For </w:t>
      </w:r>
      <w:r>
        <w:rPr>
          <w:shd w:fill="FFF3C4" w:val="clear"/>
        </w:rPr>
        <w:t xml:space="preserve">[Your Firm Name]</w:t>
      </w:r>
    </w:p>
    <w:p>
      <w:pPr>
        <w:spacing w:after="120"/>
      </w:pPr>
      <w:r>
        <w:rPr>
          <w:b/>
          <w:bCs/>
          <w:i w:val="false"/>
          <w:iCs w:val="false"/>
        </w:rPr>
        <w:t xml:space="preserve">A fillable template for tax, accounting, and fiduciary practices</w:t>
      </w:r>
    </w:p>
    <w:p>
      <w:pPr>
        <w:spacing w:after="120"/>
      </w:pPr>
      <w:r>
        <w:rPr>
          <w:i w:val="false"/>
          <w:iCs w:val="false"/>
        </w:rPr>
        <w:t xml:space="preserve">This document is for general distribution and is available to all employees. This document is available to clients by request and with the consent of the Firm's Data Security Coordinator.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shd w:fill="EEF2FB" w:val="clear"/>
            <w:tcMar>
              <w:top w:type="dxa" w:w="60"/>
              <w:left w:type="dxa" w:w="100"/>
              <w:bottom w:type="dxa" w:w="60"/>
              <w:right w:type="dxa" w:w="100"/>
            </w:tcMar>
          </w:tcPr>
          <w:p>
            <w:r>
              <w:rPr>
                <w:b/>
                <w:bCs/>
              </w:rPr>
              <w:t xml:space="preserve">Firm name</w:t>
            </w:r>
          </w:p>
        </w:tc>
        <w:tc>
          <w:tcPr>
            <w:shd w:fill="EEF2FB" w:val="clear"/>
            <w:tcMar>
              <w:top w:type="dxa" w:w="60"/>
              <w:left w:type="dxa" w:w="100"/>
              <w:bottom w:type="dxa" w:w="60"/>
              <w:right w:type="dxa" w:w="100"/>
            </w:tcMar>
          </w:tcPr>
          <w:p>
            <w:r>
              <w:rPr>
                <w:b/>
                <w:bCs/>
                <w:shd w:fill="FFF3C4" w:val="clear"/>
              </w:rPr>
              <w:t xml:space="preserve">[Your Firm Name]</w:t>
            </w:r>
          </w:p>
        </w:tc>
      </w:tr>
      <w:tr>
        <w:tc>
          <w:tcPr>
            <w:tcMar>
              <w:top w:type="dxa" w:w="60"/>
              <w:left w:type="dxa" w:w="100"/>
              <w:bottom w:type="dxa" w:w="60"/>
              <w:right w:type="dxa" w:w="100"/>
            </w:tcMar>
          </w:tcPr>
          <w:p>
            <w:r>
              <w:rPr>
                <w:b w:val="false"/>
                <w:bCs w:val="false"/>
              </w:rPr>
              <w:t xml:space="preserve">Plan effective date</w:t>
            </w:r>
          </w:p>
        </w:tc>
        <w:tc>
          <w:tcPr>
            <w:tcMar>
              <w:top w:type="dxa" w:w="60"/>
              <w:left w:type="dxa" w:w="100"/>
              <w:bottom w:type="dxa" w:w="60"/>
              <w:right w:type="dxa" w:w="100"/>
            </w:tcMar>
          </w:tcPr>
          <w:p>
            <w:r>
              <w:rPr>
                <w:b w:val="false"/>
                <w:bCs w:val="false"/>
                <w:shd w:fill="FFF3C4" w:val="clear"/>
              </w:rPr>
              <w:t xml:space="preserve">[Date of implementation]</w:t>
            </w:r>
          </w:p>
        </w:tc>
      </w:tr>
      <w:tr>
        <w:tc>
          <w:tcPr>
            <w:tcMar>
              <w:top w:type="dxa" w:w="60"/>
              <w:left w:type="dxa" w:w="100"/>
              <w:bottom w:type="dxa" w:w="60"/>
              <w:right w:type="dxa" w:w="100"/>
            </w:tcMar>
          </w:tcPr>
          <w:p>
            <w:r>
              <w:rPr>
                <w:b w:val="false"/>
                <w:bCs w:val="false"/>
              </w:rPr>
              <w:t xml:space="preserve">Last reviewed/modified</w:t>
            </w:r>
          </w:p>
        </w:tc>
        <w:tc>
          <w:tcPr>
            <w:tcMar>
              <w:top w:type="dxa" w:w="60"/>
              <w:left w:type="dxa" w:w="100"/>
              <w:bottom w:type="dxa" w:w="60"/>
              <w:right w:type="dxa" w:w="100"/>
            </w:tcMar>
          </w:tcPr>
          <w:p>
            <w:r>
              <w:rPr>
                <w:b w:val="false"/>
                <w:bCs w:val="false"/>
                <w:shd w:fill="FFF3C4" w:val="clear"/>
              </w:rPr>
              <w:t xml:space="preserve">[Last review date]</w:t>
            </w:r>
          </w:p>
        </w:tc>
      </w:tr>
      <w:tr>
        <w:tc>
          <w:tcPr>
            <w:tcMar>
              <w:top w:type="dxa" w:w="60"/>
              <w:left w:type="dxa" w:w="100"/>
              <w:bottom w:type="dxa" w:w="60"/>
              <w:right w:type="dxa" w:w="100"/>
            </w:tcMar>
          </w:tcPr>
          <w:p>
            <w:r>
              <w:rPr>
                <w:b w:val="false"/>
                <w:bCs w:val="false"/>
              </w:rPr>
              <w:t xml:space="preserve">Next scheduled review</w:t>
            </w:r>
          </w:p>
        </w:tc>
        <w:tc>
          <w:tcPr>
            <w:tcMar>
              <w:top w:type="dxa" w:w="60"/>
              <w:left w:type="dxa" w:w="100"/>
              <w:bottom w:type="dxa" w:w="60"/>
              <w:right w:type="dxa" w:w="100"/>
            </w:tcMar>
          </w:tcPr>
          <w:p>
            <w:r>
              <w:rPr>
                <w:b w:val="false"/>
                <w:bCs w:val="false"/>
                <w:shd w:fill="FFF3C4" w:val="clear"/>
              </w:rPr>
              <w:t xml:space="preserve">[Date - review at least annually]</w:t>
            </w:r>
          </w:p>
        </w:tc>
      </w:tr>
      <w:tr>
        <w:tc>
          <w:tcPr>
            <w:tcMar>
              <w:top w:type="dxa" w:w="60"/>
              <w:left w:type="dxa" w:w="100"/>
              <w:bottom w:type="dxa" w:w="60"/>
              <w:right w:type="dxa" w:w="100"/>
            </w:tcMar>
          </w:tcPr>
          <w:p>
            <w:r>
              <w:rPr>
                <w:b w:val="false"/>
                <w:bCs w:val="false"/>
              </w:rPr>
              <w:t xml:space="preserve">Version</w:t>
            </w:r>
          </w:p>
        </w:tc>
        <w:tc>
          <w:tcPr>
            <w:tcMar>
              <w:top w:type="dxa" w:w="60"/>
              <w:left w:type="dxa" w:w="100"/>
              <w:bottom w:type="dxa" w:w="60"/>
              <w:right w:type="dxa" w:w="100"/>
            </w:tcMar>
          </w:tcPr>
          <w:p>
            <w:r>
              <w:rPr>
                <w:b w:val="false"/>
                <w:bCs w:val="false"/>
                <w:shd w:fill="FFF3C4" w:val="clear"/>
              </w:rPr>
              <w:t xml:space="preserve">[1.0]</w:t>
            </w:r>
          </w:p>
        </w:tc>
      </w:tr>
    </w:tbl>
    <w:p/>
    <w:p>
      <w:pPr>
        <w:pBdr>
          <w:left w:val="single" w:color="1a56db" w:sz="24"/>
        </w:pBdr>
        <w:shd w:fill="F3F6FD" w:val="clear"/>
        <w:spacing w:after="240" w:before="120"/>
        <w:ind w:left="240" w:right="240"/>
      </w:pPr>
      <w:r>
        <w:rPr>
          <w:b/>
          <w:bCs/>
        </w:rPr>
        <w:t xml:space="preserve">How to use this template.</w:t>
      </w:r>
      <w:r>
        <w:t xml:space="preserve"> Replace every bracketed field with your firm's information, delete any policy that genuinely does not apply to your practice, and add anything unique to how you handle client data. A WISP must match your actual operations - a plan that describes safeguards you don't really use is worse than a modest plan you follow. Federal law (the Gramm-Leach-Bliley Act and the FTC Safeguards Rule, 16 CFR Part 314) requires every professional tax preparer, regardless of size, to implement and maintain a written information security plan.</w:t>
      </w:r>
    </w:p>
    <w:p>
      <w:pPr>
        <w:pStyle w:val="Heading1"/>
      </w:pPr>
      <w:r>
        <w:t xml:space="preserve">I. Objective</w:t>
      </w:r>
    </w:p>
    <w:p>
      <w:pPr>
        <w:spacing w:after="120"/>
      </w:pPr>
      <w:r>
        <w:rPr>
          <w:i w:val="false"/>
          <w:iCs w:val="false"/>
        </w:rPr>
        <w:t xml:space="preserve">Our objective, in the development and implementation of this comprehensive Written Information Security Plan (WISP), is to create effective administrative, technical, and physical safeguards for the protection of the Personally Identifiable Information (PII) retained by </w:t>
      </w:r>
      <w:r>
        <w:rPr>
          <w:i w:val="false"/>
          <w:iCs w:val="false"/>
          <w:shd w:fill="FFF3C4" w:val="clear"/>
        </w:rPr>
        <w:t xml:space="preserve">[Your Firm Name]</w:t>
      </w:r>
      <w:r>
        <w:rPr>
          <w:i w:val="false"/>
          <w:iCs w:val="false"/>
        </w:rPr>
        <w:t xml:space="preserve"> (hereinafter, the "Firm"). This WISP is intended to comply with the Firm's obligations under the Gramm-Leach-Bliley Act (GLBA) and the Federal Trade Commission (FTC) Safeguards Rule, 16 CFR Part 314.</w:t>
      </w:r>
    </w:p>
    <w:p>
      <w:pPr>
        <w:spacing w:after="120"/>
      </w:pPr>
      <w:r>
        <w:rPr>
          <w:i w:val="false"/>
          <w:iCs w:val="false"/>
        </w:rPr>
        <w:t xml:space="preserve">For purposes of this WISP, PII means information containing the first name and last name, or first initial and last name, of a taxpayer, spouse, dependent, legal guardianship person, trust or estate beneficiary, fiduciary, or firm employee, in combination with any of the following data elements:</w:t>
      </w:r>
    </w:p>
    <w:p>
      <w:pPr>
        <w:pStyle w:val="ListParagraph"/>
        <w:numPr>
          <w:ilvl w:val="0"/>
          <w:numId w:val="1"/>
        </w:numPr>
      </w:pPr>
      <w:r>
        <w:t xml:space="preserve">Social Security number, date of birth, or employment data</w:t>
      </w:r>
    </w:p>
    <w:p>
      <w:pPr>
        <w:pStyle w:val="ListParagraph"/>
        <w:numPr>
          <w:ilvl w:val="0"/>
          <w:numId w:val="1"/>
        </w:numPr>
      </w:pPr>
      <w:r>
        <w:t xml:space="preserve">Driver's license number or state-issued identification card number</w:t>
      </w:r>
    </w:p>
    <w:p>
      <w:pPr>
        <w:pStyle w:val="ListParagraph"/>
        <w:numPr>
          <w:ilvl w:val="0"/>
          <w:numId w:val="1"/>
        </w:numPr>
      </w:pPr>
      <w:r>
        <w:t xml:space="preserve">Income data, tax filing data, retirement plan data, asset ownership data, investment data, trust or estate account data</w:t>
      </w:r>
    </w:p>
    <w:p>
      <w:pPr>
        <w:pStyle w:val="ListParagraph"/>
        <w:numPr>
          <w:ilvl w:val="0"/>
          <w:numId w:val="1"/>
        </w:numPr>
      </w:pPr>
      <w:r>
        <w:t xml:space="preserve">Financial account number, credit or debit card number, with or without any security code, access code, personal identification number, or password that permits access to a client's financial accounts</w:t>
      </w:r>
    </w:p>
    <w:p>
      <w:pPr>
        <w:pStyle w:val="ListParagraph"/>
        <w:numPr>
          <w:ilvl w:val="0"/>
          <w:numId w:val="1"/>
        </w:numPr>
      </w:pPr>
      <w:r>
        <w:t xml:space="preserve">Email addresses, non-listed phone numbers, and residential or mobile contact information</w:t>
      </w:r>
    </w:p>
    <w:p>
      <w:pPr>
        <w:spacing w:after="120"/>
      </w:pPr>
      <w:r>
        <w:rPr>
          <w:i w:val="false"/>
          <w:iCs w:val="false"/>
        </w:rPr>
        <w:t xml:space="preserve">PII does not include information lawfully obtained from publicly available sources.</w:t>
      </w:r>
    </w:p>
    <w:p>
      <w:pPr>
        <w:pStyle w:val="Heading1"/>
      </w:pPr>
      <w:r>
        <w:t xml:space="preserve">II. Purpose</w:t>
      </w:r>
    </w:p>
    <w:p>
      <w:pPr>
        <w:spacing w:after="120"/>
      </w:pPr>
      <w:r>
        <w:rPr>
          <w:i w:val="false"/>
          <w:iCs w:val="false"/>
        </w:rPr>
        <w:t xml:space="preserve">The purpose of this WISP is to:</w:t>
      </w:r>
    </w:p>
    <w:p>
      <w:pPr>
        <w:pStyle w:val="ListParagraph"/>
        <w:numPr>
          <w:ilvl w:val="0"/>
          <w:numId w:val="2"/>
        </w:numPr>
      </w:pPr>
      <w:r>
        <w:t xml:space="preserve">Ensure the security and confidentiality of all PII retained by the Firm.</w:t>
      </w:r>
    </w:p>
    <w:p>
      <w:pPr>
        <w:pStyle w:val="ListParagraph"/>
        <w:numPr>
          <w:ilvl w:val="0"/>
          <w:numId w:val="2"/>
        </w:numPr>
      </w:pPr>
      <w:r>
        <w:t xml:space="preserve">Protect PII against anticipated threats or hazards to its security or integrity.</w:t>
      </w:r>
    </w:p>
    <w:p>
      <w:pPr>
        <w:pStyle w:val="ListParagraph"/>
        <w:numPr>
          <w:ilvl w:val="0"/>
          <w:numId w:val="2"/>
        </w:numPr>
      </w:pPr>
      <w:r>
        <w:t xml:space="preserve">Protect against unauthorized access to or use of PII in a manner that creates a substantial risk of identity theft, fraud, or other harm.</w:t>
      </w:r>
    </w:p>
    <w:p>
      <w:pPr>
        <w:pStyle w:val="Heading1"/>
      </w:pPr>
      <w:r>
        <w:t xml:space="preserve">III. Scope</w:t>
      </w:r>
    </w:p>
    <w:p>
      <w:pPr>
        <w:spacing w:after="120"/>
      </w:pPr>
      <w:r>
        <w:rPr>
          <w:i w:val="false"/>
          <w:iCs w:val="false"/>
        </w:rPr>
        <w:t xml:space="preserve">This WISP applies to all PII in the Firm's possession in any form - electronic, paper, or otherwise - and to all systems, devices, and locations where that information is accessed, collected, stored, used, transmitted, or destroyed. It governs all owners, partners, employees, and contractors of the Firm.</w:t>
      </w:r>
    </w:p>
    <w:p>
      <w:pPr>
        <w:pStyle w:val="Heading1"/>
      </w:pPr>
      <w:r>
        <w:t xml:space="preserve">IV. Designated Responsible Officials</w:t>
      </w:r>
    </w:p>
    <w:p>
      <w:pPr>
        <w:pStyle w:val="Heading2"/>
      </w:pPr>
      <w:r>
        <w:t xml:space="preserve">Qualified Individual / Data Security Coordinator</w:t>
      </w:r>
    </w:p>
    <w:p>
      <w:pPr>
        <w:spacing w:after="120"/>
      </w:pPr>
      <w:r>
        <w:rPr>
          <w:i w:val="false"/>
          <w:iCs w:val="false"/>
        </w:rPr>
        <w:t xml:space="preserve">The Firm designates </w:t>
      </w:r>
      <w:r>
        <w:rPr>
          <w:b/>
          <w:bCs/>
          <w:i w:val="false"/>
          <w:iCs w:val="false"/>
          <w:shd w:fill="FFF3C4" w:val="clear"/>
        </w:rPr>
        <w:t xml:space="preserve">[Name]</w:t>
      </w:r>
      <w:r>
        <w:rPr>
          <w:i w:val="false"/>
          <w:iCs w:val="false"/>
        </w:rPr>
        <w:t xml:space="preserve">, </w:t>
      </w:r>
      <w:r>
        <w:rPr>
          <w:i w:val="false"/>
          <w:iCs w:val="false"/>
          <w:shd w:fill="FFF3C4" w:val="clear"/>
        </w:rPr>
        <w:t xml:space="preserve">[title]</w:t>
      </w:r>
      <w:r>
        <w:rPr>
          <w:i w:val="false"/>
          <w:iCs w:val="false"/>
        </w:rPr>
        <w:t xml:space="preserve">, as its Qualified Individual under 16 CFR 314.4(a), referred to in this plan as the Data Security Coordinator (DSC). The DSC is responsible for overseeing, implementing, and enforcing this WISP, including:</w:t>
      </w:r>
    </w:p>
    <w:p>
      <w:pPr>
        <w:pStyle w:val="ListParagraph"/>
        <w:numPr>
          <w:ilvl w:val="0"/>
          <w:numId w:val="1"/>
        </w:numPr>
      </w:pPr>
      <w:r>
        <w:t xml:space="preserve">Implementing the WISP and all daily operational protocols</w:t>
      </w:r>
    </w:p>
    <w:p>
      <w:pPr>
        <w:pStyle w:val="ListParagraph"/>
        <w:numPr>
          <w:ilvl w:val="0"/>
          <w:numId w:val="1"/>
        </w:numPr>
      </w:pPr>
      <w:r>
        <w:t xml:space="preserve">Maintaining the Firm's written risk assessment (Section V)</w:t>
      </w:r>
    </w:p>
    <w:p>
      <w:pPr>
        <w:pStyle w:val="ListParagraph"/>
        <w:numPr>
          <w:ilvl w:val="0"/>
          <w:numId w:val="1"/>
        </w:numPr>
      </w:pPr>
      <w:r>
        <w:t xml:space="preserve">Identifying all repositories of PII and designating them as secured assets with restricted access</w:t>
      </w:r>
    </w:p>
    <w:p>
      <w:pPr>
        <w:pStyle w:val="ListParagraph"/>
        <w:numPr>
          <w:ilvl w:val="0"/>
          <w:numId w:val="1"/>
        </w:numPr>
      </w:pPr>
      <w:r>
        <w:t xml:space="preserve">Verifying that all personnel complete recurring information security training, and keeping signed acknowledgments on file (Attachment D)</w:t>
      </w:r>
    </w:p>
    <w:p>
      <w:pPr>
        <w:pStyle w:val="ListParagraph"/>
        <w:numPr>
          <w:ilvl w:val="0"/>
          <w:numId w:val="1"/>
        </w:numPr>
      </w:pPr>
      <w:r>
        <w:t xml:space="preserve">Monitoring and testing employee compliance with this plan</w:t>
      </w:r>
    </w:p>
    <w:p>
      <w:pPr>
        <w:pStyle w:val="ListParagraph"/>
        <w:numPr>
          <w:ilvl w:val="0"/>
          <w:numId w:val="1"/>
        </w:numPr>
      </w:pPr>
      <w:r>
        <w:t xml:space="preserve">Evaluating and overseeing third-party service providers (Section IX)</w:t>
      </w:r>
    </w:p>
    <w:p>
      <w:pPr>
        <w:pStyle w:val="ListParagraph"/>
        <w:numPr>
          <w:ilvl w:val="0"/>
          <w:numId w:val="1"/>
        </w:numPr>
      </w:pPr>
      <w:r>
        <w:t xml:space="preserve">Reviewing this WISP at least annually, and whenever there is a material change in business practices that affects the security of PII</w:t>
      </w:r>
    </w:p>
    <w:p>
      <w:pPr>
        <w:pStyle w:val="ListParagraph"/>
        <w:numPr>
          <w:ilvl w:val="0"/>
          <w:numId w:val="1"/>
        </w:numPr>
      </w:pPr>
      <w:r>
        <w:t xml:space="preserve">Reporting in writing, at least annually, to the Firm's principal(s) on the status of the information security program (Section XII)</w:t>
      </w:r>
    </w:p>
    <w:p>
      <w:pPr>
        <w:spacing w:after="120"/>
      </w:pPr>
      <w:r>
        <w:rPr>
          <w:i w:val="false"/>
          <w:iCs w:val="false"/>
        </w:rPr>
        <w:t xml:space="preserve">*If the DSC role is filled by a service provider or affiliate rather than an employee:* the Firm retains responsibility for compliance, designates </w:t>
      </w:r>
      <w:r>
        <w:rPr>
          <w:b/>
          <w:bCs/>
          <w:i w:val="false"/>
          <w:iCs w:val="false"/>
          <w:shd w:fill="FFF3C4" w:val="clear"/>
        </w:rPr>
        <w:t xml:space="preserve">[Name of senior employee]</w:t>
      </w:r>
      <w:r>
        <w:rPr>
          <w:i w:val="false"/>
          <w:iCs w:val="false"/>
        </w:rPr>
        <w:t xml:space="preserve"> to direct and oversee the external Qualified Individual, and requires that provider to maintain an information security program that protects the Firm consistent with the Safeguards Rule.</w:t>
      </w:r>
    </w:p>
    <w:p>
      <w:pPr>
        <w:pStyle w:val="Heading2"/>
      </w:pPr>
      <w:r>
        <w:t xml:space="preserve">Public Information Officer</w:t>
      </w:r>
    </w:p>
    <w:p>
      <w:pPr>
        <w:spacing w:after="120"/>
      </w:pPr>
      <w:r>
        <w:rPr>
          <w:i w:val="false"/>
          <w:iCs w:val="false"/>
        </w:rPr>
        <w:t xml:space="preserve">The Firm designates </w:t>
      </w:r>
      <w:r>
        <w:rPr>
          <w:b/>
          <w:bCs/>
          <w:i w:val="false"/>
          <w:iCs w:val="false"/>
          <w:shd w:fill="FFF3C4" w:val="clear"/>
        </w:rPr>
        <w:t xml:space="preserve">[Name]</w:t>
      </w:r>
      <w:r>
        <w:rPr>
          <w:i w:val="false"/>
          <w:iCs w:val="false"/>
        </w:rPr>
        <w:t xml:space="preserve">, </w:t>
      </w:r>
      <w:r>
        <w:rPr>
          <w:i w:val="false"/>
          <w:iCs w:val="false"/>
          <w:shd w:fill="FFF3C4" w:val="clear"/>
        </w:rPr>
        <w:t xml:space="preserve">[title]</w:t>
      </w:r>
      <w:r>
        <w:rPr>
          <w:i w:val="false"/>
          <w:iCs w:val="false"/>
        </w:rPr>
        <w:t xml:space="preserve">, as Public Information Officer (PIO). The PIO is the single approved spokesperson for all outward-facing communications in the event of a data security incident, including client notifications, statements to law enforcement, and any statements to media or business associates. In firms with two or more practitioners, the DSC and PIO should be different people.</w:t>
      </w:r>
    </w:p>
    <w:p>
      <w:pPr>
        <w:pStyle w:val="Heading1"/>
      </w:pPr>
      <w:r>
        <w:t xml:space="preserve">V. Risk Assessment</w:t>
      </w:r>
    </w:p>
    <w:p>
      <w:pPr>
        <w:spacing w:after="120"/>
      </w:pPr>
      <w:r>
        <w:rPr>
          <w:i w:val="false"/>
          <w:iCs w:val="false"/>
        </w:rPr>
        <w:t xml:space="preserve">The Firm bases this information security program on a written risk assessment, which the DSC maintains and updates at least </w:t>
      </w:r>
      <w:r>
        <w:rPr>
          <w:i w:val="false"/>
          <w:iCs w:val="false"/>
          <w:shd w:fill="FFF3C4" w:val="clear"/>
        </w:rPr>
        <w:t xml:space="preserve">[annually]</w:t>
      </w:r>
      <w:r>
        <w:rPr>
          <w:i w:val="false"/>
          <w:iCs w:val="false"/>
        </w:rPr>
        <w:t xml:space="preserve"> and whenever operations materially change.</w:t>
      </w:r>
    </w:p>
    <w:p>
      <w:pPr>
        <w:pStyle w:val="Heading2"/>
      </w:pPr>
      <w:r>
        <w:t xml:space="preserve">A. Information we handle</w:t>
      </w:r>
    </w:p>
    <w:p>
      <w:pPr>
        <w:spacing w:after="120"/>
      </w:pPr>
      <w:r>
        <w:rPr>
          <w:i w:val="false"/>
          <w:iCs w:val="false"/>
        </w:rPr>
        <w:t xml:space="preserve">The Firm collects and retains the following types of PII: </w:t>
      </w:r>
      <w:r>
        <w:rPr>
          <w:i w:val="false"/>
          <w:iCs w:val="false"/>
          <w:shd w:fill="FFF3C4" w:val="clear"/>
        </w:rPr>
        <w:t xml:space="preserve">[list - e.g., individual and fiduciary income tax returns and supporting documents, estate and trust records, payroll records, bank and investment statements, employee HR records]</w:t>
      </w:r>
      <w:r>
        <w:rPr>
          <w:i w:val="false"/>
          <w:iCs w:val="false"/>
        </w:rPr>
        <w:t xml:space="preserve">.</w:t>
      </w:r>
    </w:p>
    <w:p>
      <w:pPr>
        <w:pStyle w:val="Heading2"/>
      </w:pPr>
      <w:r>
        <w:t xml:space="preserve">B. Where it lives</w:t>
      </w:r>
    </w:p>
    <w:p>
      <w:pPr>
        <w:spacing w:after="120"/>
      </w:pPr>
      <w:r>
        <w:rPr>
          <w:i w:val="false"/>
          <w:iCs w:val="false"/>
        </w:rPr>
        <w:t xml:space="preserve">The DSC maintains a current inventory (Attachment E) of every location and system where PII is stored or processed, including: office workstations and laptops; portable media; tax preparation and bookkeeping software; the Firm's secure client portal; cloud storage and backup services; email; paper files and filing cabinets; and any offsite archive.</w:t>
      </w:r>
    </w:p>
    <w:p>
      <w:pPr>
        <w:pStyle w:val="Heading2"/>
      </w:pPr>
      <w:r>
        <w:t xml:space="preserve">C. Foreseeable risks and evaluation criteria</w:t>
      </w:r>
    </w:p>
    <w:p>
      <w:pPr>
        <w:spacing w:after="120"/>
      </w:pPr>
      <w:r>
        <w:rPr>
          <w:i w:val="false"/>
          <w:iCs w:val="false"/>
        </w:rPr>
        <w:t xml:space="preserve">The Firm evaluates, for each risk identified, the likelihood of occurrence, the sensitivity of the affected information, and the potential harm to clients and the Firm (categorized </w:t>
      </w:r>
      <w:r>
        <w:rPr>
          <w:i w:val="false"/>
          <w:iCs w:val="false"/>
          <w:shd w:fill="FFF3C4" w:val="clear"/>
        </w:rPr>
        <w:t xml:space="preserve">[High / Medium / Low]</w:t>
      </w:r>
      <w:r>
        <w:rPr>
          <w:i w:val="false"/>
          <w:iCs w:val="false"/>
        </w:rPr>
        <w:t xml:space="preserve">). Reasonably foreseeable risks include, at minimum:</w:t>
      </w:r>
    </w:p>
    <w:p>
      <w:pPr>
        <w:pStyle w:val="ListParagraph"/>
        <w:numPr>
          <w:ilvl w:val="0"/>
          <w:numId w:val="1"/>
        </w:numPr>
      </w:pPr>
      <w:r>
        <w:rPr>
          <w:b/>
          <w:bCs/>
        </w:rPr>
        <w:t xml:space="preserve">External:</w:t>
      </w:r>
      <w:r>
        <w:t xml:space="preserve"> phishing and business email compromise; remote-access takeover; ransomware and other malware; theft of EFIN/PTIN/CAF credentials; interception of unencrypted email attachments; breach of a third-party service provider</w:t>
      </w:r>
    </w:p>
    <w:p>
      <w:pPr>
        <w:pStyle w:val="ListParagraph"/>
        <w:numPr>
          <w:ilvl w:val="0"/>
          <w:numId w:val="1"/>
        </w:numPr>
      </w:pPr>
      <w:r>
        <w:rPr>
          <w:b/>
          <w:bCs/>
        </w:rPr>
        <w:t xml:space="preserve">Internal:</w:t>
      </w:r>
      <w:r>
        <w:t xml:space="preserve"> unauthorized access by employees beyond job duties; accidental disclosure (misaddressed email, lost laptop or USB drive); improper disposal of paper or hardware; departing-employee data retention</w:t>
      </w:r>
    </w:p>
    <w:p>
      <w:pPr>
        <w:pStyle w:val="ListParagraph"/>
        <w:numPr>
          <w:ilvl w:val="0"/>
          <w:numId w:val="1"/>
        </w:numPr>
      </w:pPr>
      <w:r>
        <w:rPr>
          <w:b/>
          <w:bCs/>
        </w:rPr>
        <w:t xml:space="preserve">Physical/environmental:</w:t>
      </w:r>
      <w:r>
        <w:t xml:space="preserve"> office break-in; fire, flood, or other disaster destroying records or systems</w:t>
      </w:r>
    </w:p>
    <w:p>
      <w:pPr>
        <w:pStyle w:val="Heading2"/>
      </w:pPr>
      <w:r>
        <w:t xml:space="preserve">D. Mitigation and acceptance</w:t>
      </w:r>
    </w:p>
    <w:p>
      <w:pPr>
        <w:spacing w:after="120"/>
      </w:pPr>
      <w:r>
        <w:rPr>
          <w:i w:val="false"/>
          <w:iCs w:val="false"/>
        </w:rPr>
        <w:t xml:space="preserve">For each identified risk, the risk assessment records how the safeguards in Sections VI-XI mitigate it, or documents the DSC's written rationale for accepting it. The DSC reassesses the sufficiency of these safeguards whenever the assessment is updated.</w:t>
      </w:r>
    </w:p>
    <w:p>
      <w:pPr>
        <w:pStyle w:val="Heading1"/>
      </w:pPr>
      <w:r>
        <w:t xml:space="preserve">VI. Safeguards - Inside the Firm</w:t>
      </w:r>
    </w:p>
    <w:p>
      <w:pPr>
        <w:pStyle w:val="Heading2"/>
      </w:pPr>
      <w:r>
        <w:t xml:space="preserve">PII collection and retention policy</w:t>
      </w:r>
    </w:p>
    <w:p>
      <w:pPr>
        <w:pStyle w:val="ListParagraph"/>
        <w:numPr>
          <w:ilvl w:val="0"/>
          <w:numId w:val="2"/>
        </w:numPr>
      </w:pPr>
      <w:r>
        <w:t xml:space="preserve">The Firm collects only the PII necessary to accomplish legitimate business needs and to comply with federal, state, and local regulations.</w:t>
      </w:r>
    </w:p>
    <w:p>
      <w:pPr>
        <w:pStyle w:val="ListParagraph"/>
        <w:numPr>
          <w:ilvl w:val="0"/>
          <w:numId w:val="2"/>
        </w:numPr>
      </w:pPr>
      <w:r>
        <w:t xml:space="preserve">Access to records containing PII is limited to employees whose job duties require it, and only for job-related purposes (Attachment F lists authorized users and access levels).</w:t>
      </w:r>
    </w:p>
    <w:p>
      <w:pPr>
        <w:pStyle w:val="ListParagraph"/>
        <w:numPr>
          <w:ilvl w:val="0"/>
          <w:numId w:val="2"/>
        </w:numPr>
      </w:pPr>
      <w:r>
        <w:t xml:space="preserve">Records containing PII are destroyed or deleted at the earliest opportunity consistent with business needs and legal retention requirements, and in any case customer information is securely disposed of no later than two years after the last date it is used in connection with providing a product or service to the client, unless retention is required by law or regulation (e.g., IRS record-keeping rules), is necessary for legitimate business purposes, or targeted disposal is not reasonably feasible. Retention periods are specified in Attachment A.</w:t>
      </w:r>
    </w:p>
    <w:p>
      <w:pPr>
        <w:pStyle w:val="ListParagraph"/>
        <w:numPr>
          <w:ilvl w:val="0"/>
          <w:numId w:val="2"/>
        </w:numPr>
      </w:pPr>
      <w:r>
        <w:t xml:space="preserve">The DSC reviews the Firm's data retention policy at least </w:t>
      </w:r>
      <w:r>
        <w:rPr>
          <w:shd w:fill="FFF3C4" w:val="clear"/>
        </w:rPr>
        <w:t xml:space="preserve">[annually]</w:t>
      </w:r>
      <w:r>
        <w:t xml:space="preserve"> to minimize unnecessary retention of PII.</w:t>
      </w:r>
    </w:p>
    <w:p>
      <w:pPr>
        <w:pStyle w:val="Heading2"/>
      </w:pPr>
      <w:r>
        <w:t xml:space="preserve">Personnel accountability policy</w:t>
      </w:r>
    </w:p>
    <w:p>
      <w:pPr>
        <w:pStyle w:val="ListParagraph"/>
        <w:numPr>
          <w:ilvl w:val="0"/>
          <w:numId w:val="2"/>
        </w:numPr>
      </w:pPr>
      <w:r>
        <w:t xml:space="preserve">Every current employee, and every new employee on their start date, receives a copy of this WISP and signs the acknowledgment at Attachment D.</w:t>
      </w:r>
    </w:p>
    <w:p>
      <w:pPr>
        <w:pStyle w:val="ListParagraph"/>
        <w:numPr>
          <w:ilvl w:val="0"/>
          <w:numId w:val="2"/>
        </w:numPr>
      </w:pPr>
      <w:r>
        <w:t xml:space="preserve">The Firm screens prospective employees who will have access to PII, including </w:t>
      </w:r>
      <w:r>
        <w:rPr>
          <w:shd w:fill="FFF3C4" w:val="clear"/>
        </w:rPr>
        <w:t xml:space="preserve">[background checks / reference checks]</w:t>
      </w:r>
      <w:r>
        <w:t xml:space="preserve">, before granting access.</w:t>
      </w:r>
    </w:p>
    <w:p>
      <w:pPr>
        <w:pStyle w:val="ListParagraph"/>
        <w:numPr>
          <w:ilvl w:val="0"/>
          <w:numId w:val="2"/>
        </w:numPr>
      </w:pPr>
      <w:r>
        <w:t xml:space="preserve">Paper records containing PII are secured when not in use; desks are cleared of client documents at the end of each day. Computers are locked whenever unattended.</w:t>
      </w:r>
    </w:p>
    <w:p>
      <w:pPr>
        <w:pStyle w:val="ListParagraph"/>
        <w:numPr>
          <w:ilvl w:val="0"/>
          <w:numId w:val="2"/>
        </w:numPr>
      </w:pPr>
      <w:r>
        <w:t xml:space="preserve">Any employee who willfully discloses PII or fails to comply with these policies faces disciplinary action up to and including termination.</w:t>
      </w:r>
    </w:p>
    <w:p>
      <w:pPr>
        <w:pStyle w:val="ListParagraph"/>
        <w:numPr>
          <w:ilvl w:val="0"/>
          <w:numId w:val="2"/>
        </w:numPr>
      </w:pPr>
      <w:r>
        <w:t xml:space="preserve">On termination of any employee or contractor: all system logins, remote access, email, portal, and tax-software credentials are disabled the same day; keys, badges, and devices are surrendered; and the departure is recorded in Attachment F.</w:t>
      </w:r>
    </w:p>
    <w:p>
      <w:pPr>
        <w:pStyle w:val="Heading2"/>
      </w:pPr>
      <w:r>
        <w:t xml:space="preserve">PII disclosure policy</w:t>
      </w:r>
    </w:p>
    <w:p>
      <w:pPr>
        <w:pStyle w:val="ListParagraph"/>
        <w:numPr>
          <w:ilvl w:val="0"/>
          <w:numId w:val="2"/>
        </w:numPr>
      </w:pPr>
      <w:r>
        <w:t xml:space="preserve">No PII is disclosed without authenticating the receiving party and, where required, securing written authorization from the individual whose PII is disclosed. Taxpayer-consent rules under IRC § 7216 apply to any use or disclosure of tax return information beyond preparation.</w:t>
      </w:r>
    </w:p>
    <w:p>
      <w:pPr>
        <w:pStyle w:val="ListParagraph"/>
        <w:numPr>
          <w:ilvl w:val="0"/>
          <w:numId w:val="2"/>
        </w:numPr>
      </w:pPr>
      <w:r>
        <w:t xml:space="preserve">Visitors are escorted in any area where PII is stored.</w:t>
      </w:r>
    </w:p>
    <w:p>
      <w:pPr>
        <w:pStyle w:val="ListParagraph"/>
        <w:numPr>
          <w:ilvl w:val="0"/>
          <w:numId w:val="2"/>
        </w:numPr>
      </w:pPr>
      <w:r>
        <w:t xml:space="preserve">When records containing PII must leave the office, only the minimum necessary is taken, and it is never left unattended in a vehicle, home, or other insecure location.</w:t>
      </w:r>
    </w:p>
    <w:p>
      <w:pPr>
        <w:pStyle w:val="ListParagraph"/>
        <w:numPr>
          <w:ilvl w:val="0"/>
          <w:numId w:val="2"/>
        </w:numPr>
      </w:pPr>
      <w:r>
        <w:t xml:space="preserve">The Firm shares client PII in the ordinary course of business only with: federal and state tax authorities; the Firm's tax software vendor and e-file transmitter; and </w:t>
      </w:r>
      <w:r>
        <w:rPr>
          <w:shd w:fill="FFF3C4" w:val="clear"/>
        </w:rPr>
        <w:t xml:space="preserve">[list others - e.g., bookkeeping or payroll service, legal counsel]</w:t>
      </w:r>
      <w:r>
        <w:t xml:space="preserve">. Any other service provider given access to PII must meet the requirements of Section IX.</w:t>
      </w:r>
    </w:p>
    <w:p>
      <w:pPr>
        <w:pStyle w:val="Heading1"/>
      </w:pPr>
      <w:r>
        <w:t xml:space="preserve">VII. Safeguards - Technical Controls</w:t>
      </w:r>
    </w:p>
    <w:p>
      <w:pPr>
        <w:pStyle w:val="Heading2"/>
      </w:pPr>
      <w:r>
        <w:t xml:space="preserve">Access controls</w:t>
      </w:r>
    </w:p>
    <w:p>
      <w:pPr>
        <w:pStyle w:val="ListParagraph"/>
        <w:numPr>
          <w:ilvl w:val="0"/>
          <w:numId w:val="2"/>
        </w:numPr>
      </w:pPr>
      <w:r>
        <w:t xml:space="preserve">Every user has a unique login; shared accounts are prohibited.</w:t>
      </w:r>
    </w:p>
    <w:p>
      <w:pPr>
        <w:pStyle w:val="ListParagraph"/>
        <w:numPr>
          <w:ilvl w:val="0"/>
          <w:numId w:val="2"/>
        </w:numPr>
      </w:pPr>
      <w:r>
        <w:t xml:space="preserve">Access rights follow least privilege: each user can reach only the PII their duties require (Attachment F).</w:t>
      </w:r>
    </w:p>
    <w:p>
      <w:pPr>
        <w:pStyle w:val="ListParagraph"/>
        <w:numPr>
          <w:ilvl w:val="0"/>
          <w:numId w:val="2"/>
        </w:numPr>
      </w:pPr>
      <w:r>
        <w:t xml:space="preserve">User access rights are reviewed </w:t>
      </w:r>
      <w:r>
        <w:rPr>
          <w:shd w:fill="FFF3C4" w:val="clear"/>
        </w:rPr>
        <w:t xml:space="preserve">[quarterly / semiannually]</w:t>
      </w:r>
      <w:r>
        <w:t xml:space="preserve"> and whenever roles change.</w:t>
      </w:r>
    </w:p>
    <w:p>
      <w:pPr>
        <w:pStyle w:val="Heading2"/>
      </w:pPr>
      <w:r>
        <w:t xml:space="preserve">Multi-factor authentication (MFA)</w:t>
      </w:r>
    </w:p>
    <w:p>
      <w:pPr>
        <w:spacing w:after="120"/>
      </w:pPr>
      <w:r>
        <w:rPr>
          <w:i w:val="false"/>
          <w:iCs w:val="false"/>
        </w:rPr>
        <w:t xml:space="preserve">MFA is required for </w:t>
      </w:r>
      <w:r>
        <w:rPr>
          <w:b/>
          <w:bCs/>
          <w:i w:val="false"/>
          <w:iCs w:val="false"/>
        </w:rPr>
        <w:t xml:space="preserve">any individual accessing any Firm information system</w:t>
      </w:r>
      <w:r>
        <w:rPr>
          <w:i w:val="false"/>
          <w:iCs w:val="false"/>
        </w:rPr>
        <w:t xml:space="preserve"> - including workstations and network logins, email, tax preparation software, the client portal, cloud storage, and all remote access - using at least two of: something you know (password), something you have (authenticator app or token), or something you are (biometric). Any exception must be approved in writing by the DSC, and only where a reasonably equivalent or more secure access control is in place.</w:t>
      </w:r>
    </w:p>
    <w:p>
      <w:pPr>
        <w:pStyle w:val="Heading2"/>
      </w:pPr>
      <w:r>
        <w:t xml:space="preserve">Encryption</w:t>
      </w:r>
    </w:p>
    <w:p>
      <w:pPr>
        <w:pStyle w:val="ListParagraph"/>
        <w:numPr>
          <w:ilvl w:val="0"/>
          <w:numId w:val="2"/>
        </w:numPr>
      </w:pPr>
      <w:r>
        <w:t xml:space="preserve">All PII is encrypted at rest (full-disk encryption such as BitLocker or FileVault on every device that stores PII; encrypted drives for portable media) and in transit over external networks (TLS).</w:t>
      </w:r>
    </w:p>
    <w:p>
      <w:pPr>
        <w:pStyle w:val="ListParagraph"/>
        <w:numPr>
          <w:ilvl w:val="0"/>
          <w:numId w:val="2"/>
        </w:numPr>
      </w:pPr>
      <w:r>
        <w:rPr>
          <w:b/>
          <w:bCs/>
        </w:rPr>
        <w:t xml:space="preserve">PII is never sent as an unencrypted email attachment.</w:t>
      </w:r>
      <w:r>
        <w:t xml:space="preserve"> Documents containing PII are exchanged through the Firm's secure client portal </w:t>
      </w:r>
      <w:r>
        <w:rPr>
          <w:shd w:fill="FFF3C4" w:val="clear"/>
        </w:rPr>
        <w:t xml:space="preserve">[portal name/provider]</w:t>
      </w:r>
      <w:r>
        <w:t xml:space="preserve">, which encrypts files in transit and at rest and authenticates the recipient. If encryption of a specific item is infeasible, the DSC must review and approve, in writing, an effective compensating control before any alternative method is used, and any password is communicated out-of-stream (by phone or text, never in the same email).</w:t>
      </w:r>
    </w:p>
    <w:p>
      <w:pPr>
        <w:pStyle w:val="Heading2"/>
      </w:pPr>
      <w:r>
        <w:t xml:space="preserve">Network protection</w:t>
      </w:r>
    </w:p>
    <w:p>
      <w:pPr>
        <w:pStyle w:val="ListParagraph"/>
        <w:numPr>
          <w:ilvl w:val="0"/>
          <w:numId w:val="2"/>
        </w:numPr>
      </w:pPr>
      <w:r>
        <w:t xml:space="preserve">A firewall is maintained between the internet and the Firm's network; workstation software firewalls are enabled.</w:t>
      </w:r>
    </w:p>
    <w:p>
      <w:pPr>
        <w:pStyle w:val="ListParagraph"/>
        <w:numPr>
          <w:ilvl w:val="0"/>
          <w:numId w:val="2"/>
        </w:numPr>
      </w:pPr>
      <w:r>
        <w:t xml:space="preserve">Anti-virus/anti-malware runs on every device that touches PII and updates automatically.</w:t>
      </w:r>
    </w:p>
    <w:p>
      <w:pPr>
        <w:pStyle w:val="ListParagraph"/>
        <w:numPr>
          <w:ilvl w:val="0"/>
          <w:numId w:val="2"/>
        </w:numPr>
      </w:pPr>
      <w:r>
        <w:t xml:space="preserve">Operating system and application security patches are applied promptly; the DSC conducts a top-down review at least every </w:t>
      </w:r>
      <w:r>
        <w:rPr>
          <w:shd w:fill="FFF3C4" w:val="clear"/>
        </w:rPr>
        <w:t xml:space="preserve">[30 days]</w:t>
      </w:r>
      <w:r>
        <w:t xml:space="preserve">.</w:t>
      </w:r>
    </w:p>
    <w:p>
      <w:pPr>
        <w:pStyle w:val="ListParagraph"/>
        <w:numPr>
          <w:ilvl w:val="0"/>
          <w:numId w:val="2"/>
        </w:numPr>
      </w:pPr>
      <w:r>
        <w:t xml:space="preserve">Firm Wi-Fi uses strong encryption (WPA2/WPA3) with a non-default password; any guest Wi-Fi runs on a separate network. Default passwords on printers, routers, and other connected devices are changed at installation.</w:t>
      </w:r>
    </w:p>
    <w:p>
      <w:pPr>
        <w:pStyle w:val="Heading2"/>
      </w:pPr>
      <w:r>
        <w:t xml:space="preserve">Monitoring and logging</w:t>
      </w:r>
    </w:p>
    <w:p>
      <w:pPr>
        <w:spacing w:after="120"/>
      </w:pPr>
      <w:r>
        <w:rPr>
          <w:i w:val="false"/>
          <w:iCs w:val="false"/>
        </w:rPr>
        <w:t xml:space="preserve">Event logging is enabled on all systems containing PII. Systems are monitored for unauthorized access or use, and the DSC or IT provider reviews logs at intervals not to exceed </w:t>
      </w:r>
      <w:r>
        <w:rPr>
          <w:i w:val="false"/>
          <w:iCs w:val="false"/>
          <w:shd w:fill="FFF3C4" w:val="clear"/>
        </w:rPr>
        <w:t xml:space="preserve">[90 days]</w:t>
      </w:r>
      <w:r>
        <w:rPr>
          <w:i w:val="false"/>
          <w:iCs w:val="false"/>
        </w:rPr>
        <w:t xml:space="preserve">. Portal and tax-software access logs are included in this review.</w:t>
      </w:r>
    </w:p>
    <w:p>
      <w:pPr>
        <w:pStyle w:val="Heading2"/>
      </w:pPr>
      <w:r>
        <w:t xml:space="preserve">Secure development and new applications</w:t>
      </w:r>
    </w:p>
    <w:p>
      <w:pPr>
        <w:spacing w:after="120"/>
      </w:pPr>
      <w:r>
        <w:rPr>
          <w:i w:val="false"/>
          <w:iCs w:val="false"/>
        </w:rPr>
        <w:t xml:space="preserve">The Firm does not develop software in-house. </w:t>
      </w:r>
      <w:r>
        <w:rPr>
          <w:i w:val="false"/>
          <w:iCs w:val="false"/>
          <w:shd w:fill="FFF3C4" w:val="clear"/>
        </w:rPr>
        <w:t xml:space="preserve">[If it does: in-house applications that transmit, access, or store PII follow secure development practices documented by the DSC.]</w:t>
      </w:r>
      <w:r>
        <w:rPr>
          <w:i w:val="false"/>
          <w:iCs w:val="false"/>
        </w:rPr>
        <w:t xml:space="preserve"> Any new software or cloud application is evaluated and approved by the DSC or IT provider for security configuration before it is used with PII.</w:t>
      </w:r>
    </w:p>
    <w:p>
      <w:pPr>
        <w:pStyle w:val="Heading2"/>
      </w:pPr>
      <w:r>
        <w:t xml:space="preserve">Change management</w:t>
      </w:r>
    </w:p>
    <w:p>
      <w:pPr>
        <w:spacing w:after="120"/>
      </w:pPr>
      <w:r>
        <w:rPr>
          <w:i w:val="false"/>
          <w:iCs w:val="false"/>
        </w:rPr>
        <w:t xml:space="preserve">Changes to systems that store or process PII - new devices, new software, network changes, decommissioning - require DSC approval and are recorded in the hardware/software inventory (Attachment E). New devices are security-reviewed before joining the network; "AutoRun" is disabled on USB and optical drives; hard drives and memory devices removed from service are erased or physically destroyed.</w:t>
      </w:r>
    </w:p>
    <w:p>
      <w:pPr>
        <w:pStyle w:val="Heading2"/>
      </w:pPr>
      <w:r>
        <w:t xml:space="preserve">Remote access</w:t>
      </w:r>
    </w:p>
    <w:p>
      <w:pPr>
        <w:spacing w:after="120"/>
      </w:pPr>
      <w:r>
        <w:rPr>
          <w:i w:val="false"/>
          <w:iCs w:val="false"/>
        </w:rPr>
        <w:t xml:space="preserve">Remote access uses encrypted connections (VPN or equivalent) with MFA, and is limited to </w:t>
      </w:r>
      <w:r>
        <w:rPr>
          <w:i w:val="false"/>
          <w:iCs w:val="false"/>
          <w:shd w:fill="FFF3C4" w:val="clear"/>
        </w:rPr>
        <w:t xml:space="preserve">[staffed business hours unless approved by the DSC]</w:t>
      </w:r>
      <w:r>
        <w:rPr>
          <w:i w:val="false"/>
          <w:iCs w:val="false"/>
        </w:rPr>
        <w:t xml:space="preserve">. Client PII is not stored on personal devices.</w:t>
      </w:r>
    </w:p>
    <w:p>
      <w:pPr>
        <w:pStyle w:val="Heading1"/>
      </w:pPr>
      <w:r>
        <w:t xml:space="preserve">VIII. Testing and Monitoring of Safeguards</w:t>
      </w:r>
    </w:p>
    <w:p>
      <w:pPr>
        <w:spacing w:after="120"/>
      </w:pPr>
      <w:r>
        <w:rPr>
          <w:i w:val="false"/>
          <w:iCs w:val="false"/>
        </w:rPr>
        <w:t xml:space="preserve">The Firm regularly tests the effectiveness of the key controls above by </w:t>
      </w:r>
      <w:r>
        <w:rPr>
          <w:i w:val="false"/>
          <w:iCs w:val="false"/>
          <w:shd w:fill="FFF3C4" w:val="clear"/>
        </w:rPr>
        <w:t xml:space="preserve">[choose and complete one]</w:t>
      </w:r>
      <w:r>
        <w:rPr>
          <w:i w:val="false"/>
          <w:iCs w:val="false"/>
        </w:rPr>
        <w:t xml:space="preserve">:</w:t>
      </w:r>
    </w:p>
    <w:p>
      <w:pPr>
        <w:pStyle w:val="ListParagraph"/>
        <w:numPr>
          <w:ilvl w:val="0"/>
          <w:numId w:val="1"/>
        </w:numPr>
      </w:pPr>
      <w:r>
        <w:rPr>
          <w:b/>
          <w:bCs/>
        </w:rPr>
        <w:t xml:space="preserve">Continuous monitoring</w:t>
      </w:r>
      <w:r>
        <w:t xml:space="preserve"> of information systems via </w:t>
      </w:r>
      <w:r>
        <w:rPr>
          <w:shd w:fill="FFF3C4" w:val="clear"/>
        </w:rPr>
        <w:t xml:space="preserve">[monitoring service/tooling]</w:t>
      </w:r>
      <w:r>
        <w:t xml:space="preserve">, which detects on an ongoing basis changes that may create vulnerabilities; </w:t>
      </w:r>
      <w:r>
        <w:rPr>
          <w:b/>
          <w:bCs/>
        </w:rPr>
        <w:t xml:space="preserve">or</w:t>
      </w:r>
    </w:p>
    <w:p>
      <w:pPr>
        <w:pStyle w:val="ListParagraph"/>
        <w:numPr>
          <w:ilvl w:val="0"/>
          <w:numId w:val="1"/>
        </w:numPr>
      </w:pPr>
      <w:r>
        <w:rPr>
          <w:b/>
          <w:bCs/>
        </w:rPr>
        <w:t xml:space="preserve">Periodic testing:</w:t>
      </w:r>
      <w:r>
        <w:t xml:space="preserve"> annual penetration testing based on the risks identified in the risk assessment, plus vulnerability assessments/scans at least every six months, and additionally whenever operations change materially or the Firm learns of circumstances that may materially affect the program.</w:t>
      </w:r>
    </w:p>
    <w:p>
      <w:pPr>
        <w:spacing w:after="120"/>
      </w:pPr>
      <w:r>
        <w:rPr>
          <w:i w:val="false"/>
          <w:iCs w:val="false"/>
        </w:rPr>
        <w:t xml:space="preserve">Results are reported to the DSC, who documents remediation.</w:t>
      </w:r>
    </w:p>
    <w:p>
      <w:pPr>
        <w:pStyle w:val="Heading1"/>
      </w:pPr>
      <w:r>
        <w:t xml:space="preserve">IX. Service Provider Oversight</w:t>
      </w:r>
    </w:p>
    <w:p>
      <w:pPr>
        <w:spacing w:after="120"/>
      </w:pPr>
      <w:r>
        <w:rPr>
          <w:i w:val="false"/>
          <w:iCs w:val="false"/>
        </w:rPr>
        <w:t xml:space="preserve">For every service provider that receives, maintains, processes, or can otherwise access PII (tax software vendor, portal provider, cloud backup, IT support, shredding service, etc.), the Firm:</w:t>
      </w:r>
    </w:p>
    <w:p>
      <w:pPr>
        <w:pStyle w:val="ListParagraph"/>
        <w:numPr>
          <w:ilvl w:val="0"/>
          <w:numId w:val="2"/>
        </w:numPr>
      </w:pPr>
      <w:r>
        <w:t xml:space="preserve">Takes reasonable steps to select providers capable of maintaining appropriate safeguards - reviewing their security documentation </w:t>
      </w:r>
      <w:r>
        <w:rPr>
          <w:shd w:fill="FFF3C4" w:val="clear"/>
        </w:rPr>
        <w:t xml:space="preserve">[SOC 2 report, security page, or questionnaire]</w:t>
      </w:r>
      <w:r>
        <w:t xml:space="preserve"> before engagement;</w:t>
      </w:r>
    </w:p>
    <w:p>
      <w:pPr>
        <w:pStyle w:val="ListParagraph"/>
        <w:numPr>
          <w:ilvl w:val="0"/>
          <w:numId w:val="2"/>
        </w:numPr>
      </w:pPr>
      <w:r>
        <w:t xml:space="preserve">Requires by contract that the provider implement and maintain such safeguards; and</w:t>
      </w:r>
    </w:p>
    <w:p>
      <w:pPr>
        <w:pStyle w:val="ListParagraph"/>
        <w:numPr>
          <w:ilvl w:val="0"/>
          <w:numId w:val="2"/>
        </w:numPr>
      </w:pPr>
      <w:r>
        <w:t xml:space="preserve">Periodically reassesses each provider based on the risk it presents and the continued adequacy of its safeguards (</w:t>
      </w:r>
      <w:r>
        <w:rPr>
          <w:shd w:fill="FFF3C4" w:val="clear"/>
        </w:rPr>
        <w:t xml:space="preserve">[annually]</w:t>
      </w:r>
      <w:r>
        <w:t xml:space="preserve">, recorded by the DSC).</w:t>
      </w:r>
    </w:p>
    <w:p>
      <w:pPr>
        <w:spacing w:after="120"/>
      </w:pPr>
      <w:r>
        <w:rPr>
          <w:i w:val="false"/>
          <w:iCs w:val="false"/>
        </w:rPr>
        <w:t xml:space="preserve">Current providers with access to PII: </w:t>
      </w:r>
      <w:r>
        <w:rPr>
          <w:i w:val="false"/>
          <w:iCs w:val="false"/>
          <w:shd w:fill="FFF3C4" w:val="clear"/>
        </w:rPr>
        <w:t xml:space="preserve">[list provider, service, and date last assessed]</w:t>
      </w:r>
      <w:r>
        <w:rPr>
          <w:i w:val="false"/>
          <w:iCs w:val="false"/>
        </w:rPr>
        <w:t xml:space="preserve">.</w:t>
      </w:r>
    </w:p>
    <w:p>
      <w:pPr>
        <w:pStyle w:val="Heading1"/>
      </w:pPr>
      <w:r>
        <w:t xml:space="preserve">X. Employee Training</w:t>
      </w:r>
    </w:p>
    <w:p>
      <w:pPr>
        <w:spacing w:after="120"/>
      </w:pPr>
      <w:r>
        <w:rPr>
          <w:i w:val="false"/>
          <w:iCs w:val="false"/>
        </w:rPr>
        <w:t xml:space="preserve">All personnel receive security awareness training before being granted access to PII, and refresher training at least </w:t>
      </w:r>
      <w:r>
        <w:rPr>
          <w:i w:val="false"/>
          <w:iCs w:val="false"/>
          <w:shd w:fill="FFF3C4" w:val="clear"/>
        </w:rPr>
        <w:t xml:space="preserve">[annually]</w:t>
      </w:r>
      <w:r>
        <w:rPr>
          <w:i w:val="false"/>
          <w:iCs w:val="false"/>
        </w:rPr>
        <w:t xml:space="preserve">. Training is updated to reflect the risks identified in the current risk assessment (e.g., new phishing patterns targeting tax practices during filing season). The Firm's information security is managed by qualified personnel - </w:t>
      </w:r>
      <w:r>
        <w:rPr>
          <w:i w:val="false"/>
          <w:iCs w:val="false"/>
          <w:shd w:fill="FFF3C4" w:val="clear"/>
        </w:rPr>
        <w:t xml:space="preserve">[the DSC / the Firm's IT provider]</w:t>
      </w:r>
      <w:r>
        <w:rPr>
          <w:i w:val="false"/>
          <w:iCs w:val="false"/>
        </w:rPr>
        <w:t xml:space="preserve"> - who maintain current knowledge of threats and countermeasures through </w:t>
      </w:r>
      <w:r>
        <w:rPr>
          <w:i w:val="false"/>
          <w:iCs w:val="false"/>
          <w:shd w:fill="FFF3C4" w:val="clear"/>
        </w:rPr>
        <w:t xml:space="preserve">[IRS e-News for Tax Professionals, Security Summit alerts, vendor advisories, continuing education]</w:t>
      </w:r>
      <w:r>
        <w:rPr>
          <w:i w:val="false"/>
          <w:iCs w:val="false"/>
        </w:rPr>
        <w:t xml:space="preserve">. Attendance and acknowledgments are documented (Attachment D).</w:t>
      </w:r>
    </w:p>
    <w:p>
      <w:pPr>
        <w:pStyle w:val="Heading1"/>
      </w:pPr>
      <w:r>
        <w:t xml:space="preserve">XI. Incident Response Plan</w:t>
      </w:r>
    </w:p>
    <w:p>
      <w:pPr>
        <w:spacing w:after="120"/>
      </w:pPr>
      <w:r>
        <w:rPr>
          <w:b/>
          <w:bCs/>
          <w:i w:val="false"/>
          <w:iCs w:val="false"/>
        </w:rPr>
        <w:t xml:space="preserve">Goals:</w:t>
      </w:r>
      <w:r>
        <w:rPr>
          <w:i w:val="false"/>
          <w:iCs w:val="false"/>
        </w:rPr>
        <w:t xml:space="preserve"> contain any security event quickly, protect affected clients, restore normal operations, meet every notification obligation, and learn from the event.</w:t>
      </w:r>
    </w:p>
    <w:p>
      <w:pPr>
        <w:spacing w:after="120"/>
      </w:pPr>
      <w:r>
        <w:rPr>
          <w:b/>
          <w:bCs/>
          <w:i w:val="false"/>
          <w:iCs w:val="false"/>
        </w:rPr>
        <w:t xml:space="preserve">Internal response process:</w:t>
      </w:r>
    </w:p>
    <w:p>
      <w:pPr>
        <w:pStyle w:val="ListParagraph"/>
        <w:numPr>
          <w:ilvl w:val="0"/>
          <w:numId w:val="2"/>
        </w:numPr>
      </w:pPr>
      <w:r>
        <w:t xml:space="preserve">Any employee who suspects a security event reports it to the DSC immediately.</w:t>
      </w:r>
    </w:p>
    <w:p>
      <w:pPr>
        <w:pStyle w:val="ListParagraph"/>
        <w:numPr>
          <w:ilvl w:val="0"/>
          <w:numId w:val="2"/>
        </w:numPr>
      </w:pPr>
      <w:r>
        <w:t xml:space="preserve">The DSC contains the event (isolate affected systems, disable compromised credentials, engage IT support </w:t>
      </w:r>
      <w:r>
        <w:rPr>
          <w:shd w:fill="FFF3C4" w:val="clear"/>
        </w:rPr>
        <w:t xml:space="preserve">[provider name/contact]</w:t>
      </w:r>
      <w:r>
        <w:t xml:space="preserve">).</w:t>
      </w:r>
    </w:p>
    <w:p>
      <w:pPr>
        <w:pStyle w:val="ListParagraph"/>
        <w:numPr>
          <w:ilvl w:val="0"/>
          <w:numId w:val="2"/>
        </w:numPr>
      </w:pPr>
      <w:r>
        <w:t xml:space="preserve">The DSC investigates scope: what information, which clients, what date range.</w:t>
      </w:r>
    </w:p>
    <w:p>
      <w:pPr>
        <w:pStyle w:val="ListParagraph"/>
        <w:numPr>
          <w:ilvl w:val="0"/>
          <w:numId w:val="2"/>
        </w:numPr>
      </w:pPr>
      <w:r>
        <w:t xml:space="preserve">The DSC documents every step, decision, and communication in an incident log.</w:t>
      </w:r>
    </w:p>
    <w:p>
      <w:pPr>
        <w:spacing w:after="120"/>
      </w:pPr>
      <w:r>
        <w:rPr>
          <w:b/>
          <w:bCs/>
          <w:i w:val="false"/>
          <w:iCs w:val="false"/>
        </w:rPr>
        <w:t xml:space="preserve">Roles and authority:</w:t>
      </w:r>
      <w:r>
        <w:rPr>
          <w:i w:val="false"/>
          <w:iCs w:val="false"/>
        </w:rPr>
        <w:t xml:space="preserve"> the DSC directs the technical response and has authority to take systems offline; the PIO handles all external communications; </w:t>
      </w:r>
      <w:r>
        <w:rPr>
          <w:i w:val="false"/>
          <w:iCs w:val="false"/>
          <w:shd w:fill="FFF3C4" w:val="clear"/>
        </w:rPr>
        <w:t xml:space="preserve">[Principal name]</w:t>
      </w:r>
      <w:r>
        <w:rPr>
          <w:i w:val="false"/>
          <w:iCs w:val="false"/>
        </w:rPr>
        <w:t xml:space="preserve"> approves client notifications and any engagement of counsel or forensic services.</w:t>
      </w:r>
    </w:p>
    <w:p>
      <w:pPr>
        <w:spacing w:after="120"/>
      </w:pPr>
      <w:r>
        <w:rPr>
          <w:b/>
          <w:bCs/>
          <w:i w:val="false"/>
          <w:iCs w:val="false"/>
        </w:rPr>
        <w:t xml:space="preserve">External notifications</w:t>
      </w:r>
      <w:r>
        <w:rPr>
          <w:i w:val="false"/>
          <w:iCs w:val="false"/>
        </w:rPr>
        <w:t xml:space="preserve"> (as applicable to the event):</w:t>
      </w:r>
    </w:p>
    <w:p>
      <w:pPr>
        <w:pStyle w:val="ListParagraph"/>
        <w:numPr>
          <w:ilvl w:val="0"/>
          <w:numId w:val="1"/>
        </w:numPr>
      </w:pPr>
      <w:r>
        <w:rPr>
          <w:b/>
          <w:bCs/>
        </w:rPr>
        <w:t xml:space="preserve">IRS:</w:t>
      </w:r>
      <w:r>
        <w:t xml:space="preserve"> report data theft to the Firm's IRS Stakeholder Liaison promptly (within 24 hours if e-file/EFIN data may be involved).</w:t>
      </w:r>
    </w:p>
    <w:p>
      <w:pPr>
        <w:pStyle w:val="ListParagraph"/>
        <w:numPr>
          <w:ilvl w:val="0"/>
          <w:numId w:val="1"/>
        </w:numPr>
      </w:pPr>
      <w:r>
        <w:rPr>
          <w:b/>
          <w:bCs/>
        </w:rPr>
        <w:t xml:space="preserve">FTC:</w:t>
      </w:r>
      <w:r>
        <w:t xml:space="preserve"> if unencrypted customer information of </w:t>
      </w:r>
      <w:r>
        <w:rPr>
          <w:b/>
          <w:bCs/>
        </w:rPr>
        <w:t xml:space="preserve">500 or more consumers</w:t>
      </w:r>
      <w:r>
        <w:t xml:space="preserve"> is acquired without authorization, notify the FTC through its Safeguards Rule Security Event Reporting Form as soon as possible and </w:t>
      </w:r>
      <w:r>
        <w:rPr>
          <w:b/>
          <w:bCs/>
        </w:rPr>
        <w:t xml:space="preserve">no later than 30 days after discovery</w:t>
      </w:r>
      <w:r>
        <w:t xml:space="preserve">.</w:t>
      </w:r>
    </w:p>
    <w:p>
      <w:pPr>
        <w:pStyle w:val="ListParagraph"/>
        <w:numPr>
          <w:ilvl w:val="0"/>
          <w:numId w:val="1"/>
        </w:numPr>
      </w:pPr>
      <w:r>
        <w:rPr>
          <w:b/>
          <w:bCs/>
        </w:rPr>
        <w:t xml:space="preserve">States:</w:t>
      </w:r>
      <w:r>
        <w:t xml:space="preserve"> state tax agencies and the state Attorney General as required by applicable state breach-notification law.</w:t>
      </w:r>
    </w:p>
    <w:p>
      <w:pPr>
        <w:pStyle w:val="ListParagraph"/>
        <w:numPr>
          <w:ilvl w:val="0"/>
          <w:numId w:val="1"/>
        </w:numPr>
      </w:pPr>
      <w:r>
        <w:rPr>
          <w:b/>
          <w:bCs/>
        </w:rPr>
        <w:t xml:space="preserve">Law enforcement:</w:t>
      </w:r>
      <w:r>
        <w:t xml:space="preserve"> local police and, for cybercrime, the FBI's Internet Crime Complaint Center (IC3).</w:t>
      </w:r>
    </w:p>
    <w:p>
      <w:pPr>
        <w:pStyle w:val="ListParagraph"/>
        <w:numPr>
          <w:ilvl w:val="0"/>
          <w:numId w:val="1"/>
        </w:numPr>
      </w:pPr>
      <w:r>
        <w:rPr>
          <w:b/>
          <w:bCs/>
        </w:rPr>
        <w:t xml:space="preserve">Others:</w:t>
      </w:r>
      <w:r>
        <w:t xml:space="preserve"> tax software vendor, cyber liability insurer </w:t>
      </w:r>
      <w:r>
        <w:rPr>
          <w:shd w:fill="FFF3C4" w:val="clear"/>
        </w:rPr>
        <w:t xml:space="preserve">[carrier/policy number]</w:t>
      </w:r>
      <w:r>
        <w:t xml:space="preserve">, legal counsel, and affected clients, so they can protect their identity and credit.</w:t>
      </w:r>
    </w:p>
    <w:p>
      <w:pPr>
        <w:spacing w:after="120"/>
      </w:pPr>
      <w:r>
        <w:rPr>
          <w:b/>
          <w:bCs/>
          <w:i w:val="false"/>
          <w:iCs w:val="false"/>
        </w:rPr>
        <w:t xml:space="preserve">Remediation and follow-up:</w:t>
      </w:r>
      <w:r>
        <w:rPr>
          <w:i w:val="false"/>
          <w:iCs w:val="false"/>
        </w:rPr>
        <w:t xml:space="preserve"> identified weaknesses are remediated on a documented timeline; the DSC conducts a post-incident review and revises this WISP and the incident response plan as needed. Detailed procedures are at Attachment C.</w:t>
      </w:r>
    </w:p>
    <w:p>
      <w:pPr>
        <w:pStyle w:val="Heading1"/>
      </w:pPr>
      <w:r>
        <w:t xml:space="preserve">XII. Program Evaluation and Annual Report</w:t>
      </w:r>
    </w:p>
    <w:p>
      <w:pPr>
        <w:spacing w:after="120"/>
      </w:pPr>
      <w:r>
        <w:rPr>
          <w:i w:val="false"/>
          <w:iCs w:val="false"/>
        </w:rPr>
        <w:t xml:space="preserve">The DSC evaluates and adjusts this information security program in light of: the results of the testing and monitoring in Section VIII; any material changes to the Firm's operations or business arrangements; the results of risk reassessments; and any other circumstances known to have a material impact on the program.</w:t>
      </w:r>
    </w:p>
    <w:p>
      <w:pPr>
        <w:spacing w:after="120"/>
      </w:pPr>
      <w:r>
        <w:rPr>
          <w:i w:val="false"/>
          <w:iCs w:val="false"/>
        </w:rPr>
        <w:t xml:space="preserve">The DSC reports </w:t>
      </w:r>
      <w:r>
        <w:rPr>
          <w:b/>
          <w:bCs/>
          <w:i w:val="false"/>
          <w:iCs w:val="false"/>
        </w:rPr>
        <w:t xml:space="preserve">in writing, at least annually</w:t>
      </w:r>
      <w:r>
        <w:rPr>
          <w:i w:val="false"/>
          <w:iCs w:val="false"/>
        </w:rPr>
        <w:t xml:space="preserve">, to </w:t>
      </w:r>
      <w:r>
        <w:rPr>
          <w:i w:val="false"/>
          <w:iCs w:val="false"/>
          <w:shd w:fill="FFF3C4" w:val="clear"/>
        </w:rPr>
        <w:t xml:space="preserve">[the Firm's governing body / the principal owner]</w:t>
      </w:r>
      <w:r>
        <w:rPr>
          <w:i w:val="false"/>
          <w:iCs w:val="false"/>
        </w:rPr>
        <w:t xml:space="preserve">. The report covers the overall status of the program and compliance with the Safeguards Rule, plus material matters: risk assessment results, risk management decisions, service provider arrangements, testing results, any security events and management's response, and recommended changes to the program.</w:t>
      </w:r>
    </w:p>
    <w:p>
      <w:pPr>
        <w:pStyle w:val="Heading1"/>
      </w:pPr>
      <w:r>
        <w:t xml:space="preserve">XIII. Implementation</w:t>
      </w:r>
    </w:p>
    <w:p>
      <w:pPr>
        <w:spacing w:after="120"/>
      </w:pPr>
      <w:r>
        <w:rPr>
          <w:i w:val="false"/>
          <w:iCs w:val="false"/>
        </w:rPr>
        <w:t xml:space="preserve">Effective </w:t>
      </w:r>
      <w:r>
        <w:rPr>
          <w:i w:val="false"/>
          <w:iCs w:val="false"/>
          <w:shd w:fill="FFF3C4" w:val="clear"/>
        </w:rPr>
        <w:t xml:space="preserve">[date of implementation]</w:t>
      </w:r>
      <w:r>
        <w:rPr>
          <w:i w:val="false"/>
          <w:iCs w:val="false"/>
        </w:rPr>
        <w:t xml:space="preserve">, </w:t>
      </w:r>
      <w:r>
        <w:rPr>
          <w:i w:val="false"/>
          <w:iCs w:val="false"/>
          <w:shd w:fill="FFF3C4" w:val="clear"/>
        </w:rPr>
        <w:t xml:space="preserve">[Your Firm Name]</w:t>
      </w:r>
      <w:r>
        <w:rPr>
          <w:i w:val="false"/>
          <w:iCs w:val="false"/>
        </w:rPr>
        <w:t xml:space="preserve"> has adopted this Written Information Security Plan in compliance with the Gramm-Leach-Bliley Act and the Federal Trade Commission Safeguards Rule (16 CFR Part 314), including its 2021 amendments and the 2023 breach reporting requirement.</w:t>
      </w:r>
    </w:p>
    <w:p>
      <w:pPr>
        <w:spacing w:after="120"/>
      </w:pPr>
      <w:r>
        <w:rPr>
          <w:i w:val="false"/>
          <w:iCs w:val="false"/>
        </w:rPr>
        <w:t xml:space="preserve">Signed: ______________________________ Date: ____________ </w:t>
      </w:r>
      <w:r>
        <w:rPr>
          <w:i w:val="false"/>
          <w:iCs w:val="false"/>
          <w:shd w:fill="FFF3C4" w:val="clear"/>
        </w:rPr>
        <w:t xml:space="preserve">[Name]</w:t>
      </w:r>
      <w:r>
        <w:rPr>
          <w:i w:val="false"/>
          <w:iCs w:val="false"/>
        </w:rPr>
        <w:t xml:space="preserve">, Principal / Owner</w:t>
      </w:r>
    </w:p>
    <w:p>
      <w:pPr>
        <w:spacing w:after="120"/>
      </w:pPr>
      <w:r>
        <w:rPr>
          <w:i w:val="false"/>
          <w:iCs w:val="false"/>
        </w:rPr>
        <w:t xml:space="preserve">Signed: ______________________________ Date: ____________ </w:t>
      </w:r>
      <w:r>
        <w:rPr>
          <w:i w:val="false"/>
          <w:iCs w:val="false"/>
          <w:shd w:fill="FFF3C4" w:val="clear"/>
        </w:rPr>
        <w:t xml:space="preserve">[Name]</w:t>
      </w:r>
      <w:r>
        <w:rPr>
          <w:i w:val="false"/>
          <w:iCs w:val="false"/>
        </w:rPr>
        <w:t xml:space="preserve">, Data Security Coordinator</w:t>
      </w:r>
    </w:p>
    <w:p>
      <w:pPr>
        <w:pStyle w:val="Heading1"/>
      </w:pPr>
      <w:r>
        <w:t xml:space="preserve">Attachment A: Record Retention Policy</w:t>
      </w:r>
    </w:p>
    <w:p>
      <w:pPr>
        <w:spacing w:after="120"/>
      </w:pPr>
      <w:r>
        <w:rPr>
          <w:i w:val="false"/>
          <w:iCs w:val="false"/>
        </w:rPr>
        <w:t xml:space="preserve">It is Firm policy to retain no PII records longer than required by current regulations, professional standards, or documented business needs.</w:t>
      </w:r>
    </w:p>
    <w:p>
      <w:pPr>
        <w:pStyle w:val="ListParagraph"/>
        <w:numPr>
          <w:ilvl w:val="0"/>
          <w:numId w:val="2"/>
        </w:numPr>
      </w:pPr>
      <w:r>
        <w:t xml:space="preserve">Retention periods: </w:t>
      </w:r>
      <w:r>
        <w:rPr>
          <w:shd w:fill="FFF3C4" w:val="clear"/>
        </w:rPr>
        <w:t xml:space="preserve">[e.g., client tax returns and supporting workpapers - 7 years; payroll records - 4 years; engagement letters - 7 years after engagement ends; employee records - per state law]</w:t>
      </w:r>
      <w:r>
        <w:t xml:space="preserve">. In no case are records containing PII kept longer than </w:t>
      </w:r>
      <w:r>
        <w:rPr>
          <w:shd w:fill="FFF3C4" w:val="clear"/>
        </w:rPr>
        <w:t xml:space="preserve">[X]</w:t>
      </w:r>
      <w:r>
        <w:t xml:space="preserve"> years beyond their retention period.</w:t>
      </w:r>
    </w:p>
    <w:p>
      <w:pPr>
        <w:pStyle w:val="ListParagraph"/>
        <w:numPr>
          <w:ilvl w:val="0"/>
          <w:numId w:val="2"/>
        </w:numPr>
      </w:pPr>
      <w:r>
        <w:t xml:space="preserve">Paper records are destroyed by cross-cut shredding or incineration at the end of their service life.</w:t>
      </w:r>
    </w:p>
    <w:p>
      <w:pPr>
        <w:pStyle w:val="ListParagraph"/>
        <w:numPr>
          <w:ilvl w:val="0"/>
          <w:numId w:val="2"/>
        </w:numPr>
      </w:pPr>
      <w:r>
        <w:t xml:space="preserve">Electronic records are securely deleted (overwritten) or the media destroyed/rendered inoperable at end of life.</w:t>
      </w:r>
    </w:p>
    <w:p>
      <w:pPr>
        <w:pStyle w:val="Heading1"/>
      </w:pPr>
      <w:r>
        <w:t xml:space="preserve">Attachment B: Rules of Behavior for Safeguarding Client PII</w:t>
      </w:r>
    </w:p>
    <w:p>
      <w:pPr>
        <w:spacing w:after="120"/>
      </w:pPr>
      <w:r>
        <w:rPr>
          <w:i w:val="false"/>
          <w:iCs w:val="false"/>
        </w:rPr>
        <w:t xml:space="preserve">All personnel agree to the following, reviewed in annual training:</w:t>
      </w:r>
    </w:p>
    <w:p>
      <w:pPr>
        <w:pStyle w:val="ListParagraph"/>
        <w:numPr>
          <w:ilvl w:val="0"/>
          <w:numId w:val="1"/>
        </w:numPr>
      </w:pPr>
      <w:r>
        <w:t xml:space="preserve">Do not click links or open attachments you were not expecting; verify unusual requests by phone. Report suspected phishing to the DSC.</w:t>
      </w:r>
    </w:p>
    <w:p>
      <w:pPr>
        <w:pStyle w:val="ListParagraph"/>
        <w:numPr>
          <w:ilvl w:val="0"/>
          <w:numId w:val="1"/>
        </w:numPr>
      </w:pPr>
      <w:r>
        <w:t xml:space="preserve">Use separate business and personal devices, accounts, and email. Never send business PII to personal email.</w:t>
      </w:r>
    </w:p>
    <w:p>
      <w:pPr>
        <w:pStyle w:val="ListParagraph"/>
        <w:numPr>
          <w:ilvl w:val="0"/>
          <w:numId w:val="1"/>
        </w:numPr>
      </w:pPr>
      <w:r>
        <w:t xml:space="preserve">Do not connect personal or unknown USB drives or hardware to Firm systems.</w:t>
      </w:r>
    </w:p>
    <w:p>
      <w:pPr>
        <w:pStyle w:val="ListParagraph"/>
        <w:numPr>
          <w:ilvl w:val="0"/>
          <w:numId w:val="1"/>
        </w:numPr>
      </w:pPr>
      <w:r>
        <w:t xml:space="preserve">Download software only with DSC/IT approval.</w:t>
      </w:r>
    </w:p>
    <w:p>
      <w:pPr>
        <w:pStyle w:val="ListParagraph"/>
        <w:numPr>
          <w:ilvl w:val="0"/>
          <w:numId w:val="1"/>
        </w:numPr>
      </w:pPr>
      <w:r>
        <w:t xml:space="preserve">Never give out usernames, passwords, or system details in response to unsolicited calls or emails - no legitimate vendor asks for them.</w:t>
      </w:r>
    </w:p>
    <w:p>
      <w:pPr>
        <w:pStyle w:val="ListParagraph"/>
        <w:numPr>
          <w:ilvl w:val="0"/>
          <w:numId w:val="1"/>
        </w:numPr>
      </w:pPr>
      <w:r>
        <w:t xml:space="preserve">Use strong, unique passwords (12+ characters); never reuse Firm passwords on other sites; use the Firm-approved password manager </w:t>
      </w:r>
      <w:r>
        <w:rPr>
          <w:shd w:fill="FFF3C4" w:val="clear"/>
        </w:rPr>
        <w:t xml:space="preserve">[name]</w:t>
      </w:r>
      <w:r>
        <w:t xml:space="preserve">.</w:t>
      </w:r>
    </w:p>
    <w:p>
      <w:pPr>
        <w:pStyle w:val="ListParagraph"/>
        <w:numPr>
          <w:ilvl w:val="0"/>
          <w:numId w:val="1"/>
        </w:numPr>
      </w:pPr>
      <w:r>
        <w:t xml:space="preserve">Exchange client documents only through the Firm's secure portal - never as plain email attachments.</w:t>
      </w:r>
    </w:p>
    <w:p>
      <w:pPr>
        <w:pStyle w:val="ListParagraph"/>
        <w:numPr>
          <w:ilvl w:val="0"/>
          <w:numId w:val="1"/>
        </w:numPr>
      </w:pPr>
      <w:r>
        <w:t xml:space="preserve">Lock your screen when you step away; clear your desk of client papers at day's end.</w:t>
      </w:r>
    </w:p>
    <w:p>
      <w:pPr>
        <w:pStyle w:val="Heading1"/>
      </w:pPr>
      <w:r>
        <w:t xml:space="preserve">Attachment C: Security Breach Procedures and Notification Contacts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shd w:fill="EEF2FB" w:val="clear"/>
            <w:tcMar>
              <w:top w:type="dxa" w:w="60"/>
              <w:left w:type="dxa" w:w="100"/>
              <w:bottom w:type="dxa" w:w="60"/>
              <w:right w:type="dxa" w:w="100"/>
            </w:tcMar>
          </w:tcPr>
          <w:p>
            <w:r>
              <w:rPr>
                <w:b/>
                <w:bCs/>
              </w:rPr>
              <w:t xml:space="preserve">Contact</w:t>
            </w:r>
          </w:p>
        </w:tc>
        <w:tc>
          <w:tcPr>
            <w:shd w:fill="EEF2FB" w:val="clear"/>
            <w:tcMar>
              <w:top w:type="dxa" w:w="60"/>
              <w:left w:type="dxa" w:w="100"/>
              <w:bottom w:type="dxa" w:w="60"/>
              <w:right w:type="dxa" w:w="100"/>
            </w:tcMar>
          </w:tcPr>
          <w:p>
            <w:r>
              <w:rPr>
                <w:b/>
                <w:bCs/>
              </w:rPr>
              <w:t xml:space="preserve">Who / Where</w:t>
            </w:r>
          </w:p>
        </w:tc>
        <w:tc>
          <w:tcPr>
            <w:shd w:fill="EEF2FB" w:val="clear"/>
            <w:tcMar>
              <w:top w:type="dxa" w:w="60"/>
              <w:left w:type="dxa" w:w="100"/>
              <w:bottom w:type="dxa" w:w="60"/>
              <w:right w:type="dxa" w:w="100"/>
            </w:tcMar>
          </w:tcPr>
          <w:p>
            <w:r>
              <w:rPr>
                <w:b/>
                <w:bCs/>
              </w:rPr>
              <w:t xml:space="preserve">Phone / URL</w:t>
            </w:r>
          </w:p>
        </w:tc>
      </w:tr>
      <w:tr>
        <w:tc>
          <w:tcPr>
            <w:tcMar>
              <w:top w:type="dxa" w:w="60"/>
              <w:left w:type="dxa" w:w="100"/>
              <w:bottom w:type="dxa" w:w="60"/>
              <w:right w:type="dxa" w:w="100"/>
            </w:tcMar>
          </w:tcPr>
          <w:p>
            <w:r>
              <w:rPr>
                <w:b w:val="false"/>
                <w:bCs w:val="false"/>
              </w:rPr>
              <w:t xml:space="preserve">Data Security Coordinator</w:t>
            </w:r>
          </w:p>
        </w:tc>
        <w:tc>
          <w:tcPr>
            <w:tcMar>
              <w:top w:type="dxa" w:w="60"/>
              <w:left w:type="dxa" w:w="100"/>
              <w:bottom w:type="dxa" w:w="60"/>
              <w:right w:type="dxa" w:w="100"/>
            </w:tcMar>
          </w:tcPr>
          <w:p>
            <w:r>
              <w:rPr>
                <w:b w:val="false"/>
                <w:bCs w:val="false"/>
                <w:shd w:fill="FFF3C4" w:val="clear"/>
              </w:rPr>
              <w:t xml:space="preserve">[Name]</w:t>
            </w:r>
          </w:p>
        </w:tc>
        <w:tc>
          <w:tcPr>
            <w:tcMar>
              <w:top w:type="dxa" w:w="60"/>
              <w:left w:type="dxa" w:w="100"/>
              <w:bottom w:type="dxa" w:w="60"/>
              <w:right w:type="dxa" w:w="100"/>
            </w:tcMar>
          </w:tcPr>
          <w:p>
            <w:r>
              <w:rPr>
                <w:b w:val="false"/>
                <w:bCs w:val="false"/>
                <w:shd w:fill="FFF3C4" w:val="clear"/>
              </w:rPr>
              <w:t xml:space="preserve">[phone / email]</w:t>
            </w:r>
          </w:p>
        </w:tc>
      </w:tr>
      <w:tr>
        <w:tc>
          <w:tcPr>
            <w:tcMar>
              <w:top w:type="dxa" w:w="60"/>
              <w:left w:type="dxa" w:w="100"/>
              <w:bottom w:type="dxa" w:w="60"/>
              <w:right w:type="dxa" w:w="100"/>
            </w:tcMar>
          </w:tcPr>
          <w:p>
            <w:r>
              <w:rPr>
                <w:b w:val="false"/>
                <w:bCs w:val="false"/>
              </w:rPr>
              <w:t xml:space="preserve">IT support</w:t>
            </w:r>
          </w:p>
        </w:tc>
        <w:tc>
          <w:tcPr>
            <w:tcMar>
              <w:top w:type="dxa" w:w="60"/>
              <w:left w:type="dxa" w:w="100"/>
              <w:bottom w:type="dxa" w:w="60"/>
              <w:right w:type="dxa" w:w="100"/>
            </w:tcMar>
          </w:tcPr>
          <w:p>
            <w:r>
              <w:rPr>
                <w:b w:val="false"/>
                <w:bCs w:val="false"/>
                <w:shd w:fill="FFF3C4" w:val="clear"/>
              </w:rPr>
              <w:t xml:space="preserve">[Provider]</w:t>
            </w:r>
          </w:p>
        </w:tc>
        <w:tc>
          <w:tcPr>
            <w:tcMar>
              <w:top w:type="dxa" w:w="60"/>
              <w:left w:type="dxa" w:w="100"/>
              <w:bottom w:type="dxa" w:w="60"/>
              <w:right w:type="dxa" w:w="100"/>
            </w:tcMar>
          </w:tcPr>
          <w:p>
            <w:r>
              <w:rPr>
                <w:b w:val="false"/>
                <w:bCs w:val="false"/>
                <w:shd w:fill="FFF3C4" w:val="clear"/>
              </w:rPr>
              <w:t xml:space="preserve">[phone]</w:t>
            </w:r>
          </w:p>
        </w:tc>
      </w:tr>
      <w:tr>
        <w:tc>
          <w:tcPr>
            <w:tcMar>
              <w:top w:type="dxa" w:w="60"/>
              <w:left w:type="dxa" w:w="100"/>
              <w:bottom w:type="dxa" w:w="60"/>
              <w:right w:type="dxa" w:w="100"/>
            </w:tcMar>
          </w:tcPr>
          <w:p>
            <w:r>
              <w:rPr>
                <w:b w:val="false"/>
                <w:bCs w:val="false"/>
              </w:rPr>
              <w:t xml:space="preserve">IRS Stakeholder Liaison</w:t>
            </w:r>
          </w:p>
        </w:tc>
        <w:tc>
          <w:tcPr>
            <w:tcMar>
              <w:top w:type="dxa" w:w="60"/>
              <w:left w:type="dxa" w:w="100"/>
              <w:bottom w:type="dxa" w:w="60"/>
              <w:right w:type="dxa" w:w="100"/>
            </w:tcMar>
          </w:tcPr>
          <w:p>
            <w:r>
              <w:rPr>
                <w:b w:val="false"/>
                <w:bCs w:val="false"/>
                <w:shd w:fill="FFF3C4" w:val="clear"/>
              </w:rPr>
              <w:t xml:space="preserve">[state liaison]</w:t>
            </w:r>
          </w:p>
        </w:tc>
        <w:tc>
          <w:tcPr>
            <w:tcMar>
              <w:top w:type="dxa" w:w="60"/>
              <w:left w:type="dxa" w:w="100"/>
              <w:bottom w:type="dxa" w:w="60"/>
              <w:right w:type="dxa" w:w="100"/>
            </w:tcMar>
          </w:tcPr>
          <w:p>
            <w:r>
              <w:rPr>
                <w:b w:val="false"/>
                <w:bCs w:val="false"/>
              </w:rPr>
              <w:t xml:space="preserve">irs.gov "Stakeholder Liaison local contacts"</w:t>
            </w:r>
          </w:p>
        </w:tc>
      </w:tr>
      <w:tr>
        <w:tc>
          <w:tcPr>
            <w:tcMar>
              <w:top w:type="dxa" w:w="60"/>
              <w:left w:type="dxa" w:w="100"/>
              <w:bottom w:type="dxa" w:w="60"/>
              <w:right w:type="dxa" w:w="100"/>
            </w:tcMar>
          </w:tcPr>
          <w:p>
            <w:r>
              <w:rPr>
                <w:b w:val="false"/>
                <w:bCs w:val="false"/>
              </w:rPr>
              <w:t xml:space="preserve">FTC Safeguards reporting</w:t>
            </w:r>
          </w:p>
        </w:tc>
        <w:tc>
          <w:tcPr>
            <w:tcMar>
              <w:top w:type="dxa" w:w="60"/>
              <w:left w:type="dxa" w:w="100"/>
              <w:bottom w:type="dxa" w:w="60"/>
              <w:right w:type="dxa" w:w="100"/>
            </w:tcMar>
          </w:tcPr>
          <w:p>
            <w:r>
              <w:rPr>
                <w:b w:val="false"/>
                <w:bCs w:val="false"/>
              </w:rPr>
              <w:t xml:space="preserve">FTC online form</w:t>
            </w:r>
          </w:p>
        </w:tc>
        <w:tc>
          <w:tcPr>
            <w:tcMar>
              <w:top w:type="dxa" w:w="60"/>
              <w:left w:type="dxa" w:w="100"/>
              <w:bottom w:type="dxa" w:w="60"/>
              <w:right w:type="dxa" w:w="100"/>
            </w:tcMar>
          </w:tcPr>
          <w:p>
            <w:r>
              <w:rPr>
                <w:b w:val="false"/>
                <w:bCs w:val="false"/>
              </w:rPr>
              <w:t xml:space="preserve">ftc.gov (Safeguards Rule Security Event Reporting Form)</w:t>
            </w:r>
          </w:p>
        </w:tc>
      </w:tr>
      <w:tr>
        <w:tc>
          <w:tcPr>
            <w:tcMar>
              <w:top w:type="dxa" w:w="60"/>
              <w:left w:type="dxa" w:w="100"/>
              <w:bottom w:type="dxa" w:w="60"/>
              <w:right w:type="dxa" w:w="100"/>
            </w:tcMar>
          </w:tcPr>
          <w:p>
            <w:r>
              <w:rPr>
                <w:b w:val="false"/>
                <w:bCs w:val="false"/>
              </w:rPr>
              <w:t xml:space="preserve">State Attorney General</w:t>
            </w:r>
          </w:p>
        </w:tc>
        <w:tc>
          <w:tcPr>
            <w:tcMar>
              <w:top w:type="dxa" w:w="60"/>
              <w:left w:type="dxa" w:w="100"/>
              <w:bottom w:type="dxa" w:w="60"/>
              <w:right w:type="dxa" w:w="100"/>
            </w:tcMar>
          </w:tcPr>
          <w:p>
            <w:r>
              <w:rPr>
                <w:b w:val="false"/>
                <w:bCs w:val="false"/>
                <w:shd w:fill="FFF3C4" w:val="clear"/>
              </w:rPr>
              <w:t xml:space="preserve">[state]</w:t>
            </w:r>
          </w:p>
        </w:tc>
        <w:tc>
          <w:tcPr>
            <w:tcMar>
              <w:top w:type="dxa" w:w="60"/>
              <w:left w:type="dxa" w:w="100"/>
              <w:bottom w:type="dxa" w:w="60"/>
              <w:right w:type="dxa" w:w="100"/>
            </w:tcMar>
          </w:tcPr>
          <w:p>
            <w:r>
              <w:rPr>
                <w:b w:val="false"/>
                <w:bCs w:val="false"/>
                <w:shd w:fill="FFF3C4" w:val="clear"/>
              </w:rPr>
              <w:t xml:space="preserve">[phone / URL]</w:t>
            </w:r>
          </w:p>
        </w:tc>
      </w:tr>
      <w:tr>
        <w:tc>
          <w:tcPr>
            <w:tcMar>
              <w:top w:type="dxa" w:w="60"/>
              <w:left w:type="dxa" w:w="100"/>
              <w:bottom w:type="dxa" w:w="60"/>
              <w:right w:type="dxa" w:w="100"/>
            </w:tcMar>
          </w:tcPr>
          <w:p>
            <w:r>
              <w:rPr>
                <w:b w:val="false"/>
                <w:bCs w:val="false"/>
              </w:rPr>
              <w:t xml:space="preserve">State tax agency</w:t>
            </w:r>
          </w:p>
        </w:tc>
        <w:tc>
          <w:tcPr>
            <w:tcMar>
              <w:top w:type="dxa" w:w="60"/>
              <w:left w:type="dxa" w:w="100"/>
              <w:bottom w:type="dxa" w:w="60"/>
              <w:right w:type="dxa" w:w="100"/>
            </w:tcMar>
          </w:tcPr>
          <w:p>
            <w:r>
              <w:rPr>
                <w:b w:val="false"/>
                <w:bCs w:val="false"/>
                <w:shd w:fill="FFF3C4" w:val="clear"/>
              </w:rPr>
              <w:t xml:space="preserve">[state]</w:t>
            </w:r>
          </w:p>
        </w:tc>
        <w:tc>
          <w:tcPr>
            <w:tcMar>
              <w:top w:type="dxa" w:w="60"/>
              <w:left w:type="dxa" w:w="100"/>
              <w:bottom w:type="dxa" w:w="60"/>
              <w:right w:type="dxa" w:w="100"/>
            </w:tcMar>
          </w:tcPr>
          <w:p>
            <w:r>
              <w:rPr>
                <w:b w:val="false"/>
                <w:bCs w:val="false"/>
                <w:shd w:fill="FFF3C4" w:val="clear"/>
              </w:rPr>
              <w:t xml:space="preserve">[phone / URL]</w:t>
            </w:r>
          </w:p>
        </w:tc>
      </w:tr>
      <w:tr>
        <w:tc>
          <w:tcPr>
            <w:tcMar>
              <w:top w:type="dxa" w:w="60"/>
              <w:left w:type="dxa" w:w="100"/>
              <w:bottom w:type="dxa" w:w="60"/>
              <w:right w:type="dxa" w:w="100"/>
            </w:tcMar>
          </w:tcPr>
          <w:p>
            <w:r>
              <w:rPr>
                <w:b w:val="false"/>
                <w:bCs w:val="false"/>
              </w:rPr>
              <w:t xml:space="preserve">FBI IC3</w:t>
            </w:r>
          </w:p>
        </w:tc>
        <w:tc>
          <w:tcPr>
            <w:tcMar>
              <w:top w:type="dxa" w:w="60"/>
              <w:left w:type="dxa" w:w="100"/>
              <w:bottom w:type="dxa" w:w="60"/>
              <w:right w:type="dxa" w:w="100"/>
            </w:tcMar>
          </w:tcPr>
          <w:p>
            <w:r>
              <w:rPr>
                <w:b w:val="false"/>
                <w:bCs w:val="false"/>
              </w:rPr>
              <w:t xml:space="preserve">Internet Crime Complaint Center</w:t>
            </w:r>
          </w:p>
        </w:tc>
        <w:tc>
          <w:tcPr>
            <w:tcMar>
              <w:top w:type="dxa" w:w="60"/>
              <w:left w:type="dxa" w:w="100"/>
              <w:bottom w:type="dxa" w:w="60"/>
              <w:right w:type="dxa" w:w="100"/>
            </w:tcMar>
          </w:tcPr>
          <w:p>
            <w:r>
              <w:rPr>
                <w:b w:val="false"/>
                <w:bCs w:val="false"/>
              </w:rPr>
              <w:t xml:space="preserve">ic3.gov</w:t>
            </w:r>
          </w:p>
        </w:tc>
      </w:tr>
      <w:tr>
        <w:tc>
          <w:tcPr>
            <w:tcMar>
              <w:top w:type="dxa" w:w="60"/>
              <w:left w:type="dxa" w:w="100"/>
              <w:bottom w:type="dxa" w:w="60"/>
              <w:right w:type="dxa" w:w="100"/>
            </w:tcMar>
          </w:tcPr>
          <w:p>
            <w:r>
              <w:rPr>
                <w:b w:val="false"/>
                <w:bCs w:val="false"/>
              </w:rPr>
              <w:t xml:space="preserve">Cyber liability insurer</w:t>
            </w:r>
          </w:p>
        </w:tc>
        <w:tc>
          <w:tcPr>
            <w:tcMar>
              <w:top w:type="dxa" w:w="60"/>
              <w:left w:type="dxa" w:w="100"/>
              <w:bottom w:type="dxa" w:w="60"/>
              <w:right w:type="dxa" w:w="100"/>
            </w:tcMar>
          </w:tcPr>
          <w:p>
            <w:r>
              <w:rPr>
                <w:b w:val="false"/>
                <w:bCs w:val="false"/>
                <w:shd w:fill="FFF3C4" w:val="clear"/>
              </w:rPr>
              <w:t xml:space="preserve">[carrier, policy #]</w:t>
            </w:r>
          </w:p>
        </w:tc>
        <w:tc>
          <w:tcPr>
            <w:tcMar>
              <w:top w:type="dxa" w:w="60"/>
              <w:left w:type="dxa" w:w="100"/>
              <w:bottom w:type="dxa" w:w="60"/>
              <w:right w:type="dxa" w:w="100"/>
            </w:tcMar>
          </w:tcPr>
          <w:p>
            <w:r>
              <w:rPr>
                <w:b w:val="false"/>
                <w:bCs w:val="false"/>
                <w:shd w:fill="FFF3C4" w:val="clear"/>
              </w:rPr>
              <w:t xml:space="preserve">[phone]</w:t>
            </w:r>
          </w:p>
        </w:tc>
      </w:tr>
      <w:tr>
        <w:tc>
          <w:tcPr>
            <w:tcMar>
              <w:top w:type="dxa" w:w="60"/>
              <w:left w:type="dxa" w:w="100"/>
              <w:bottom w:type="dxa" w:w="60"/>
              <w:right w:type="dxa" w:w="100"/>
            </w:tcMar>
          </w:tcPr>
          <w:p>
            <w:r>
              <w:rPr>
                <w:b w:val="false"/>
                <w:bCs w:val="false"/>
              </w:rPr>
              <w:t xml:space="preserve">Legal counsel</w:t>
            </w:r>
          </w:p>
        </w:tc>
        <w:tc>
          <w:tcPr>
            <w:tcMar>
              <w:top w:type="dxa" w:w="60"/>
              <w:left w:type="dxa" w:w="100"/>
              <w:bottom w:type="dxa" w:w="60"/>
              <w:right w:type="dxa" w:w="100"/>
            </w:tcMar>
          </w:tcPr>
          <w:p>
            <w:r>
              <w:rPr>
                <w:b w:val="false"/>
                <w:bCs w:val="false"/>
                <w:shd w:fill="FFF3C4" w:val="clear"/>
              </w:rPr>
              <w:t xml:space="preserve">[firm]</w:t>
            </w:r>
          </w:p>
        </w:tc>
        <w:tc>
          <w:tcPr>
            <w:tcMar>
              <w:top w:type="dxa" w:w="60"/>
              <w:left w:type="dxa" w:w="100"/>
              <w:bottom w:type="dxa" w:w="60"/>
              <w:right w:type="dxa" w:w="100"/>
            </w:tcMar>
          </w:tcPr>
          <w:p>
            <w:r>
              <w:rPr>
                <w:b w:val="false"/>
                <w:bCs w:val="false"/>
                <w:shd w:fill="FFF3C4" w:val="clear"/>
              </w:rPr>
              <w:t xml:space="preserve">[phone]</w:t>
            </w:r>
          </w:p>
        </w:tc>
      </w:tr>
      <w:tr>
        <w:tc>
          <w:tcPr>
            <w:tcMar>
              <w:top w:type="dxa" w:w="60"/>
              <w:left w:type="dxa" w:w="100"/>
              <w:bottom w:type="dxa" w:w="60"/>
              <w:right w:type="dxa" w:w="100"/>
            </w:tcMar>
          </w:tcPr>
          <w:p>
            <w:r>
              <w:rPr>
                <w:b w:val="false"/>
                <w:bCs w:val="false"/>
              </w:rPr>
              <w:t xml:space="preserve">Tax software vendor</w:t>
            </w:r>
          </w:p>
        </w:tc>
        <w:tc>
          <w:tcPr>
            <w:tcMar>
              <w:top w:type="dxa" w:w="60"/>
              <w:left w:type="dxa" w:w="100"/>
              <w:bottom w:type="dxa" w:w="60"/>
              <w:right w:type="dxa" w:w="100"/>
            </w:tcMar>
          </w:tcPr>
          <w:p>
            <w:r>
              <w:rPr>
                <w:b w:val="false"/>
                <w:bCs w:val="false"/>
                <w:shd w:fill="FFF3C4" w:val="clear"/>
              </w:rPr>
              <w:t xml:space="preserve">[vendor]</w:t>
            </w:r>
          </w:p>
        </w:tc>
        <w:tc>
          <w:tcPr>
            <w:tcMar>
              <w:top w:type="dxa" w:w="60"/>
              <w:left w:type="dxa" w:w="100"/>
              <w:bottom w:type="dxa" w:w="60"/>
              <w:right w:type="dxa" w:w="100"/>
            </w:tcMar>
          </w:tcPr>
          <w:p>
            <w:r>
              <w:rPr>
                <w:b w:val="false"/>
                <w:bCs w:val="false"/>
                <w:shd w:fill="FFF3C4" w:val="clear"/>
              </w:rPr>
              <w:t xml:space="preserve">[support line]</w:t>
            </w:r>
          </w:p>
        </w:tc>
      </w:tr>
    </w:tbl>
    <w:p/>
    <w:p>
      <w:pPr>
        <w:spacing w:after="120"/>
      </w:pPr>
      <w:r>
        <w:rPr>
          <w:i w:val="false"/>
          <w:iCs w:val="false"/>
        </w:rPr>
        <w:t xml:space="preserve">First-hour checklist: disconnect (don't power off) affected machines; change passwords from a known-clean device; preserve logs; check EFIN activity in IRS e-Services for returns you didn't file; begin the incident log.</w:t>
      </w:r>
    </w:p>
    <w:p>
      <w:pPr>
        <w:pStyle w:val="Heading1"/>
      </w:pPr>
      <w:r>
        <w:t xml:space="preserve">Attachment D: Employee/Contractor Acknowledgment of Understanding</w:t>
      </w:r>
    </w:p>
    <w:p>
      <w:pPr>
        <w:spacing w:after="120"/>
      </w:pPr>
      <w:r>
        <w:rPr>
          <w:i w:val="false"/>
          <w:iCs w:val="false"/>
        </w:rPr>
        <w:t xml:space="preserve">I, </w:t>
      </w:r>
      <w:r>
        <w:rPr>
          <w:i w:val="false"/>
          <w:iCs w:val="false"/>
          <w:shd w:fill="FFF3C4" w:val="clear"/>
        </w:rPr>
        <w:t xml:space="preserve">[Employee Name]</w:t>
      </w:r>
      <w:r>
        <w:rPr>
          <w:i w:val="false"/>
          <w:iCs w:val="false"/>
        </w:rPr>
        <w:t xml:space="preserve">, acknowledge that I have received and been trained on the Written Information Security Plan of </w:t>
      </w:r>
      <w:r>
        <w:rPr>
          <w:i w:val="false"/>
          <w:iCs w:val="false"/>
          <w:shd w:fill="FFF3C4" w:val="clear"/>
        </w:rPr>
        <w:t xml:space="preserve">[Your Firm Name]</w:t>
      </w:r>
      <w:r>
        <w:rPr>
          <w:i w:val="false"/>
          <w:iCs w:val="false"/>
        </w:rPr>
        <w:t xml:space="preserve">. My questions have been answered to my satisfaction, and I understand the importance of strict compliance with its policies. I understand there will be periodic updates and training, and that non-compliance may result in disciplinary action up to and including termination.</w:t>
      </w:r>
    </w:p>
    <w:p>
      <w:pPr>
        <w:spacing w:after="120"/>
      </w:pPr>
      <w:r>
        <w:rPr>
          <w:i w:val="false"/>
          <w:iCs w:val="false"/>
        </w:rPr>
        <w:t xml:space="preserve">Signed: ______________________________ Date: ____________ </w:t>
      </w:r>
      <w:r>
        <w:rPr>
          <w:i w:val="false"/>
          <w:iCs w:val="false"/>
          <w:shd w:fill="FFF3C4" w:val="clear"/>
        </w:rPr>
        <w:t xml:space="preserve">[Employee Name]</w:t>
      </w:r>
      <w:r>
        <w:rPr>
          <w:i w:val="false"/>
          <w:iCs w:val="false"/>
        </w:rPr>
        <w:t xml:space="preserve">, </w:t>
      </w:r>
      <w:r>
        <w:rPr>
          <w:i w:val="false"/>
          <w:iCs w:val="false"/>
          <w:shd w:fill="FFF3C4" w:val="clear"/>
        </w:rPr>
        <w:t xml:space="preserve">[Title]</w:t>
      </w:r>
    </w:p>
    <w:p>
      <w:pPr>
        <w:pStyle w:val="Heading1"/>
      </w:pPr>
      <w:r>
        <w:t xml:space="preserve">Attachment E: Hardware and System Inventory Containing PII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shd w:fill="EEF2FB" w:val="clear"/>
            <w:tcMar>
              <w:top w:type="dxa" w:w="60"/>
              <w:left w:type="dxa" w:w="100"/>
              <w:bottom w:type="dxa" w:w="60"/>
              <w:right w:type="dxa" w:w="100"/>
            </w:tcMar>
          </w:tcPr>
          <w:p>
            <w:r>
              <w:rPr>
                <w:b/>
                <w:bCs/>
              </w:rPr>
              <w:t xml:space="preserve">Item / System</w:t>
            </w:r>
          </w:p>
        </w:tc>
        <w:tc>
          <w:tcPr>
            <w:shd w:fill="EEF2FB" w:val="clear"/>
            <w:tcMar>
              <w:top w:type="dxa" w:w="60"/>
              <w:left w:type="dxa" w:w="100"/>
              <w:bottom w:type="dxa" w:w="60"/>
              <w:right w:type="dxa" w:w="100"/>
            </w:tcMar>
          </w:tcPr>
          <w:p>
            <w:r>
              <w:rPr>
                <w:b/>
                <w:bCs/>
              </w:rPr>
              <w:t xml:space="preserve">Location</w:t>
            </w:r>
          </w:p>
        </w:tc>
        <w:tc>
          <w:tcPr>
            <w:shd w:fill="EEF2FB" w:val="clear"/>
            <w:tcMar>
              <w:top w:type="dxa" w:w="60"/>
              <w:left w:type="dxa" w:w="100"/>
              <w:bottom w:type="dxa" w:w="60"/>
              <w:right w:type="dxa" w:w="100"/>
            </w:tcMar>
          </w:tcPr>
          <w:p>
            <w:r>
              <w:rPr>
                <w:b/>
                <w:bCs/>
              </w:rPr>
              <w:t xml:space="preserve">Principal user</w:t>
            </w:r>
          </w:p>
        </w:tc>
        <w:tc>
          <w:tcPr>
            <w:shd w:fill="EEF2FB" w:val="clear"/>
            <w:tcMar>
              <w:top w:type="dxa" w:w="60"/>
              <w:left w:type="dxa" w:w="100"/>
              <w:bottom w:type="dxa" w:w="60"/>
              <w:right w:type="dxa" w:w="100"/>
            </w:tcMar>
          </w:tcPr>
          <w:p>
            <w:r>
              <w:rPr>
                <w:b/>
                <w:bCs/>
              </w:rPr>
              <w:t xml:space="preserve">Information stored/processed</w:t>
            </w:r>
          </w:p>
        </w:tc>
        <w:tc>
          <w:tcPr>
            <w:shd w:fill="EEF2FB" w:val="clear"/>
            <w:tcMar>
              <w:top w:type="dxa" w:w="60"/>
              <w:left w:type="dxa" w:w="100"/>
              <w:bottom w:type="dxa" w:w="60"/>
              <w:right w:type="dxa" w:w="100"/>
            </w:tcMar>
          </w:tcPr>
          <w:p>
            <w:r>
              <w:rPr>
                <w:b/>
                <w:bCs/>
              </w:rPr>
              <w:t xml:space="preserve">In-service date</w:t>
            </w:r>
          </w:p>
        </w:tc>
        <w:tc>
          <w:tcPr>
            <w:shd w:fill="EEF2FB" w:val="clear"/>
            <w:tcMar>
              <w:top w:type="dxa" w:w="60"/>
              <w:left w:type="dxa" w:w="100"/>
              <w:bottom w:type="dxa" w:w="60"/>
              <w:right w:type="dxa" w:w="100"/>
            </w:tcMar>
          </w:tcPr>
          <w:p>
            <w:r>
              <w:rPr>
                <w:b/>
                <w:bCs/>
              </w:rPr>
              <w:t xml:space="preserve">Last inventoried</w:t>
            </w:r>
          </w:p>
        </w:tc>
      </w:tr>
      <w:tr>
        <w:tc>
          <w:tcPr>
            <w:tcMar>
              <w:top w:type="dxa" w:w="60"/>
              <w:left w:type="dxa" w:w="100"/>
              <w:bottom w:type="dxa" w:w="60"/>
              <w:right w:type="dxa" w:w="100"/>
            </w:tcMar>
          </w:tcPr>
          <w:p>
            <w:r>
              <w:rPr>
                <w:b w:val="false"/>
                <w:bCs w:val="false"/>
                <w:shd w:fill="FFF3C4" w:val="clear"/>
              </w:rPr>
              <w:t xml:space="preserve">[e.g., Dell workstation #1]</w:t>
            </w:r>
          </w:p>
        </w:tc>
        <w:tc>
          <w:tcPr>
            <w:tcMar>
              <w:top w:type="dxa" w:w="60"/>
              <w:left w:type="dxa" w:w="100"/>
              <w:bottom w:type="dxa" w:w="60"/>
              <w:right w:type="dxa" w:w="100"/>
            </w:tcMar>
          </w:tcPr>
          <w:p>
            <w:r>
              <w:rPr>
                <w:b w:val="false"/>
                <w:bCs w:val="false"/>
                <w:shd w:fill="FFF3C4" w:val="clear"/>
              </w:rPr>
              <w:t xml:space="preserve">[Office - front desk]</w:t>
            </w:r>
          </w:p>
        </w:tc>
        <w:tc>
          <w:tcPr>
            <w:tcMar>
              <w:top w:type="dxa" w:w="60"/>
              <w:left w:type="dxa" w:w="100"/>
              <w:bottom w:type="dxa" w:w="60"/>
              <w:right w:type="dxa" w:w="100"/>
            </w:tcMar>
          </w:tcPr>
          <w:p>
            <w:r>
              <w:rPr>
                <w:b w:val="false"/>
                <w:bCs w:val="false"/>
                <w:shd w:fill="FFF3C4" w:val="clear"/>
              </w:rPr>
              <w:t xml:space="preserve">[Name]</w:t>
            </w:r>
          </w:p>
        </w:tc>
        <w:tc>
          <w:tcPr>
            <w:tcMar>
              <w:top w:type="dxa" w:w="60"/>
              <w:left w:type="dxa" w:w="100"/>
              <w:bottom w:type="dxa" w:w="60"/>
              <w:right w:type="dxa" w:w="100"/>
            </w:tcMar>
          </w:tcPr>
          <w:p>
            <w:r>
              <w:rPr>
                <w:b w:val="false"/>
                <w:bCs w:val="false"/>
                <w:shd w:fill="FFF3C4" w:val="clear"/>
              </w:rPr>
              <w:t xml:space="preserve">[Tax returns, email]</w:t>
            </w:r>
          </w:p>
        </w:tc>
        <w:tc>
          <w:tcPr>
            <w:tcMar>
              <w:top w:type="dxa" w:w="60"/>
              <w:left w:type="dxa" w:w="100"/>
              <w:bottom w:type="dxa" w:w="60"/>
              <w:right w:type="dxa" w:w="100"/>
            </w:tcMar>
          </w:tcPr>
          <w:p>
            <w:r>
              <w:rPr>
                <w:b w:val="false"/>
                <w:bCs w:val="false"/>
                <w:shd w:fill="FFF3C4" w:val="clear"/>
              </w:rPr>
              <w:t xml:space="preserve">[date]</w:t>
            </w:r>
          </w:p>
        </w:tc>
        <w:tc>
          <w:tcPr>
            <w:tcMar>
              <w:top w:type="dxa" w:w="60"/>
              <w:left w:type="dxa" w:w="100"/>
              <w:bottom w:type="dxa" w:w="60"/>
              <w:right w:type="dxa" w:w="100"/>
            </w:tcMar>
          </w:tcPr>
          <w:p>
            <w:r>
              <w:rPr>
                <w:b w:val="false"/>
                <w:bCs w:val="false"/>
                <w:shd w:fill="FFF3C4" w:val="clear"/>
              </w:rPr>
              <w:t xml:space="preserve">[date]</w:t>
            </w:r>
          </w:p>
        </w:tc>
      </w:tr>
      <w:tr>
        <w:tc>
          <w:tcPr>
            <w:tcMar>
              <w:top w:type="dxa" w:w="60"/>
              <w:left w:type="dxa" w:w="100"/>
              <w:bottom w:type="dxa" w:w="60"/>
              <w:right w:type="dxa" w:w="100"/>
            </w:tcMar>
          </w:tcPr>
          <w:p>
            <w:r>
              <w:rPr>
                <w:b w:val="false"/>
                <w:bCs w:val="false"/>
                <w:shd w:fill="FFF3C4" w:val="clear"/>
              </w:rPr>
              <w:t xml:space="preserve">[e.g., Client portal - [provider]</w:t>
            </w:r>
            <w:r>
              <w:rPr>
                <w:b w:val="false"/>
                <w:bCs w:val="false"/>
              </w:rPr>
              <w:t xml:space="preserve">]</w:t>
            </w:r>
          </w:p>
        </w:tc>
        <w:tc>
          <w:tcPr>
            <w:tcMar>
              <w:top w:type="dxa" w:w="60"/>
              <w:left w:type="dxa" w:w="100"/>
              <w:bottom w:type="dxa" w:w="60"/>
              <w:right w:type="dxa" w:w="100"/>
            </w:tcMar>
          </w:tcPr>
          <w:p>
            <w:r>
              <w:rPr>
                <w:b w:val="false"/>
                <w:bCs w:val="false"/>
                <w:shd w:fill="FFF3C4" w:val="clear"/>
              </w:rPr>
              <w:t xml:space="preserve">[Cloud]</w:t>
            </w:r>
          </w:p>
        </w:tc>
        <w:tc>
          <w:tcPr>
            <w:tcMar>
              <w:top w:type="dxa" w:w="60"/>
              <w:left w:type="dxa" w:w="100"/>
              <w:bottom w:type="dxa" w:w="60"/>
              <w:right w:type="dxa" w:w="100"/>
            </w:tcMar>
          </w:tcPr>
          <w:p>
            <w:r>
              <w:rPr>
                <w:b w:val="false"/>
                <w:bCs w:val="false"/>
                <w:shd w:fill="FFF3C4" w:val="clear"/>
              </w:rPr>
              <w:t xml:space="preserve">[All staff]</w:t>
            </w:r>
          </w:p>
        </w:tc>
        <w:tc>
          <w:tcPr>
            <w:tcMar>
              <w:top w:type="dxa" w:w="60"/>
              <w:left w:type="dxa" w:w="100"/>
              <w:bottom w:type="dxa" w:w="60"/>
              <w:right w:type="dxa" w:w="100"/>
            </w:tcMar>
          </w:tcPr>
          <w:p>
            <w:r>
              <w:rPr>
                <w:b w:val="false"/>
                <w:bCs w:val="false"/>
                <w:shd w:fill="FFF3C4" w:val="clear"/>
              </w:rPr>
              <w:t xml:space="preserve">[Client documents, e-signatures]</w:t>
            </w:r>
          </w:p>
        </w:tc>
        <w:tc>
          <w:tcPr>
            <w:tcMar>
              <w:top w:type="dxa" w:w="60"/>
              <w:left w:type="dxa" w:w="100"/>
              <w:bottom w:type="dxa" w:w="60"/>
              <w:right w:type="dxa" w:w="100"/>
            </w:tcMar>
          </w:tcPr>
          <w:p>
            <w:r>
              <w:rPr>
                <w:b w:val="false"/>
                <w:bCs w:val="false"/>
                <w:shd w:fill="FFF3C4" w:val="clear"/>
              </w:rPr>
              <w:t xml:space="preserve">[date]</w:t>
            </w:r>
          </w:p>
        </w:tc>
        <w:tc>
          <w:tcPr>
            <w:tcMar>
              <w:top w:type="dxa" w:w="60"/>
              <w:left w:type="dxa" w:w="100"/>
              <w:bottom w:type="dxa" w:w="60"/>
              <w:right w:type="dxa" w:w="100"/>
            </w:tcMar>
          </w:tcPr>
          <w:p>
            <w:r>
              <w:rPr>
                <w:b w:val="false"/>
                <w:bCs w:val="false"/>
                <w:shd w:fill="FFF3C4" w:val="clear"/>
              </w:rPr>
              <w:t xml:space="preserve">[date]</w:t>
            </w:r>
          </w:p>
        </w:tc>
      </w:tr>
    </w:tbl>
    <w:p/>
    <w:p>
      <w:pPr>
        <w:pStyle w:val="Heading1"/>
      </w:pPr>
      <w:r>
        <w:t xml:space="preserve">Attachment F: Personnel Authorized to Access PII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EF2FB" w:val="clear"/>
            <w:tcMar>
              <w:top w:type="dxa" w:w="60"/>
              <w:left w:type="dxa" w:w="100"/>
              <w:bottom w:type="dxa" w:w="60"/>
              <w:right w:type="dxa" w:w="100"/>
            </w:tcMar>
          </w:tcPr>
          <w:p>
            <w:r>
              <w:rPr>
                <w:b/>
                <w:bCs/>
              </w:rPr>
              <w:t xml:space="preserve">Name</w:t>
            </w:r>
          </w:p>
        </w:tc>
        <w:tc>
          <w:tcPr>
            <w:shd w:fill="EEF2FB" w:val="clear"/>
            <w:tcMar>
              <w:top w:type="dxa" w:w="60"/>
              <w:left w:type="dxa" w:w="100"/>
              <w:bottom w:type="dxa" w:w="60"/>
              <w:right w:type="dxa" w:w="100"/>
            </w:tcMar>
          </w:tcPr>
          <w:p>
            <w:r>
              <w:rPr>
                <w:b/>
                <w:bCs/>
              </w:rPr>
              <w:t xml:space="preserve">Role</w:t>
            </w:r>
          </w:p>
        </w:tc>
        <w:tc>
          <w:tcPr>
            <w:shd w:fill="EEF2FB" w:val="clear"/>
            <w:tcMar>
              <w:top w:type="dxa" w:w="60"/>
              <w:left w:type="dxa" w:w="100"/>
              <w:bottom w:type="dxa" w:w="60"/>
              <w:right w:type="dxa" w:w="100"/>
            </w:tcMar>
          </w:tcPr>
          <w:p>
            <w:r>
              <w:rPr>
                <w:b/>
                <w:bCs/>
              </w:rPr>
              <w:t xml:space="preserve">Access level</w:t>
            </w:r>
          </w:p>
        </w:tc>
        <w:tc>
          <w:tcPr>
            <w:shd w:fill="EEF2FB" w:val="clear"/>
            <w:tcMar>
              <w:top w:type="dxa" w:w="60"/>
              <w:left w:type="dxa" w:w="100"/>
              <w:bottom w:type="dxa" w:w="60"/>
              <w:right w:type="dxa" w:w="100"/>
            </w:tcMar>
          </w:tcPr>
          <w:p>
            <w:r>
              <w:rPr>
                <w:b/>
                <w:bCs/>
              </w:rPr>
              <w:t xml:space="preserve">Date granted</w:t>
            </w:r>
          </w:p>
        </w:tc>
        <w:tc>
          <w:tcPr>
            <w:shd w:fill="EEF2FB" w:val="clear"/>
            <w:tcMar>
              <w:top w:type="dxa" w:w="60"/>
              <w:left w:type="dxa" w:w="100"/>
              <w:bottom w:type="dxa" w:w="60"/>
              <w:right w:type="dxa" w:w="100"/>
            </w:tcMar>
          </w:tcPr>
          <w:p>
            <w:r>
              <w:rPr>
                <w:b/>
                <w:bCs/>
              </w:rPr>
              <w:t xml:space="preserve">Date terminated</w:t>
            </w:r>
          </w:p>
        </w:tc>
      </w:tr>
      <w:tr>
        <w:tc>
          <w:tcPr>
            <w:tcMar>
              <w:top w:type="dxa" w:w="60"/>
              <w:left w:type="dxa" w:w="100"/>
              <w:bottom w:type="dxa" w:w="60"/>
              <w:right w:type="dxa" w:w="100"/>
            </w:tcMar>
          </w:tcPr>
          <w:p>
            <w:r>
              <w:rPr>
                <w:b w:val="false"/>
                <w:bCs w:val="false"/>
                <w:shd w:fill="FFF3C4" w:val="clear"/>
              </w:rPr>
              <w:t xml:space="preserve">[Name]</w:t>
            </w:r>
          </w:p>
        </w:tc>
        <w:tc>
          <w:tcPr>
            <w:tcMar>
              <w:top w:type="dxa" w:w="60"/>
              <w:left w:type="dxa" w:w="100"/>
              <w:bottom w:type="dxa" w:w="60"/>
              <w:right w:type="dxa" w:w="100"/>
            </w:tcMar>
          </w:tcPr>
          <w:p>
            <w:r>
              <w:rPr>
                <w:b w:val="false"/>
                <w:bCs w:val="false"/>
                <w:shd w:fill="FFF3C4" w:val="clear"/>
              </w:rPr>
              <w:t xml:space="preserve">[DSC / Preparer / Admin]</w:t>
            </w:r>
          </w:p>
        </w:tc>
        <w:tc>
          <w:tcPr>
            <w:tcMar>
              <w:top w:type="dxa" w:w="60"/>
              <w:left w:type="dxa" w:w="100"/>
              <w:bottom w:type="dxa" w:w="60"/>
              <w:right w:type="dxa" w:w="100"/>
            </w:tcMar>
          </w:tcPr>
          <w:p>
            <w:r>
              <w:rPr>
                <w:b w:val="false"/>
                <w:bCs w:val="false"/>
                <w:shd w:fill="FFF3C4" w:val="clear"/>
              </w:rPr>
              <w:t xml:space="preserve">[Full / Limited to...]</w:t>
            </w:r>
          </w:p>
        </w:tc>
        <w:tc>
          <w:tcPr>
            <w:tcMar>
              <w:top w:type="dxa" w:w="60"/>
              <w:left w:type="dxa" w:w="100"/>
              <w:bottom w:type="dxa" w:w="60"/>
              <w:right w:type="dxa" w:w="100"/>
            </w:tcMar>
          </w:tcPr>
          <w:p>
            <w:r>
              <w:rPr>
                <w:b w:val="false"/>
                <w:bCs w:val="false"/>
                <w:shd w:fill="FFF3C4" w:val="clear"/>
              </w:rPr>
              <w:t xml:space="preserve">[date]</w:t>
            </w:r>
          </w:p>
        </w:tc>
        <w:tc>
          <w:tcPr>
            <w:tcMar>
              <w:top w:type="dxa" w:w="60"/>
              <w:left w:type="dxa" w:w="100"/>
              <w:bottom w:type="dxa" w:w="60"/>
              <w:right w:type="dxa" w:w="100"/>
            </w:tcMar>
          </w:tcPr>
          <w:p/>
        </w:tc>
      </w:tr>
    </w:tbl>
    <w:p/>
    <w:p>
      <w:pPr>
        <w:pBdr>
          <w:bottom w:val="single" w:color="BBBBBB" w:sz="6"/>
        </w:pBdr>
        <w:spacing w:after="240" w:before="240"/>
      </w:pPr>
    </w:p>
    <w:p>
      <w:pPr>
        <w:spacing w:after="120"/>
      </w:pPr>
      <w:r>
        <w:rPr>
          <w:i/>
          <w:iCs/>
        </w:rPr>
        <w:t xml:space="preserve">This template is provided by Zapa Client Portals (zapaclientportal.com) as a starting point, based on IRS Publication 5708 and the FTC Safeguards Rule (16 CFR Part 314). It is not legal advice; adapt it to your firm's actual operations and consult your advisors as needed.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pPr>
      <w:spacing w:after="120" w:before="240"/>
    </w:pPr>
    <w:rPr>
      <w:rFonts w:ascii="Calibri" w:cs="Calibri" w:eastAsia="Calibri" w:hAnsi="Calibri"/>
      <w:b/>
      <w:bCs/>
      <w:color w:val="111827"/>
      <w:sz w:val="52"/>
      <w:szCs w:val="52"/>
    </w:rPr>
  </w:style>
  <w:style w:type="paragraph" w:styleId="Heading1">
    <w:name w:val="Heading 1"/>
    <w:basedOn w:val="Normal"/>
    <w:next w:val="Normal"/>
    <w:qFormat/>
    <w:pPr>
      <w:spacing w:after="120" w:before="360"/>
    </w:pPr>
    <w:rPr>
      <w:rFonts w:ascii="Calibri" w:cs="Calibri" w:eastAsia="Calibri" w:hAnsi="Calibri"/>
      <w:b/>
      <w:bCs/>
      <w:color w:val="1a56db"/>
      <w:sz w:val="30"/>
      <w:szCs w:val="30"/>
    </w:rPr>
  </w:style>
  <w:style w:type="paragraph" w:styleId="Heading2">
    <w:name w:val="Heading 2"/>
    <w:basedOn w:val="Normal"/>
    <w:next w:val="Normal"/>
    <w:qFormat/>
    <w:pPr>
      <w:spacing w:after="80" w:before="240"/>
    </w:pPr>
    <w:rPr>
      <w:rFonts w:ascii="Calibri" w:cs="Calibri" w:eastAsia="Calibri" w:hAnsi="Calibri"/>
      <w:b/>
      <w:bCs/>
      <w:color w:val="111827"/>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Information Security Plan (WISP) Template</dc:title>
  <dc:creator>Zapa Client Portals</dc:creator>
  <dc:description>Fillable WISP template for tax, accounting, and fiduciary practices, based on IRS Publication 5708 and the FTC Safeguards Rule (16 CFR Part 314).</dc:description>
  <cp:lastModifiedBy>Un-named</cp:lastModifiedBy>
  <cp:revision>1</cp:revision>
  <dcterms:created xsi:type="dcterms:W3CDTF">2026-07-16T19:42:57.451Z</dcterms:created>
  <dcterms:modified xsi:type="dcterms:W3CDTF">2026-07-16T19:42:57.452Z</dcterms:modified>
</cp:coreProperties>
</file>

<file path=docProps/custom.xml><?xml version="1.0" encoding="utf-8"?>
<Properties xmlns="http://schemas.openxmlformats.org/officeDocument/2006/custom-properties" xmlns:vt="http://schemas.openxmlformats.org/officeDocument/2006/docPropsVTypes"/>
</file>