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9796" w14:textId="521D2FB0" w:rsidR="00D75986" w:rsidRPr="00D93378" w:rsidRDefault="00D75986" w:rsidP="00D93378">
      <w:pPr>
        <w:pStyle w:val="Heading1"/>
        <w:rPr>
          <w:b/>
          <w:bCs/>
          <w:u w:val="single"/>
        </w:rPr>
      </w:pPr>
      <w:r w:rsidRPr="00D93378">
        <w:rPr>
          <w:b/>
          <w:bCs/>
          <w:u w:val="single"/>
        </w:rPr>
        <w:t xml:space="preserve">G-L 2 </w:t>
      </w:r>
      <w:r w:rsidR="006C2944" w:rsidRPr="00D93378">
        <w:rPr>
          <w:b/>
          <w:bCs/>
          <w:u w:val="single"/>
        </w:rPr>
        <w:t>3</w:t>
      </w:r>
      <w:r w:rsidRPr="00D93378">
        <w:rPr>
          <w:b/>
          <w:bCs/>
          <w:u w:val="single"/>
        </w:rPr>
        <w:t>Q 20</w:t>
      </w:r>
      <w:r w:rsidR="00B777C3" w:rsidRPr="00D93378">
        <w:rPr>
          <w:b/>
          <w:bCs/>
          <w:u w:val="single"/>
        </w:rPr>
        <w:t>20</w:t>
      </w:r>
      <w:r w:rsidRPr="00D93378">
        <w:rPr>
          <w:b/>
          <w:bCs/>
          <w:u w:val="single"/>
        </w:rPr>
        <w:t xml:space="preserve"> </w:t>
      </w:r>
      <w:r w:rsidR="00232631" w:rsidRPr="00D93378">
        <w:rPr>
          <w:b/>
          <w:bCs/>
          <w:u w:val="single"/>
        </w:rPr>
        <w:t>Quarterly Review</w:t>
      </w:r>
    </w:p>
    <w:p w14:paraId="44BB5FE2" w14:textId="77777777" w:rsidR="00D93378" w:rsidRPr="00D93378" w:rsidRDefault="00D93378" w:rsidP="00D93378"/>
    <w:p w14:paraId="5F1A78FF" w14:textId="183F9822" w:rsidR="00D75986" w:rsidRPr="00D93378" w:rsidRDefault="00FC2BD2">
      <w:pPr>
        <w:rPr>
          <w:i/>
          <w:iCs/>
        </w:rPr>
      </w:pPr>
      <w:r w:rsidRPr="00D93378">
        <w:rPr>
          <w:i/>
          <w:iCs/>
        </w:rPr>
        <w:t>December</w:t>
      </w:r>
      <w:r w:rsidR="00B777C3" w:rsidRPr="00D93378">
        <w:rPr>
          <w:i/>
          <w:iCs/>
        </w:rPr>
        <w:t xml:space="preserve"> </w:t>
      </w:r>
      <w:r w:rsidR="0011459F" w:rsidRPr="00D93378">
        <w:rPr>
          <w:i/>
          <w:iCs/>
        </w:rPr>
        <w:t>7</w:t>
      </w:r>
      <w:r w:rsidR="00D75986" w:rsidRPr="00D93378">
        <w:rPr>
          <w:i/>
          <w:iCs/>
        </w:rPr>
        <w:t>, 2020</w:t>
      </w:r>
    </w:p>
    <w:p w14:paraId="4459ACAC" w14:textId="6AF74AC8" w:rsidR="00947F5D" w:rsidRPr="008606B4" w:rsidRDefault="00232631" w:rsidP="00947F5D">
      <w:pPr>
        <w:rPr>
          <w:b/>
          <w:u w:val="single"/>
        </w:rPr>
      </w:pPr>
      <w:r w:rsidRPr="008606B4">
        <w:rPr>
          <w:b/>
          <w:u w:val="single"/>
        </w:rPr>
        <w:t>Index Performance</w:t>
      </w:r>
    </w:p>
    <w:p w14:paraId="2D394C16" w14:textId="0810B987" w:rsidR="007509ED" w:rsidRDefault="006B3DB8" w:rsidP="00947F5D">
      <w:pPr>
        <w:pStyle w:val="ListParagraph"/>
        <w:numPr>
          <w:ilvl w:val="0"/>
          <w:numId w:val="2"/>
        </w:numPr>
      </w:pPr>
      <w:r>
        <w:rPr>
          <w:b/>
          <w:bCs/>
        </w:rPr>
        <w:t>T</w:t>
      </w:r>
      <w:r w:rsidR="00277579" w:rsidRPr="007509ED">
        <w:rPr>
          <w:b/>
          <w:bCs/>
        </w:rPr>
        <w:t xml:space="preserve">otal return </w:t>
      </w:r>
      <w:r>
        <w:rPr>
          <w:b/>
          <w:bCs/>
        </w:rPr>
        <w:t xml:space="preserve">for 3Q 2020 </w:t>
      </w:r>
      <w:r w:rsidR="00850469" w:rsidRPr="007509ED">
        <w:rPr>
          <w:b/>
          <w:bCs/>
        </w:rPr>
        <w:t xml:space="preserve">came in at </w:t>
      </w:r>
      <w:r w:rsidR="00F42957">
        <w:rPr>
          <w:b/>
          <w:bCs/>
        </w:rPr>
        <w:t>0.54</w:t>
      </w:r>
      <w:r w:rsidR="001611A6" w:rsidRPr="007509ED">
        <w:rPr>
          <w:b/>
          <w:bCs/>
        </w:rPr>
        <w:t>%</w:t>
      </w:r>
      <w:r w:rsidR="00161AC3">
        <w:t xml:space="preserve"> compared with </w:t>
      </w:r>
      <w:r w:rsidR="00F42957">
        <w:t>2</w:t>
      </w:r>
      <w:r w:rsidR="00476AC4">
        <w:t>Q 20</w:t>
      </w:r>
      <w:r w:rsidR="00F470CB">
        <w:t>20</w:t>
      </w:r>
      <w:r w:rsidR="00476AC4">
        <w:t>’s 1.</w:t>
      </w:r>
      <w:r w:rsidR="004E7F29">
        <w:t>72</w:t>
      </w:r>
      <w:r w:rsidR="00476AC4">
        <w:t>%</w:t>
      </w:r>
      <w:r w:rsidR="009D0270">
        <w:t>.</w:t>
      </w:r>
      <w:r w:rsidR="00A025FF">
        <w:t xml:space="preserve"> </w:t>
      </w:r>
      <w:r w:rsidR="00C04453">
        <w:t>Results reflect performance fully netted for use of leverage to “manufacture mezz” from senior whole loans.</w:t>
      </w:r>
      <w:r w:rsidR="0021702F">
        <w:rPr>
          <w:rStyle w:val="FootnoteReference"/>
        </w:rPr>
        <w:footnoteReference w:id="1"/>
      </w:r>
      <w:r w:rsidR="007509ED">
        <w:tab/>
      </w:r>
    </w:p>
    <w:p w14:paraId="739D3FCC" w14:textId="2D39B75D" w:rsidR="001A5E3B" w:rsidRDefault="00DA4C87" w:rsidP="00825D97">
      <w:pPr>
        <w:pStyle w:val="ListParagraph"/>
        <w:numPr>
          <w:ilvl w:val="1"/>
          <w:numId w:val="2"/>
        </w:numPr>
      </w:pPr>
      <w:r>
        <w:t xml:space="preserve">Income return </w:t>
      </w:r>
      <w:r w:rsidR="00DC7E7A">
        <w:t>was 1.</w:t>
      </w:r>
      <w:r w:rsidR="004E7F29">
        <w:t>68</w:t>
      </w:r>
      <w:r>
        <w:t xml:space="preserve">%, </w:t>
      </w:r>
      <w:r w:rsidR="00B80180">
        <w:t xml:space="preserve">roughly matching the prior quarter’s </w:t>
      </w:r>
      <w:r w:rsidR="00122DB6">
        <w:t>1.7</w:t>
      </w:r>
      <w:r w:rsidR="00B80180">
        <w:t>0</w:t>
      </w:r>
      <w:r w:rsidR="00122DB6">
        <w:t>%</w:t>
      </w:r>
      <w:r>
        <w:t xml:space="preserve"> </w:t>
      </w:r>
    </w:p>
    <w:p w14:paraId="29CB89B0" w14:textId="5A37A72A" w:rsidR="00404134" w:rsidRDefault="00DA4C87" w:rsidP="0040413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 xml:space="preserve">return was </w:t>
      </w:r>
      <w:r w:rsidR="00D1617B">
        <w:t xml:space="preserve">-1.14% </w:t>
      </w:r>
      <w:r w:rsidR="00E7524C">
        <w:t>due to cred</w:t>
      </w:r>
      <w:r w:rsidR="00D1617B">
        <w:t>it effe</w:t>
      </w:r>
      <w:r w:rsidR="00DF0974">
        <w:t>cts, which are discussed below</w:t>
      </w:r>
      <w:r w:rsidR="00F06309">
        <w:t>.</w:t>
      </w:r>
    </w:p>
    <w:p w14:paraId="0577909A" w14:textId="76F5694B" w:rsidR="00F06309" w:rsidRDefault="00F06309" w:rsidP="00404134">
      <w:pPr>
        <w:pStyle w:val="ListParagraph"/>
        <w:numPr>
          <w:ilvl w:val="1"/>
          <w:numId w:val="2"/>
        </w:numPr>
      </w:pPr>
      <w:r>
        <w:t xml:space="preserve">Year-to-date 2020 total return </w:t>
      </w:r>
      <w:r w:rsidR="006B3DB8">
        <w:t xml:space="preserve">as of September 30 </w:t>
      </w:r>
      <w:r>
        <w:t>is</w:t>
      </w:r>
      <w:r w:rsidR="00133404">
        <w:t xml:space="preserve"> 2.94%.</w:t>
      </w:r>
    </w:p>
    <w:p w14:paraId="4BF017FA" w14:textId="78DB7521" w:rsidR="00001071" w:rsidRDefault="009D72B0" w:rsidP="006B3DB8">
      <w:pPr>
        <w:pStyle w:val="ListParagraph"/>
        <w:numPr>
          <w:ilvl w:val="1"/>
          <w:numId w:val="2"/>
        </w:numPr>
      </w:pPr>
      <w:r>
        <w:t xml:space="preserve">Trailing twelve-month total return </w:t>
      </w:r>
      <w:r w:rsidR="006B3DB8">
        <w:t>as of September 30 is</w:t>
      </w:r>
      <w:r w:rsidR="00E4162E">
        <w:t xml:space="preserve"> </w:t>
      </w:r>
      <w:r w:rsidR="00DF0974">
        <w:t>4.50%</w:t>
      </w:r>
      <w:r w:rsidR="00E4162E">
        <w:t>.</w:t>
      </w:r>
    </w:p>
    <w:p w14:paraId="4FAF6011" w14:textId="77777777" w:rsidR="00387282" w:rsidRDefault="00387282" w:rsidP="00387282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t>Monthly returns:</w:t>
      </w:r>
    </w:p>
    <w:p w14:paraId="79D0F2E2" w14:textId="72DA1A28" w:rsidR="009234AC" w:rsidRDefault="00E4162E" w:rsidP="009234AC">
      <w:pPr>
        <w:pStyle w:val="ListParagraph"/>
        <w:numPr>
          <w:ilvl w:val="1"/>
          <w:numId w:val="4"/>
        </w:numPr>
      </w:pPr>
      <w:r>
        <w:t>Jul</w:t>
      </w:r>
      <w:r w:rsidR="009234AC">
        <w:t>. 2020</w:t>
      </w:r>
      <w:r w:rsidR="009234AC">
        <w:tab/>
      </w:r>
      <w:r w:rsidR="00355682">
        <w:tab/>
        <w:t xml:space="preserve"> </w:t>
      </w:r>
      <w:bookmarkStart w:id="0" w:name="_GoBack"/>
      <w:bookmarkEnd w:id="0"/>
      <w:r w:rsidR="009234AC">
        <w:t>0.</w:t>
      </w:r>
      <w:r w:rsidR="00DD7938">
        <w:t>62</w:t>
      </w:r>
      <w:r w:rsidR="009234AC">
        <w:t>%</w:t>
      </w:r>
    </w:p>
    <w:p w14:paraId="6002B57F" w14:textId="687886D9" w:rsidR="009234AC" w:rsidRDefault="00E4162E" w:rsidP="009234AC">
      <w:pPr>
        <w:pStyle w:val="ListParagraph"/>
        <w:numPr>
          <w:ilvl w:val="1"/>
          <w:numId w:val="4"/>
        </w:numPr>
      </w:pPr>
      <w:r>
        <w:t>Aug.</w:t>
      </w:r>
      <w:r w:rsidR="009234AC">
        <w:t xml:space="preserve"> 2020</w:t>
      </w:r>
      <w:r w:rsidR="009234AC">
        <w:tab/>
      </w:r>
      <w:r w:rsidR="00355682">
        <w:t xml:space="preserve"> </w:t>
      </w:r>
      <w:r w:rsidR="009234AC">
        <w:t>0.</w:t>
      </w:r>
      <w:r w:rsidR="00D95919">
        <w:t>57</w:t>
      </w:r>
      <w:r w:rsidR="009234AC">
        <w:t>%</w:t>
      </w:r>
    </w:p>
    <w:p w14:paraId="2CB21C7B" w14:textId="72A241BA" w:rsidR="00422B59" w:rsidRDefault="00E4162E" w:rsidP="00422B59">
      <w:pPr>
        <w:pStyle w:val="ListParagraph"/>
        <w:numPr>
          <w:ilvl w:val="1"/>
          <w:numId w:val="4"/>
        </w:numPr>
      </w:pPr>
      <w:r>
        <w:t>Sep</w:t>
      </w:r>
      <w:r w:rsidR="009234AC">
        <w:t>. 2020</w:t>
      </w:r>
      <w:r w:rsidR="00D95919">
        <w:tab/>
        <w:t>-</w:t>
      </w:r>
      <w:r w:rsidR="009234AC">
        <w:t>0.</w:t>
      </w:r>
      <w:r w:rsidR="00D95919">
        <w:t>65</w:t>
      </w:r>
      <w:r w:rsidR="009234AC">
        <w:t>%</w:t>
      </w:r>
    </w:p>
    <w:p w14:paraId="159244EF" w14:textId="77777777" w:rsidR="00AA4EEB" w:rsidRDefault="00AA4EEB" w:rsidP="00AA4EEB">
      <w:pPr>
        <w:pStyle w:val="ListParagraph"/>
      </w:pPr>
    </w:p>
    <w:p w14:paraId="484A5651" w14:textId="53E6E9AF" w:rsidR="008F1F32" w:rsidRDefault="00434809" w:rsidP="00740106">
      <w:pPr>
        <w:pStyle w:val="ListParagraph"/>
        <w:numPr>
          <w:ilvl w:val="0"/>
          <w:numId w:val="4"/>
        </w:numPr>
      </w:pPr>
      <w:r>
        <w:t>R</w:t>
      </w:r>
      <w:r w:rsidR="00B0653E">
        <w:t>evision</w:t>
      </w:r>
      <w:r w:rsidR="00867454">
        <w:t>s</w:t>
      </w:r>
      <w:r w:rsidR="00B0653E">
        <w:t xml:space="preserve"> to historical data </w:t>
      </w:r>
      <w:r w:rsidR="00B23321">
        <w:t>typically</w:t>
      </w:r>
      <w:r w:rsidR="00924640">
        <w:t xml:space="preserve"> have</w:t>
      </w:r>
      <w:r>
        <w:t xml:space="preserve"> </w:t>
      </w:r>
      <w:r w:rsidR="006777C7">
        <w:t xml:space="preserve">had </w:t>
      </w:r>
      <w:r>
        <w:t>minor</w:t>
      </w:r>
      <w:r w:rsidR="006777C7">
        <w:t xml:space="preserve"> effect</w:t>
      </w:r>
      <w:r w:rsidR="007D213E">
        <w:t>s</w:t>
      </w:r>
      <w:r w:rsidR="006777C7">
        <w:t xml:space="preserve"> on </w:t>
      </w:r>
      <w:r w:rsidR="00456337">
        <w:t>index result</w:t>
      </w:r>
      <w:r w:rsidR="00807D0E">
        <w:t>s</w:t>
      </w:r>
      <w:r w:rsidR="00456337">
        <w:t>. However</w:t>
      </w:r>
      <w:r w:rsidR="00B0653E">
        <w:t xml:space="preserve">, in 3Q </w:t>
      </w:r>
      <w:r w:rsidR="00EB3AF1">
        <w:t xml:space="preserve">revised </w:t>
      </w:r>
      <w:r w:rsidR="00D34004">
        <w:t xml:space="preserve">data for </w:t>
      </w:r>
      <w:r w:rsidR="00BC6869">
        <w:t>some months</w:t>
      </w:r>
      <w:r w:rsidR="00AD2A48">
        <w:t xml:space="preserve"> of </w:t>
      </w:r>
      <w:r w:rsidR="00E472EF">
        <w:t>2019</w:t>
      </w:r>
      <w:r w:rsidR="006775BD">
        <w:t xml:space="preserve">, </w:t>
      </w:r>
      <w:r w:rsidR="00D34004">
        <w:t>1Q and 2Q 2020</w:t>
      </w:r>
      <w:r w:rsidR="007D213E">
        <w:t xml:space="preserve"> w</w:t>
      </w:r>
      <w:r w:rsidR="0028318E">
        <w:t>ere</w:t>
      </w:r>
      <w:r w:rsidR="007D213E">
        <w:t xml:space="preserve"> received</w:t>
      </w:r>
      <w:r w:rsidR="0090058B">
        <w:t xml:space="preserve">. </w:t>
      </w:r>
      <w:r w:rsidR="00D34004">
        <w:t xml:space="preserve"> </w:t>
      </w:r>
      <w:r w:rsidR="00014B4D">
        <w:t xml:space="preserve">Resultant changes were larger than </w:t>
      </w:r>
      <w:r w:rsidR="00EB3AF1">
        <w:t xml:space="preserve">those </w:t>
      </w:r>
      <w:r w:rsidR="00014B4D">
        <w:t xml:space="preserve">we typically see. In particular, </w:t>
      </w:r>
      <w:r w:rsidR="00E75C8E" w:rsidRPr="00740106">
        <w:rPr>
          <w:b/>
          <w:bCs/>
        </w:rPr>
        <w:t>the revised re</w:t>
      </w:r>
      <w:r w:rsidR="00AD698E">
        <w:rPr>
          <w:b/>
          <w:bCs/>
        </w:rPr>
        <w:t>turn</w:t>
      </w:r>
      <w:r w:rsidR="00E75C8E" w:rsidRPr="00740106">
        <w:rPr>
          <w:b/>
          <w:bCs/>
        </w:rPr>
        <w:t xml:space="preserve"> for 1Q 2020 shows a greater effect from the COVID pandemic than had previously been calculated</w:t>
      </w:r>
      <w:r w:rsidR="008F1F32">
        <w:t xml:space="preserve"> (see </w:t>
      </w:r>
      <w:r w:rsidR="00655779">
        <w:t>T</w:t>
      </w:r>
      <w:r w:rsidR="008F1F32">
        <w:t xml:space="preserve">able </w:t>
      </w:r>
      <w:r w:rsidR="00655779">
        <w:t>1</w:t>
      </w:r>
      <w:r w:rsidR="008F1F32">
        <w:t>).</w:t>
      </w:r>
    </w:p>
    <w:p w14:paraId="74B18719" w14:textId="6C044C01" w:rsidR="008F1F32" w:rsidRDefault="008F1F32" w:rsidP="008F1F32">
      <w:pPr>
        <w:pStyle w:val="ListParagraph"/>
        <w:ind w:left="1440"/>
      </w:pPr>
    </w:p>
    <w:p w14:paraId="7BE4A0B2" w14:textId="56EDF507" w:rsidR="00B945F8" w:rsidRPr="00D93378" w:rsidRDefault="00B945F8" w:rsidP="008F1F32">
      <w:pPr>
        <w:pStyle w:val="ListParagraph"/>
        <w:ind w:left="1440"/>
        <w:rPr>
          <w:b/>
          <w:bCs/>
        </w:rPr>
      </w:pPr>
      <w:r w:rsidRPr="00D93378">
        <w:rPr>
          <w:b/>
          <w:bCs/>
        </w:rPr>
        <w:t>Table 1. Revisions to G-L 2 Reported Total Returns</w:t>
      </w:r>
    </w:p>
    <w:p w14:paraId="01DDF7A5" w14:textId="77777777" w:rsidR="00A55F7F" w:rsidRPr="00D667FB" w:rsidRDefault="00A55F7F" w:rsidP="008F1F32">
      <w:pPr>
        <w:pStyle w:val="ListParagraph"/>
        <w:ind w:left="1440"/>
      </w:pPr>
    </w:p>
    <w:p w14:paraId="7C658DE6" w14:textId="6F0BA899" w:rsidR="00D0075B" w:rsidRDefault="00995DA5" w:rsidP="008F1F32">
      <w:pPr>
        <w:pStyle w:val="ListParagraph"/>
        <w:ind w:left="1440"/>
      </w:pPr>
      <w:r w:rsidRPr="00995DA5">
        <w:rPr>
          <w:noProof/>
        </w:rPr>
        <w:drawing>
          <wp:inline distT="0" distB="0" distL="0" distR="0" wp14:anchorId="6BD45589" wp14:editId="57D45AD1">
            <wp:extent cx="32099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4940" w14:textId="5F01B70D" w:rsidR="00AD18FF" w:rsidRPr="00D667FB" w:rsidRDefault="00AD18FF" w:rsidP="00D0075B">
      <w:pPr>
        <w:ind w:left="720" w:firstLine="720"/>
      </w:pPr>
      <w:r w:rsidRPr="00D667FB">
        <w:t>CY Calendar Year</w:t>
      </w:r>
    </w:p>
    <w:p w14:paraId="4AF96C00" w14:textId="1726D79F" w:rsidR="009F6533" w:rsidRPr="00D667FB" w:rsidRDefault="00D0075B" w:rsidP="00D0075B">
      <w:pPr>
        <w:ind w:left="720" w:firstLine="720"/>
      </w:pPr>
      <w:r w:rsidRPr="00D667FB">
        <w:t>Source: Giliberto-Levy</w:t>
      </w:r>
    </w:p>
    <w:p w14:paraId="25543503" w14:textId="77777777" w:rsidR="001B2F62" w:rsidRDefault="001B2F62" w:rsidP="001B2F62">
      <w:pPr>
        <w:pStyle w:val="ListParagraph"/>
      </w:pPr>
    </w:p>
    <w:p w14:paraId="18C1A50A" w14:textId="196E05D7" w:rsidR="006A2DA9" w:rsidRDefault="00C36F6B" w:rsidP="00E66A69">
      <w:pPr>
        <w:pStyle w:val="ListParagraph"/>
        <w:numPr>
          <w:ilvl w:val="0"/>
          <w:numId w:val="4"/>
        </w:numPr>
      </w:pPr>
      <w:r>
        <w:rPr>
          <w:b/>
          <w:bCs/>
        </w:rPr>
        <w:t>Cred</w:t>
      </w:r>
      <w:r w:rsidR="00EC4E01">
        <w:rPr>
          <w:b/>
          <w:bCs/>
        </w:rPr>
        <w:t xml:space="preserve">it effects </w:t>
      </w:r>
      <w:r w:rsidR="00420727">
        <w:rPr>
          <w:b/>
          <w:bCs/>
        </w:rPr>
        <w:t>now are systemic rather than anecdotal.</w:t>
      </w:r>
      <w:r w:rsidR="002A14DD">
        <w:rPr>
          <w:b/>
          <w:bCs/>
        </w:rPr>
        <w:t xml:space="preserve"> </w:t>
      </w:r>
      <w:r w:rsidR="00BC4684">
        <w:t xml:space="preserve">The </w:t>
      </w:r>
      <w:r w:rsidR="00E81765">
        <w:t>onset</w:t>
      </w:r>
      <w:r w:rsidR="00BC4684">
        <w:t xml:space="preserve"> of the long economic expansion </w:t>
      </w:r>
      <w:r w:rsidR="004224B2">
        <w:t>after</w:t>
      </w:r>
      <w:r w:rsidR="00BC4684">
        <w:t xml:space="preserve"> the global financial cris</w:t>
      </w:r>
      <w:r w:rsidR="001147C6">
        <w:t>i</w:t>
      </w:r>
      <w:r w:rsidR="00BC4684">
        <w:t xml:space="preserve">s </w:t>
      </w:r>
      <w:r w:rsidR="00E81765">
        <w:t xml:space="preserve">roughly </w:t>
      </w:r>
      <w:r w:rsidR="00402FE6">
        <w:t xml:space="preserve">coincided with </w:t>
      </w:r>
      <w:r w:rsidR="00E81765">
        <w:t>G-L 2’s</w:t>
      </w:r>
      <w:r w:rsidR="00402FE6">
        <w:t xml:space="preserve"> inception date. Consequently, very few credit events</w:t>
      </w:r>
      <w:r w:rsidR="00977894">
        <w:t xml:space="preserve"> </w:t>
      </w:r>
      <w:r w:rsidR="001B057B">
        <w:t>occurred</w:t>
      </w:r>
      <w:r w:rsidR="00BD64E7">
        <w:t xml:space="preserve"> in the index</w:t>
      </w:r>
      <w:r w:rsidR="00F36013">
        <w:t xml:space="preserve"> before 2020</w:t>
      </w:r>
      <w:r w:rsidR="00BD64E7">
        <w:t xml:space="preserve">. </w:t>
      </w:r>
      <w:r w:rsidR="00BA01F4">
        <w:t>Those that did were asset-specific event</w:t>
      </w:r>
      <w:r w:rsidR="008F0322">
        <w:t>s</w:t>
      </w:r>
      <w:r w:rsidR="00C0565C">
        <w:t>, and they</w:t>
      </w:r>
      <w:r w:rsidR="00547D19">
        <w:t xml:space="preserve"> </w:t>
      </w:r>
      <w:r w:rsidR="008F0322">
        <w:t xml:space="preserve">had </w:t>
      </w:r>
      <w:r w:rsidR="00BA176D">
        <w:t xml:space="preserve">minimal </w:t>
      </w:r>
      <w:r w:rsidR="008F0322">
        <w:t xml:space="preserve">effect on </w:t>
      </w:r>
      <w:r w:rsidR="00E66A69">
        <w:t xml:space="preserve">index performance. </w:t>
      </w:r>
    </w:p>
    <w:p w14:paraId="0D3111A4" w14:textId="77777777" w:rsidR="006A2DA9" w:rsidRDefault="006A2DA9" w:rsidP="006A2DA9">
      <w:pPr>
        <w:pStyle w:val="ListParagraph"/>
      </w:pPr>
    </w:p>
    <w:p w14:paraId="66A04C54" w14:textId="05A82CBE" w:rsidR="00E66A69" w:rsidRDefault="00FF3736" w:rsidP="001C4D28">
      <w:pPr>
        <w:pStyle w:val="ListParagraph"/>
      </w:pPr>
      <w:r>
        <w:lastRenderedPageBreak/>
        <w:t>The abruptness and severity of the econom</w:t>
      </w:r>
      <w:r w:rsidR="001B057B">
        <w:t>ic</w:t>
      </w:r>
      <w:r>
        <w:t xml:space="preserve"> collapse due to COVID</w:t>
      </w:r>
      <w:r w:rsidR="00E80747">
        <w:t xml:space="preserve"> </w:t>
      </w:r>
      <w:r w:rsidR="00E66A69">
        <w:t>was expected to change th</w:t>
      </w:r>
      <w:r w:rsidR="009B09B2">
        <w:t>is benign pattern</w:t>
      </w:r>
      <w:r w:rsidR="00E66A69">
        <w:t xml:space="preserve">, and it has. </w:t>
      </w:r>
      <w:r w:rsidR="009C6A7F">
        <w:t xml:space="preserve"> </w:t>
      </w:r>
      <w:r w:rsidR="0050452A">
        <w:t>The chart below shows</w:t>
      </w:r>
      <w:r w:rsidR="004A6C86">
        <w:t xml:space="preserve"> capital value return for each month in 2020. </w:t>
      </w:r>
      <w:r w:rsidR="00041BFD">
        <w:t xml:space="preserve">Large </w:t>
      </w:r>
      <w:r w:rsidR="008C0D9D">
        <w:t xml:space="preserve">write-downs </w:t>
      </w:r>
      <w:r w:rsidR="00B3607C">
        <w:t xml:space="preserve">from defaults </w:t>
      </w:r>
      <w:r w:rsidR="00041BFD">
        <w:t xml:space="preserve">in March and September </w:t>
      </w:r>
      <w:r w:rsidR="0033203F">
        <w:t>had dramatic effect</w:t>
      </w:r>
      <w:r w:rsidR="00C86BF3">
        <w:t>s</w:t>
      </w:r>
      <w:r w:rsidR="0012221A">
        <w:t>.</w:t>
      </w:r>
    </w:p>
    <w:p w14:paraId="2E8FD801" w14:textId="22F3FDF9" w:rsidR="00F24485" w:rsidRDefault="00F24485" w:rsidP="001C4D28">
      <w:pPr>
        <w:pStyle w:val="ListParagraph"/>
      </w:pPr>
    </w:p>
    <w:p w14:paraId="0562FEFF" w14:textId="187F9433" w:rsidR="008C21BE" w:rsidRPr="008606B4" w:rsidRDefault="008C21BE" w:rsidP="001C4D28">
      <w:pPr>
        <w:pStyle w:val="ListParagraph"/>
        <w:rPr>
          <w:b/>
          <w:bCs/>
        </w:rPr>
      </w:pPr>
      <w:r w:rsidRPr="008606B4">
        <w:rPr>
          <w:b/>
          <w:bCs/>
        </w:rPr>
        <w:t>Chart 1. G-L 2 Capital Value Return</w:t>
      </w:r>
    </w:p>
    <w:p w14:paraId="45B1FA83" w14:textId="77777777" w:rsidR="00F24485" w:rsidRDefault="00F24485" w:rsidP="001C4D28">
      <w:pPr>
        <w:pStyle w:val="ListParagraph"/>
      </w:pPr>
    </w:p>
    <w:p w14:paraId="4F23D8A1" w14:textId="37047E1D" w:rsidR="001B0DC5" w:rsidRDefault="00F24485" w:rsidP="001C4D28">
      <w:pPr>
        <w:pStyle w:val="ListParagraph"/>
      </w:pPr>
      <w:r>
        <w:rPr>
          <w:noProof/>
        </w:rPr>
        <w:drawing>
          <wp:inline distT="0" distB="0" distL="0" distR="0" wp14:anchorId="333D6D1A" wp14:editId="18318052">
            <wp:extent cx="4584700" cy="2755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6E0FF" w14:textId="7FD274E5" w:rsidR="00F24485" w:rsidRDefault="00F24485" w:rsidP="001C4D28">
      <w:pPr>
        <w:pStyle w:val="ListParagraph"/>
      </w:pPr>
    </w:p>
    <w:p w14:paraId="47DB625D" w14:textId="3826C0E1" w:rsidR="00F24485" w:rsidRPr="00D667FB" w:rsidRDefault="00F24485" w:rsidP="001C4D28">
      <w:pPr>
        <w:pStyle w:val="ListParagraph"/>
      </w:pPr>
      <w:r w:rsidRPr="00D667FB">
        <w:t>Source: Giliberto-Levy</w:t>
      </w:r>
    </w:p>
    <w:p w14:paraId="41C23BEC" w14:textId="5381B1D0" w:rsidR="00C94A89" w:rsidRDefault="00C94A89" w:rsidP="001C4D28">
      <w:pPr>
        <w:pStyle w:val="ListParagraph"/>
      </w:pPr>
    </w:p>
    <w:p w14:paraId="318F53AD" w14:textId="1FC929A0" w:rsidR="00C94A89" w:rsidRDefault="00C95EA0" w:rsidP="001C4D28">
      <w:pPr>
        <w:pStyle w:val="ListParagraph"/>
      </w:pPr>
      <w:r>
        <w:t xml:space="preserve">We measured </w:t>
      </w:r>
      <w:r w:rsidR="00956D34">
        <w:t xml:space="preserve">the incidence of </w:t>
      </w:r>
      <w:r w:rsidR="00803AA8">
        <w:t xml:space="preserve">various types of </w:t>
      </w:r>
      <w:r w:rsidR="00956D34">
        <w:t>credit events using unpaid principal balance</w:t>
      </w:r>
      <w:r w:rsidR="00803AA8">
        <w:t>s</w:t>
      </w:r>
      <w:r w:rsidR="00BC11D4">
        <w:t xml:space="preserve"> </w:t>
      </w:r>
      <w:r w:rsidR="00C86BF3">
        <w:t>(</w:t>
      </w:r>
      <w:r w:rsidR="00BC11D4">
        <w:t>UPB)</w:t>
      </w:r>
      <w:r w:rsidR="00803AA8">
        <w:t xml:space="preserve">. Percentage incidence is the </w:t>
      </w:r>
      <w:r w:rsidR="00BC11D4">
        <w:t xml:space="preserve">sum of UPB </w:t>
      </w:r>
      <w:r w:rsidR="0085220A">
        <w:t>for a particulate event type divided by the total UPB reported for the index</w:t>
      </w:r>
      <w:r w:rsidR="006717AC">
        <w:t xml:space="preserve"> (see Table 2)</w:t>
      </w:r>
      <w:r w:rsidR="0085220A">
        <w:t xml:space="preserve">. </w:t>
      </w:r>
    </w:p>
    <w:p w14:paraId="6B347E7B" w14:textId="57E517D0" w:rsidR="006717AC" w:rsidRDefault="006717AC" w:rsidP="001C4D28">
      <w:pPr>
        <w:pStyle w:val="ListParagraph"/>
      </w:pPr>
    </w:p>
    <w:p w14:paraId="0ACF6C65" w14:textId="6C95DB22" w:rsidR="006717AC" w:rsidRDefault="006717AC" w:rsidP="001C4D28">
      <w:pPr>
        <w:pStyle w:val="ListParagraph"/>
        <w:rPr>
          <w:b/>
          <w:bCs/>
        </w:rPr>
      </w:pPr>
      <w:r w:rsidRPr="004C4E89">
        <w:rPr>
          <w:b/>
          <w:bCs/>
        </w:rPr>
        <w:t>Table 2. G-L 2 Credit Event Incidence</w:t>
      </w:r>
      <w:r w:rsidR="00FB4DE1" w:rsidRPr="004C4E89">
        <w:rPr>
          <w:b/>
          <w:bCs/>
        </w:rPr>
        <w:t xml:space="preserve"> 3Q 2020</w:t>
      </w:r>
    </w:p>
    <w:p w14:paraId="4C0487A2" w14:textId="77777777" w:rsidR="004C4E89" w:rsidRPr="004C4E89" w:rsidRDefault="004C4E89" w:rsidP="001C4D28">
      <w:pPr>
        <w:pStyle w:val="ListParagraph"/>
        <w:rPr>
          <w:b/>
          <w:bCs/>
        </w:rPr>
      </w:pPr>
    </w:p>
    <w:p w14:paraId="47A08852" w14:textId="174C3662" w:rsidR="005D0BD9" w:rsidRDefault="00477B52" w:rsidP="001C4D28">
      <w:pPr>
        <w:pStyle w:val="ListParagraph"/>
      </w:pPr>
      <w:r w:rsidRPr="00477B52">
        <w:rPr>
          <w:noProof/>
        </w:rPr>
        <w:drawing>
          <wp:inline distT="0" distB="0" distL="0" distR="0" wp14:anchorId="525AA47E" wp14:editId="5B604537">
            <wp:extent cx="3943350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BD67" w14:textId="77777777" w:rsidR="004C4E89" w:rsidRDefault="004C4E89" w:rsidP="001C4D28">
      <w:pPr>
        <w:pStyle w:val="ListParagraph"/>
      </w:pPr>
    </w:p>
    <w:p w14:paraId="6CC8145B" w14:textId="040378AE" w:rsidR="008119D1" w:rsidRPr="00D667FB" w:rsidRDefault="008119D1" w:rsidP="001C4D28">
      <w:pPr>
        <w:pStyle w:val="ListParagraph"/>
      </w:pPr>
      <w:r w:rsidRPr="00D667FB">
        <w:t>UPB Unpaid Principal Balance</w:t>
      </w:r>
    </w:p>
    <w:p w14:paraId="73F30C1D" w14:textId="77777777" w:rsidR="008119D1" w:rsidRPr="00D667FB" w:rsidRDefault="008119D1" w:rsidP="001C4D28">
      <w:pPr>
        <w:pStyle w:val="ListParagraph"/>
      </w:pPr>
    </w:p>
    <w:p w14:paraId="7B963174" w14:textId="256D4A4C" w:rsidR="00E717C9" w:rsidRPr="00D667FB" w:rsidRDefault="00E717C9" w:rsidP="001C4D28">
      <w:pPr>
        <w:pStyle w:val="ListParagraph"/>
      </w:pPr>
      <w:r w:rsidRPr="00D667FB">
        <w:t>Source: Giliberto-Levy</w:t>
      </w:r>
    </w:p>
    <w:p w14:paraId="438CBE77" w14:textId="0973B2FA" w:rsidR="00E717C9" w:rsidRPr="00D667FB" w:rsidRDefault="00E717C9" w:rsidP="001C4D28">
      <w:pPr>
        <w:pStyle w:val="ListParagraph"/>
      </w:pPr>
    </w:p>
    <w:p w14:paraId="27FD77DB" w14:textId="77777777" w:rsidR="000A64C6" w:rsidRDefault="002345F9" w:rsidP="004E6A49">
      <w:pPr>
        <w:pStyle w:val="ListParagraph"/>
      </w:pPr>
      <w:r>
        <w:t>Credit even</w:t>
      </w:r>
      <w:r w:rsidR="007246FB">
        <w:t>t</w:t>
      </w:r>
      <w:r>
        <w:t xml:space="preserve"> incidence</w:t>
      </w:r>
      <w:r w:rsidR="00533B52">
        <w:t xml:space="preserve"> overall declined in 3Q due to a reduction in the amount of loans having interest deferrals</w:t>
      </w:r>
      <w:r w:rsidR="003819F2">
        <w:t>. (Note: loans that receive interest deferrals are not considered delinquent</w:t>
      </w:r>
      <w:r w:rsidR="00E20416">
        <w:t xml:space="preserve">.) However, </w:t>
      </w:r>
      <w:r w:rsidR="00E20416" w:rsidRPr="006F4EB1">
        <w:rPr>
          <w:b/>
          <w:bCs/>
        </w:rPr>
        <w:t>delinquency and defaults increased</w:t>
      </w:r>
      <w:r w:rsidR="00B337A7">
        <w:t xml:space="preserve">, which </w:t>
      </w:r>
      <w:r w:rsidR="00685E96">
        <w:t>was</w:t>
      </w:r>
      <w:r w:rsidR="00B337A7">
        <w:t xml:space="preserve"> not a surpris</w:t>
      </w:r>
      <w:r w:rsidR="00B5007C">
        <w:t>e</w:t>
      </w:r>
      <w:r w:rsidR="007B4803">
        <w:t>.</w:t>
      </w:r>
      <w:r w:rsidR="000A64C6">
        <w:t xml:space="preserve"> </w:t>
      </w:r>
      <w:r w:rsidR="006D5EE7">
        <w:t xml:space="preserve">Delinquency and default incidence </w:t>
      </w:r>
      <w:proofErr w:type="gramStart"/>
      <w:r w:rsidR="000A64C6">
        <w:t>remains</w:t>
      </w:r>
      <w:proofErr w:type="gramEnd"/>
      <w:r w:rsidR="00DE3567">
        <w:t xml:space="preserve"> modest.</w:t>
      </w:r>
      <w:r w:rsidR="00836FD3">
        <w:t xml:space="preserve"> </w:t>
      </w:r>
      <w:r w:rsidR="00E330C9">
        <w:t xml:space="preserve">For comparison, </w:t>
      </w:r>
      <w:proofErr w:type="spellStart"/>
      <w:r w:rsidR="00E330C9">
        <w:t>Trepp</w:t>
      </w:r>
      <w:proofErr w:type="spellEnd"/>
      <w:r w:rsidR="00E330C9">
        <w:t xml:space="preserve"> </w:t>
      </w:r>
      <w:r w:rsidR="00583EA9">
        <w:t xml:space="preserve">data showed </w:t>
      </w:r>
      <w:r w:rsidR="00E330C9">
        <w:t xml:space="preserve">an average 4% CMBS delinquency </w:t>
      </w:r>
      <w:r w:rsidR="00D4792E">
        <w:t xml:space="preserve">(60 days or more) </w:t>
      </w:r>
      <w:r w:rsidR="00E330C9">
        <w:t>rate</w:t>
      </w:r>
      <w:r w:rsidR="00583EA9">
        <w:t xml:space="preserve"> for 3Q 2020</w:t>
      </w:r>
      <w:r w:rsidR="00D4792E">
        <w:t xml:space="preserve">. </w:t>
      </w:r>
    </w:p>
    <w:p w14:paraId="114070BF" w14:textId="77777777" w:rsidR="000A64C6" w:rsidRDefault="000A64C6" w:rsidP="004E6A49">
      <w:pPr>
        <w:pStyle w:val="ListParagraph"/>
      </w:pPr>
    </w:p>
    <w:p w14:paraId="5AB347EF" w14:textId="53D8BADF" w:rsidR="00E66A69" w:rsidRDefault="00D4792E" w:rsidP="004E6A49">
      <w:pPr>
        <w:pStyle w:val="ListParagraph"/>
      </w:pPr>
      <w:r>
        <w:t>Loss severity is</w:t>
      </w:r>
      <w:r w:rsidR="00550C54">
        <w:t xml:space="preserve"> </w:t>
      </w:r>
      <w:r w:rsidR="007A16B2">
        <w:t xml:space="preserve">a different story. </w:t>
      </w:r>
      <w:r w:rsidR="00B81E5C">
        <w:t>Year to date, defaulted loans registered an average severity of 91%</w:t>
      </w:r>
      <w:r w:rsidR="00185ED8">
        <w:t xml:space="preserve">. </w:t>
      </w:r>
      <w:r w:rsidR="00F11536" w:rsidRPr="006F4EB1">
        <w:rPr>
          <w:b/>
          <w:bCs/>
        </w:rPr>
        <w:t xml:space="preserve">Defaults </w:t>
      </w:r>
      <w:r w:rsidR="00322594" w:rsidRPr="006F4EB1">
        <w:rPr>
          <w:b/>
          <w:bCs/>
        </w:rPr>
        <w:t xml:space="preserve">have been concentrated in mezzanine loans on lodging and retail sector </w:t>
      </w:r>
      <w:r w:rsidR="00D667FB">
        <w:rPr>
          <w:b/>
          <w:bCs/>
        </w:rPr>
        <w:t>assets</w:t>
      </w:r>
      <w:r w:rsidR="009B4090" w:rsidRPr="006F4EB1">
        <w:rPr>
          <w:b/>
          <w:bCs/>
        </w:rPr>
        <w:t>.</w:t>
      </w:r>
      <w:r w:rsidR="009B4090">
        <w:t xml:space="preserve"> As</w:t>
      </w:r>
      <w:r w:rsidR="00A22AE4">
        <w:t xml:space="preserve"> income and collateral values have plummeted, several investment</w:t>
      </w:r>
      <w:r w:rsidR="00296A64">
        <w:t>s</w:t>
      </w:r>
      <w:r w:rsidR="00A22AE4">
        <w:t xml:space="preserve"> sustained 100% loss</w:t>
      </w:r>
      <w:r w:rsidR="008E236B">
        <w:t>es</w:t>
      </w:r>
      <w:r w:rsidR="00A22AE4">
        <w:t xml:space="preserve">. </w:t>
      </w:r>
    </w:p>
    <w:p w14:paraId="798D82D4" w14:textId="44E101D7" w:rsidR="000B6CEE" w:rsidRDefault="000B6CEE" w:rsidP="004E6A49">
      <w:pPr>
        <w:pStyle w:val="ListParagraph"/>
      </w:pPr>
    </w:p>
    <w:p w14:paraId="53593C05" w14:textId="4A7AC2EA" w:rsidR="00F30386" w:rsidRDefault="00F30386" w:rsidP="00F30386">
      <w:pPr>
        <w:pStyle w:val="ListParagraph"/>
        <w:numPr>
          <w:ilvl w:val="0"/>
          <w:numId w:val="4"/>
        </w:numPr>
      </w:pPr>
      <w:r>
        <w:t>For comparisons of fixed versus floating-rate loan performance</w:t>
      </w:r>
      <w:r w:rsidR="006A385E">
        <w:t>,</w:t>
      </w:r>
      <w:r>
        <w:t xml:space="preserve"> G-L 2 and G-L 1 results</w:t>
      </w:r>
      <w:r w:rsidR="006A385E">
        <w:t xml:space="preserve"> and so forth</w:t>
      </w:r>
      <w:r>
        <w:t xml:space="preserve">, please see the expanded report </w:t>
      </w:r>
      <w:r w:rsidR="00F06F1F">
        <w:t xml:space="preserve">package, which is </w:t>
      </w:r>
      <w:r>
        <w:t>described below.</w:t>
      </w:r>
    </w:p>
    <w:p w14:paraId="071074A5" w14:textId="7436927A" w:rsidR="000B6CEE" w:rsidRDefault="000B6CEE" w:rsidP="00F30386">
      <w:pPr>
        <w:pStyle w:val="ListParagraph"/>
      </w:pPr>
    </w:p>
    <w:p w14:paraId="60314E5B" w14:textId="5E97F450" w:rsidR="006E5505" w:rsidRDefault="006E5505" w:rsidP="00274FC3">
      <w:pPr>
        <w:pStyle w:val="ListParagraph"/>
        <w:ind w:left="0"/>
      </w:pPr>
    </w:p>
    <w:p w14:paraId="29720F4A" w14:textId="5BB242FA" w:rsidR="007928A4" w:rsidRPr="008606B4" w:rsidRDefault="00E3204C" w:rsidP="00274FC3">
      <w:pPr>
        <w:pStyle w:val="ListParagraph"/>
        <w:ind w:left="0"/>
        <w:rPr>
          <w:b/>
          <w:bCs/>
          <w:u w:val="single"/>
        </w:rPr>
      </w:pPr>
      <w:r w:rsidRPr="008606B4">
        <w:rPr>
          <w:b/>
          <w:bCs/>
          <w:u w:val="single"/>
        </w:rPr>
        <w:t>Expanded</w:t>
      </w:r>
      <w:r w:rsidR="007928A4" w:rsidRPr="008606B4">
        <w:rPr>
          <w:b/>
          <w:bCs/>
          <w:u w:val="single"/>
        </w:rPr>
        <w:t xml:space="preserve"> G-L 2 Report Package</w:t>
      </w:r>
    </w:p>
    <w:p w14:paraId="70C825A0" w14:textId="77777777" w:rsidR="007928A4" w:rsidRDefault="007928A4" w:rsidP="00274FC3">
      <w:pPr>
        <w:pStyle w:val="ListParagraph"/>
        <w:ind w:left="0"/>
      </w:pPr>
    </w:p>
    <w:p w14:paraId="66B413A6" w14:textId="61413D4E" w:rsidR="00AE139C" w:rsidRDefault="0051089D" w:rsidP="00274FC3">
      <w:pPr>
        <w:pStyle w:val="ListParagraph"/>
        <w:ind w:left="0"/>
      </w:pPr>
      <w:r>
        <w:t xml:space="preserve">We </w:t>
      </w:r>
      <w:r w:rsidR="007574E3">
        <w:t xml:space="preserve">recently </w:t>
      </w:r>
      <w:r>
        <w:t>introduced an expanded package of reports</w:t>
      </w:r>
      <w:r w:rsidR="00740965">
        <w:t xml:space="preserve">. </w:t>
      </w:r>
      <w:r w:rsidR="00C75512">
        <w:t xml:space="preserve"> </w:t>
      </w:r>
    </w:p>
    <w:p w14:paraId="571FB3D5" w14:textId="77777777" w:rsidR="00AE139C" w:rsidRDefault="00AE139C" w:rsidP="00274FC3">
      <w:pPr>
        <w:pStyle w:val="ListParagraph"/>
        <w:ind w:left="0"/>
      </w:pPr>
    </w:p>
    <w:p w14:paraId="0684998D" w14:textId="2562B753" w:rsidR="006E5505" w:rsidRDefault="000E12A5" w:rsidP="00274FC3">
      <w:pPr>
        <w:pStyle w:val="ListParagraph"/>
        <w:ind w:left="0"/>
      </w:pPr>
      <w:r>
        <w:t>T</w:t>
      </w:r>
      <w:r w:rsidR="00C75512">
        <w:t>he package</w:t>
      </w:r>
      <w:r>
        <w:t xml:space="preserve"> include</w:t>
      </w:r>
      <w:r w:rsidR="001463DF">
        <w:t>s</w:t>
      </w:r>
      <w:r>
        <w:t>:</w:t>
      </w:r>
    </w:p>
    <w:p w14:paraId="09620F17" w14:textId="77777777" w:rsidR="000E12A5" w:rsidRDefault="000E12A5" w:rsidP="00274FC3">
      <w:pPr>
        <w:pStyle w:val="ListParagraph"/>
        <w:ind w:left="0"/>
      </w:pPr>
    </w:p>
    <w:p w14:paraId="2D529093" w14:textId="3E1D56A8" w:rsidR="006D1B87" w:rsidRDefault="006D1B87" w:rsidP="00614807">
      <w:pPr>
        <w:pStyle w:val="ListParagraph"/>
        <w:numPr>
          <w:ilvl w:val="0"/>
          <w:numId w:val="7"/>
        </w:numPr>
      </w:pPr>
      <w:r>
        <w:t>Segment</w:t>
      </w:r>
      <w:r w:rsidR="00B5437F">
        <w:t xml:space="preserve"> overview</w:t>
      </w:r>
      <w:r>
        <w:t xml:space="preserve"> (shows composition of index and availability of sub-indices)</w:t>
      </w:r>
    </w:p>
    <w:p w14:paraId="53812554" w14:textId="196030C4" w:rsidR="006D1B87" w:rsidRDefault="006D1B87" w:rsidP="00614807">
      <w:pPr>
        <w:pStyle w:val="ListParagraph"/>
        <w:numPr>
          <w:ilvl w:val="0"/>
          <w:numId w:val="7"/>
        </w:numPr>
      </w:pPr>
      <w:r>
        <w:t xml:space="preserve">Rolling 12-month </w:t>
      </w:r>
      <w:r w:rsidR="00C66BBF">
        <w:t xml:space="preserve">Total </w:t>
      </w:r>
      <w:r>
        <w:t>Return</w:t>
      </w:r>
      <w:r w:rsidR="002F1729">
        <w:t>: data and</w:t>
      </w:r>
      <w:r w:rsidR="00C66BBF">
        <w:t xml:space="preserve"> graph</w:t>
      </w:r>
    </w:p>
    <w:p w14:paraId="6E3FAB21" w14:textId="77777777" w:rsidR="00CE0552" w:rsidRDefault="006D1B87" w:rsidP="00614807">
      <w:pPr>
        <w:pStyle w:val="ListParagraph"/>
        <w:numPr>
          <w:ilvl w:val="0"/>
          <w:numId w:val="7"/>
        </w:numPr>
      </w:pPr>
      <w:r>
        <w:t xml:space="preserve">Index Performance </w:t>
      </w:r>
    </w:p>
    <w:p w14:paraId="0F60DF10" w14:textId="77777777" w:rsidR="00CE0552" w:rsidRDefault="006D1B87" w:rsidP="00CE0552">
      <w:pPr>
        <w:pStyle w:val="ListParagraph"/>
        <w:numPr>
          <w:ilvl w:val="1"/>
          <w:numId w:val="7"/>
        </w:numPr>
      </w:pPr>
      <w:r>
        <w:t>G-L 2</w:t>
      </w:r>
    </w:p>
    <w:p w14:paraId="78E93B08" w14:textId="77777777" w:rsidR="00CE0552" w:rsidRDefault="00CE0552" w:rsidP="00CE0552">
      <w:pPr>
        <w:pStyle w:val="ListParagraph"/>
        <w:numPr>
          <w:ilvl w:val="1"/>
          <w:numId w:val="7"/>
        </w:numPr>
      </w:pPr>
      <w:r>
        <w:t>G-L 1 senior loan index</w:t>
      </w:r>
    </w:p>
    <w:p w14:paraId="0E981C6F" w14:textId="77777777" w:rsidR="00CE0552" w:rsidRDefault="00CE0552" w:rsidP="00CE0552">
      <w:pPr>
        <w:pStyle w:val="ListParagraph"/>
        <w:numPr>
          <w:ilvl w:val="1"/>
          <w:numId w:val="7"/>
        </w:numPr>
      </w:pPr>
      <w:r>
        <w:t>Investment-grade CMBS</w:t>
      </w:r>
    </w:p>
    <w:p w14:paraId="1C81DDC3" w14:textId="1A3B9F87" w:rsidR="006D1B87" w:rsidRDefault="00CE0552" w:rsidP="00CE0552">
      <w:pPr>
        <w:pStyle w:val="ListParagraph"/>
        <w:numPr>
          <w:ilvl w:val="1"/>
          <w:numId w:val="7"/>
        </w:numPr>
      </w:pPr>
      <w:r>
        <w:t>High-yield Corporate Bonds</w:t>
      </w:r>
    </w:p>
    <w:p w14:paraId="37D57394" w14:textId="77777777" w:rsidR="00F05DC2" w:rsidRDefault="006D1B87" w:rsidP="00614807">
      <w:pPr>
        <w:pStyle w:val="ListParagraph"/>
        <w:numPr>
          <w:ilvl w:val="0"/>
          <w:numId w:val="7"/>
        </w:numPr>
      </w:pPr>
      <w:r>
        <w:t xml:space="preserve">G-L 2 Broad Categories </w:t>
      </w:r>
    </w:p>
    <w:p w14:paraId="2E6B3E9A" w14:textId="77777777" w:rsidR="00F05DC2" w:rsidRDefault="00F05DC2" w:rsidP="00F05DC2">
      <w:pPr>
        <w:pStyle w:val="ListParagraph"/>
        <w:numPr>
          <w:ilvl w:val="1"/>
          <w:numId w:val="7"/>
        </w:numPr>
      </w:pPr>
      <w:r>
        <w:t>O</w:t>
      </w:r>
      <w:r w:rsidR="006D1B87">
        <w:t>verall index</w:t>
      </w:r>
    </w:p>
    <w:p w14:paraId="05EDA5BD" w14:textId="77777777" w:rsidR="00F05DC2" w:rsidRDefault="00F05DC2" w:rsidP="00F05DC2">
      <w:pPr>
        <w:pStyle w:val="ListParagraph"/>
        <w:numPr>
          <w:ilvl w:val="1"/>
          <w:numId w:val="7"/>
        </w:numPr>
      </w:pPr>
      <w:r>
        <w:t xml:space="preserve">All </w:t>
      </w:r>
      <w:r w:rsidR="006D1B87">
        <w:t>subordinate debt</w:t>
      </w:r>
    </w:p>
    <w:p w14:paraId="3D2537F0" w14:textId="5FA4C74C" w:rsidR="006D1B87" w:rsidRDefault="00F05DC2" w:rsidP="00F05DC2">
      <w:pPr>
        <w:pStyle w:val="ListParagraph"/>
        <w:numPr>
          <w:ilvl w:val="1"/>
          <w:numId w:val="7"/>
        </w:numPr>
      </w:pPr>
      <w:r>
        <w:t>S</w:t>
      </w:r>
      <w:r w:rsidR="006D1B87">
        <w:t xml:space="preserve">enior </w:t>
      </w:r>
      <w:r>
        <w:t>loans</w:t>
      </w:r>
      <w:r w:rsidR="000B3E10">
        <w:t xml:space="preserve"> (</w:t>
      </w:r>
      <w:r w:rsidR="00993712">
        <w:t>n</w:t>
      </w:r>
      <w:r w:rsidR="000B3E10">
        <w:t>ote: leveraged whole loans are part of subordinate debt)</w:t>
      </w:r>
    </w:p>
    <w:p w14:paraId="656740ED" w14:textId="77777777" w:rsidR="002A6B0A" w:rsidRDefault="006D1B87" w:rsidP="00614807">
      <w:pPr>
        <w:pStyle w:val="ListParagraph"/>
        <w:numPr>
          <w:ilvl w:val="0"/>
          <w:numId w:val="7"/>
        </w:numPr>
      </w:pPr>
      <w:r>
        <w:t>Payment Type</w:t>
      </w:r>
    </w:p>
    <w:p w14:paraId="142CCD21" w14:textId="77777777" w:rsidR="002A6B0A" w:rsidRDefault="002A6B0A" w:rsidP="002A6B0A">
      <w:pPr>
        <w:pStyle w:val="ListParagraph"/>
        <w:numPr>
          <w:ilvl w:val="1"/>
          <w:numId w:val="7"/>
        </w:numPr>
      </w:pPr>
      <w:r>
        <w:t>Floating</w:t>
      </w:r>
    </w:p>
    <w:p w14:paraId="57DFD192" w14:textId="52089FE0" w:rsidR="006D1B87" w:rsidRDefault="002A6B0A" w:rsidP="002A6B0A">
      <w:pPr>
        <w:pStyle w:val="ListParagraph"/>
        <w:numPr>
          <w:ilvl w:val="1"/>
          <w:numId w:val="7"/>
        </w:numPr>
      </w:pPr>
      <w:r>
        <w:t>Fixed</w:t>
      </w:r>
    </w:p>
    <w:p w14:paraId="4077B0A5" w14:textId="2F41E84F" w:rsidR="006D1B87" w:rsidRDefault="006D1B87" w:rsidP="00614807">
      <w:pPr>
        <w:pStyle w:val="ListParagraph"/>
        <w:numPr>
          <w:ilvl w:val="0"/>
          <w:numId w:val="7"/>
        </w:numPr>
      </w:pPr>
      <w:r>
        <w:t xml:space="preserve">Subordinate Debt </w:t>
      </w:r>
      <w:r w:rsidR="003102DA">
        <w:t>Details</w:t>
      </w:r>
    </w:p>
    <w:p w14:paraId="46DB9C77" w14:textId="7BCC525B" w:rsidR="0045300A" w:rsidRDefault="0045300A" w:rsidP="0045300A">
      <w:pPr>
        <w:pStyle w:val="ListParagraph"/>
        <w:numPr>
          <w:ilvl w:val="1"/>
          <w:numId w:val="7"/>
        </w:numPr>
      </w:pPr>
      <w:r>
        <w:t>Mezzanine</w:t>
      </w:r>
    </w:p>
    <w:p w14:paraId="68805F79" w14:textId="65F08C2B" w:rsidR="0045300A" w:rsidRDefault="0045300A" w:rsidP="0045300A">
      <w:pPr>
        <w:pStyle w:val="ListParagraph"/>
        <w:numPr>
          <w:ilvl w:val="1"/>
          <w:numId w:val="7"/>
        </w:numPr>
      </w:pPr>
      <w:r>
        <w:t>Leveraged Whole Loans</w:t>
      </w:r>
    </w:p>
    <w:p w14:paraId="583E47FA" w14:textId="266031CA" w:rsidR="0045300A" w:rsidRDefault="0045300A" w:rsidP="0045300A">
      <w:pPr>
        <w:pStyle w:val="ListParagraph"/>
        <w:numPr>
          <w:ilvl w:val="1"/>
          <w:numId w:val="7"/>
        </w:numPr>
      </w:pPr>
      <w:r>
        <w:t>Other (</w:t>
      </w:r>
      <w:r w:rsidR="002F1729">
        <w:t xml:space="preserve">includes </w:t>
      </w:r>
      <w:r>
        <w:t>B Notes, Second Mortgage</w:t>
      </w:r>
      <w:r w:rsidR="002F1729">
        <w:t>s</w:t>
      </w:r>
      <w:r>
        <w:t>, Preferred Equity)</w:t>
      </w:r>
    </w:p>
    <w:p w14:paraId="79A53854" w14:textId="77777777" w:rsidR="003102DA" w:rsidRDefault="006D1B87" w:rsidP="00614807">
      <w:pPr>
        <w:pStyle w:val="ListParagraph"/>
        <w:numPr>
          <w:ilvl w:val="0"/>
          <w:numId w:val="7"/>
        </w:numPr>
      </w:pPr>
      <w:r>
        <w:t>Property Type</w:t>
      </w:r>
    </w:p>
    <w:p w14:paraId="466FF6D0" w14:textId="77777777" w:rsidR="003102DA" w:rsidRDefault="003102DA" w:rsidP="003102DA">
      <w:pPr>
        <w:pStyle w:val="ListParagraph"/>
        <w:numPr>
          <w:ilvl w:val="1"/>
          <w:numId w:val="7"/>
        </w:numPr>
      </w:pPr>
      <w:r>
        <w:t>Office</w:t>
      </w:r>
    </w:p>
    <w:p w14:paraId="59E93700" w14:textId="77777777" w:rsidR="003102DA" w:rsidRDefault="003102DA" w:rsidP="003102DA">
      <w:pPr>
        <w:pStyle w:val="ListParagraph"/>
        <w:numPr>
          <w:ilvl w:val="1"/>
          <w:numId w:val="7"/>
        </w:numPr>
      </w:pPr>
      <w:r>
        <w:t>Multifamily</w:t>
      </w:r>
    </w:p>
    <w:p w14:paraId="48179C7D" w14:textId="77777777" w:rsidR="003102DA" w:rsidRDefault="003102DA" w:rsidP="003102DA">
      <w:pPr>
        <w:pStyle w:val="ListParagraph"/>
        <w:numPr>
          <w:ilvl w:val="1"/>
          <w:numId w:val="7"/>
        </w:numPr>
      </w:pPr>
      <w:r>
        <w:t>Retail</w:t>
      </w:r>
    </w:p>
    <w:p w14:paraId="0E252657" w14:textId="77777777" w:rsidR="003102DA" w:rsidRDefault="003102DA" w:rsidP="003102DA">
      <w:pPr>
        <w:pStyle w:val="ListParagraph"/>
        <w:numPr>
          <w:ilvl w:val="1"/>
          <w:numId w:val="7"/>
        </w:numPr>
      </w:pPr>
      <w:r>
        <w:t>Lodging</w:t>
      </w:r>
    </w:p>
    <w:p w14:paraId="4AC08547" w14:textId="4EC475AA" w:rsidR="006D1B87" w:rsidRDefault="003102DA" w:rsidP="003102DA">
      <w:pPr>
        <w:pStyle w:val="ListParagraph"/>
        <w:numPr>
          <w:ilvl w:val="1"/>
          <w:numId w:val="7"/>
        </w:numPr>
      </w:pPr>
      <w:r>
        <w:lastRenderedPageBreak/>
        <w:t>All others</w:t>
      </w:r>
      <w:r w:rsidR="00776E30">
        <w:t xml:space="preserve"> </w:t>
      </w:r>
      <w:r w:rsidR="00322341">
        <w:t>(</w:t>
      </w:r>
      <w:r w:rsidR="004D57B2">
        <w:t xml:space="preserve">includes industrial, which </w:t>
      </w:r>
      <w:r w:rsidR="00341346">
        <w:t>cannot be reported separately due to confidentiality restrictions)</w:t>
      </w:r>
    </w:p>
    <w:p w14:paraId="56C5DEBE" w14:textId="68005C14" w:rsidR="006D1B87" w:rsidRDefault="006D1B87" w:rsidP="00614807">
      <w:pPr>
        <w:pStyle w:val="ListParagraph"/>
        <w:numPr>
          <w:ilvl w:val="0"/>
          <w:numId w:val="7"/>
        </w:numPr>
      </w:pPr>
      <w:r>
        <w:t>Asset Strategy Type</w:t>
      </w:r>
    </w:p>
    <w:p w14:paraId="70D94ADF" w14:textId="2B909190" w:rsidR="003102DA" w:rsidRDefault="003102DA" w:rsidP="003102DA">
      <w:pPr>
        <w:pStyle w:val="ListParagraph"/>
        <w:numPr>
          <w:ilvl w:val="1"/>
          <w:numId w:val="7"/>
        </w:numPr>
      </w:pPr>
      <w:r>
        <w:t>Stabilized</w:t>
      </w:r>
    </w:p>
    <w:p w14:paraId="642D14B5" w14:textId="7C61A25D" w:rsidR="003102DA" w:rsidRDefault="00AC194F" w:rsidP="003102DA">
      <w:pPr>
        <w:pStyle w:val="ListParagraph"/>
        <w:numPr>
          <w:ilvl w:val="1"/>
          <w:numId w:val="7"/>
        </w:numPr>
      </w:pPr>
      <w:r>
        <w:t>Bridge and Transitional</w:t>
      </w:r>
    </w:p>
    <w:p w14:paraId="489EB395" w14:textId="0B625CDF" w:rsidR="00AC194F" w:rsidRDefault="00AC194F" w:rsidP="003102DA">
      <w:pPr>
        <w:pStyle w:val="ListParagraph"/>
        <w:numPr>
          <w:ilvl w:val="1"/>
          <w:numId w:val="7"/>
        </w:numPr>
      </w:pPr>
      <w:r>
        <w:t>Value-add</w:t>
      </w:r>
    </w:p>
    <w:p w14:paraId="5791902E" w14:textId="6723E5DE" w:rsidR="006D20B4" w:rsidRDefault="006D20B4" w:rsidP="003102DA">
      <w:pPr>
        <w:pStyle w:val="ListParagraph"/>
        <w:numPr>
          <w:ilvl w:val="1"/>
          <w:numId w:val="7"/>
        </w:numPr>
      </w:pPr>
      <w:r>
        <w:t>Value-add plus Bridge and Transitional (Broad Value-add)</w:t>
      </w:r>
    </w:p>
    <w:p w14:paraId="7FFEF2B7" w14:textId="0395C612" w:rsidR="006D1B87" w:rsidRDefault="005E64C4" w:rsidP="00614807">
      <w:pPr>
        <w:pStyle w:val="ListParagraph"/>
        <w:numPr>
          <w:ilvl w:val="0"/>
          <w:numId w:val="7"/>
        </w:numPr>
      </w:pPr>
      <w:r>
        <w:t xml:space="preserve">Performance of </w:t>
      </w:r>
      <w:r w:rsidR="006D1B87">
        <w:t>Investments Held in Open-end Funds</w:t>
      </w:r>
    </w:p>
    <w:p w14:paraId="72B2528F" w14:textId="7E69129B" w:rsidR="006D1B87" w:rsidRDefault="006D1B87" w:rsidP="00614807">
      <w:pPr>
        <w:pStyle w:val="ListParagraph"/>
        <w:numPr>
          <w:ilvl w:val="0"/>
          <w:numId w:val="7"/>
        </w:numPr>
      </w:pPr>
      <w:r>
        <w:t>G-L 2 Index Profile</w:t>
      </w:r>
    </w:p>
    <w:p w14:paraId="71BED306" w14:textId="373E9C07" w:rsidR="006D1B87" w:rsidRDefault="006D1B87" w:rsidP="00614807">
      <w:pPr>
        <w:pStyle w:val="ListParagraph"/>
        <w:numPr>
          <w:ilvl w:val="0"/>
          <w:numId w:val="7"/>
        </w:numPr>
      </w:pPr>
      <w:r>
        <w:t xml:space="preserve">Historical </w:t>
      </w:r>
      <w:r w:rsidR="00B5437F">
        <w:t xml:space="preserve">Return </w:t>
      </w:r>
      <w:r>
        <w:t>Component Detail</w:t>
      </w:r>
      <w:r w:rsidR="00A65DBE">
        <w:t xml:space="preserve"> (for the overall G-L 2)</w:t>
      </w:r>
    </w:p>
    <w:p w14:paraId="4F3D4FB7" w14:textId="11117D9E" w:rsidR="00F01568" w:rsidRDefault="00F01568">
      <w:r>
        <w:t xml:space="preserve">We are </w:t>
      </w:r>
      <w:r w:rsidR="007A4BEE">
        <w:t>studying</w:t>
      </w:r>
      <w:r>
        <w:t xml:space="preserve"> additions, such as </w:t>
      </w:r>
      <w:r w:rsidR="007A4BEE">
        <w:t xml:space="preserve">an </w:t>
      </w:r>
      <w:r>
        <w:t>equal-weighted</w:t>
      </w:r>
      <w:r w:rsidR="00D64633">
        <w:t xml:space="preserve"> index. </w:t>
      </w:r>
      <w:r w:rsidR="00457C3E">
        <w:t xml:space="preserve">Let us know what additional </w:t>
      </w:r>
      <w:r w:rsidR="00B94856">
        <w:t xml:space="preserve">exhibits </w:t>
      </w:r>
      <w:r w:rsidR="007A4BEE">
        <w:t xml:space="preserve">and data </w:t>
      </w:r>
      <w:r w:rsidR="00B94856">
        <w:t>might be useful</w:t>
      </w:r>
      <w:r w:rsidR="000E2B62">
        <w:t xml:space="preserve"> to see as part of the standard package.</w:t>
      </w:r>
      <w:r w:rsidR="00FC21D6">
        <w:t xml:space="preserve"> (</w:t>
      </w:r>
      <w:r w:rsidR="006C34AD">
        <w:t>Information such as loan count, net asset value (NAV), and total principal balance</w:t>
      </w:r>
      <w:r w:rsidR="00417265">
        <w:t xml:space="preserve"> is available in the G-L 2 Dashboard, which is sent to all participants.</w:t>
      </w:r>
      <w:r w:rsidR="009A6E68">
        <w:t xml:space="preserve"> Its anticipated release date is December 11, 2020.</w:t>
      </w:r>
      <w:r w:rsidR="00417265">
        <w:t>)</w:t>
      </w:r>
    </w:p>
    <w:p w14:paraId="2F58511B" w14:textId="77777777" w:rsidR="007D0467" w:rsidRPr="00477B52" w:rsidRDefault="003835B7" w:rsidP="003835B7">
      <w:pPr>
        <w:rPr>
          <w:b/>
          <w:bCs/>
        </w:rPr>
      </w:pPr>
      <w:r w:rsidRPr="00477B52">
        <w:rPr>
          <w:b/>
          <w:bCs/>
        </w:rPr>
        <w:t>If you have not received the new report package, please contact us.</w:t>
      </w:r>
      <w:r w:rsidR="007D0467" w:rsidRPr="00477B52">
        <w:rPr>
          <w:b/>
          <w:bCs/>
        </w:rPr>
        <w:t xml:space="preserve"> </w:t>
      </w:r>
    </w:p>
    <w:p w14:paraId="53EB6163" w14:textId="77777777" w:rsidR="003835B7" w:rsidRDefault="003835B7"/>
    <w:sectPr w:rsidR="003835B7" w:rsidSect="00BF56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7246" w14:textId="77777777" w:rsidR="00EF4A9E" w:rsidRDefault="00EF4A9E" w:rsidP="0021702F">
      <w:pPr>
        <w:spacing w:after="0" w:line="240" w:lineRule="auto"/>
      </w:pPr>
      <w:r>
        <w:separator/>
      </w:r>
    </w:p>
  </w:endnote>
  <w:endnote w:type="continuationSeparator" w:id="0">
    <w:p w14:paraId="5E694DE7" w14:textId="77777777" w:rsidR="00EF4A9E" w:rsidRDefault="00EF4A9E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ABF2" w14:textId="77777777" w:rsidR="00AD7B8D" w:rsidRDefault="00AD7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245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5FD1A" w14:textId="77777777" w:rsidR="00AD7B8D" w:rsidRDefault="00AD7B8D">
        <w:pPr>
          <w:pStyle w:val="Footer"/>
          <w:jc w:val="right"/>
        </w:pPr>
      </w:p>
      <w:p w14:paraId="1B5B79D1" w14:textId="7EB2C229" w:rsidR="00BD4182" w:rsidRDefault="00AD7B8D" w:rsidP="00AD7B8D">
        <w:pPr>
          <w:pStyle w:val="Footer"/>
          <w:jc w:val="right"/>
        </w:pPr>
        <w:r>
          <w:t>3Q 2020</w:t>
        </w:r>
        <w:r>
          <w:ptab w:relativeTo="margin" w:alignment="center" w:leader="none"/>
        </w:r>
        <w:r w:rsidRPr="00477B52">
          <w:rPr>
            <w:rFonts w:hAnsi="Calibri"/>
            <w:color w:val="000000" w:themeColor="text1"/>
            <w:kern w:val="24"/>
          </w:rPr>
          <w:t>© 2020 S. Michael Giliberto &amp; Co., Inc. and John B. Levy &amp; Co., Inc.</w:t>
        </w:r>
        <w:r>
          <w:rPr>
            <w:rFonts w:hAnsi="Calibri"/>
            <w:color w:val="000000" w:themeColor="text1"/>
            <w:kern w:val="24"/>
          </w:rPr>
          <w:tab/>
        </w:r>
        <w:r w:rsidRPr="00477B52">
          <w:rPr>
            <w:rFonts w:hAnsi="Calibri"/>
            <w:color w:val="000000" w:themeColor="text1"/>
            <w:kern w:val="24"/>
          </w:rPr>
          <w:t xml:space="preserve"> </w:t>
        </w:r>
        <w:r>
          <w:rPr>
            <w:rFonts w:hAnsi="Calibri"/>
            <w:color w:val="000000" w:themeColor="text1"/>
            <w:kern w:val="24"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02B4" w14:textId="77777777" w:rsidR="00AD7B8D" w:rsidRDefault="00AD7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677D" w14:textId="77777777" w:rsidR="00EF4A9E" w:rsidRDefault="00EF4A9E" w:rsidP="0021702F">
      <w:pPr>
        <w:spacing w:after="0" w:line="240" w:lineRule="auto"/>
      </w:pPr>
      <w:r>
        <w:separator/>
      </w:r>
    </w:p>
  </w:footnote>
  <w:footnote w:type="continuationSeparator" w:id="0">
    <w:p w14:paraId="5F2BC414" w14:textId="77777777" w:rsidR="00EF4A9E" w:rsidRDefault="00EF4A9E" w:rsidP="0021702F">
      <w:pPr>
        <w:spacing w:after="0" w:line="240" w:lineRule="auto"/>
      </w:pPr>
      <w:r>
        <w:continuationSeparator/>
      </w:r>
    </w:p>
  </w:footnote>
  <w:footnote w:id="1">
    <w:p w14:paraId="412A7E7E" w14:textId="0B806E70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42D7F">
        <w:t>Reported components may not sum to reported totals due to rounding.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ECD6" w14:textId="77777777" w:rsidR="00AD7B8D" w:rsidRDefault="00AD7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4F41" w14:textId="77777777" w:rsidR="00AD7B8D" w:rsidRDefault="00AD7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A8D2" w14:textId="77777777" w:rsidR="00AD7B8D" w:rsidRDefault="00AD7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3AAE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3481"/>
    <w:rsid w:val="000055DC"/>
    <w:rsid w:val="00005F03"/>
    <w:rsid w:val="000062F3"/>
    <w:rsid w:val="00014B4D"/>
    <w:rsid w:val="00022ABC"/>
    <w:rsid w:val="00025001"/>
    <w:rsid w:val="00026EC8"/>
    <w:rsid w:val="00035C63"/>
    <w:rsid w:val="00036C74"/>
    <w:rsid w:val="00037B43"/>
    <w:rsid w:val="00041BFD"/>
    <w:rsid w:val="000446B1"/>
    <w:rsid w:val="0005004F"/>
    <w:rsid w:val="000552BB"/>
    <w:rsid w:val="00056500"/>
    <w:rsid w:val="00064978"/>
    <w:rsid w:val="0007012C"/>
    <w:rsid w:val="00075335"/>
    <w:rsid w:val="00076D79"/>
    <w:rsid w:val="00094A0E"/>
    <w:rsid w:val="000A1CB1"/>
    <w:rsid w:val="000A5C81"/>
    <w:rsid w:val="000A64C6"/>
    <w:rsid w:val="000A7D19"/>
    <w:rsid w:val="000B3E10"/>
    <w:rsid w:val="000B4059"/>
    <w:rsid w:val="000B6CEE"/>
    <w:rsid w:val="000C581D"/>
    <w:rsid w:val="000D01E9"/>
    <w:rsid w:val="000D247D"/>
    <w:rsid w:val="000D33E4"/>
    <w:rsid w:val="000D505B"/>
    <w:rsid w:val="000D6176"/>
    <w:rsid w:val="000E12A5"/>
    <w:rsid w:val="000E2B62"/>
    <w:rsid w:val="000E7F49"/>
    <w:rsid w:val="000F35D8"/>
    <w:rsid w:val="000F3C0B"/>
    <w:rsid w:val="000F66E3"/>
    <w:rsid w:val="000F6B4E"/>
    <w:rsid w:val="00105695"/>
    <w:rsid w:val="00105EEE"/>
    <w:rsid w:val="00106571"/>
    <w:rsid w:val="00107F5D"/>
    <w:rsid w:val="0011369E"/>
    <w:rsid w:val="0011459F"/>
    <w:rsid w:val="001147C6"/>
    <w:rsid w:val="0011487E"/>
    <w:rsid w:val="00114D20"/>
    <w:rsid w:val="00120ABE"/>
    <w:rsid w:val="0012221A"/>
    <w:rsid w:val="00122919"/>
    <w:rsid w:val="00122DB6"/>
    <w:rsid w:val="00132D00"/>
    <w:rsid w:val="00133404"/>
    <w:rsid w:val="00134CCB"/>
    <w:rsid w:val="0014090D"/>
    <w:rsid w:val="00140A34"/>
    <w:rsid w:val="001463DF"/>
    <w:rsid w:val="00147001"/>
    <w:rsid w:val="0014716D"/>
    <w:rsid w:val="001571E6"/>
    <w:rsid w:val="00157B5B"/>
    <w:rsid w:val="00160FCE"/>
    <w:rsid w:val="001611A6"/>
    <w:rsid w:val="00161AC3"/>
    <w:rsid w:val="001644F1"/>
    <w:rsid w:val="00164613"/>
    <w:rsid w:val="00167FF7"/>
    <w:rsid w:val="001760FF"/>
    <w:rsid w:val="0017688D"/>
    <w:rsid w:val="001850F5"/>
    <w:rsid w:val="00185B10"/>
    <w:rsid w:val="00185ED8"/>
    <w:rsid w:val="00193AF1"/>
    <w:rsid w:val="00196E14"/>
    <w:rsid w:val="001A4FD5"/>
    <w:rsid w:val="001A5E3B"/>
    <w:rsid w:val="001B057B"/>
    <w:rsid w:val="001B0CE9"/>
    <w:rsid w:val="001B0DC5"/>
    <w:rsid w:val="001B2F62"/>
    <w:rsid w:val="001C012C"/>
    <w:rsid w:val="001C4D28"/>
    <w:rsid w:val="001C5626"/>
    <w:rsid w:val="001D2CB2"/>
    <w:rsid w:val="001D3B6C"/>
    <w:rsid w:val="001E2DFA"/>
    <w:rsid w:val="001E7D30"/>
    <w:rsid w:val="001F1DBB"/>
    <w:rsid w:val="001F216C"/>
    <w:rsid w:val="001F35D6"/>
    <w:rsid w:val="001F7BC2"/>
    <w:rsid w:val="00210DB0"/>
    <w:rsid w:val="00212B38"/>
    <w:rsid w:val="0021491D"/>
    <w:rsid w:val="00215701"/>
    <w:rsid w:val="0021702F"/>
    <w:rsid w:val="00217B68"/>
    <w:rsid w:val="00220045"/>
    <w:rsid w:val="0022789D"/>
    <w:rsid w:val="00232631"/>
    <w:rsid w:val="002345F9"/>
    <w:rsid w:val="00240ED5"/>
    <w:rsid w:val="00244B04"/>
    <w:rsid w:val="002468BC"/>
    <w:rsid w:val="002470D5"/>
    <w:rsid w:val="00252C29"/>
    <w:rsid w:val="0027405A"/>
    <w:rsid w:val="00274FC3"/>
    <w:rsid w:val="00276AFC"/>
    <w:rsid w:val="00277579"/>
    <w:rsid w:val="00277A33"/>
    <w:rsid w:val="0028223B"/>
    <w:rsid w:val="0028318E"/>
    <w:rsid w:val="0028679F"/>
    <w:rsid w:val="002930F3"/>
    <w:rsid w:val="00295648"/>
    <w:rsid w:val="00296A64"/>
    <w:rsid w:val="002A14DD"/>
    <w:rsid w:val="002A4CD7"/>
    <w:rsid w:val="002A68DE"/>
    <w:rsid w:val="002A6B0A"/>
    <w:rsid w:val="002B186B"/>
    <w:rsid w:val="002B7E57"/>
    <w:rsid w:val="002C2FC8"/>
    <w:rsid w:val="002C73B2"/>
    <w:rsid w:val="002C74D7"/>
    <w:rsid w:val="002D0918"/>
    <w:rsid w:val="002D0DC6"/>
    <w:rsid w:val="002D2B9C"/>
    <w:rsid w:val="002D355E"/>
    <w:rsid w:val="002D3DD7"/>
    <w:rsid w:val="002D68B5"/>
    <w:rsid w:val="002E2B8A"/>
    <w:rsid w:val="002E6939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2341"/>
    <w:rsid w:val="00322594"/>
    <w:rsid w:val="00322C71"/>
    <w:rsid w:val="0033203F"/>
    <w:rsid w:val="00334EE3"/>
    <w:rsid w:val="00336210"/>
    <w:rsid w:val="0033706A"/>
    <w:rsid w:val="00341346"/>
    <w:rsid w:val="00347C84"/>
    <w:rsid w:val="00353897"/>
    <w:rsid w:val="00353E97"/>
    <w:rsid w:val="00354ACA"/>
    <w:rsid w:val="00355682"/>
    <w:rsid w:val="00355A6D"/>
    <w:rsid w:val="00355C6C"/>
    <w:rsid w:val="003641EC"/>
    <w:rsid w:val="003740D1"/>
    <w:rsid w:val="003819F2"/>
    <w:rsid w:val="00381EAA"/>
    <w:rsid w:val="0038281E"/>
    <w:rsid w:val="00382B91"/>
    <w:rsid w:val="003835B7"/>
    <w:rsid w:val="00385323"/>
    <w:rsid w:val="00386026"/>
    <w:rsid w:val="00387282"/>
    <w:rsid w:val="00391408"/>
    <w:rsid w:val="003A6545"/>
    <w:rsid w:val="003A71D7"/>
    <w:rsid w:val="003B5F7F"/>
    <w:rsid w:val="003D4B26"/>
    <w:rsid w:val="003D52FE"/>
    <w:rsid w:val="003E0696"/>
    <w:rsid w:val="003E1E2E"/>
    <w:rsid w:val="003E3026"/>
    <w:rsid w:val="003F02AD"/>
    <w:rsid w:val="003F24EA"/>
    <w:rsid w:val="003F788E"/>
    <w:rsid w:val="00402FE6"/>
    <w:rsid w:val="00403F8F"/>
    <w:rsid w:val="00404134"/>
    <w:rsid w:val="00417265"/>
    <w:rsid w:val="00420727"/>
    <w:rsid w:val="004224B2"/>
    <w:rsid w:val="00422B59"/>
    <w:rsid w:val="00426B68"/>
    <w:rsid w:val="004304CA"/>
    <w:rsid w:val="00434809"/>
    <w:rsid w:val="0044044F"/>
    <w:rsid w:val="00440724"/>
    <w:rsid w:val="00444550"/>
    <w:rsid w:val="00445425"/>
    <w:rsid w:val="0045300A"/>
    <w:rsid w:val="00456337"/>
    <w:rsid w:val="00457C3E"/>
    <w:rsid w:val="00460779"/>
    <w:rsid w:val="00462C1E"/>
    <w:rsid w:val="00463A5A"/>
    <w:rsid w:val="004702FD"/>
    <w:rsid w:val="00473079"/>
    <w:rsid w:val="00473751"/>
    <w:rsid w:val="0047402D"/>
    <w:rsid w:val="004759EF"/>
    <w:rsid w:val="00476AC4"/>
    <w:rsid w:val="00477B52"/>
    <w:rsid w:val="00485609"/>
    <w:rsid w:val="004943EC"/>
    <w:rsid w:val="004A11BA"/>
    <w:rsid w:val="004A191E"/>
    <w:rsid w:val="004A54EB"/>
    <w:rsid w:val="004A6C86"/>
    <w:rsid w:val="004B3CDF"/>
    <w:rsid w:val="004B404C"/>
    <w:rsid w:val="004B4C42"/>
    <w:rsid w:val="004B702F"/>
    <w:rsid w:val="004B7321"/>
    <w:rsid w:val="004C2AF5"/>
    <w:rsid w:val="004C2E4E"/>
    <w:rsid w:val="004C3930"/>
    <w:rsid w:val="004C4E89"/>
    <w:rsid w:val="004D21E6"/>
    <w:rsid w:val="004D2C59"/>
    <w:rsid w:val="004D57B2"/>
    <w:rsid w:val="004E2075"/>
    <w:rsid w:val="004E4251"/>
    <w:rsid w:val="004E6A49"/>
    <w:rsid w:val="004E7515"/>
    <w:rsid w:val="004E7F29"/>
    <w:rsid w:val="004F24A7"/>
    <w:rsid w:val="004F56A6"/>
    <w:rsid w:val="005044D0"/>
    <w:rsid w:val="0050452A"/>
    <w:rsid w:val="00504594"/>
    <w:rsid w:val="00506DDD"/>
    <w:rsid w:val="0051089D"/>
    <w:rsid w:val="00512F93"/>
    <w:rsid w:val="00516CC9"/>
    <w:rsid w:val="00520CD4"/>
    <w:rsid w:val="005238AE"/>
    <w:rsid w:val="005238B3"/>
    <w:rsid w:val="00530212"/>
    <w:rsid w:val="00533B52"/>
    <w:rsid w:val="00533B94"/>
    <w:rsid w:val="005360CC"/>
    <w:rsid w:val="00537466"/>
    <w:rsid w:val="005418D5"/>
    <w:rsid w:val="005443D9"/>
    <w:rsid w:val="00547BDB"/>
    <w:rsid w:val="00547D19"/>
    <w:rsid w:val="00550C54"/>
    <w:rsid w:val="005561C1"/>
    <w:rsid w:val="0056442B"/>
    <w:rsid w:val="0057054E"/>
    <w:rsid w:val="00573C89"/>
    <w:rsid w:val="00583299"/>
    <w:rsid w:val="00583EA9"/>
    <w:rsid w:val="005864CB"/>
    <w:rsid w:val="0059162C"/>
    <w:rsid w:val="00593D6C"/>
    <w:rsid w:val="005977A4"/>
    <w:rsid w:val="005A7423"/>
    <w:rsid w:val="005B32BB"/>
    <w:rsid w:val="005B630B"/>
    <w:rsid w:val="005B7ED9"/>
    <w:rsid w:val="005C3E9D"/>
    <w:rsid w:val="005D0BD9"/>
    <w:rsid w:val="005D1177"/>
    <w:rsid w:val="005D1181"/>
    <w:rsid w:val="005D6431"/>
    <w:rsid w:val="005E02AA"/>
    <w:rsid w:val="005E64C4"/>
    <w:rsid w:val="005E673B"/>
    <w:rsid w:val="005F5922"/>
    <w:rsid w:val="005F7673"/>
    <w:rsid w:val="00603A18"/>
    <w:rsid w:val="0060448C"/>
    <w:rsid w:val="006064A1"/>
    <w:rsid w:val="00606B37"/>
    <w:rsid w:val="0061335D"/>
    <w:rsid w:val="00614807"/>
    <w:rsid w:val="00615F92"/>
    <w:rsid w:val="006172BC"/>
    <w:rsid w:val="00625081"/>
    <w:rsid w:val="00625AF3"/>
    <w:rsid w:val="00634512"/>
    <w:rsid w:val="00636AC3"/>
    <w:rsid w:val="0064098E"/>
    <w:rsid w:val="00641AD9"/>
    <w:rsid w:val="00642BE9"/>
    <w:rsid w:val="006472E2"/>
    <w:rsid w:val="006477DA"/>
    <w:rsid w:val="00655779"/>
    <w:rsid w:val="006561B1"/>
    <w:rsid w:val="00656E2E"/>
    <w:rsid w:val="006606B2"/>
    <w:rsid w:val="00665932"/>
    <w:rsid w:val="006700AB"/>
    <w:rsid w:val="006717AC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A2DA9"/>
    <w:rsid w:val="006A385E"/>
    <w:rsid w:val="006A3B44"/>
    <w:rsid w:val="006B1937"/>
    <w:rsid w:val="006B3DB8"/>
    <w:rsid w:val="006B45D3"/>
    <w:rsid w:val="006C03C6"/>
    <w:rsid w:val="006C0879"/>
    <w:rsid w:val="006C2944"/>
    <w:rsid w:val="006C34AD"/>
    <w:rsid w:val="006C3E7D"/>
    <w:rsid w:val="006C735D"/>
    <w:rsid w:val="006D1503"/>
    <w:rsid w:val="006D1B87"/>
    <w:rsid w:val="006D1D70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4EB1"/>
    <w:rsid w:val="006F796A"/>
    <w:rsid w:val="007008C0"/>
    <w:rsid w:val="00722D5F"/>
    <w:rsid w:val="007246FB"/>
    <w:rsid w:val="00726795"/>
    <w:rsid w:val="007269F5"/>
    <w:rsid w:val="00735E8F"/>
    <w:rsid w:val="00740106"/>
    <w:rsid w:val="00740965"/>
    <w:rsid w:val="007509ED"/>
    <w:rsid w:val="00750D62"/>
    <w:rsid w:val="007532E1"/>
    <w:rsid w:val="007560E0"/>
    <w:rsid w:val="007574E3"/>
    <w:rsid w:val="007627EB"/>
    <w:rsid w:val="00763CEB"/>
    <w:rsid w:val="007708DF"/>
    <w:rsid w:val="00776E30"/>
    <w:rsid w:val="00777241"/>
    <w:rsid w:val="00777978"/>
    <w:rsid w:val="00780584"/>
    <w:rsid w:val="007810A7"/>
    <w:rsid w:val="007917FE"/>
    <w:rsid w:val="007928A4"/>
    <w:rsid w:val="007A16B2"/>
    <w:rsid w:val="007A4BEE"/>
    <w:rsid w:val="007B09D2"/>
    <w:rsid w:val="007B4803"/>
    <w:rsid w:val="007B50CC"/>
    <w:rsid w:val="007B573C"/>
    <w:rsid w:val="007C0A47"/>
    <w:rsid w:val="007C2077"/>
    <w:rsid w:val="007C3455"/>
    <w:rsid w:val="007C5DB5"/>
    <w:rsid w:val="007D0467"/>
    <w:rsid w:val="007D213E"/>
    <w:rsid w:val="007D3DCB"/>
    <w:rsid w:val="007E6EA2"/>
    <w:rsid w:val="007F01CB"/>
    <w:rsid w:val="007F6D36"/>
    <w:rsid w:val="007F6E7E"/>
    <w:rsid w:val="00803AA8"/>
    <w:rsid w:val="00804142"/>
    <w:rsid w:val="008056BD"/>
    <w:rsid w:val="00807D0E"/>
    <w:rsid w:val="00810A2B"/>
    <w:rsid w:val="008119D1"/>
    <w:rsid w:val="0082256E"/>
    <w:rsid w:val="00822F5D"/>
    <w:rsid w:val="00825D97"/>
    <w:rsid w:val="00831726"/>
    <w:rsid w:val="008320F9"/>
    <w:rsid w:val="00836FD3"/>
    <w:rsid w:val="00842F00"/>
    <w:rsid w:val="00844558"/>
    <w:rsid w:val="008460C4"/>
    <w:rsid w:val="0084719F"/>
    <w:rsid w:val="00847A71"/>
    <w:rsid w:val="00850469"/>
    <w:rsid w:val="008521D3"/>
    <w:rsid w:val="0085220A"/>
    <w:rsid w:val="0085605B"/>
    <w:rsid w:val="008606B4"/>
    <w:rsid w:val="008610F3"/>
    <w:rsid w:val="00861196"/>
    <w:rsid w:val="00867454"/>
    <w:rsid w:val="008724D4"/>
    <w:rsid w:val="00873925"/>
    <w:rsid w:val="0087796B"/>
    <w:rsid w:val="00882171"/>
    <w:rsid w:val="0088415D"/>
    <w:rsid w:val="00884E34"/>
    <w:rsid w:val="008852D7"/>
    <w:rsid w:val="0088672D"/>
    <w:rsid w:val="00887F48"/>
    <w:rsid w:val="00890FE4"/>
    <w:rsid w:val="008925AB"/>
    <w:rsid w:val="00892FAB"/>
    <w:rsid w:val="008A59B4"/>
    <w:rsid w:val="008A6314"/>
    <w:rsid w:val="008A7595"/>
    <w:rsid w:val="008B28E5"/>
    <w:rsid w:val="008B3959"/>
    <w:rsid w:val="008B5A24"/>
    <w:rsid w:val="008B5E0E"/>
    <w:rsid w:val="008B6BAF"/>
    <w:rsid w:val="008C0D9D"/>
    <w:rsid w:val="008C21BE"/>
    <w:rsid w:val="008D012F"/>
    <w:rsid w:val="008D4709"/>
    <w:rsid w:val="008E1633"/>
    <w:rsid w:val="008E236B"/>
    <w:rsid w:val="008E409F"/>
    <w:rsid w:val="008E4D2C"/>
    <w:rsid w:val="008E5FA4"/>
    <w:rsid w:val="008E6787"/>
    <w:rsid w:val="008F0322"/>
    <w:rsid w:val="008F1F32"/>
    <w:rsid w:val="009001E2"/>
    <w:rsid w:val="0090058B"/>
    <w:rsid w:val="00911573"/>
    <w:rsid w:val="00911B29"/>
    <w:rsid w:val="0091359F"/>
    <w:rsid w:val="00917B5E"/>
    <w:rsid w:val="009203B8"/>
    <w:rsid w:val="00923380"/>
    <w:rsid w:val="009234AC"/>
    <w:rsid w:val="009236C5"/>
    <w:rsid w:val="00924640"/>
    <w:rsid w:val="009267CE"/>
    <w:rsid w:val="00932F95"/>
    <w:rsid w:val="00933BED"/>
    <w:rsid w:val="0093406C"/>
    <w:rsid w:val="0093702F"/>
    <w:rsid w:val="00947CEE"/>
    <w:rsid w:val="00947F5D"/>
    <w:rsid w:val="00951507"/>
    <w:rsid w:val="00954ED5"/>
    <w:rsid w:val="00956D34"/>
    <w:rsid w:val="00966498"/>
    <w:rsid w:val="009705D8"/>
    <w:rsid w:val="00973A3D"/>
    <w:rsid w:val="00977894"/>
    <w:rsid w:val="00977A33"/>
    <w:rsid w:val="00980ACD"/>
    <w:rsid w:val="0098641F"/>
    <w:rsid w:val="009900E1"/>
    <w:rsid w:val="00991523"/>
    <w:rsid w:val="00991A1B"/>
    <w:rsid w:val="00993712"/>
    <w:rsid w:val="00995DA5"/>
    <w:rsid w:val="009A27A1"/>
    <w:rsid w:val="009A5371"/>
    <w:rsid w:val="009A6E68"/>
    <w:rsid w:val="009A7C53"/>
    <w:rsid w:val="009B09B2"/>
    <w:rsid w:val="009B4090"/>
    <w:rsid w:val="009B75ED"/>
    <w:rsid w:val="009C1EFC"/>
    <w:rsid w:val="009C30AE"/>
    <w:rsid w:val="009C390B"/>
    <w:rsid w:val="009C6A7F"/>
    <w:rsid w:val="009D0270"/>
    <w:rsid w:val="009D0D06"/>
    <w:rsid w:val="009D72B0"/>
    <w:rsid w:val="009E2EB7"/>
    <w:rsid w:val="009E41F8"/>
    <w:rsid w:val="009E6DC2"/>
    <w:rsid w:val="009F1DC0"/>
    <w:rsid w:val="009F2571"/>
    <w:rsid w:val="009F6533"/>
    <w:rsid w:val="009F6780"/>
    <w:rsid w:val="009F6C1F"/>
    <w:rsid w:val="00A025FF"/>
    <w:rsid w:val="00A04119"/>
    <w:rsid w:val="00A04718"/>
    <w:rsid w:val="00A07A11"/>
    <w:rsid w:val="00A10E55"/>
    <w:rsid w:val="00A1496B"/>
    <w:rsid w:val="00A154CB"/>
    <w:rsid w:val="00A15751"/>
    <w:rsid w:val="00A213C6"/>
    <w:rsid w:val="00A21F6E"/>
    <w:rsid w:val="00A2247A"/>
    <w:rsid w:val="00A22AE4"/>
    <w:rsid w:val="00A267D9"/>
    <w:rsid w:val="00A26F32"/>
    <w:rsid w:val="00A3318E"/>
    <w:rsid w:val="00A33C08"/>
    <w:rsid w:val="00A4038B"/>
    <w:rsid w:val="00A459E7"/>
    <w:rsid w:val="00A54E22"/>
    <w:rsid w:val="00A55F7F"/>
    <w:rsid w:val="00A648F3"/>
    <w:rsid w:val="00A65DBE"/>
    <w:rsid w:val="00A6667C"/>
    <w:rsid w:val="00A701A0"/>
    <w:rsid w:val="00A7179E"/>
    <w:rsid w:val="00A74215"/>
    <w:rsid w:val="00A77416"/>
    <w:rsid w:val="00A8280D"/>
    <w:rsid w:val="00A832C2"/>
    <w:rsid w:val="00A84EE7"/>
    <w:rsid w:val="00A90BF0"/>
    <w:rsid w:val="00A94A8C"/>
    <w:rsid w:val="00A951D9"/>
    <w:rsid w:val="00A95FC7"/>
    <w:rsid w:val="00A96474"/>
    <w:rsid w:val="00A97667"/>
    <w:rsid w:val="00AA35D8"/>
    <w:rsid w:val="00AA4EEB"/>
    <w:rsid w:val="00AB31D3"/>
    <w:rsid w:val="00AB6F6B"/>
    <w:rsid w:val="00AC194F"/>
    <w:rsid w:val="00AC44C7"/>
    <w:rsid w:val="00AC5C45"/>
    <w:rsid w:val="00AC62D2"/>
    <w:rsid w:val="00AD18FF"/>
    <w:rsid w:val="00AD2A48"/>
    <w:rsid w:val="00AD3AE5"/>
    <w:rsid w:val="00AD698E"/>
    <w:rsid w:val="00AD7B8D"/>
    <w:rsid w:val="00AE139C"/>
    <w:rsid w:val="00AE312D"/>
    <w:rsid w:val="00AE4C76"/>
    <w:rsid w:val="00AF31D6"/>
    <w:rsid w:val="00AF51F9"/>
    <w:rsid w:val="00B0653E"/>
    <w:rsid w:val="00B07E47"/>
    <w:rsid w:val="00B12780"/>
    <w:rsid w:val="00B14DC6"/>
    <w:rsid w:val="00B17F18"/>
    <w:rsid w:val="00B2183E"/>
    <w:rsid w:val="00B23321"/>
    <w:rsid w:val="00B25493"/>
    <w:rsid w:val="00B26426"/>
    <w:rsid w:val="00B264DC"/>
    <w:rsid w:val="00B305E3"/>
    <w:rsid w:val="00B337A7"/>
    <w:rsid w:val="00B34C9A"/>
    <w:rsid w:val="00B3607C"/>
    <w:rsid w:val="00B45FB8"/>
    <w:rsid w:val="00B4699A"/>
    <w:rsid w:val="00B46D3D"/>
    <w:rsid w:val="00B47148"/>
    <w:rsid w:val="00B5007C"/>
    <w:rsid w:val="00B520BA"/>
    <w:rsid w:val="00B5437F"/>
    <w:rsid w:val="00B55036"/>
    <w:rsid w:val="00B60B4D"/>
    <w:rsid w:val="00B6490E"/>
    <w:rsid w:val="00B66C22"/>
    <w:rsid w:val="00B67119"/>
    <w:rsid w:val="00B72671"/>
    <w:rsid w:val="00B730B0"/>
    <w:rsid w:val="00B75968"/>
    <w:rsid w:val="00B777C3"/>
    <w:rsid w:val="00B80180"/>
    <w:rsid w:val="00B801F2"/>
    <w:rsid w:val="00B80868"/>
    <w:rsid w:val="00B81E5C"/>
    <w:rsid w:val="00B82959"/>
    <w:rsid w:val="00B9082E"/>
    <w:rsid w:val="00B90DCA"/>
    <w:rsid w:val="00B945F8"/>
    <w:rsid w:val="00B94856"/>
    <w:rsid w:val="00BA01F4"/>
    <w:rsid w:val="00BA176D"/>
    <w:rsid w:val="00BA6F35"/>
    <w:rsid w:val="00BA7A21"/>
    <w:rsid w:val="00BB1176"/>
    <w:rsid w:val="00BB6630"/>
    <w:rsid w:val="00BC06D8"/>
    <w:rsid w:val="00BC08C4"/>
    <w:rsid w:val="00BC11D4"/>
    <w:rsid w:val="00BC4684"/>
    <w:rsid w:val="00BC6869"/>
    <w:rsid w:val="00BD189F"/>
    <w:rsid w:val="00BD4070"/>
    <w:rsid w:val="00BD4182"/>
    <w:rsid w:val="00BD64E7"/>
    <w:rsid w:val="00BD7A79"/>
    <w:rsid w:val="00BE7666"/>
    <w:rsid w:val="00BF18C6"/>
    <w:rsid w:val="00BF56AF"/>
    <w:rsid w:val="00BF76F1"/>
    <w:rsid w:val="00C04453"/>
    <w:rsid w:val="00C0565C"/>
    <w:rsid w:val="00C05EB8"/>
    <w:rsid w:val="00C06623"/>
    <w:rsid w:val="00C1099A"/>
    <w:rsid w:val="00C151AB"/>
    <w:rsid w:val="00C21CA2"/>
    <w:rsid w:val="00C25C2F"/>
    <w:rsid w:val="00C35780"/>
    <w:rsid w:val="00C36F6B"/>
    <w:rsid w:val="00C423B4"/>
    <w:rsid w:val="00C42A83"/>
    <w:rsid w:val="00C42D7F"/>
    <w:rsid w:val="00C4467E"/>
    <w:rsid w:val="00C45985"/>
    <w:rsid w:val="00C50724"/>
    <w:rsid w:val="00C51D9A"/>
    <w:rsid w:val="00C60775"/>
    <w:rsid w:val="00C610B8"/>
    <w:rsid w:val="00C61CF2"/>
    <w:rsid w:val="00C62AD9"/>
    <w:rsid w:val="00C640F1"/>
    <w:rsid w:val="00C64C7D"/>
    <w:rsid w:val="00C66BBF"/>
    <w:rsid w:val="00C674F5"/>
    <w:rsid w:val="00C719C6"/>
    <w:rsid w:val="00C74C32"/>
    <w:rsid w:val="00C75512"/>
    <w:rsid w:val="00C80FD6"/>
    <w:rsid w:val="00C81EF2"/>
    <w:rsid w:val="00C86BF3"/>
    <w:rsid w:val="00C93016"/>
    <w:rsid w:val="00C94A89"/>
    <w:rsid w:val="00C95EA0"/>
    <w:rsid w:val="00CA4356"/>
    <w:rsid w:val="00CB1654"/>
    <w:rsid w:val="00CB1AF5"/>
    <w:rsid w:val="00CB3F5D"/>
    <w:rsid w:val="00CB5CBB"/>
    <w:rsid w:val="00CB6A44"/>
    <w:rsid w:val="00CC3275"/>
    <w:rsid w:val="00CC7C11"/>
    <w:rsid w:val="00CD0EC6"/>
    <w:rsid w:val="00CE00A4"/>
    <w:rsid w:val="00CE0552"/>
    <w:rsid w:val="00CE2837"/>
    <w:rsid w:val="00CE2D19"/>
    <w:rsid w:val="00CE446D"/>
    <w:rsid w:val="00CE6C6C"/>
    <w:rsid w:val="00CE7E21"/>
    <w:rsid w:val="00D0075B"/>
    <w:rsid w:val="00D0679A"/>
    <w:rsid w:val="00D07AE9"/>
    <w:rsid w:val="00D12808"/>
    <w:rsid w:val="00D1617B"/>
    <w:rsid w:val="00D17F67"/>
    <w:rsid w:val="00D20896"/>
    <w:rsid w:val="00D23CCB"/>
    <w:rsid w:val="00D2421E"/>
    <w:rsid w:val="00D2437F"/>
    <w:rsid w:val="00D34004"/>
    <w:rsid w:val="00D35EBC"/>
    <w:rsid w:val="00D36117"/>
    <w:rsid w:val="00D3721E"/>
    <w:rsid w:val="00D4792E"/>
    <w:rsid w:val="00D47ACD"/>
    <w:rsid w:val="00D51D03"/>
    <w:rsid w:val="00D554E3"/>
    <w:rsid w:val="00D64633"/>
    <w:rsid w:val="00D667FB"/>
    <w:rsid w:val="00D66E1A"/>
    <w:rsid w:val="00D75986"/>
    <w:rsid w:val="00D7799A"/>
    <w:rsid w:val="00D8562D"/>
    <w:rsid w:val="00D906FF"/>
    <w:rsid w:val="00D92721"/>
    <w:rsid w:val="00D93378"/>
    <w:rsid w:val="00D95919"/>
    <w:rsid w:val="00D9759E"/>
    <w:rsid w:val="00DA2221"/>
    <w:rsid w:val="00DA4C87"/>
    <w:rsid w:val="00DA4E4D"/>
    <w:rsid w:val="00DB60FC"/>
    <w:rsid w:val="00DC7E7A"/>
    <w:rsid w:val="00DD7938"/>
    <w:rsid w:val="00DE0047"/>
    <w:rsid w:val="00DE3567"/>
    <w:rsid w:val="00DE6AFA"/>
    <w:rsid w:val="00DF0974"/>
    <w:rsid w:val="00DF3B29"/>
    <w:rsid w:val="00DF625D"/>
    <w:rsid w:val="00E04062"/>
    <w:rsid w:val="00E13D25"/>
    <w:rsid w:val="00E145B9"/>
    <w:rsid w:val="00E20416"/>
    <w:rsid w:val="00E31478"/>
    <w:rsid w:val="00E3204C"/>
    <w:rsid w:val="00E330C9"/>
    <w:rsid w:val="00E4162E"/>
    <w:rsid w:val="00E440B5"/>
    <w:rsid w:val="00E472EF"/>
    <w:rsid w:val="00E52D77"/>
    <w:rsid w:val="00E64A81"/>
    <w:rsid w:val="00E65626"/>
    <w:rsid w:val="00E65B27"/>
    <w:rsid w:val="00E65BF1"/>
    <w:rsid w:val="00E66A69"/>
    <w:rsid w:val="00E708BF"/>
    <w:rsid w:val="00E717C9"/>
    <w:rsid w:val="00E71FE3"/>
    <w:rsid w:val="00E7524C"/>
    <w:rsid w:val="00E75C8E"/>
    <w:rsid w:val="00E761EA"/>
    <w:rsid w:val="00E77384"/>
    <w:rsid w:val="00E80747"/>
    <w:rsid w:val="00E80B08"/>
    <w:rsid w:val="00E81765"/>
    <w:rsid w:val="00E823E5"/>
    <w:rsid w:val="00E84989"/>
    <w:rsid w:val="00E90AC0"/>
    <w:rsid w:val="00E972D8"/>
    <w:rsid w:val="00EA2A86"/>
    <w:rsid w:val="00EA469A"/>
    <w:rsid w:val="00EB3AF1"/>
    <w:rsid w:val="00EB6930"/>
    <w:rsid w:val="00EC1EEA"/>
    <w:rsid w:val="00EC4E01"/>
    <w:rsid w:val="00EC5A6E"/>
    <w:rsid w:val="00EC75D8"/>
    <w:rsid w:val="00ED0975"/>
    <w:rsid w:val="00ED154C"/>
    <w:rsid w:val="00ED7180"/>
    <w:rsid w:val="00ED78E6"/>
    <w:rsid w:val="00EE11C9"/>
    <w:rsid w:val="00EE356B"/>
    <w:rsid w:val="00EF1DE8"/>
    <w:rsid w:val="00EF4A9E"/>
    <w:rsid w:val="00F01568"/>
    <w:rsid w:val="00F05DC2"/>
    <w:rsid w:val="00F06309"/>
    <w:rsid w:val="00F06F1F"/>
    <w:rsid w:val="00F11536"/>
    <w:rsid w:val="00F1480C"/>
    <w:rsid w:val="00F17BA5"/>
    <w:rsid w:val="00F21329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70CB"/>
    <w:rsid w:val="00F47395"/>
    <w:rsid w:val="00F5579F"/>
    <w:rsid w:val="00F55CBD"/>
    <w:rsid w:val="00F6284C"/>
    <w:rsid w:val="00F62E9B"/>
    <w:rsid w:val="00F646D2"/>
    <w:rsid w:val="00F64CEA"/>
    <w:rsid w:val="00F72BB5"/>
    <w:rsid w:val="00F76CA7"/>
    <w:rsid w:val="00F95714"/>
    <w:rsid w:val="00FA1ADA"/>
    <w:rsid w:val="00FA2358"/>
    <w:rsid w:val="00FB0038"/>
    <w:rsid w:val="00FB0C4A"/>
    <w:rsid w:val="00FB4DE1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34FD"/>
    <w:rsid w:val="00FD3F23"/>
    <w:rsid w:val="00FD5891"/>
    <w:rsid w:val="00FE0412"/>
    <w:rsid w:val="00FE4BB8"/>
    <w:rsid w:val="00FE5118"/>
    <w:rsid w:val="00FF3736"/>
    <w:rsid w:val="00FF3BAC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A7"/>
  </w:style>
  <w:style w:type="paragraph" w:styleId="Heading1">
    <w:name w:val="heading 1"/>
    <w:basedOn w:val="Normal"/>
    <w:next w:val="Normal"/>
    <w:link w:val="Heading1Char"/>
    <w:uiPriority w:val="9"/>
    <w:qFormat/>
    <w:rsid w:val="007810A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A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0A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A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A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A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A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paragraph" w:styleId="BalloonText">
    <w:name w:val="Balloon Text"/>
    <w:basedOn w:val="Normal"/>
    <w:link w:val="BalloonTextChar"/>
    <w:uiPriority w:val="99"/>
    <w:semiHidden/>
    <w:unhideWhenUsed/>
    <w:rsid w:val="0099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A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0A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NormalWeb">
    <w:name w:val="Normal (Web)"/>
    <w:basedOn w:val="Normal"/>
    <w:uiPriority w:val="99"/>
    <w:semiHidden/>
    <w:unhideWhenUsed/>
    <w:rsid w:val="00477B5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0A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0A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0A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0A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0A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0A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0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0A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0A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0A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0A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810A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0A7"/>
    <w:rPr>
      <w:b/>
      <w:bCs/>
    </w:rPr>
  </w:style>
  <w:style w:type="character" w:styleId="Emphasis">
    <w:name w:val="Emphasis"/>
    <w:uiPriority w:val="20"/>
    <w:qFormat/>
    <w:rsid w:val="007810A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810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0A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10A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A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0A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810A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810A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810A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810A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810A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0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DFE3-C8E9-48A1-892B-B6693657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3688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Julia P. Grant</cp:lastModifiedBy>
  <cp:revision>3</cp:revision>
  <dcterms:created xsi:type="dcterms:W3CDTF">2020-12-08T16:37:00Z</dcterms:created>
  <dcterms:modified xsi:type="dcterms:W3CDTF">2020-12-08T16:37:00Z</dcterms:modified>
</cp:coreProperties>
</file>