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65039923" w:displacedByCustomXml="next"/>
    <w:sdt>
      <w:sdtPr>
        <w:id w:val="1120182555"/>
        <w:docPartObj>
          <w:docPartGallery w:val="Cover Pages"/>
          <w:docPartUnique/>
        </w:docPartObj>
      </w:sdtPr>
      <w:sdtEndPr>
        <w:rPr>
          <w:b/>
          <w:bCs/>
          <w:sz w:val="28"/>
          <w:szCs w:val="28"/>
        </w:rPr>
      </w:sdtEndPr>
      <w:sdtContent>
        <w:p w14:paraId="391F5F54" w14:textId="0CB5469A" w:rsidR="00DA4B30" w:rsidRDefault="00DA4B30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0398DAA2" wp14:editId="1A082669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5DC7D414" id="Group 149" o:spid="_x0000_s1026" style="position:absolute;margin-left:0;margin-top:0;width:8in;height:95.7pt;z-index:251664384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5B64E67" wp14:editId="7DEAB176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8227695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6CA55F" w14:textId="77777777" w:rsidR="00757494" w:rsidRPr="00757494" w:rsidRDefault="00757494" w:rsidP="00757494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  <w:bookmarkStart w:id="1" w:name="Agenda"/>
                                <w:bookmarkEnd w:id="1"/>
                                <w:r w:rsidRPr="00757494"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t>© 2020 S. Michael Giliberto &amp; Co., Inc. and John B. Levy &amp; Co., Inc.</w:t>
                                </w:r>
                              </w:p>
                              <w:p w14:paraId="6F8CC905" w14:textId="5452054E" w:rsidR="00DA4B30" w:rsidRDefault="00DA4B30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0708C1A7" w14:textId="2A5EF730" w:rsidR="00DA4B30" w:rsidRDefault="009B6549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DA4B30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45B64E6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0;width:8in;height:1in;z-index:251662336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" filled="f" stroked="f" strokeweight=".5pt">
                    <v:textbox inset="126pt,0,54pt,0">
                      <w:txbxContent>
                        <w:p w14:paraId="566CA55F" w14:textId="77777777" w:rsidR="00757494" w:rsidRPr="00757494" w:rsidRDefault="00757494" w:rsidP="00757494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bookmarkStart w:id="2" w:name="Agenda"/>
                          <w:bookmarkEnd w:id="2"/>
                          <w:r w:rsidRPr="00757494"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t>© 2020 S. Michael Giliberto &amp; Co., Inc. and John B. Levy &amp; Co., Inc.</w:t>
                          </w:r>
                        </w:p>
                        <w:p w14:paraId="6F8CC905" w14:textId="5452054E" w:rsidR="00DA4B30" w:rsidRDefault="00DA4B30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</w:p>
                        <w:p w14:paraId="0708C1A7" w14:textId="2A5EF730" w:rsidR="00DA4B30" w:rsidRDefault="00DA4B30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FA6F939" wp14:editId="51B347C2">
                    <wp:simplePos x="0" y="0"/>
                    <wp:positionH relativeFrom="page">
                      <wp:posOffset>228600</wp:posOffset>
                    </wp:positionH>
                    <wp:positionV relativeFrom="page">
                      <wp:posOffset>7038975</wp:posOffset>
                    </wp:positionV>
                    <wp:extent cx="7313930" cy="564515"/>
                    <wp:effectExtent l="0" t="0" r="0" b="6985"/>
                    <wp:wrapNone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3930" cy="5645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86B781" w14:textId="19469AC6" w:rsidR="00DA4B30" w:rsidRDefault="00DA4B30" w:rsidP="00DA4B30">
                                <w:pPr>
                                  <w:pStyle w:val="NoSpacing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T</w:t>
                                </w:r>
                                <w:r w:rsidRPr="007509ED">
                                  <w:rPr>
                                    <w:b/>
                                    <w:bCs/>
                                  </w:rPr>
                                  <w:t xml:space="preserve">otal return </w:t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t>performance improved considerably, with the index posting a 2.12% total return for 4Q 2020.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2FA6F939" id="Text Box 153" o:spid="_x0000_s1027" type="#_x0000_t202" style="position:absolute;margin-left:18pt;margin-top:554.25pt;width:575.9pt;height:44.45pt;z-index:251663360;visibility:visible;mso-wrap-style:square;mso-width-percent:941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" filled="f" stroked="f" strokeweight=".5pt">
                    <v:textbox style="mso-fit-shape-to-text:t" inset="126pt,0,54pt,0">
                      <w:txbxContent>
                        <w:p w14:paraId="3A86B781" w14:textId="19469AC6" w:rsidR="00DA4B30" w:rsidRDefault="00DA4B30" w:rsidP="00DA4B30">
                          <w:pPr>
                            <w:pStyle w:val="NoSpacing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T</w:t>
                          </w:r>
                          <w:r w:rsidRPr="007509ED">
                            <w:rPr>
                              <w:b/>
                              <w:bCs/>
                            </w:rPr>
                            <w:t xml:space="preserve">otal return </w:t>
                          </w:r>
                          <w:r>
                            <w:rPr>
                              <w:b/>
                              <w:bCs/>
                            </w:rPr>
                            <w:t>performance improved considerably, with the index posting a 2.12% total return for 4Q 2020.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506E909" wp14:editId="4526BA2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64C65D" w14:textId="70A24C8C" w:rsidR="00DA4B30" w:rsidRDefault="009B6549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DA4B30" w:rsidRPr="00DA4B30">
                                      <w:rPr>
                                        <w:caps/>
                                        <w:color w:val="4472C4" w:themeColor="accent1"/>
                                        <w:sz w:val="56"/>
                                        <w:szCs w:val="56"/>
                                      </w:rPr>
                                      <w:t>G-L 2 Real Estate debt index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81AB500" w14:textId="76683BCD" w:rsidR="00DA4B30" w:rsidRDefault="00DA4B30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 w:rsidRPr="00DA4B30"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  <w:t>4</w:t>
                                    </w:r>
                                    <w:r w:rsidR="00383E47"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  <w:t>Q</w:t>
                                    </w:r>
                                    <w:r w:rsidRPr="00DA4B30"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  <w:t>-2020 Results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1506E90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8" type="#_x0000_t202" style="position:absolute;margin-left:0;margin-top:0;width:8in;height:286.5pt;z-index:251661312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" filled="f" stroked="f" strokeweight=".5pt">
                    <v:textbox inset="126pt,0,54pt,0">
                      <w:txbxContent>
                        <w:p w14:paraId="2F64C65D" w14:textId="70A24C8C" w:rsidR="00DA4B30" w:rsidRDefault="009B6549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DA4B30" w:rsidRPr="00DA4B30">
                                <w:rPr>
                                  <w:caps/>
                                  <w:color w:val="4472C4" w:themeColor="accent1"/>
                                  <w:sz w:val="56"/>
                                  <w:szCs w:val="56"/>
                                </w:rPr>
                                <w:t>G-L 2 Real Estate debt index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481AB500" w14:textId="76683BCD" w:rsidR="00DA4B30" w:rsidRDefault="00DA4B30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 w:rsidRPr="00DA4B30"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  <w:t>4</w:t>
                              </w:r>
                              <w:r w:rsidR="00383E47"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  <w:t>Q</w:t>
                              </w:r>
                              <w:r w:rsidRPr="00DA4B30"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  <w:t>-2020 Results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0FB6B6BA" w14:textId="1E8C701A" w:rsidR="00DA4B30" w:rsidRDefault="00DA4B30">
          <w:pPr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br w:type="page"/>
          </w:r>
        </w:p>
      </w:sdtContent>
    </w:sdt>
    <w:p w14:paraId="58F89796" w14:textId="202A3EC4" w:rsidR="00D75986" w:rsidRPr="00A6667C" w:rsidRDefault="00944B1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15F2B" wp14:editId="4000F127">
                <wp:simplePos x="0" y="0"/>
                <wp:positionH relativeFrom="column">
                  <wp:posOffset>-161925</wp:posOffset>
                </wp:positionH>
                <wp:positionV relativeFrom="paragraph">
                  <wp:posOffset>-438150</wp:posOffset>
                </wp:positionV>
                <wp:extent cx="6400800" cy="304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D0125" w14:textId="403C9B50" w:rsidR="00944B1C" w:rsidRPr="00944B1C" w:rsidRDefault="00944B1C" w:rsidP="00944B1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4B1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G-L 2 </w:t>
                            </w:r>
                            <w:r w:rsidR="00383E4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4Q</w:t>
                            </w:r>
                            <w:r w:rsidRPr="00944B1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2020 Quarterly Review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    February 22,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15F2B" id="Rectangle 1" o:spid="_x0000_s1029" style="position:absolute;margin-left:-12.75pt;margin-top:-34.5pt;width:7in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" fillcolor="#4472c4 [3204]" strokecolor="#1f3763 [1604]" strokeweight="1pt">
                <v:textbox>
                  <w:txbxContent>
                    <w:p w14:paraId="4E6D0125" w14:textId="403C9B50" w:rsidR="00944B1C" w:rsidRPr="00944B1C" w:rsidRDefault="00944B1C" w:rsidP="00944B1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44B1C">
                        <w:rPr>
                          <w:b/>
                          <w:bCs/>
                          <w:sz w:val="28"/>
                          <w:szCs w:val="28"/>
                        </w:rPr>
                        <w:t xml:space="preserve">G-L 2 </w:t>
                      </w:r>
                      <w:r w:rsidR="00383E47">
                        <w:rPr>
                          <w:b/>
                          <w:bCs/>
                          <w:sz w:val="28"/>
                          <w:szCs w:val="28"/>
                        </w:rPr>
                        <w:t>4Q</w:t>
                      </w:r>
                      <w:r w:rsidRPr="00944B1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2020 Quarterly Review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    February 22, 2021</w:t>
                      </w:r>
                    </w:p>
                  </w:txbxContent>
                </v:textbox>
              </v:rect>
            </w:pict>
          </mc:Fallback>
        </mc:AlternateContent>
      </w:r>
    </w:p>
    <w:bookmarkEnd w:id="0"/>
    <w:p w14:paraId="3C695881" w14:textId="77777777" w:rsidR="00B50AD8" w:rsidRDefault="00B50AD8"/>
    <w:tbl>
      <w:tblPr>
        <w:tblW w:w="5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266"/>
        <w:gridCol w:w="3265"/>
        <w:gridCol w:w="1842"/>
        <w:gridCol w:w="266"/>
      </w:tblGrid>
      <w:tr w:rsidR="00FE312B" w:rsidRPr="00FE312B" w14:paraId="3C39E6FA" w14:textId="77777777" w:rsidTr="00944B1C">
        <w:trPr>
          <w:trHeight w:val="262"/>
        </w:trPr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7824B0C3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5" w:type="dxa"/>
            <w:shd w:val="clear" w:color="auto" w:fill="D9E2F3" w:themeFill="accent1" w:themeFillTint="33"/>
            <w:noWrap/>
            <w:vAlign w:val="bottom"/>
            <w:hideMark/>
          </w:tcPr>
          <w:p w14:paraId="329E29DE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312B">
              <w:rPr>
                <w:rFonts w:ascii="Calibri" w:eastAsia="Times New Roman" w:hAnsi="Calibri" w:cs="Calibri"/>
                <w:b/>
                <w:bCs/>
                <w:color w:val="000000"/>
              </w:rPr>
              <w:t>G-L 2 Return Summary: 4Q 2020</w:t>
            </w:r>
          </w:p>
        </w:tc>
        <w:tc>
          <w:tcPr>
            <w:tcW w:w="1842" w:type="dxa"/>
            <w:shd w:val="clear" w:color="auto" w:fill="D9E2F3" w:themeFill="accent1" w:themeFillTint="33"/>
            <w:noWrap/>
            <w:vAlign w:val="bottom"/>
            <w:hideMark/>
          </w:tcPr>
          <w:p w14:paraId="78B8FB64" w14:textId="5449CF9D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6B91320C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312B" w:rsidRPr="00FE312B" w14:paraId="09817326" w14:textId="77777777" w:rsidTr="00944B1C">
        <w:trPr>
          <w:trHeight w:val="262"/>
        </w:trPr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145EDEF6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5" w:type="dxa"/>
            <w:shd w:val="clear" w:color="auto" w:fill="D9E2F3" w:themeFill="accent1" w:themeFillTint="33"/>
            <w:noWrap/>
            <w:vAlign w:val="bottom"/>
            <w:hideMark/>
          </w:tcPr>
          <w:p w14:paraId="169C4A8D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  <w:noWrap/>
            <w:vAlign w:val="bottom"/>
            <w:hideMark/>
          </w:tcPr>
          <w:p w14:paraId="04E4CC22" w14:textId="77777777" w:rsidR="00FE312B" w:rsidRPr="00FE312B" w:rsidRDefault="00FE312B" w:rsidP="00FE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Total </w:t>
            </w:r>
          </w:p>
        </w:tc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5877DDB6" w14:textId="77777777" w:rsidR="00FE312B" w:rsidRPr="00FE312B" w:rsidRDefault="00FE312B" w:rsidP="00FE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312B" w:rsidRPr="00FE312B" w14:paraId="35179719" w14:textId="77777777" w:rsidTr="00944B1C">
        <w:trPr>
          <w:trHeight w:val="262"/>
        </w:trPr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462B3F16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5" w:type="dxa"/>
            <w:shd w:val="clear" w:color="auto" w:fill="D9E2F3" w:themeFill="accent1" w:themeFillTint="33"/>
            <w:noWrap/>
            <w:vAlign w:val="bottom"/>
            <w:hideMark/>
          </w:tcPr>
          <w:p w14:paraId="0420175F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  <w:noWrap/>
            <w:vAlign w:val="bottom"/>
            <w:hideMark/>
          </w:tcPr>
          <w:p w14:paraId="5E2D4BF6" w14:textId="77777777" w:rsidR="00FE312B" w:rsidRPr="00737194" w:rsidRDefault="00FE312B" w:rsidP="00FE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737194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 xml:space="preserve"> Return </w:t>
            </w:r>
          </w:p>
        </w:tc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0AC7FBE8" w14:textId="77777777" w:rsidR="00FE312B" w:rsidRPr="00FE312B" w:rsidRDefault="00FE312B" w:rsidP="00FE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312B" w:rsidRPr="00FE312B" w14:paraId="61172F29" w14:textId="77777777" w:rsidTr="00944B1C">
        <w:trPr>
          <w:trHeight w:val="262"/>
        </w:trPr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650C6D2D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5" w:type="dxa"/>
            <w:shd w:val="clear" w:color="auto" w:fill="D9E2F3" w:themeFill="accent1" w:themeFillTint="33"/>
            <w:noWrap/>
            <w:vAlign w:val="bottom"/>
            <w:hideMark/>
          </w:tcPr>
          <w:p w14:paraId="28C5420C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  <w:noWrap/>
            <w:vAlign w:val="bottom"/>
            <w:hideMark/>
          </w:tcPr>
          <w:p w14:paraId="32839303" w14:textId="77777777" w:rsidR="00FE312B" w:rsidRPr="00FE312B" w:rsidRDefault="00FE312B" w:rsidP="00FE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7CABACF5" w14:textId="77777777" w:rsidR="00FE312B" w:rsidRPr="00FE312B" w:rsidRDefault="00FE312B" w:rsidP="00FE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312B" w:rsidRPr="00FE312B" w14:paraId="4D86037E" w14:textId="77777777" w:rsidTr="00944B1C">
        <w:trPr>
          <w:trHeight w:val="262"/>
        </w:trPr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517910FC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5" w:type="dxa"/>
            <w:shd w:val="clear" w:color="auto" w:fill="D9E2F3" w:themeFill="accent1" w:themeFillTint="33"/>
            <w:noWrap/>
            <w:vAlign w:val="bottom"/>
            <w:hideMark/>
          </w:tcPr>
          <w:p w14:paraId="2C8D6C43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 Investments</w:t>
            </w:r>
          </w:p>
        </w:tc>
        <w:tc>
          <w:tcPr>
            <w:tcW w:w="1842" w:type="dxa"/>
            <w:shd w:val="clear" w:color="auto" w:fill="D9E2F3" w:themeFill="accent1" w:themeFillTint="33"/>
            <w:noWrap/>
            <w:vAlign w:val="bottom"/>
            <w:hideMark/>
          </w:tcPr>
          <w:p w14:paraId="487F2294" w14:textId="77777777" w:rsidR="00FE312B" w:rsidRPr="00FE312B" w:rsidRDefault="00FE312B" w:rsidP="00FE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2.12%</w:t>
            </w:r>
          </w:p>
        </w:tc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505E523E" w14:textId="77777777" w:rsidR="00FE312B" w:rsidRPr="00FE312B" w:rsidRDefault="00FE312B" w:rsidP="00FE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312B" w:rsidRPr="00FE312B" w14:paraId="5E41A0CB" w14:textId="77777777" w:rsidTr="00944B1C">
        <w:trPr>
          <w:trHeight w:val="262"/>
        </w:trPr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2940D2FD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5" w:type="dxa"/>
            <w:shd w:val="clear" w:color="auto" w:fill="D9E2F3" w:themeFill="accent1" w:themeFillTint="33"/>
            <w:noWrap/>
            <w:vAlign w:val="bottom"/>
            <w:hideMark/>
          </w:tcPr>
          <w:p w14:paraId="36EB0210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  <w:noWrap/>
            <w:vAlign w:val="bottom"/>
            <w:hideMark/>
          </w:tcPr>
          <w:p w14:paraId="70BAE498" w14:textId="77777777" w:rsidR="00FE312B" w:rsidRPr="00FE312B" w:rsidRDefault="00FE312B" w:rsidP="00FE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4CE091AE" w14:textId="77777777" w:rsidR="00FE312B" w:rsidRPr="00FE312B" w:rsidRDefault="00FE312B" w:rsidP="00FE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312B" w:rsidRPr="00FE312B" w14:paraId="4302A49F" w14:textId="77777777" w:rsidTr="00944B1C">
        <w:trPr>
          <w:trHeight w:val="262"/>
        </w:trPr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16C26AC2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5" w:type="dxa"/>
            <w:shd w:val="clear" w:color="auto" w:fill="D9E2F3" w:themeFill="accent1" w:themeFillTint="33"/>
            <w:noWrap/>
            <w:vAlign w:val="bottom"/>
            <w:hideMark/>
          </w:tcPr>
          <w:p w14:paraId="3B86543E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 Subordinate Positions</w:t>
            </w:r>
          </w:p>
        </w:tc>
        <w:tc>
          <w:tcPr>
            <w:tcW w:w="1842" w:type="dxa"/>
            <w:shd w:val="clear" w:color="auto" w:fill="D9E2F3" w:themeFill="accent1" w:themeFillTint="33"/>
            <w:noWrap/>
            <w:vAlign w:val="bottom"/>
            <w:hideMark/>
          </w:tcPr>
          <w:p w14:paraId="2B5A981B" w14:textId="77777777" w:rsidR="00FE312B" w:rsidRPr="00FE312B" w:rsidRDefault="00FE312B" w:rsidP="00FE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2.38%</w:t>
            </w:r>
          </w:p>
        </w:tc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4D8A0585" w14:textId="77777777" w:rsidR="00FE312B" w:rsidRPr="00FE312B" w:rsidRDefault="00FE312B" w:rsidP="00FE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312B" w:rsidRPr="00FE312B" w14:paraId="558B1BB8" w14:textId="77777777" w:rsidTr="00944B1C">
        <w:trPr>
          <w:trHeight w:val="262"/>
        </w:trPr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5772316A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5" w:type="dxa"/>
            <w:shd w:val="clear" w:color="auto" w:fill="D9E2F3" w:themeFill="accent1" w:themeFillTint="33"/>
            <w:noWrap/>
            <w:vAlign w:val="bottom"/>
            <w:hideMark/>
          </w:tcPr>
          <w:p w14:paraId="52DE9E8D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FE312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   Mezzanine Loans</w:t>
            </w:r>
          </w:p>
        </w:tc>
        <w:tc>
          <w:tcPr>
            <w:tcW w:w="1842" w:type="dxa"/>
            <w:shd w:val="clear" w:color="auto" w:fill="D9E2F3" w:themeFill="accent1" w:themeFillTint="33"/>
            <w:noWrap/>
            <w:vAlign w:val="bottom"/>
            <w:hideMark/>
          </w:tcPr>
          <w:p w14:paraId="41756868" w14:textId="77777777" w:rsidR="00FE312B" w:rsidRPr="00FE312B" w:rsidRDefault="00FE312B" w:rsidP="00FE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1.64%</w:t>
            </w:r>
          </w:p>
        </w:tc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503327CF" w14:textId="77777777" w:rsidR="00FE312B" w:rsidRPr="00FE312B" w:rsidRDefault="00FE312B" w:rsidP="00FE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312B" w:rsidRPr="00FE312B" w14:paraId="4585462F" w14:textId="77777777" w:rsidTr="00944B1C">
        <w:trPr>
          <w:trHeight w:val="262"/>
        </w:trPr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54B354C8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5" w:type="dxa"/>
            <w:shd w:val="clear" w:color="auto" w:fill="D9E2F3" w:themeFill="accent1" w:themeFillTint="33"/>
            <w:noWrap/>
            <w:vAlign w:val="bottom"/>
            <w:hideMark/>
          </w:tcPr>
          <w:p w14:paraId="7EC86EEB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FE312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   Leveraged Whole Loans</w:t>
            </w:r>
          </w:p>
        </w:tc>
        <w:tc>
          <w:tcPr>
            <w:tcW w:w="1842" w:type="dxa"/>
            <w:shd w:val="clear" w:color="auto" w:fill="D9E2F3" w:themeFill="accent1" w:themeFillTint="33"/>
            <w:noWrap/>
            <w:vAlign w:val="bottom"/>
            <w:hideMark/>
          </w:tcPr>
          <w:p w14:paraId="6A542DA5" w14:textId="77777777" w:rsidR="00FE312B" w:rsidRPr="00FE312B" w:rsidRDefault="00FE312B" w:rsidP="00FE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2.16%</w:t>
            </w:r>
          </w:p>
        </w:tc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3A6811F2" w14:textId="77777777" w:rsidR="00FE312B" w:rsidRPr="00FE312B" w:rsidRDefault="00FE312B" w:rsidP="00FE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312B" w:rsidRPr="00FE312B" w14:paraId="2C77F464" w14:textId="77777777" w:rsidTr="00944B1C">
        <w:trPr>
          <w:trHeight w:val="262"/>
        </w:trPr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24E247AD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5" w:type="dxa"/>
            <w:shd w:val="clear" w:color="auto" w:fill="D9E2F3" w:themeFill="accent1" w:themeFillTint="33"/>
            <w:noWrap/>
            <w:vAlign w:val="bottom"/>
            <w:hideMark/>
          </w:tcPr>
          <w:p w14:paraId="17E48015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FE312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   Other Sub. Debt *</w:t>
            </w:r>
          </w:p>
        </w:tc>
        <w:tc>
          <w:tcPr>
            <w:tcW w:w="1842" w:type="dxa"/>
            <w:shd w:val="clear" w:color="auto" w:fill="D9E2F3" w:themeFill="accent1" w:themeFillTint="33"/>
            <w:noWrap/>
            <w:vAlign w:val="bottom"/>
            <w:hideMark/>
          </w:tcPr>
          <w:p w14:paraId="34125D01" w14:textId="77777777" w:rsidR="00FE312B" w:rsidRPr="00FE312B" w:rsidRDefault="00FE312B" w:rsidP="00FE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6.68%</w:t>
            </w:r>
          </w:p>
        </w:tc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3F86ABC1" w14:textId="77777777" w:rsidR="00FE312B" w:rsidRPr="00FE312B" w:rsidRDefault="00FE312B" w:rsidP="00FE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312B" w:rsidRPr="00FE312B" w14:paraId="689FF19F" w14:textId="77777777" w:rsidTr="00944B1C">
        <w:trPr>
          <w:trHeight w:val="262"/>
        </w:trPr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10E75BAD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5" w:type="dxa"/>
            <w:shd w:val="clear" w:color="auto" w:fill="D9E2F3" w:themeFill="accent1" w:themeFillTint="33"/>
            <w:noWrap/>
            <w:vAlign w:val="bottom"/>
            <w:hideMark/>
          </w:tcPr>
          <w:p w14:paraId="16B4A9EE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  <w:noWrap/>
            <w:vAlign w:val="bottom"/>
            <w:hideMark/>
          </w:tcPr>
          <w:p w14:paraId="2BE7DE23" w14:textId="77777777" w:rsidR="00FE312B" w:rsidRPr="00FE312B" w:rsidRDefault="00FE312B" w:rsidP="00FE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7941B3E9" w14:textId="77777777" w:rsidR="00FE312B" w:rsidRPr="00FE312B" w:rsidRDefault="00FE312B" w:rsidP="00FE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312B" w:rsidRPr="00FE312B" w14:paraId="50584E0D" w14:textId="77777777" w:rsidTr="00944B1C">
        <w:trPr>
          <w:trHeight w:val="262"/>
        </w:trPr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5B0543E4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5" w:type="dxa"/>
            <w:shd w:val="clear" w:color="auto" w:fill="D9E2F3" w:themeFill="accent1" w:themeFillTint="33"/>
            <w:noWrap/>
            <w:vAlign w:val="bottom"/>
            <w:hideMark/>
          </w:tcPr>
          <w:p w14:paraId="740A6794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Senior Loans</w:t>
            </w:r>
          </w:p>
        </w:tc>
        <w:tc>
          <w:tcPr>
            <w:tcW w:w="1842" w:type="dxa"/>
            <w:shd w:val="clear" w:color="auto" w:fill="D9E2F3" w:themeFill="accent1" w:themeFillTint="33"/>
            <w:noWrap/>
            <w:vAlign w:val="bottom"/>
            <w:hideMark/>
          </w:tcPr>
          <w:p w14:paraId="4E348C3B" w14:textId="77777777" w:rsidR="00FE312B" w:rsidRPr="00FE312B" w:rsidRDefault="00FE312B" w:rsidP="00FE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1.34%</w:t>
            </w:r>
          </w:p>
        </w:tc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50F489D3" w14:textId="77777777" w:rsidR="00FE312B" w:rsidRPr="00FE312B" w:rsidRDefault="00FE312B" w:rsidP="00FE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312B" w:rsidRPr="00FE312B" w14:paraId="56212CFA" w14:textId="77777777" w:rsidTr="00944B1C">
        <w:trPr>
          <w:trHeight w:val="262"/>
        </w:trPr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66B71FDD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5" w:type="dxa"/>
            <w:shd w:val="clear" w:color="auto" w:fill="D9E2F3" w:themeFill="accent1" w:themeFillTint="33"/>
            <w:noWrap/>
            <w:vAlign w:val="bottom"/>
            <w:hideMark/>
          </w:tcPr>
          <w:p w14:paraId="1A4E44A5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  <w:noWrap/>
            <w:vAlign w:val="bottom"/>
            <w:hideMark/>
          </w:tcPr>
          <w:p w14:paraId="47AC1BDF" w14:textId="77777777" w:rsidR="00FE312B" w:rsidRPr="00FE312B" w:rsidRDefault="00FE312B" w:rsidP="00FE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30B6211D" w14:textId="77777777" w:rsidR="00FE312B" w:rsidRPr="00FE312B" w:rsidRDefault="00FE312B" w:rsidP="00FE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312B" w:rsidRPr="00FE312B" w14:paraId="7F56F3DF" w14:textId="77777777" w:rsidTr="00944B1C">
        <w:trPr>
          <w:trHeight w:val="262"/>
        </w:trPr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51C74BAF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5" w:type="dxa"/>
            <w:shd w:val="clear" w:color="auto" w:fill="D9E2F3" w:themeFill="accent1" w:themeFillTint="33"/>
            <w:noWrap/>
            <w:vAlign w:val="bottom"/>
            <w:hideMark/>
          </w:tcPr>
          <w:p w14:paraId="65AF62BF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Floating Rate</w:t>
            </w:r>
          </w:p>
        </w:tc>
        <w:tc>
          <w:tcPr>
            <w:tcW w:w="1842" w:type="dxa"/>
            <w:shd w:val="clear" w:color="auto" w:fill="D9E2F3" w:themeFill="accent1" w:themeFillTint="33"/>
            <w:noWrap/>
            <w:vAlign w:val="bottom"/>
            <w:hideMark/>
          </w:tcPr>
          <w:p w14:paraId="146C21FD" w14:textId="77777777" w:rsidR="00FE312B" w:rsidRPr="00FE312B" w:rsidRDefault="00FE312B" w:rsidP="00FE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1.67%</w:t>
            </w:r>
          </w:p>
        </w:tc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1360B045" w14:textId="77777777" w:rsidR="00FE312B" w:rsidRPr="00FE312B" w:rsidRDefault="00FE312B" w:rsidP="00FE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312B" w:rsidRPr="00FE312B" w14:paraId="0E190939" w14:textId="77777777" w:rsidTr="00944B1C">
        <w:trPr>
          <w:trHeight w:val="262"/>
        </w:trPr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45D6A3AE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5" w:type="dxa"/>
            <w:shd w:val="clear" w:color="auto" w:fill="D9E2F3" w:themeFill="accent1" w:themeFillTint="33"/>
            <w:noWrap/>
            <w:vAlign w:val="bottom"/>
            <w:hideMark/>
          </w:tcPr>
          <w:p w14:paraId="565212D1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Fixed Rate</w:t>
            </w:r>
          </w:p>
        </w:tc>
        <w:tc>
          <w:tcPr>
            <w:tcW w:w="1842" w:type="dxa"/>
            <w:shd w:val="clear" w:color="auto" w:fill="D9E2F3" w:themeFill="accent1" w:themeFillTint="33"/>
            <w:noWrap/>
            <w:vAlign w:val="bottom"/>
            <w:hideMark/>
          </w:tcPr>
          <w:p w14:paraId="25A8B624" w14:textId="77777777" w:rsidR="00FE312B" w:rsidRPr="00FE312B" w:rsidRDefault="00FE312B" w:rsidP="00FE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2.95%</w:t>
            </w:r>
          </w:p>
        </w:tc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5460513A" w14:textId="77777777" w:rsidR="00FE312B" w:rsidRPr="00FE312B" w:rsidRDefault="00FE312B" w:rsidP="00FE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312B" w:rsidRPr="00FE312B" w14:paraId="3E2CF31A" w14:textId="77777777" w:rsidTr="00944B1C">
        <w:trPr>
          <w:trHeight w:val="262"/>
        </w:trPr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71837970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5" w:type="dxa"/>
            <w:shd w:val="clear" w:color="auto" w:fill="D9E2F3" w:themeFill="accent1" w:themeFillTint="33"/>
            <w:noWrap/>
            <w:vAlign w:val="bottom"/>
            <w:hideMark/>
          </w:tcPr>
          <w:p w14:paraId="5BD6C48F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  <w:noWrap/>
            <w:vAlign w:val="bottom"/>
            <w:hideMark/>
          </w:tcPr>
          <w:p w14:paraId="593F79FD" w14:textId="77777777" w:rsidR="00FE312B" w:rsidRPr="00FE312B" w:rsidRDefault="00FE312B" w:rsidP="00FE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7337C928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312B" w:rsidRPr="00FE312B" w14:paraId="7F814C30" w14:textId="77777777" w:rsidTr="00944B1C">
        <w:trPr>
          <w:trHeight w:val="262"/>
        </w:trPr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5D76F1C1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5" w:type="dxa"/>
            <w:shd w:val="clear" w:color="auto" w:fill="D9E2F3" w:themeFill="accent1" w:themeFillTint="33"/>
            <w:noWrap/>
            <w:vAlign w:val="bottom"/>
            <w:hideMark/>
          </w:tcPr>
          <w:p w14:paraId="372553A1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Stabilized Assets</w:t>
            </w:r>
          </w:p>
        </w:tc>
        <w:tc>
          <w:tcPr>
            <w:tcW w:w="1842" w:type="dxa"/>
            <w:shd w:val="clear" w:color="auto" w:fill="D9E2F3" w:themeFill="accent1" w:themeFillTint="33"/>
            <w:noWrap/>
            <w:vAlign w:val="bottom"/>
            <w:hideMark/>
          </w:tcPr>
          <w:p w14:paraId="2E060B26" w14:textId="77777777" w:rsidR="00FE312B" w:rsidRPr="00FE312B" w:rsidRDefault="00FE312B" w:rsidP="00FE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1.57%</w:t>
            </w:r>
          </w:p>
        </w:tc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38E68B78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312B" w:rsidRPr="00FE312B" w14:paraId="5899E40F" w14:textId="77777777" w:rsidTr="00944B1C">
        <w:trPr>
          <w:trHeight w:val="262"/>
        </w:trPr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1E54C639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5" w:type="dxa"/>
            <w:shd w:val="clear" w:color="auto" w:fill="D9E2F3" w:themeFill="accent1" w:themeFillTint="33"/>
            <w:noWrap/>
            <w:vAlign w:val="bottom"/>
            <w:hideMark/>
          </w:tcPr>
          <w:p w14:paraId="35454B0E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Bridge / Transitional Assets</w:t>
            </w:r>
          </w:p>
        </w:tc>
        <w:tc>
          <w:tcPr>
            <w:tcW w:w="1842" w:type="dxa"/>
            <w:shd w:val="clear" w:color="auto" w:fill="D9E2F3" w:themeFill="accent1" w:themeFillTint="33"/>
            <w:noWrap/>
            <w:vAlign w:val="bottom"/>
            <w:hideMark/>
          </w:tcPr>
          <w:p w14:paraId="3E5D2377" w14:textId="77777777" w:rsidR="00FE312B" w:rsidRPr="00FE312B" w:rsidRDefault="00FE312B" w:rsidP="00FE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2.47%</w:t>
            </w:r>
          </w:p>
        </w:tc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16265BBB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312B" w:rsidRPr="00FE312B" w14:paraId="0EAEEA90" w14:textId="77777777" w:rsidTr="00944B1C">
        <w:trPr>
          <w:trHeight w:val="262"/>
        </w:trPr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22CEE619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5" w:type="dxa"/>
            <w:shd w:val="clear" w:color="auto" w:fill="D9E2F3" w:themeFill="accent1" w:themeFillTint="33"/>
            <w:noWrap/>
            <w:vAlign w:val="bottom"/>
            <w:hideMark/>
          </w:tcPr>
          <w:p w14:paraId="765E0DF8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Value-add Projects</w:t>
            </w:r>
          </w:p>
        </w:tc>
        <w:tc>
          <w:tcPr>
            <w:tcW w:w="1842" w:type="dxa"/>
            <w:shd w:val="clear" w:color="auto" w:fill="D9E2F3" w:themeFill="accent1" w:themeFillTint="33"/>
            <w:noWrap/>
            <w:vAlign w:val="bottom"/>
            <w:hideMark/>
          </w:tcPr>
          <w:p w14:paraId="114AC87A" w14:textId="77777777" w:rsidR="00FE312B" w:rsidRPr="00FE312B" w:rsidRDefault="00FE312B" w:rsidP="00FE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1.34%</w:t>
            </w:r>
          </w:p>
        </w:tc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7CF99AA7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312B" w:rsidRPr="00FE312B" w14:paraId="36623453" w14:textId="77777777" w:rsidTr="00944B1C">
        <w:trPr>
          <w:trHeight w:val="262"/>
        </w:trPr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67694D62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5" w:type="dxa"/>
            <w:shd w:val="clear" w:color="auto" w:fill="D9E2F3" w:themeFill="accent1" w:themeFillTint="33"/>
            <w:noWrap/>
            <w:vAlign w:val="bottom"/>
            <w:hideMark/>
          </w:tcPr>
          <w:p w14:paraId="4DCA95D9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  <w:noWrap/>
            <w:vAlign w:val="bottom"/>
            <w:hideMark/>
          </w:tcPr>
          <w:p w14:paraId="6FE3793A" w14:textId="77777777" w:rsidR="00FE312B" w:rsidRPr="00FE312B" w:rsidRDefault="00FE312B" w:rsidP="00FE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04AE8648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312B" w:rsidRPr="00FE312B" w14:paraId="2548FD5D" w14:textId="77777777" w:rsidTr="00944B1C">
        <w:trPr>
          <w:trHeight w:val="262"/>
        </w:trPr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707E2885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3" w:type="dxa"/>
            <w:gridSpan w:val="3"/>
            <w:shd w:val="clear" w:color="auto" w:fill="D9E2F3" w:themeFill="accent1" w:themeFillTint="33"/>
            <w:noWrap/>
            <w:vAlign w:val="bottom"/>
            <w:hideMark/>
          </w:tcPr>
          <w:p w14:paraId="32E56463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312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 B notes, second mortgages, preferred equity and other or unknown</w:t>
            </w:r>
          </w:p>
        </w:tc>
      </w:tr>
      <w:tr w:rsidR="00FE312B" w:rsidRPr="00FE312B" w14:paraId="00AFB2A8" w14:textId="77777777" w:rsidTr="00944B1C">
        <w:trPr>
          <w:trHeight w:val="262"/>
        </w:trPr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7C2C92A0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5" w:type="dxa"/>
            <w:shd w:val="clear" w:color="auto" w:fill="D9E2F3" w:themeFill="accent1" w:themeFillTint="33"/>
            <w:noWrap/>
            <w:vAlign w:val="bottom"/>
            <w:hideMark/>
          </w:tcPr>
          <w:p w14:paraId="55020D05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  <w:noWrap/>
            <w:vAlign w:val="bottom"/>
            <w:hideMark/>
          </w:tcPr>
          <w:p w14:paraId="4ABA4D43" w14:textId="77777777" w:rsidR="00FE312B" w:rsidRPr="00FE312B" w:rsidRDefault="00FE312B" w:rsidP="00FE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6832D203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312B" w:rsidRPr="00FE312B" w14:paraId="5EF447C6" w14:textId="77777777" w:rsidTr="00944B1C">
        <w:trPr>
          <w:trHeight w:val="262"/>
        </w:trPr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6F658A48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5" w:type="dxa"/>
            <w:shd w:val="clear" w:color="auto" w:fill="D9E2F3" w:themeFill="accent1" w:themeFillTint="33"/>
            <w:noWrap/>
            <w:vAlign w:val="bottom"/>
            <w:hideMark/>
          </w:tcPr>
          <w:p w14:paraId="2576CF4A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Source: Giliberto-Levy</w:t>
            </w:r>
          </w:p>
        </w:tc>
        <w:tc>
          <w:tcPr>
            <w:tcW w:w="1842" w:type="dxa"/>
            <w:shd w:val="clear" w:color="auto" w:fill="D9E2F3" w:themeFill="accent1" w:themeFillTint="33"/>
            <w:noWrap/>
            <w:vAlign w:val="bottom"/>
            <w:hideMark/>
          </w:tcPr>
          <w:p w14:paraId="59FB14E3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" w:type="dxa"/>
            <w:shd w:val="clear" w:color="auto" w:fill="D9E2F3" w:themeFill="accent1" w:themeFillTint="33"/>
            <w:noWrap/>
            <w:vAlign w:val="bottom"/>
            <w:hideMark/>
          </w:tcPr>
          <w:p w14:paraId="105D1B7D" w14:textId="77777777" w:rsidR="00FE312B" w:rsidRPr="00FE312B" w:rsidRDefault="00FE312B" w:rsidP="00FE3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31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6CA872C2" w14:textId="77777777" w:rsidR="000661D8" w:rsidRDefault="000661D8"/>
    <w:p w14:paraId="4459ACAC" w14:textId="6AF74AC8" w:rsidR="00947F5D" w:rsidRPr="00944B1C" w:rsidRDefault="00232631" w:rsidP="00947F5D">
      <w:pPr>
        <w:rPr>
          <w:b/>
          <w:u w:val="single"/>
        </w:rPr>
      </w:pPr>
      <w:r w:rsidRPr="00944B1C">
        <w:rPr>
          <w:b/>
          <w:u w:val="single"/>
        </w:rPr>
        <w:t>Index Performance</w:t>
      </w:r>
    </w:p>
    <w:p w14:paraId="0C2B949E" w14:textId="685D0C62" w:rsidR="0064188F" w:rsidRDefault="006B3DB8" w:rsidP="0064188F">
      <w:pPr>
        <w:pStyle w:val="ListParagraph"/>
        <w:numPr>
          <w:ilvl w:val="0"/>
          <w:numId w:val="2"/>
        </w:numPr>
      </w:pPr>
      <w:r>
        <w:rPr>
          <w:b/>
          <w:bCs/>
        </w:rPr>
        <w:t>T</w:t>
      </w:r>
      <w:r w:rsidR="00277579" w:rsidRPr="007509ED">
        <w:rPr>
          <w:b/>
          <w:bCs/>
        </w:rPr>
        <w:t xml:space="preserve">otal return </w:t>
      </w:r>
      <w:r w:rsidR="00373081">
        <w:rPr>
          <w:b/>
          <w:bCs/>
        </w:rPr>
        <w:t xml:space="preserve">performance improved considerably, with the index posting a 2.12% total return </w:t>
      </w:r>
      <w:r>
        <w:rPr>
          <w:b/>
          <w:bCs/>
        </w:rPr>
        <w:t xml:space="preserve">for </w:t>
      </w:r>
      <w:r w:rsidR="00373081">
        <w:rPr>
          <w:b/>
          <w:bCs/>
        </w:rPr>
        <w:t>4</w:t>
      </w:r>
      <w:r>
        <w:rPr>
          <w:b/>
          <w:bCs/>
        </w:rPr>
        <w:t>Q 2020</w:t>
      </w:r>
      <w:r w:rsidR="00373081">
        <w:rPr>
          <w:b/>
          <w:bCs/>
        </w:rPr>
        <w:t>.</w:t>
      </w:r>
      <w:r>
        <w:rPr>
          <w:b/>
          <w:bCs/>
        </w:rPr>
        <w:t xml:space="preserve"> </w:t>
      </w:r>
      <w:r w:rsidR="000636A6">
        <w:t xml:space="preserve">This </w:t>
      </w:r>
      <w:r w:rsidR="00D54F80">
        <w:t>was</w:t>
      </w:r>
      <w:r w:rsidR="000636A6">
        <w:t xml:space="preserve"> a welcome</w:t>
      </w:r>
      <w:r w:rsidR="004161AB">
        <w:t xml:space="preserve"> change from 3Q’s</w:t>
      </w:r>
      <w:r w:rsidR="00850469" w:rsidRPr="00B7736D">
        <w:t xml:space="preserve"> </w:t>
      </w:r>
      <w:r w:rsidR="00F42957" w:rsidRPr="00B7736D">
        <w:t>0.5</w:t>
      </w:r>
      <w:r w:rsidR="004161AB">
        <w:t>3</w:t>
      </w:r>
      <w:r w:rsidR="001611A6" w:rsidRPr="00B7736D">
        <w:t>%</w:t>
      </w:r>
      <w:r w:rsidR="00161AC3" w:rsidRPr="00B7736D">
        <w:t xml:space="preserve"> </w:t>
      </w:r>
      <w:r w:rsidR="004161AB">
        <w:t xml:space="preserve">(revised from 0.54%) </w:t>
      </w:r>
      <w:r w:rsidR="003F3E38">
        <w:t>outcome.</w:t>
      </w:r>
      <w:r w:rsidR="0021702F">
        <w:rPr>
          <w:rStyle w:val="FootnoteReference"/>
        </w:rPr>
        <w:footnoteReference w:id="1"/>
      </w:r>
      <w:r w:rsidR="007509ED">
        <w:tab/>
      </w:r>
    </w:p>
    <w:p w14:paraId="739D3FCC" w14:textId="465800D9" w:rsidR="001A5E3B" w:rsidRDefault="00DA4C87" w:rsidP="00825D97">
      <w:pPr>
        <w:pStyle w:val="ListParagraph"/>
        <w:numPr>
          <w:ilvl w:val="1"/>
          <w:numId w:val="2"/>
        </w:numPr>
      </w:pPr>
      <w:r>
        <w:t xml:space="preserve">Income return </w:t>
      </w:r>
      <w:r w:rsidR="00DC7E7A">
        <w:t>was 1.</w:t>
      </w:r>
      <w:r w:rsidR="004E7F29">
        <w:t>68</w:t>
      </w:r>
      <w:r>
        <w:t xml:space="preserve">%, </w:t>
      </w:r>
      <w:r w:rsidR="002D6555">
        <w:t>which basically matched the prior quarter</w:t>
      </w:r>
      <w:r w:rsidR="005B433F">
        <w:t>’s</w:t>
      </w:r>
      <w:r w:rsidR="0067333A">
        <w:t xml:space="preserve"> rate</w:t>
      </w:r>
      <w:r w:rsidR="00972A29">
        <w:t>.</w:t>
      </w:r>
    </w:p>
    <w:p w14:paraId="29CB89B0" w14:textId="5A975FEA" w:rsidR="00404134" w:rsidRDefault="00DA4C87" w:rsidP="00404134">
      <w:pPr>
        <w:pStyle w:val="ListParagraph"/>
        <w:numPr>
          <w:ilvl w:val="1"/>
          <w:numId w:val="2"/>
        </w:numPr>
      </w:pPr>
      <w:r w:rsidRPr="0047402D">
        <w:t xml:space="preserve">Capital value </w:t>
      </w:r>
      <w:r w:rsidR="00B80180">
        <w:t xml:space="preserve">return was </w:t>
      </w:r>
      <w:r w:rsidR="0067333A">
        <w:t>0.4</w:t>
      </w:r>
      <w:r w:rsidR="00BE4341">
        <w:t>4</w:t>
      </w:r>
      <w:r w:rsidR="00D1617B">
        <w:t>%</w:t>
      </w:r>
      <w:r w:rsidR="00AC264F">
        <w:t>; we discuss this</w:t>
      </w:r>
      <w:r w:rsidR="00972A29">
        <w:t xml:space="preserve"> in detail</w:t>
      </w:r>
      <w:r w:rsidR="00DF0974">
        <w:t xml:space="preserve"> below</w:t>
      </w:r>
      <w:r w:rsidR="00F06309">
        <w:t>.</w:t>
      </w:r>
    </w:p>
    <w:p w14:paraId="0577909A" w14:textId="183EF7C8" w:rsidR="00F06309" w:rsidRDefault="00C56195" w:rsidP="00404134">
      <w:pPr>
        <w:pStyle w:val="ListParagraph"/>
        <w:numPr>
          <w:ilvl w:val="1"/>
          <w:numId w:val="2"/>
        </w:numPr>
      </w:pPr>
      <w:r>
        <w:t>Full-</w:t>
      </w:r>
      <w:r w:rsidR="00972A29">
        <w:t xml:space="preserve">year 2020 </w:t>
      </w:r>
      <w:r w:rsidR="00F06309">
        <w:t xml:space="preserve">total return </w:t>
      </w:r>
      <w:r w:rsidR="00972A29">
        <w:t xml:space="preserve">came in at </w:t>
      </w:r>
      <w:r>
        <w:t xml:space="preserve">5.12%, the lowest calendar-year total </w:t>
      </w:r>
      <w:r w:rsidR="00F22936">
        <w:t xml:space="preserve">posted </w:t>
      </w:r>
      <w:r w:rsidR="00093CF1">
        <w:t>so far for the</w:t>
      </w:r>
      <w:r w:rsidR="00F22936">
        <w:t xml:space="preserve"> G-L 2</w:t>
      </w:r>
      <w:r w:rsidR="007A5886">
        <w:t>.</w:t>
      </w:r>
    </w:p>
    <w:p w14:paraId="4FAF6011" w14:textId="77777777" w:rsidR="00387282" w:rsidRDefault="00387282" w:rsidP="00387282">
      <w:pPr>
        <w:pStyle w:val="ListParagraph"/>
        <w:ind w:left="1440"/>
      </w:pPr>
    </w:p>
    <w:p w14:paraId="6193AFED" w14:textId="77777777" w:rsidR="009234AC" w:rsidRDefault="009234AC" w:rsidP="009234AC">
      <w:pPr>
        <w:pStyle w:val="ListParagraph"/>
        <w:numPr>
          <w:ilvl w:val="0"/>
          <w:numId w:val="4"/>
        </w:numPr>
      </w:pPr>
      <w:r>
        <w:t>Monthly returns:</w:t>
      </w:r>
    </w:p>
    <w:p w14:paraId="79D0F2E2" w14:textId="62F083EB" w:rsidR="009234AC" w:rsidRDefault="00963CE4" w:rsidP="009234AC">
      <w:pPr>
        <w:pStyle w:val="ListParagraph"/>
        <w:numPr>
          <w:ilvl w:val="1"/>
          <w:numId w:val="4"/>
        </w:numPr>
      </w:pPr>
      <w:r>
        <w:t>Oct</w:t>
      </w:r>
      <w:r w:rsidR="009234AC">
        <w:t>. 2020</w:t>
      </w:r>
      <w:r w:rsidR="009234AC">
        <w:tab/>
        <w:t>0.</w:t>
      </w:r>
      <w:r w:rsidR="005752B0">
        <w:t>90</w:t>
      </w:r>
      <w:r w:rsidR="009234AC">
        <w:t>%</w:t>
      </w:r>
    </w:p>
    <w:p w14:paraId="6002B57F" w14:textId="57533E19" w:rsidR="009234AC" w:rsidRDefault="00963CE4" w:rsidP="009234AC">
      <w:pPr>
        <w:pStyle w:val="ListParagraph"/>
        <w:numPr>
          <w:ilvl w:val="1"/>
          <w:numId w:val="4"/>
        </w:numPr>
      </w:pPr>
      <w:r>
        <w:t>Nov</w:t>
      </w:r>
      <w:r w:rsidR="00E4162E">
        <w:t>.</w:t>
      </w:r>
      <w:r w:rsidR="009234AC">
        <w:t xml:space="preserve"> 2020</w:t>
      </w:r>
      <w:r w:rsidR="009234AC">
        <w:tab/>
        <w:t>0.</w:t>
      </w:r>
      <w:r w:rsidR="00D95919">
        <w:t>5</w:t>
      </w:r>
      <w:r w:rsidR="0070080B">
        <w:t>8</w:t>
      </w:r>
      <w:r w:rsidR="009234AC">
        <w:t>%</w:t>
      </w:r>
    </w:p>
    <w:p w14:paraId="3270254E" w14:textId="62F37F5A" w:rsidR="00BC22E6" w:rsidRDefault="00963CE4" w:rsidP="00BC22E6">
      <w:pPr>
        <w:pStyle w:val="ListParagraph"/>
        <w:numPr>
          <w:ilvl w:val="1"/>
          <w:numId w:val="4"/>
        </w:numPr>
      </w:pPr>
      <w:r>
        <w:t>Dec</w:t>
      </w:r>
      <w:r w:rsidR="009234AC">
        <w:t>. 2020</w:t>
      </w:r>
      <w:r w:rsidR="00D95919">
        <w:tab/>
      </w:r>
      <w:r w:rsidR="009234AC">
        <w:t>0.</w:t>
      </w:r>
      <w:r w:rsidR="00D95919">
        <w:t>6</w:t>
      </w:r>
      <w:r w:rsidR="0070080B">
        <w:t>2</w:t>
      </w:r>
      <w:r w:rsidR="00BC22E6">
        <w:t>%</w:t>
      </w:r>
    </w:p>
    <w:p w14:paraId="326991F6" w14:textId="77777777" w:rsidR="00944B1C" w:rsidRDefault="00944B1C" w:rsidP="00BC22E6">
      <w:pPr>
        <w:pStyle w:val="ListParagraph"/>
        <w:numPr>
          <w:ilvl w:val="1"/>
          <w:numId w:val="4"/>
        </w:numPr>
      </w:pPr>
    </w:p>
    <w:p w14:paraId="26B63A7B" w14:textId="74AF9A9C" w:rsidR="00BC22E6" w:rsidRDefault="00C5019B" w:rsidP="00BC22E6">
      <w:pPr>
        <w:pStyle w:val="ListParagraph"/>
        <w:numPr>
          <w:ilvl w:val="0"/>
          <w:numId w:val="4"/>
        </w:numPr>
      </w:pPr>
      <w:r>
        <w:t xml:space="preserve">The </w:t>
      </w:r>
      <w:r w:rsidRPr="007630E6">
        <w:rPr>
          <w:b/>
          <w:bCs/>
        </w:rPr>
        <w:t>capital value increase was drive</w:t>
      </w:r>
      <w:r w:rsidR="007A01E2" w:rsidRPr="007630E6">
        <w:rPr>
          <w:b/>
          <w:bCs/>
        </w:rPr>
        <w:t>n by outsized performance from the “other subordinate debt” segment</w:t>
      </w:r>
      <w:r w:rsidR="007A01E2">
        <w:t>, which includes B notes, second mortgages and preferred equity</w:t>
      </w:r>
      <w:r w:rsidR="00BC3BA6">
        <w:t>.</w:t>
      </w:r>
      <w:r w:rsidR="007F1091">
        <w:t xml:space="preserve"> The table at </w:t>
      </w:r>
      <w:r w:rsidR="007F1091">
        <w:lastRenderedPageBreak/>
        <w:t xml:space="preserve">the top of this report shows a </w:t>
      </w:r>
      <w:r w:rsidR="00350C59">
        <w:t>6.68% total return</w:t>
      </w:r>
      <w:r w:rsidR="00FE3456">
        <w:t xml:space="preserve"> for such investments</w:t>
      </w:r>
      <w:r w:rsidR="00350C59">
        <w:t>, more than 4</w:t>
      </w:r>
      <w:r w:rsidR="007D1468">
        <w:t>50 basis points (bp) above the overall G-L 2</w:t>
      </w:r>
      <w:r w:rsidR="00BD6197">
        <w:t xml:space="preserve"> return</w:t>
      </w:r>
      <w:r w:rsidR="007D1468">
        <w:t xml:space="preserve">. </w:t>
      </w:r>
      <w:r w:rsidR="00837C13">
        <w:t>Income return for the segment was 1.97% in 4Q</w:t>
      </w:r>
      <w:r w:rsidR="0087029E">
        <w:t xml:space="preserve">, </w:t>
      </w:r>
      <w:r w:rsidR="00106E99">
        <w:t xml:space="preserve">and the capital value change was </w:t>
      </w:r>
      <w:r w:rsidR="00AF1CFF">
        <w:t xml:space="preserve">4.71%. </w:t>
      </w:r>
    </w:p>
    <w:p w14:paraId="3D3BD411" w14:textId="31F6AEBB" w:rsidR="00EE5E88" w:rsidRDefault="00C70B10" w:rsidP="00EE5E88">
      <w:pPr>
        <w:ind w:left="720"/>
      </w:pPr>
      <w:r>
        <w:t xml:space="preserve">What </w:t>
      </w:r>
      <w:r w:rsidR="001311A5">
        <w:t>caused the change in value? S</w:t>
      </w:r>
      <w:r>
        <w:t>evera</w:t>
      </w:r>
      <w:r w:rsidR="00975447">
        <w:t>l large fixed-rate positions</w:t>
      </w:r>
      <w:r w:rsidR="00C44911">
        <w:t>’</w:t>
      </w:r>
      <w:r w:rsidR="00975447">
        <w:t xml:space="preserve"> values had been capped by lender</w:t>
      </w:r>
      <w:r w:rsidR="00C44911">
        <w:t xml:space="preserve">s in prior periods. </w:t>
      </w:r>
      <w:r w:rsidR="001311A5">
        <w:t>C</w:t>
      </w:r>
      <w:r w:rsidR="00F908CF">
        <w:t>aps were removed in 4Q, and positions were marked to market</w:t>
      </w:r>
      <w:r w:rsidR="00AF5C3D">
        <w:t xml:space="preserve">, resulting in </w:t>
      </w:r>
      <w:r w:rsidR="00957974">
        <w:t>large increases in loan values</w:t>
      </w:r>
      <w:r w:rsidR="00F908CF">
        <w:t>.</w:t>
      </w:r>
      <w:r w:rsidR="005C3FE5">
        <w:t xml:space="preserve"> </w:t>
      </w:r>
      <w:r w:rsidR="00296EF8">
        <w:t>Returns on these positions dominated the other subordinate debt segment’s performance</w:t>
      </w:r>
      <w:r w:rsidR="005B64F0">
        <w:t>, and t</w:t>
      </w:r>
      <w:r w:rsidR="004B1EE7">
        <w:t>h</w:t>
      </w:r>
      <w:r w:rsidR="00636430">
        <w:t xml:space="preserve">e large </w:t>
      </w:r>
      <w:r w:rsidR="00957974">
        <w:t>segment</w:t>
      </w:r>
      <w:r w:rsidR="00636430">
        <w:t xml:space="preserve"> return </w:t>
      </w:r>
      <w:r w:rsidR="003A5BBC">
        <w:t>had a</w:t>
      </w:r>
      <w:r w:rsidR="00CB5D35">
        <w:t xml:space="preserve"> substantial </w:t>
      </w:r>
      <w:r w:rsidR="003A5BBC">
        <w:t xml:space="preserve">effect on overall G-L 2 return. </w:t>
      </w:r>
      <w:r w:rsidR="002C63C4">
        <w:t>We calculated</w:t>
      </w:r>
      <w:r w:rsidR="00923544">
        <w:t xml:space="preserve"> th</w:t>
      </w:r>
      <w:r w:rsidR="007B48C1">
        <w:t>at</w:t>
      </w:r>
      <w:r w:rsidR="00B31A7A">
        <w:t xml:space="preserve"> 36 bp</w:t>
      </w:r>
      <w:r w:rsidR="007B48C1">
        <w:t xml:space="preserve"> of total return could be attributed to th</w:t>
      </w:r>
      <w:r w:rsidR="00A9581D">
        <w:t>e</w:t>
      </w:r>
      <w:r w:rsidR="007B48C1">
        <w:t xml:space="preserve"> segment</w:t>
      </w:r>
      <w:r w:rsidR="00A9581D">
        <w:t>: i</w:t>
      </w:r>
      <w:r w:rsidR="00AB7701">
        <w:t>f</w:t>
      </w:r>
      <w:r w:rsidR="00B208F7">
        <w:t xml:space="preserve"> other subordinate debt were excluded, </w:t>
      </w:r>
      <w:r w:rsidR="001E712E">
        <w:t xml:space="preserve">G-L 2 </w:t>
      </w:r>
      <w:r w:rsidR="00B208F7">
        <w:t xml:space="preserve">4Q </w:t>
      </w:r>
      <w:r w:rsidR="001E712E">
        <w:t>total return</w:t>
      </w:r>
      <w:r w:rsidR="00B208F7">
        <w:t xml:space="preserve"> would be</w:t>
      </w:r>
      <w:r w:rsidR="001E712E">
        <w:t xml:space="preserve"> </w:t>
      </w:r>
      <w:r w:rsidR="004A6451">
        <w:t>1.76%.</w:t>
      </w:r>
    </w:p>
    <w:p w14:paraId="3A08EC59" w14:textId="77777777" w:rsidR="007D2E0E" w:rsidRDefault="007D2E0E" w:rsidP="00EE5E88">
      <w:pPr>
        <w:ind w:left="720"/>
      </w:pPr>
    </w:p>
    <w:p w14:paraId="4245E9A5" w14:textId="4C821778" w:rsidR="00EE5E88" w:rsidRDefault="00C36F6B" w:rsidP="00EE5E88">
      <w:pPr>
        <w:pStyle w:val="ListParagraph"/>
        <w:numPr>
          <w:ilvl w:val="0"/>
          <w:numId w:val="4"/>
        </w:numPr>
      </w:pPr>
      <w:r w:rsidRPr="00EE5E88">
        <w:rPr>
          <w:b/>
          <w:bCs/>
        </w:rPr>
        <w:t>Cred</w:t>
      </w:r>
      <w:r w:rsidR="00EC4E01" w:rsidRPr="00EE5E88">
        <w:rPr>
          <w:b/>
          <w:bCs/>
        </w:rPr>
        <w:t>it e</w:t>
      </w:r>
      <w:r w:rsidR="002F055F">
        <w:rPr>
          <w:b/>
          <w:bCs/>
        </w:rPr>
        <w:t>vents</w:t>
      </w:r>
      <w:r w:rsidR="00EC4E01" w:rsidRPr="00EE5E88">
        <w:rPr>
          <w:b/>
          <w:bCs/>
        </w:rPr>
        <w:t xml:space="preserve"> </w:t>
      </w:r>
      <w:r w:rsidR="00656AA9" w:rsidRPr="00EE5E88">
        <w:rPr>
          <w:b/>
          <w:bCs/>
        </w:rPr>
        <w:t>increased</w:t>
      </w:r>
      <w:r w:rsidR="009159CF" w:rsidRPr="00EE5E88">
        <w:rPr>
          <w:b/>
          <w:bCs/>
        </w:rPr>
        <w:t>, driven by an uptick in loans</w:t>
      </w:r>
      <w:r w:rsidR="00C921ED" w:rsidRPr="00EE5E88">
        <w:rPr>
          <w:b/>
          <w:bCs/>
        </w:rPr>
        <w:t xml:space="preserve"> in forbearance </w:t>
      </w:r>
      <w:r w:rsidR="00855781" w:rsidRPr="00EE5E88">
        <w:rPr>
          <w:b/>
          <w:bCs/>
        </w:rPr>
        <w:t>/</w:t>
      </w:r>
      <w:r w:rsidR="00C921ED" w:rsidRPr="00EE5E88">
        <w:rPr>
          <w:b/>
          <w:bCs/>
        </w:rPr>
        <w:t xml:space="preserve"> interest deferr</w:t>
      </w:r>
      <w:r w:rsidR="00855781" w:rsidRPr="00EE5E88">
        <w:rPr>
          <w:b/>
          <w:bCs/>
        </w:rPr>
        <w:t>al</w:t>
      </w:r>
      <w:r w:rsidR="00C921ED" w:rsidRPr="00EE5E88">
        <w:rPr>
          <w:b/>
          <w:bCs/>
        </w:rPr>
        <w:t xml:space="preserve">. </w:t>
      </w:r>
      <w:r w:rsidR="00EE5E88">
        <w:t xml:space="preserve">Loans that receive interest deferrals or are in forbearance are not considered delinquent. </w:t>
      </w:r>
    </w:p>
    <w:p w14:paraId="45B1FA83" w14:textId="77777777" w:rsidR="00F24485" w:rsidRDefault="00F24485" w:rsidP="001C4D28">
      <w:pPr>
        <w:pStyle w:val="ListParagraph"/>
      </w:pPr>
    </w:p>
    <w:p w14:paraId="318F53AD" w14:textId="1784CB4E" w:rsidR="00C94A89" w:rsidRDefault="002F055F" w:rsidP="001C4D28">
      <w:pPr>
        <w:pStyle w:val="ListParagraph"/>
      </w:pPr>
      <w:r>
        <w:t>W</w:t>
      </w:r>
      <w:r w:rsidR="00C95EA0">
        <w:t xml:space="preserve">e measure </w:t>
      </w:r>
      <w:r w:rsidR="006C4D42">
        <w:t xml:space="preserve">credit event </w:t>
      </w:r>
      <w:r w:rsidR="00956D34">
        <w:t>incidence using unpaid principal balance</w:t>
      </w:r>
      <w:r w:rsidR="00803AA8">
        <w:t>s</w:t>
      </w:r>
      <w:r w:rsidR="00BC11D4">
        <w:t xml:space="preserve"> </w:t>
      </w:r>
      <w:r w:rsidR="00C86BF3">
        <w:t>(</w:t>
      </w:r>
      <w:r w:rsidR="00BC11D4">
        <w:t>UPB)</w:t>
      </w:r>
      <w:r w:rsidR="00803AA8">
        <w:t xml:space="preserve">. Percentage incidence is the </w:t>
      </w:r>
      <w:r w:rsidR="00BC11D4">
        <w:t xml:space="preserve">sum of UPB </w:t>
      </w:r>
      <w:r w:rsidR="0085220A">
        <w:t>for a particulate event type divided by the total UPB reported for the index</w:t>
      </w:r>
      <w:r w:rsidR="006717AC">
        <w:t xml:space="preserve"> (see Table </w:t>
      </w:r>
      <w:r w:rsidR="003A7019">
        <w:t>1</w:t>
      </w:r>
      <w:r w:rsidR="006717AC">
        <w:t>)</w:t>
      </w:r>
      <w:r w:rsidR="0085220A">
        <w:t xml:space="preserve">. </w:t>
      </w:r>
    </w:p>
    <w:p w14:paraId="6B347E7B" w14:textId="57E517D0" w:rsidR="006717AC" w:rsidRDefault="006717AC" w:rsidP="001C4D28">
      <w:pPr>
        <w:pStyle w:val="ListParagraph"/>
      </w:pPr>
    </w:p>
    <w:p w14:paraId="0ACF6C65" w14:textId="63ED79AD" w:rsidR="006717AC" w:rsidRPr="00737194" w:rsidRDefault="006717AC" w:rsidP="001C4D28">
      <w:pPr>
        <w:pStyle w:val="ListParagraph"/>
        <w:rPr>
          <w:b/>
          <w:bCs/>
          <w:sz w:val="20"/>
          <w:szCs w:val="20"/>
        </w:rPr>
      </w:pPr>
      <w:r w:rsidRPr="00737194">
        <w:rPr>
          <w:b/>
          <w:bCs/>
          <w:sz w:val="20"/>
          <w:szCs w:val="20"/>
        </w:rPr>
        <w:t xml:space="preserve">Table </w:t>
      </w:r>
      <w:r w:rsidR="003A7019" w:rsidRPr="00737194">
        <w:rPr>
          <w:b/>
          <w:bCs/>
          <w:sz w:val="20"/>
          <w:szCs w:val="20"/>
        </w:rPr>
        <w:t>1</w:t>
      </w:r>
      <w:r w:rsidRPr="00737194">
        <w:rPr>
          <w:b/>
          <w:bCs/>
          <w:sz w:val="20"/>
          <w:szCs w:val="20"/>
        </w:rPr>
        <w:t>. G-L 2 Credit Event Incidence</w:t>
      </w:r>
      <w:r w:rsidR="00FB4DE1" w:rsidRPr="00737194">
        <w:rPr>
          <w:b/>
          <w:bCs/>
          <w:sz w:val="20"/>
          <w:szCs w:val="20"/>
        </w:rPr>
        <w:t xml:space="preserve"> </w:t>
      </w:r>
      <w:r w:rsidR="00963CE4" w:rsidRPr="00737194">
        <w:rPr>
          <w:b/>
          <w:bCs/>
          <w:sz w:val="20"/>
          <w:szCs w:val="20"/>
        </w:rPr>
        <w:t>4</w:t>
      </w:r>
      <w:r w:rsidR="00FB4DE1" w:rsidRPr="00737194">
        <w:rPr>
          <w:b/>
          <w:bCs/>
          <w:sz w:val="20"/>
          <w:szCs w:val="20"/>
        </w:rPr>
        <w:t>Q 2020</w:t>
      </w:r>
    </w:p>
    <w:p w14:paraId="73F30C1D" w14:textId="1E8CCB3A" w:rsidR="008119D1" w:rsidRPr="00D667FB" w:rsidRDefault="00C2548B" w:rsidP="001C4D28">
      <w:pPr>
        <w:pStyle w:val="ListParagraph"/>
        <w:rPr>
          <w:sz w:val="20"/>
          <w:szCs w:val="20"/>
        </w:rPr>
      </w:pPr>
      <w:r w:rsidRPr="00F70D53">
        <w:rPr>
          <w:noProof/>
          <w:bdr w:val="single" w:sz="4" w:space="0" w:color="auto"/>
        </w:rPr>
        <w:drawing>
          <wp:inline distT="0" distB="0" distL="0" distR="0" wp14:anchorId="176BEC7E" wp14:editId="4572E4D8">
            <wp:extent cx="3321100" cy="24155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520" cy="2425301"/>
                    </a:xfrm>
                    <a:prstGeom prst="rect">
                      <a:avLst/>
                    </a:prstGeom>
                    <a:solidFill>
                      <a:schemeClr val="accent1">
                        <a:lumMod val="40000"/>
                        <a:lumOff val="60000"/>
                        <a:alpha val="41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BAA18" w14:textId="77777777" w:rsidR="000E6A32" w:rsidRPr="00D667FB" w:rsidRDefault="000E6A32" w:rsidP="000E6A32">
      <w:pPr>
        <w:pStyle w:val="ListParagraph"/>
        <w:rPr>
          <w:sz w:val="20"/>
          <w:szCs w:val="20"/>
        </w:rPr>
      </w:pPr>
      <w:r w:rsidRPr="00D667FB">
        <w:rPr>
          <w:sz w:val="20"/>
          <w:szCs w:val="20"/>
        </w:rPr>
        <w:t>UPB Unpaid Principal Balance</w:t>
      </w:r>
    </w:p>
    <w:p w14:paraId="5C653EEB" w14:textId="77777777" w:rsidR="000E6A32" w:rsidRDefault="000E6A32" w:rsidP="001C4D28">
      <w:pPr>
        <w:pStyle w:val="ListParagraph"/>
        <w:rPr>
          <w:sz w:val="20"/>
          <w:szCs w:val="20"/>
        </w:rPr>
      </w:pPr>
    </w:p>
    <w:p w14:paraId="7B963174" w14:textId="7B3FDF44" w:rsidR="00E717C9" w:rsidRPr="00D667FB" w:rsidRDefault="00E717C9" w:rsidP="001C4D28">
      <w:pPr>
        <w:pStyle w:val="ListParagraph"/>
        <w:rPr>
          <w:sz w:val="20"/>
          <w:szCs w:val="20"/>
        </w:rPr>
      </w:pPr>
      <w:r w:rsidRPr="00D667FB">
        <w:rPr>
          <w:sz w:val="20"/>
          <w:szCs w:val="20"/>
        </w:rPr>
        <w:t>Source: Giliberto-Levy</w:t>
      </w:r>
    </w:p>
    <w:p w14:paraId="438CBE77" w14:textId="0973B2FA" w:rsidR="00E717C9" w:rsidRPr="00D667FB" w:rsidRDefault="00E717C9" w:rsidP="001C4D28">
      <w:pPr>
        <w:pStyle w:val="ListParagraph"/>
        <w:rPr>
          <w:sz w:val="20"/>
          <w:szCs w:val="20"/>
        </w:rPr>
      </w:pPr>
    </w:p>
    <w:p w14:paraId="798D82D4" w14:textId="5AD3F08B" w:rsidR="000B6CEE" w:rsidRDefault="00E22F7A" w:rsidP="003F5C09">
      <w:pPr>
        <w:ind w:left="720"/>
      </w:pPr>
      <w:r>
        <w:t xml:space="preserve">Unlike 3Q, </w:t>
      </w:r>
      <w:r w:rsidR="009E08F5">
        <w:t xml:space="preserve">there were no realized losses in 4Q from loans in default. </w:t>
      </w:r>
      <w:r w:rsidR="00FB7E8E">
        <w:t xml:space="preserve">Importantly, all loans marked as “in default” </w:t>
      </w:r>
      <w:r w:rsidR="00CB0F4F">
        <w:t xml:space="preserve">are valued with the expectation </w:t>
      </w:r>
      <w:r w:rsidR="002D025E">
        <w:t xml:space="preserve">that recovery of principal </w:t>
      </w:r>
      <w:r w:rsidR="00120750">
        <w:t>will be</w:t>
      </w:r>
      <w:r w:rsidR="002D025E">
        <w:t xml:space="preserve"> low</w:t>
      </w:r>
      <w:r w:rsidR="00120750">
        <w:t xml:space="preserve">, possibly zero. Consequently, </w:t>
      </w:r>
      <w:r w:rsidR="00120750" w:rsidRPr="00925CC5">
        <w:rPr>
          <w:b/>
          <w:bCs/>
        </w:rPr>
        <w:t xml:space="preserve">we </w:t>
      </w:r>
      <w:r w:rsidR="003F5C09" w:rsidRPr="00925CC5">
        <w:rPr>
          <w:b/>
          <w:bCs/>
        </w:rPr>
        <w:t>anticipate loss severity will continue to be high</w:t>
      </w:r>
      <w:r w:rsidR="003F5C09">
        <w:t>.</w:t>
      </w:r>
    </w:p>
    <w:p w14:paraId="071074A5" w14:textId="7436927A" w:rsidR="000B6CEE" w:rsidRDefault="000B6CEE" w:rsidP="00F30386">
      <w:pPr>
        <w:pStyle w:val="ListParagraph"/>
      </w:pPr>
    </w:p>
    <w:p w14:paraId="60314E5B" w14:textId="5E97F450" w:rsidR="006E5505" w:rsidRDefault="006E5505" w:rsidP="00274FC3">
      <w:pPr>
        <w:pStyle w:val="ListParagraph"/>
        <w:ind w:left="0"/>
      </w:pPr>
    </w:p>
    <w:p w14:paraId="3C6403DD" w14:textId="77777777" w:rsidR="00F70D53" w:rsidRDefault="00F70D53" w:rsidP="00274FC3">
      <w:pPr>
        <w:pStyle w:val="ListParagraph"/>
        <w:ind w:left="0"/>
        <w:rPr>
          <w:b/>
          <w:bCs/>
          <w:u w:val="single"/>
        </w:rPr>
      </w:pPr>
    </w:p>
    <w:p w14:paraId="47C5B92A" w14:textId="77777777" w:rsidR="00F70D53" w:rsidRDefault="00F70D53" w:rsidP="00274FC3">
      <w:pPr>
        <w:pStyle w:val="ListParagraph"/>
        <w:ind w:left="0"/>
        <w:rPr>
          <w:b/>
          <w:bCs/>
          <w:u w:val="single"/>
        </w:rPr>
      </w:pPr>
    </w:p>
    <w:p w14:paraId="29720F4A" w14:textId="63F4F772" w:rsidR="007928A4" w:rsidRPr="00944B1C" w:rsidRDefault="004F0D76" w:rsidP="00274FC3">
      <w:pPr>
        <w:pStyle w:val="ListParagraph"/>
        <w:ind w:left="0"/>
        <w:rPr>
          <w:b/>
          <w:bCs/>
          <w:u w:val="single"/>
        </w:rPr>
      </w:pPr>
      <w:r w:rsidRPr="00944B1C">
        <w:rPr>
          <w:b/>
          <w:bCs/>
          <w:u w:val="single"/>
        </w:rPr>
        <w:lastRenderedPageBreak/>
        <w:t xml:space="preserve">Changes to </w:t>
      </w:r>
      <w:r w:rsidR="007928A4" w:rsidRPr="00944B1C">
        <w:rPr>
          <w:b/>
          <w:bCs/>
          <w:u w:val="single"/>
        </w:rPr>
        <w:t>G-L 2 Report Package</w:t>
      </w:r>
    </w:p>
    <w:p w14:paraId="70C825A0" w14:textId="77777777" w:rsidR="007928A4" w:rsidRDefault="007928A4" w:rsidP="00274FC3">
      <w:pPr>
        <w:pStyle w:val="ListParagraph"/>
        <w:ind w:left="0"/>
      </w:pPr>
    </w:p>
    <w:p w14:paraId="571FB3D5" w14:textId="1393F63C" w:rsidR="00AE139C" w:rsidRDefault="004F0D76" w:rsidP="00274FC3">
      <w:pPr>
        <w:pStyle w:val="ListParagraph"/>
        <w:ind w:left="0"/>
      </w:pPr>
      <w:r>
        <w:t xml:space="preserve">Industrial properties now have sufficient data to be reported </w:t>
      </w:r>
      <w:r w:rsidR="00164AF9">
        <w:t>on their own. They previously were include</w:t>
      </w:r>
      <w:r w:rsidR="008E0265">
        <w:t>d</w:t>
      </w:r>
      <w:r w:rsidR="00164AF9">
        <w:t xml:space="preserve"> in the Other Property Types segment.</w:t>
      </w:r>
    </w:p>
    <w:p w14:paraId="746EF8EE" w14:textId="6050C7C2" w:rsidR="00164AF9" w:rsidRDefault="00164AF9" w:rsidP="00274FC3">
      <w:pPr>
        <w:pStyle w:val="ListParagraph"/>
        <w:ind w:left="0"/>
      </w:pPr>
    </w:p>
    <w:p w14:paraId="71BED306" w14:textId="5CAA4B4D" w:rsidR="006D1B87" w:rsidRDefault="00AA79B1" w:rsidP="00803518">
      <w:pPr>
        <w:pStyle w:val="ListParagraph"/>
        <w:ind w:left="0"/>
      </w:pPr>
      <w:r>
        <w:t>The report page with returns on investments held by open-end funds has been renamed</w:t>
      </w:r>
      <w:r w:rsidR="00BC299A">
        <w:t xml:space="preserve"> to </w:t>
      </w:r>
      <w:r w:rsidR="007A1068">
        <w:t>G-L 2 Capital Sources.</w:t>
      </w:r>
      <w:r w:rsidR="008E0265">
        <w:t xml:space="preserve"> I</w:t>
      </w:r>
      <w:r w:rsidR="001B7CE0">
        <w:t xml:space="preserve">nvestments held in separate accounts form a new </w:t>
      </w:r>
      <w:r w:rsidR="008E0265">
        <w:t xml:space="preserve">reporting </w:t>
      </w:r>
      <w:r w:rsidR="001B7CE0">
        <w:t>segment</w:t>
      </w:r>
      <w:r w:rsidR="00C907A2">
        <w:t xml:space="preserve"> on this page.</w:t>
      </w:r>
    </w:p>
    <w:p w14:paraId="4F3D4FB7" w14:textId="2C3A14B3" w:rsidR="00F01568" w:rsidRDefault="00FC21D6">
      <w:r>
        <w:t xml:space="preserve"> </w:t>
      </w:r>
      <w:r w:rsidR="006C34AD">
        <w:t>Information such as loan count, net asset value (NAV), and total principal balance</w:t>
      </w:r>
      <w:r w:rsidR="00417265">
        <w:t xml:space="preserve"> is available in the G-L 2 Dashboard, which is sent to all participants.</w:t>
      </w:r>
      <w:r w:rsidR="00526D04">
        <w:t xml:space="preserve"> </w:t>
      </w:r>
      <w:r w:rsidR="00B76FC7">
        <w:t xml:space="preserve">We anticipate </w:t>
      </w:r>
      <w:r w:rsidR="00EF519B">
        <w:t xml:space="preserve">a March 1 </w:t>
      </w:r>
      <w:r w:rsidR="00B76FC7">
        <w:t>releas</w:t>
      </w:r>
      <w:r w:rsidR="00EF519B">
        <w:t>e.</w:t>
      </w:r>
    </w:p>
    <w:p w14:paraId="53EB6163" w14:textId="77777777" w:rsidR="003835B7" w:rsidRDefault="003835B7"/>
    <w:sectPr w:rsidR="003835B7" w:rsidSect="00DA4B30">
      <w:footerReference w:type="default" r:id="rId1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A9D09" w14:textId="77777777" w:rsidR="009B6549" w:rsidRDefault="009B6549" w:rsidP="0021702F">
      <w:pPr>
        <w:spacing w:after="0" w:line="240" w:lineRule="auto"/>
      </w:pPr>
      <w:r>
        <w:separator/>
      </w:r>
    </w:p>
  </w:endnote>
  <w:endnote w:type="continuationSeparator" w:id="0">
    <w:p w14:paraId="0CFDB4C7" w14:textId="77777777" w:rsidR="009B6549" w:rsidRDefault="009B6549" w:rsidP="0021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975C7" w14:textId="77777777" w:rsidR="00717334" w:rsidRPr="00717334" w:rsidRDefault="00717334" w:rsidP="00717334">
    <w:pPr>
      <w:spacing w:after="0" w:line="240" w:lineRule="auto"/>
      <w:jc w:val="center"/>
      <w:rPr>
        <w:rFonts w:ascii="Calibri" w:eastAsia="Calibri" w:hAnsi="Calibri" w:cs="Calibri"/>
      </w:rPr>
    </w:pPr>
    <w:r w:rsidRPr="00717334">
      <w:rPr>
        <w:rFonts w:ascii="Calibri" w:eastAsia="Calibri" w:hAnsi="Calibri" w:cs="Calibri"/>
      </w:rPr>
      <w:t>Giliberto-Levy High-Yield Real Estate Debt Index (G-L 2)</w:t>
    </w:r>
  </w:p>
  <w:p w14:paraId="1B5B79D1" w14:textId="77777777" w:rsidR="00BD4182" w:rsidRDefault="00BD4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60257" w14:textId="77777777" w:rsidR="009B6549" w:rsidRDefault="009B6549" w:rsidP="0021702F">
      <w:pPr>
        <w:spacing w:after="0" w:line="240" w:lineRule="auto"/>
      </w:pPr>
      <w:r>
        <w:separator/>
      </w:r>
    </w:p>
  </w:footnote>
  <w:footnote w:type="continuationSeparator" w:id="0">
    <w:p w14:paraId="0E8E8ECC" w14:textId="77777777" w:rsidR="009B6549" w:rsidRDefault="009B6549" w:rsidP="0021702F">
      <w:pPr>
        <w:spacing w:after="0" w:line="240" w:lineRule="auto"/>
      </w:pPr>
      <w:r>
        <w:continuationSeparator/>
      </w:r>
    </w:p>
  </w:footnote>
  <w:footnote w:id="1">
    <w:p w14:paraId="412A7E7E" w14:textId="07E7FC90" w:rsidR="0021702F" w:rsidRDefault="002170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4188F">
        <w:t xml:space="preserve">Results reflect performance fully netted for use of leverage to “manufacture mezz” from senior whole loans. </w:t>
      </w:r>
      <w:r w:rsidR="00C42D7F">
        <w:t>Reported components may not sum to reported totals due to rounding.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352B7"/>
    <w:multiLevelType w:val="hybridMultilevel"/>
    <w:tmpl w:val="DAA22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56FD"/>
    <w:multiLevelType w:val="hybridMultilevel"/>
    <w:tmpl w:val="5DBEB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9483F"/>
    <w:multiLevelType w:val="hybridMultilevel"/>
    <w:tmpl w:val="B5F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F24F3"/>
    <w:multiLevelType w:val="hybridMultilevel"/>
    <w:tmpl w:val="6F54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354D4"/>
    <w:multiLevelType w:val="hybridMultilevel"/>
    <w:tmpl w:val="408A3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C4495"/>
    <w:multiLevelType w:val="hybridMultilevel"/>
    <w:tmpl w:val="8AE0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81F1C"/>
    <w:multiLevelType w:val="hybridMultilevel"/>
    <w:tmpl w:val="57723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24"/>
    <w:rsid w:val="00001071"/>
    <w:rsid w:val="00003481"/>
    <w:rsid w:val="000055DC"/>
    <w:rsid w:val="00005F03"/>
    <w:rsid w:val="000062F3"/>
    <w:rsid w:val="00014B4D"/>
    <w:rsid w:val="00022ABC"/>
    <w:rsid w:val="00025001"/>
    <w:rsid w:val="00026EC8"/>
    <w:rsid w:val="00035C63"/>
    <w:rsid w:val="00036C74"/>
    <w:rsid w:val="00037B43"/>
    <w:rsid w:val="00041BFD"/>
    <w:rsid w:val="000446B1"/>
    <w:rsid w:val="0005004F"/>
    <w:rsid w:val="000552BB"/>
    <w:rsid w:val="00056500"/>
    <w:rsid w:val="000636A6"/>
    <w:rsid w:val="00064978"/>
    <w:rsid w:val="000661D8"/>
    <w:rsid w:val="0007012C"/>
    <w:rsid w:val="00075335"/>
    <w:rsid w:val="00076D79"/>
    <w:rsid w:val="00093CF1"/>
    <w:rsid w:val="00094A0E"/>
    <w:rsid w:val="000A1CB1"/>
    <w:rsid w:val="000A5C81"/>
    <w:rsid w:val="000A64C6"/>
    <w:rsid w:val="000A7D19"/>
    <w:rsid w:val="000B3E10"/>
    <w:rsid w:val="000B4059"/>
    <w:rsid w:val="000B6CEE"/>
    <w:rsid w:val="000C581D"/>
    <w:rsid w:val="000D01E9"/>
    <w:rsid w:val="000D247D"/>
    <w:rsid w:val="000D33E4"/>
    <w:rsid w:val="000D505B"/>
    <w:rsid w:val="000D6176"/>
    <w:rsid w:val="000E12A5"/>
    <w:rsid w:val="000E2B62"/>
    <w:rsid w:val="000E6A32"/>
    <w:rsid w:val="000E7F49"/>
    <w:rsid w:val="000F35D8"/>
    <w:rsid w:val="000F3C0B"/>
    <w:rsid w:val="000F66E3"/>
    <w:rsid w:val="000F6B4E"/>
    <w:rsid w:val="00105695"/>
    <w:rsid w:val="00105EEE"/>
    <w:rsid w:val="00106571"/>
    <w:rsid w:val="00106E99"/>
    <w:rsid w:val="00107F5D"/>
    <w:rsid w:val="0011369E"/>
    <w:rsid w:val="0011459F"/>
    <w:rsid w:val="001147C6"/>
    <w:rsid w:val="0011487E"/>
    <w:rsid w:val="00114D20"/>
    <w:rsid w:val="00120750"/>
    <w:rsid w:val="00120ABE"/>
    <w:rsid w:val="0012221A"/>
    <w:rsid w:val="00122919"/>
    <w:rsid w:val="00122DB6"/>
    <w:rsid w:val="001311A5"/>
    <w:rsid w:val="00132D00"/>
    <w:rsid w:val="00133404"/>
    <w:rsid w:val="00134CCB"/>
    <w:rsid w:val="0014090D"/>
    <w:rsid w:val="00140A34"/>
    <w:rsid w:val="00145558"/>
    <w:rsid w:val="001463DF"/>
    <w:rsid w:val="00147001"/>
    <w:rsid w:val="0014716D"/>
    <w:rsid w:val="0015026B"/>
    <w:rsid w:val="001571E6"/>
    <w:rsid w:val="00157B5B"/>
    <w:rsid w:val="00160FCE"/>
    <w:rsid w:val="001611A6"/>
    <w:rsid w:val="00161AC3"/>
    <w:rsid w:val="001644F1"/>
    <w:rsid w:val="00164613"/>
    <w:rsid w:val="00164AF9"/>
    <w:rsid w:val="00167FF7"/>
    <w:rsid w:val="001760FF"/>
    <w:rsid w:val="0017688D"/>
    <w:rsid w:val="001850F5"/>
    <w:rsid w:val="00185B10"/>
    <w:rsid w:val="00185ED8"/>
    <w:rsid w:val="00193AF1"/>
    <w:rsid w:val="00196E14"/>
    <w:rsid w:val="001A4FD5"/>
    <w:rsid w:val="001A5E3B"/>
    <w:rsid w:val="001B057B"/>
    <w:rsid w:val="001B0CE9"/>
    <w:rsid w:val="001B0DC5"/>
    <w:rsid w:val="001B2F62"/>
    <w:rsid w:val="001B7CE0"/>
    <w:rsid w:val="001C012C"/>
    <w:rsid w:val="001C4D28"/>
    <w:rsid w:val="001C5626"/>
    <w:rsid w:val="001D2CB2"/>
    <w:rsid w:val="001D3B6C"/>
    <w:rsid w:val="001D61A6"/>
    <w:rsid w:val="001E2DFA"/>
    <w:rsid w:val="001E712E"/>
    <w:rsid w:val="001E7D30"/>
    <w:rsid w:val="001F1DBB"/>
    <w:rsid w:val="001F216C"/>
    <w:rsid w:val="001F35D6"/>
    <w:rsid w:val="001F7BC2"/>
    <w:rsid w:val="00210DB0"/>
    <w:rsid w:val="00212B38"/>
    <w:rsid w:val="0021491D"/>
    <w:rsid w:val="002149B1"/>
    <w:rsid w:val="00215701"/>
    <w:rsid w:val="0021702F"/>
    <w:rsid w:val="00217B68"/>
    <w:rsid w:val="00220045"/>
    <w:rsid w:val="00223A6B"/>
    <w:rsid w:val="0022789D"/>
    <w:rsid w:val="00232631"/>
    <w:rsid w:val="002345F9"/>
    <w:rsid w:val="0023577D"/>
    <w:rsid w:val="00240054"/>
    <w:rsid w:val="00240ED5"/>
    <w:rsid w:val="00244B04"/>
    <w:rsid w:val="002462C6"/>
    <w:rsid w:val="002468BC"/>
    <w:rsid w:val="002470D5"/>
    <w:rsid w:val="00252C29"/>
    <w:rsid w:val="0027405A"/>
    <w:rsid w:val="00274FC3"/>
    <w:rsid w:val="00276AFC"/>
    <w:rsid w:val="00277579"/>
    <w:rsid w:val="00277A33"/>
    <w:rsid w:val="0028223B"/>
    <w:rsid w:val="0028318E"/>
    <w:rsid w:val="0028679F"/>
    <w:rsid w:val="002909DD"/>
    <w:rsid w:val="002930F3"/>
    <w:rsid w:val="00296A64"/>
    <w:rsid w:val="00296EF8"/>
    <w:rsid w:val="002A079D"/>
    <w:rsid w:val="002A14DD"/>
    <w:rsid w:val="002A4CD7"/>
    <w:rsid w:val="002A68DE"/>
    <w:rsid w:val="002A6B0A"/>
    <w:rsid w:val="002B186B"/>
    <w:rsid w:val="002B7E57"/>
    <w:rsid w:val="002C2FC8"/>
    <w:rsid w:val="002C63C4"/>
    <w:rsid w:val="002C73B2"/>
    <w:rsid w:val="002C74D7"/>
    <w:rsid w:val="002D025E"/>
    <w:rsid w:val="002D0918"/>
    <w:rsid w:val="002D0DC6"/>
    <w:rsid w:val="002D2B9C"/>
    <w:rsid w:val="002D355E"/>
    <w:rsid w:val="002D3DD7"/>
    <w:rsid w:val="002D6555"/>
    <w:rsid w:val="002D68B5"/>
    <w:rsid w:val="002E2B8A"/>
    <w:rsid w:val="002E6939"/>
    <w:rsid w:val="002F055F"/>
    <w:rsid w:val="002F1729"/>
    <w:rsid w:val="002F320B"/>
    <w:rsid w:val="002F6042"/>
    <w:rsid w:val="002F67E3"/>
    <w:rsid w:val="00301784"/>
    <w:rsid w:val="00302326"/>
    <w:rsid w:val="00302B5B"/>
    <w:rsid w:val="00302F9E"/>
    <w:rsid w:val="0030788B"/>
    <w:rsid w:val="003102DA"/>
    <w:rsid w:val="00311071"/>
    <w:rsid w:val="00311AD2"/>
    <w:rsid w:val="00312E25"/>
    <w:rsid w:val="00312F86"/>
    <w:rsid w:val="00322341"/>
    <w:rsid w:val="00322594"/>
    <w:rsid w:val="00322C71"/>
    <w:rsid w:val="0033203F"/>
    <w:rsid w:val="00334EE3"/>
    <w:rsid w:val="00336210"/>
    <w:rsid w:val="0033706A"/>
    <w:rsid w:val="00341346"/>
    <w:rsid w:val="00347C84"/>
    <w:rsid w:val="00350C59"/>
    <w:rsid w:val="00353897"/>
    <w:rsid w:val="00353E97"/>
    <w:rsid w:val="00354ACA"/>
    <w:rsid w:val="00355A6D"/>
    <w:rsid w:val="00355C6C"/>
    <w:rsid w:val="003641EC"/>
    <w:rsid w:val="0036695F"/>
    <w:rsid w:val="00373081"/>
    <w:rsid w:val="003740D1"/>
    <w:rsid w:val="003819F2"/>
    <w:rsid w:val="00381EAA"/>
    <w:rsid w:val="0038281E"/>
    <w:rsid w:val="00382B91"/>
    <w:rsid w:val="003835B7"/>
    <w:rsid w:val="00383E47"/>
    <w:rsid w:val="00385323"/>
    <w:rsid w:val="00386026"/>
    <w:rsid w:val="00387282"/>
    <w:rsid w:val="00391408"/>
    <w:rsid w:val="003A5BBC"/>
    <w:rsid w:val="003A6545"/>
    <w:rsid w:val="003A7019"/>
    <w:rsid w:val="003A71D7"/>
    <w:rsid w:val="003B5F7F"/>
    <w:rsid w:val="003D4B26"/>
    <w:rsid w:val="003D52FE"/>
    <w:rsid w:val="003E0696"/>
    <w:rsid w:val="003E1E2E"/>
    <w:rsid w:val="003E3026"/>
    <w:rsid w:val="003F02AD"/>
    <w:rsid w:val="003F24EA"/>
    <w:rsid w:val="003F3E38"/>
    <w:rsid w:val="003F5C09"/>
    <w:rsid w:val="003F788E"/>
    <w:rsid w:val="00402FE6"/>
    <w:rsid w:val="00403F8F"/>
    <w:rsid w:val="00404134"/>
    <w:rsid w:val="004161AB"/>
    <w:rsid w:val="00417265"/>
    <w:rsid w:val="00420727"/>
    <w:rsid w:val="004224B2"/>
    <w:rsid w:val="00422B59"/>
    <w:rsid w:val="00426B68"/>
    <w:rsid w:val="004304CA"/>
    <w:rsid w:val="00434809"/>
    <w:rsid w:val="0044044F"/>
    <w:rsid w:val="00440724"/>
    <w:rsid w:val="00444550"/>
    <w:rsid w:val="00445425"/>
    <w:rsid w:val="0045300A"/>
    <w:rsid w:val="00456337"/>
    <w:rsid w:val="00457C3E"/>
    <w:rsid w:val="00460779"/>
    <w:rsid w:val="00462C1E"/>
    <w:rsid w:val="00463A5A"/>
    <w:rsid w:val="004702FD"/>
    <w:rsid w:val="00473079"/>
    <w:rsid w:val="00473751"/>
    <w:rsid w:val="0047402D"/>
    <w:rsid w:val="004759EF"/>
    <w:rsid w:val="00476AC4"/>
    <w:rsid w:val="00485609"/>
    <w:rsid w:val="00485644"/>
    <w:rsid w:val="004943EC"/>
    <w:rsid w:val="004A11BA"/>
    <w:rsid w:val="004A191E"/>
    <w:rsid w:val="004A54EB"/>
    <w:rsid w:val="004A6451"/>
    <w:rsid w:val="004A6C86"/>
    <w:rsid w:val="004B1EE7"/>
    <w:rsid w:val="004B3CDF"/>
    <w:rsid w:val="004B404C"/>
    <w:rsid w:val="004B4C42"/>
    <w:rsid w:val="004B702F"/>
    <w:rsid w:val="004B7321"/>
    <w:rsid w:val="004C2AF5"/>
    <w:rsid w:val="004C2E4E"/>
    <w:rsid w:val="004C3930"/>
    <w:rsid w:val="004D21E6"/>
    <w:rsid w:val="004D2C59"/>
    <w:rsid w:val="004D57B2"/>
    <w:rsid w:val="004E2075"/>
    <w:rsid w:val="004E4251"/>
    <w:rsid w:val="004E6A49"/>
    <w:rsid w:val="004E7515"/>
    <w:rsid w:val="004E7F29"/>
    <w:rsid w:val="004F0D76"/>
    <w:rsid w:val="004F24A7"/>
    <w:rsid w:val="004F56A6"/>
    <w:rsid w:val="005044D0"/>
    <w:rsid w:val="0050452A"/>
    <w:rsid w:val="00504594"/>
    <w:rsid w:val="00506DDD"/>
    <w:rsid w:val="0051089D"/>
    <w:rsid w:val="00512F93"/>
    <w:rsid w:val="00516CC9"/>
    <w:rsid w:val="00520CD4"/>
    <w:rsid w:val="0052317F"/>
    <w:rsid w:val="005238AE"/>
    <w:rsid w:val="005238B3"/>
    <w:rsid w:val="00526D04"/>
    <w:rsid w:val="00530212"/>
    <w:rsid w:val="00533B52"/>
    <w:rsid w:val="00533B94"/>
    <w:rsid w:val="005360CC"/>
    <w:rsid w:val="00537466"/>
    <w:rsid w:val="005418D5"/>
    <w:rsid w:val="005443D9"/>
    <w:rsid w:val="00547BDB"/>
    <w:rsid w:val="00547D19"/>
    <w:rsid w:val="00550C54"/>
    <w:rsid w:val="005561C1"/>
    <w:rsid w:val="0056442B"/>
    <w:rsid w:val="0057054E"/>
    <w:rsid w:val="00573C89"/>
    <w:rsid w:val="005752B0"/>
    <w:rsid w:val="00583299"/>
    <w:rsid w:val="00583EA9"/>
    <w:rsid w:val="005864CB"/>
    <w:rsid w:val="0059162C"/>
    <w:rsid w:val="00593D6C"/>
    <w:rsid w:val="005977A4"/>
    <w:rsid w:val="005A7423"/>
    <w:rsid w:val="005B32BB"/>
    <w:rsid w:val="005B433F"/>
    <w:rsid w:val="005B630B"/>
    <w:rsid w:val="005B64F0"/>
    <w:rsid w:val="005B7ED9"/>
    <w:rsid w:val="005C3E9D"/>
    <w:rsid w:val="005C3FE5"/>
    <w:rsid w:val="005D1177"/>
    <w:rsid w:val="005D1181"/>
    <w:rsid w:val="005D6431"/>
    <w:rsid w:val="005E02AA"/>
    <w:rsid w:val="005E64C4"/>
    <w:rsid w:val="005E673B"/>
    <w:rsid w:val="005F53C1"/>
    <w:rsid w:val="005F548E"/>
    <w:rsid w:val="005F5922"/>
    <w:rsid w:val="005F6E4C"/>
    <w:rsid w:val="005F7673"/>
    <w:rsid w:val="00603A18"/>
    <w:rsid w:val="0060448C"/>
    <w:rsid w:val="006064A1"/>
    <w:rsid w:val="00606B37"/>
    <w:rsid w:val="0061335D"/>
    <w:rsid w:val="00614807"/>
    <w:rsid w:val="00615F92"/>
    <w:rsid w:val="006172BC"/>
    <w:rsid w:val="00617589"/>
    <w:rsid w:val="00625AF3"/>
    <w:rsid w:val="0062705A"/>
    <w:rsid w:val="00634512"/>
    <w:rsid w:val="00636430"/>
    <w:rsid w:val="00636735"/>
    <w:rsid w:val="00636AC3"/>
    <w:rsid w:val="0064098E"/>
    <w:rsid w:val="0064188F"/>
    <w:rsid w:val="00641AD9"/>
    <w:rsid w:val="00642BE9"/>
    <w:rsid w:val="006472E2"/>
    <w:rsid w:val="006477DA"/>
    <w:rsid w:val="00655779"/>
    <w:rsid w:val="006561B1"/>
    <w:rsid w:val="00656AA9"/>
    <w:rsid w:val="00656E2E"/>
    <w:rsid w:val="006606B2"/>
    <w:rsid w:val="00665932"/>
    <w:rsid w:val="006700AB"/>
    <w:rsid w:val="006717AC"/>
    <w:rsid w:val="0067333A"/>
    <w:rsid w:val="00673B0B"/>
    <w:rsid w:val="006775BD"/>
    <w:rsid w:val="006777C7"/>
    <w:rsid w:val="006826F3"/>
    <w:rsid w:val="00685E96"/>
    <w:rsid w:val="00686C82"/>
    <w:rsid w:val="00691A9F"/>
    <w:rsid w:val="006932EE"/>
    <w:rsid w:val="00693349"/>
    <w:rsid w:val="00696CA2"/>
    <w:rsid w:val="006A2DA9"/>
    <w:rsid w:val="006A385E"/>
    <w:rsid w:val="006A3B44"/>
    <w:rsid w:val="006B1937"/>
    <w:rsid w:val="006B3DB8"/>
    <w:rsid w:val="006B45D3"/>
    <w:rsid w:val="006C03C6"/>
    <w:rsid w:val="006C0879"/>
    <w:rsid w:val="006C2944"/>
    <w:rsid w:val="006C34AD"/>
    <w:rsid w:val="006C3E7D"/>
    <w:rsid w:val="006C4D42"/>
    <w:rsid w:val="006C735D"/>
    <w:rsid w:val="006D1503"/>
    <w:rsid w:val="006D1B87"/>
    <w:rsid w:val="006D1D70"/>
    <w:rsid w:val="006D20B4"/>
    <w:rsid w:val="006D2C2F"/>
    <w:rsid w:val="006D2FDE"/>
    <w:rsid w:val="006D5EE7"/>
    <w:rsid w:val="006D6FE3"/>
    <w:rsid w:val="006E360D"/>
    <w:rsid w:val="006E5505"/>
    <w:rsid w:val="006E5B59"/>
    <w:rsid w:val="006E73F4"/>
    <w:rsid w:val="006F32AF"/>
    <w:rsid w:val="006F4EB1"/>
    <w:rsid w:val="006F796A"/>
    <w:rsid w:val="0070080B"/>
    <w:rsid w:val="007008C0"/>
    <w:rsid w:val="00717334"/>
    <w:rsid w:val="00722D5F"/>
    <w:rsid w:val="007246FB"/>
    <w:rsid w:val="00726795"/>
    <w:rsid w:val="007269F5"/>
    <w:rsid w:val="00735E8F"/>
    <w:rsid w:val="00737194"/>
    <w:rsid w:val="00740106"/>
    <w:rsid w:val="00740965"/>
    <w:rsid w:val="007509ED"/>
    <w:rsid w:val="00750D62"/>
    <w:rsid w:val="007532E1"/>
    <w:rsid w:val="007560E0"/>
    <w:rsid w:val="00757494"/>
    <w:rsid w:val="007574E3"/>
    <w:rsid w:val="007627EB"/>
    <w:rsid w:val="007630E6"/>
    <w:rsid w:val="007708DF"/>
    <w:rsid w:val="00776E30"/>
    <w:rsid w:val="00777241"/>
    <w:rsid w:val="00777978"/>
    <w:rsid w:val="00780584"/>
    <w:rsid w:val="007917FE"/>
    <w:rsid w:val="007928A4"/>
    <w:rsid w:val="007A01E2"/>
    <w:rsid w:val="007A1068"/>
    <w:rsid w:val="007A16B2"/>
    <w:rsid w:val="007A1DF7"/>
    <w:rsid w:val="007A4BEE"/>
    <w:rsid w:val="007A5886"/>
    <w:rsid w:val="007B09D2"/>
    <w:rsid w:val="007B4803"/>
    <w:rsid w:val="007B48C1"/>
    <w:rsid w:val="007B50CC"/>
    <w:rsid w:val="007B573C"/>
    <w:rsid w:val="007C0A47"/>
    <w:rsid w:val="007C2077"/>
    <w:rsid w:val="007C3455"/>
    <w:rsid w:val="007C5DB5"/>
    <w:rsid w:val="007D0467"/>
    <w:rsid w:val="007D1468"/>
    <w:rsid w:val="007D213E"/>
    <w:rsid w:val="007D2E0E"/>
    <w:rsid w:val="007D3DCB"/>
    <w:rsid w:val="007E6EA2"/>
    <w:rsid w:val="007F01CB"/>
    <w:rsid w:val="007F1091"/>
    <w:rsid w:val="007F6D36"/>
    <w:rsid w:val="007F6E7E"/>
    <w:rsid w:val="00803518"/>
    <w:rsid w:val="00803AA8"/>
    <w:rsid w:val="00804142"/>
    <w:rsid w:val="008056BD"/>
    <w:rsid w:val="00807D0E"/>
    <w:rsid w:val="00810A2B"/>
    <w:rsid w:val="008119D1"/>
    <w:rsid w:val="0082256E"/>
    <w:rsid w:val="00822F5D"/>
    <w:rsid w:val="00825D97"/>
    <w:rsid w:val="00831726"/>
    <w:rsid w:val="008320F9"/>
    <w:rsid w:val="00836FD3"/>
    <w:rsid w:val="00837C13"/>
    <w:rsid w:val="00842F00"/>
    <w:rsid w:val="00843A95"/>
    <w:rsid w:val="00844558"/>
    <w:rsid w:val="008460C4"/>
    <w:rsid w:val="0084719F"/>
    <w:rsid w:val="00847A71"/>
    <w:rsid w:val="00850469"/>
    <w:rsid w:val="008521D3"/>
    <w:rsid w:val="0085220A"/>
    <w:rsid w:val="00855781"/>
    <w:rsid w:val="0085605B"/>
    <w:rsid w:val="008610F3"/>
    <w:rsid w:val="00861196"/>
    <w:rsid w:val="00867454"/>
    <w:rsid w:val="0087029E"/>
    <w:rsid w:val="008724D4"/>
    <w:rsid w:val="00873925"/>
    <w:rsid w:val="0087796B"/>
    <w:rsid w:val="00882171"/>
    <w:rsid w:val="0088415D"/>
    <w:rsid w:val="00884E34"/>
    <w:rsid w:val="008852D7"/>
    <w:rsid w:val="0088672D"/>
    <w:rsid w:val="00887F48"/>
    <w:rsid w:val="00890FE4"/>
    <w:rsid w:val="008922DA"/>
    <w:rsid w:val="008925AB"/>
    <w:rsid w:val="00892FAB"/>
    <w:rsid w:val="008A59B4"/>
    <w:rsid w:val="008A6314"/>
    <w:rsid w:val="008A7595"/>
    <w:rsid w:val="008B28E5"/>
    <w:rsid w:val="008B3959"/>
    <w:rsid w:val="008B5A24"/>
    <w:rsid w:val="008B5E0E"/>
    <w:rsid w:val="008B6BAF"/>
    <w:rsid w:val="008C0D9D"/>
    <w:rsid w:val="008C21BE"/>
    <w:rsid w:val="008D012F"/>
    <w:rsid w:val="008D4709"/>
    <w:rsid w:val="008E0265"/>
    <w:rsid w:val="008E1633"/>
    <w:rsid w:val="008E236B"/>
    <w:rsid w:val="008E409F"/>
    <w:rsid w:val="008E4D2C"/>
    <w:rsid w:val="008E5FA4"/>
    <w:rsid w:val="008E6787"/>
    <w:rsid w:val="008F0322"/>
    <w:rsid w:val="008F1F32"/>
    <w:rsid w:val="009001E2"/>
    <w:rsid w:val="0090058B"/>
    <w:rsid w:val="00911573"/>
    <w:rsid w:val="00911B29"/>
    <w:rsid w:val="0091359F"/>
    <w:rsid w:val="009159CF"/>
    <w:rsid w:val="00917B5E"/>
    <w:rsid w:val="009203B8"/>
    <w:rsid w:val="00923380"/>
    <w:rsid w:val="009234AC"/>
    <w:rsid w:val="00923544"/>
    <w:rsid w:val="009236C5"/>
    <w:rsid w:val="00924640"/>
    <w:rsid w:val="00925CC5"/>
    <w:rsid w:val="009267CE"/>
    <w:rsid w:val="00932F95"/>
    <w:rsid w:val="00933BED"/>
    <w:rsid w:val="0093406C"/>
    <w:rsid w:val="0093702F"/>
    <w:rsid w:val="00944B1C"/>
    <w:rsid w:val="00947CEE"/>
    <w:rsid w:val="00947F5D"/>
    <w:rsid w:val="00951507"/>
    <w:rsid w:val="00954ED5"/>
    <w:rsid w:val="00956D34"/>
    <w:rsid w:val="00957974"/>
    <w:rsid w:val="00963CE4"/>
    <w:rsid w:val="00964B40"/>
    <w:rsid w:val="00966498"/>
    <w:rsid w:val="009705D8"/>
    <w:rsid w:val="009708B1"/>
    <w:rsid w:val="00972A29"/>
    <w:rsid w:val="00973A3D"/>
    <w:rsid w:val="00975447"/>
    <w:rsid w:val="00977894"/>
    <w:rsid w:val="00977A33"/>
    <w:rsid w:val="00980ACD"/>
    <w:rsid w:val="0098641F"/>
    <w:rsid w:val="009900E1"/>
    <w:rsid w:val="00991523"/>
    <w:rsid w:val="00991A1B"/>
    <w:rsid w:val="00993712"/>
    <w:rsid w:val="009A27A1"/>
    <w:rsid w:val="009A5371"/>
    <w:rsid w:val="009A6E68"/>
    <w:rsid w:val="009A765E"/>
    <w:rsid w:val="009B09B2"/>
    <w:rsid w:val="009B4090"/>
    <w:rsid w:val="009B6549"/>
    <w:rsid w:val="009B75ED"/>
    <w:rsid w:val="009C1EFC"/>
    <w:rsid w:val="009C30AE"/>
    <w:rsid w:val="009C390B"/>
    <w:rsid w:val="009C6A7F"/>
    <w:rsid w:val="009D0270"/>
    <w:rsid w:val="009D0D06"/>
    <w:rsid w:val="009D72B0"/>
    <w:rsid w:val="009E08F5"/>
    <w:rsid w:val="009E2EB7"/>
    <w:rsid w:val="009E41F8"/>
    <w:rsid w:val="009E6DC2"/>
    <w:rsid w:val="009F1DC0"/>
    <w:rsid w:val="009F2571"/>
    <w:rsid w:val="009F6533"/>
    <w:rsid w:val="009F6780"/>
    <w:rsid w:val="009F6C1F"/>
    <w:rsid w:val="00A025FF"/>
    <w:rsid w:val="00A04119"/>
    <w:rsid w:val="00A04718"/>
    <w:rsid w:val="00A04FF1"/>
    <w:rsid w:val="00A07A11"/>
    <w:rsid w:val="00A10E55"/>
    <w:rsid w:val="00A1496B"/>
    <w:rsid w:val="00A154CB"/>
    <w:rsid w:val="00A15751"/>
    <w:rsid w:val="00A213C6"/>
    <w:rsid w:val="00A21F6E"/>
    <w:rsid w:val="00A2247A"/>
    <w:rsid w:val="00A22AE4"/>
    <w:rsid w:val="00A267D9"/>
    <w:rsid w:val="00A26F32"/>
    <w:rsid w:val="00A3318E"/>
    <w:rsid w:val="00A33C08"/>
    <w:rsid w:val="00A4038B"/>
    <w:rsid w:val="00A459E7"/>
    <w:rsid w:val="00A54E22"/>
    <w:rsid w:val="00A55F7F"/>
    <w:rsid w:val="00A56864"/>
    <w:rsid w:val="00A648F3"/>
    <w:rsid w:val="00A65DBE"/>
    <w:rsid w:val="00A6667C"/>
    <w:rsid w:val="00A701A0"/>
    <w:rsid w:val="00A7179E"/>
    <w:rsid w:val="00A74215"/>
    <w:rsid w:val="00A77416"/>
    <w:rsid w:val="00A8280D"/>
    <w:rsid w:val="00A832C2"/>
    <w:rsid w:val="00A90BF0"/>
    <w:rsid w:val="00A94A8C"/>
    <w:rsid w:val="00A951D9"/>
    <w:rsid w:val="00A9581D"/>
    <w:rsid w:val="00A95FC7"/>
    <w:rsid w:val="00A96474"/>
    <w:rsid w:val="00A97667"/>
    <w:rsid w:val="00AA35D8"/>
    <w:rsid w:val="00AA4EEB"/>
    <w:rsid w:val="00AA79B1"/>
    <w:rsid w:val="00AB31D3"/>
    <w:rsid w:val="00AB6F6B"/>
    <w:rsid w:val="00AB7701"/>
    <w:rsid w:val="00AC194F"/>
    <w:rsid w:val="00AC264F"/>
    <w:rsid w:val="00AC44C7"/>
    <w:rsid w:val="00AC5C45"/>
    <w:rsid w:val="00AC62D2"/>
    <w:rsid w:val="00AD18FF"/>
    <w:rsid w:val="00AD2A48"/>
    <w:rsid w:val="00AD3AE5"/>
    <w:rsid w:val="00AD698E"/>
    <w:rsid w:val="00AE139C"/>
    <w:rsid w:val="00AE312D"/>
    <w:rsid w:val="00AE4C76"/>
    <w:rsid w:val="00AF1CFF"/>
    <w:rsid w:val="00AF31D6"/>
    <w:rsid w:val="00AF51F9"/>
    <w:rsid w:val="00AF5C3D"/>
    <w:rsid w:val="00B0653E"/>
    <w:rsid w:val="00B07E47"/>
    <w:rsid w:val="00B12780"/>
    <w:rsid w:val="00B14DC6"/>
    <w:rsid w:val="00B17F18"/>
    <w:rsid w:val="00B208F7"/>
    <w:rsid w:val="00B2183E"/>
    <w:rsid w:val="00B23321"/>
    <w:rsid w:val="00B25493"/>
    <w:rsid w:val="00B26426"/>
    <w:rsid w:val="00B264DC"/>
    <w:rsid w:val="00B305E3"/>
    <w:rsid w:val="00B31A7A"/>
    <w:rsid w:val="00B337A7"/>
    <w:rsid w:val="00B34C9A"/>
    <w:rsid w:val="00B3607C"/>
    <w:rsid w:val="00B45FB8"/>
    <w:rsid w:val="00B4699A"/>
    <w:rsid w:val="00B46D3D"/>
    <w:rsid w:val="00B47148"/>
    <w:rsid w:val="00B5007C"/>
    <w:rsid w:val="00B50AD8"/>
    <w:rsid w:val="00B520BA"/>
    <w:rsid w:val="00B5437F"/>
    <w:rsid w:val="00B55036"/>
    <w:rsid w:val="00B60B4D"/>
    <w:rsid w:val="00B6490E"/>
    <w:rsid w:val="00B66C22"/>
    <w:rsid w:val="00B67119"/>
    <w:rsid w:val="00B72671"/>
    <w:rsid w:val="00B730B0"/>
    <w:rsid w:val="00B75968"/>
    <w:rsid w:val="00B76FC7"/>
    <w:rsid w:val="00B7736D"/>
    <w:rsid w:val="00B777C3"/>
    <w:rsid w:val="00B80180"/>
    <w:rsid w:val="00B801F2"/>
    <w:rsid w:val="00B80868"/>
    <w:rsid w:val="00B81E5C"/>
    <w:rsid w:val="00B82959"/>
    <w:rsid w:val="00B90DCA"/>
    <w:rsid w:val="00B945F8"/>
    <w:rsid w:val="00B94856"/>
    <w:rsid w:val="00BA01F4"/>
    <w:rsid w:val="00BA176D"/>
    <w:rsid w:val="00BA6F35"/>
    <w:rsid w:val="00BA7A21"/>
    <w:rsid w:val="00BB1176"/>
    <w:rsid w:val="00BB6630"/>
    <w:rsid w:val="00BC06D8"/>
    <w:rsid w:val="00BC08C4"/>
    <w:rsid w:val="00BC11D4"/>
    <w:rsid w:val="00BC22E6"/>
    <w:rsid w:val="00BC299A"/>
    <w:rsid w:val="00BC3BA6"/>
    <w:rsid w:val="00BC4684"/>
    <w:rsid w:val="00BC6869"/>
    <w:rsid w:val="00BD189F"/>
    <w:rsid w:val="00BD4070"/>
    <w:rsid w:val="00BD4182"/>
    <w:rsid w:val="00BD6197"/>
    <w:rsid w:val="00BD64E7"/>
    <w:rsid w:val="00BD7A79"/>
    <w:rsid w:val="00BE4341"/>
    <w:rsid w:val="00BE7666"/>
    <w:rsid w:val="00BF18C6"/>
    <w:rsid w:val="00BF76F1"/>
    <w:rsid w:val="00C04453"/>
    <w:rsid w:val="00C0565C"/>
    <w:rsid w:val="00C05EB8"/>
    <w:rsid w:val="00C06623"/>
    <w:rsid w:val="00C1099A"/>
    <w:rsid w:val="00C151AB"/>
    <w:rsid w:val="00C21CA2"/>
    <w:rsid w:val="00C2548B"/>
    <w:rsid w:val="00C25C2F"/>
    <w:rsid w:val="00C35780"/>
    <w:rsid w:val="00C36F6B"/>
    <w:rsid w:val="00C423B4"/>
    <w:rsid w:val="00C42A83"/>
    <w:rsid w:val="00C42D7F"/>
    <w:rsid w:val="00C4467E"/>
    <w:rsid w:val="00C44911"/>
    <w:rsid w:val="00C45985"/>
    <w:rsid w:val="00C5019B"/>
    <w:rsid w:val="00C50724"/>
    <w:rsid w:val="00C51D9A"/>
    <w:rsid w:val="00C56195"/>
    <w:rsid w:val="00C60775"/>
    <w:rsid w:val="00C610B8"/>
    <w:rsid w:val="00C61CF2"/>
    <w:rsid w:val="00C62AD9"/>
    <w:rsid w:val="00C640F1"/>
    <w:rsid w:val="00C64C7D"/>
    <w:rsid w:val="00C66BBF"/>
    <w:rsid w:val="00C674F5"/>
    <w:rsid w:val="00C70B10"/>
    <w:rsid w:val="00C719C6"/>
    <w:rsid w:val="00C74C32"/>
    <w:rsid w:val="00C75512"/>
    <w:rsid w:val="00C80FD6"/>
    <w:rsid w:val="00C81EF2"/>
    <w:rsid w:val="00C86BF3"/>
    <w:rsid w:val="00C907A2"/>
    <w:rsid w:val="00C921ED"/>
    <w:rsid w:val="00C93016"/>
    <w:rsid w:val="00C94A89"/>
    <w:rsid w:val="00C95EA0"/>
    <w:rsid w:val="00C96D17"/>
    <w:rsid w:val="00CA4356"/>
    <w:rsid w:val="00CB0F4F"/>
    <w:rsid w:val="00CB1654"/>
    <w:rsid w:val="00CB1AF5"/>
    <w:rsid w:val="00CB3F5D"/>
    <w:rsid w:val="00CB5CBB"/>
    <w:rsid w:val="00CB5D35"/>
    <w:rsid w:val="00CB6A44"/>
    <w:rsid w:val="00CC3275"/>
    <w:rsid w:val="00CC4318"/>
    <w:rsid w:val="00CC7C11"/>
    <w:rsid w:val="00CD0EC6"/>
    <w:rsid w:val="00CE00A4"/>
    <w:rsid w:val="00CE0552"/>
    <w:rsid w:val="00CE2837"/>
    <w:rsid w:val="00CE2D19"/>
    <w:rsid w:val="00CE446D"/>
    <w:rsid w:val="00CE6C6C"/>
    <w:rsid w:val="00CE7E21"/>
    <w:rsid w:val="00D0075B"/>
    <w:rsid w:val="00D0679A"/>
    <w:rsid w:val="00D07AE9"/>
    <w:rsid w:val="00D12808"/>
    <w:rsid w:val="00D1617B"/>
    <w:rsid w:val="00D17295"/>
    <w:rsid w:val="00D17F67"/>
    <w:rsid w:val="00D20896"/>
    <w:rsid w:val="00D23CCB"/>
    <w:rsid w:val="00D2421E"/>
    <w:rsid w:val="00D2437F"/>
    <w:rsid w:val="00D34004"/>
    <w:rsid w:val="00D35EBC"/>
    <w:rsid w:val="00D36117"/>
    <w:rsid w:val="00D3721E"/>
    <w:rsid w:val="00D4792E"/>
    <w:rsid w:val="00D47ACD"/>
    <w:rsid w:val="00D51D03"/>
    <w:rsid w:val="00D54F80"/>
    <w:rsid w:val="00D554E3"/>
    <w:rsid w:val="00D64633"/>
    <w:rsid w:val="00D667FB"/>
    <w:rsid w:val="00D66E1A"/>
    <w:rsid w:val="00D75986"/>
    <w:rsid w:val="00D7799A"/>
    <w:rsid w:val="00D8562D"/>
    <w:rsid w:val="00D906FF"/>
    <w:rsid w:val="00D92721"/>
    <w:rsid w:val="00D95919"/>
    <w:rsid w:val="00D9759E"/>
    <w:rsid w:val="00DA2221"/>
    <w:rsid w:val="00DA4B30"/>
    <w:rsid w:val="00DA4C87"/>
    <w:rsid w:val="00DA4E4D"/>
    <w:rsid w:val="00DB60FC"/>
    <w:rsid w:val="00DC4B5B"/>
    <w:rsid w:val="00DC7E7A"/>
    <w:rsid w:val="00DD7938"/>
    <w:rsid w:val="00DE0047"/>
    <w:rsid w:val="00DE3567"/>
    <w:rsid w:val="00DE6AFA"/>
    <w:rsid w:val="00DF0974"/>
    <w:rsid w:val="00DF3B29"/>
    <w:rsid w:val="00DF625D"/>
    <w:rsid w:val="00E04062"/>
    <w:rsid w:val="00E13D25"/>
    <w:rsid w:val="00E20416"/>
    <w:rsid w:val="00E22F7A"/>
    <w:rsid w:val="00E31478"/>
    <w:rsid w:val="00E3204C"/>
    <w:rsid w:val="00E330C9"/>
    <w:rsid w:val="00E4162E"/>
    <w:rsid w:val="00E440B5"/>
    <w:rsid w:val="00E472EF"/>
    <w:rsid w:val="00E52D77"/>
    <w:rsid w:val="00E64A81"/>
    <w:rsid w:val="00E65626"/>
    <w:rsid w:val="00E65B27"/>
    <w:rsid w:val="00E66A69"/>
    <w:rsid w:val="00E708BF"/>
    <w:rsid w:val="00E717C9"/>
    <w:rsid w:val="00E71FE3"/>
    <w:rsid w:val="00E7524C"/>
    <w:rsid w:val="00E75C8E"/>
    <w:rsid w:val="00E761EA"/>
    <w:rsid w:val="00E77384"/>
    <w:rsid w:val="00E801D2"/>
    <w:rsid w:val="00E80747"/>
    <w:rsid w:val="00E80B08"/>
    <w:rsid w:val="00E81765"/>
    <w:rsid w:val="00E823E5"/>
    <w:rsid w:val="00E84989"/>
    <w:rsid w:val="00E90AC0"/>
    <w:rsid w:val="00E972D8"/>
    <w:rsid w:val="00EA2A86"/>
    <w:rsid w:val="00EA469A"/>
    <w:rsid w:val="00EA5B3C"/>
    <w:rsid w:val="00EB3AF1"/>
    <w:rsid w:val="00EB6930"/>
    <w:rsid w:val="00EC1EEA"/>
    <w:rsid w:val="00EC4E01"/>
    <w:rsid w:val="00EC5A6E"/>
    <w:rsid w:val="00EC75D8"/>
    <w:rsid w:val="00ED0975"/>
    <w:rsid w:val="00ED154C"/>
    <w:rsid w:val="00ED7180"/>
    <w:rsid w:val="00ED78E6"/>
    <w:rsid w:val="00EE11C9"/>
    <w:rsid w:val="00EE356B"/>
    <w:rsid w:val="00EE5E88"/>
    <w:rsid w:val="00EF1DE8"/>
    <w:rsid w:val="00EF519B"/>
    <w:rsid w:val="00F01568"/>
    <w:rsid w:val="00F0213E"/>
    <w:rsid w:val="00F05DC2"/>
    <w:rsid w:val="00F06309"/>
    <w:rsid w:val="00F06F1F"/>
    <w:rsid w:val="00F11536"/>
    <w:rsid w:val="00F137AD"/>
    <w:rsid w:val="00F14485"/>
    <w:rsid w:val="00F1480C"/>
    <w:rsid w:val="00F17BA5"/>
    <w:rsid w:val="00F21329"/>
    <w:rsid w:val="00F22936"/>
    <w:rsid w:val="00F24485"/>
    <w:rsid w:val="00F24B01"/>
    <w:rsid w:val="00F30386"/>
    <w:rsid w:val="00F36013"/>
    <w:rsid w:val="00F379BF"/>
    <w:rsid w:val="00F37D68"/>
    <w:rsid w:val="00F37F03"/>
    <w:rsid w:val="00F41F4A"/>
    <w:rsid w:val="00F42957"/>
    <w:rsid w:val="00F45589"/>
    <w:rsid w:val="00F46133"/>
    <w:rsid w:val="00F470CB"/>
    <w:rsid w:val="00F47395"/>
    <w:rsid w:val="00F5579F"/>
    <w:rsid w:val="00F55CBD"/>
    <w:rsid w:val="00F6284C"/>
    <w:rsid w:val="00F62E9B"/>
    <w:rsid w:val="00F646D2"/>
    <w:rsid w:val="00F64CEA"/>
    <w:rsid w:val="00F70D53"/>
    <w:rsid w:val="00F72BB5"/>
    <w:rsid w:val="00F76CA7"/>
    <w:rsid w:val="00F908CF"/>
    <w:rsid w:val="00F95714"/>
    <w:rsid w:val="00F95DF7"/>
    <w:rsid w:val="00FA1ADA"/>
    <w:rsid w:val="00FA2358"/>
    <w:rsid w:val="00FB0038"/>
    <w:rsid w:val="00FB0C4A"/>
    <w:rsid w:val="00FB4DE1"/>
    <w:rsid w:val="00FB7E8E"/>
    <w:rsid w:val="00FC023F"/>
    <w:rsid w:val="00FC0CDD"/>
    <w:rsid w:val="00FC18F9"/>
    <w:rsid w:val="00FC1D10"/>
    <w:rsid w:val="00FC21D6"/>
    <w:rsid w:val="00FC2406"/>
    <w:rsid w:val="00FC2BD2"/>
    <w:rsid w:val="00FC4041"/>
    <w:rsid w:val="00FC6026"/>
    <w:rsid w:val="00FD3F23"/>
    <w:rsid w:val="00FD5891"/>
    <w:rsid w:val="00FE0412"/>
    <w:rsid w:val="00FE312B"/>
    <w:rsid w:val="00FE3456"/>
    <w:rsid w:val="00FE4BB8"/>
    <w:rsid w:val="00FE5118"/>
    <w:rsid w:val="00FF3736"/>
    <w:rsid w:val="00FF3BAC"/>
    <w:rsid w:val="00FF4BC0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DE988"/>
  <w15:chartTrackingRefBased/>
  <w15:docId w15:val="{72AA2431-53AF-4C80-9ECF-23D814AB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57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170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0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02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D4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182"/>
  </w:style>
  <w:style w:type="paragraph" w:styleId="Footer">
    <w:name w:val="footer"/>
    <w:basedOn w:val="Normal"/>
    <w:link w:val="FooterChar"/>
    <w:uiPriority w:val="99"/>
    <w:unhideWhenUsed/>
    <w:rsid w:val="00BD4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182"/>
  </w:style>
  <w:style w:type="paragraph" w:styleId="NoSpacing">
    <w:name w:val="No Spacing"/>
    <w:link w:val="NoSpacingChar"/>
    <w:uiPriority w:val="1"/>
    <w:qFormat/>
    <w:rsid w:val="00DA4B3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A4B3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F776D-C41B-4FA2-B98A-E0BDF985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2762</Characters>
  <Application>Microsoft Office Word</Application>
  <DocSecurity>0</DocSecurity>
  <Lines>50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G-L 2 Real Estate debt index</dc:title>
  <dc:subject>4Q-2020 Results</dc:subject>
  <dc:creator>Julia P. Grant</dc:creator>
  <cp:keywords/>
  <dc:description/>
  <cp:lastModifiedBy>Julia P. Grant</cp:lastModifiedBy>
  <cp:revision>2</cp:revision>
  <cp:lastPrinted>2021-02-24T11:22:00Z</cp:lastPrinted>
  <dcterms:created xsi:type="dcterms:W3CDTF">2021-02-24T11:52:00Z</dcterms:created>
  <dcterms:modified xsi:type="dcterms:W3CDTF">2021-02-24T11:52:00Z</dcterms:modified>
</cp:coreProperties>
</file>