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796" w14:textId="4E0AD984" w:rsidR="00D75986" w:rsidRPr="00A6667C" w:rsidRDefault="00D75986">
      <w:pPr>
        <w:rPr>
          <w:b/>
          <w:bCs/>
          <w:sz w:val="28"/>
          <w:szCs w:val="28"/>
        </w:rPr>
      </w:pPr>
      <w:r w:rsidRPr="00A6667C">
        <w:rPr>
          <w:b/>
          <w:bCs/>
          <w:sz w:val="28"/>
          <w:szCs w:val="28"/>
        </w:rPr>
        <w:t xml:space="preserve">G-L 2 </w:t>
      </w:r>
      <w:r w:rsidR="00B34105">
        <w:rPr>
          <w:b/>
          <w:bCs/>
          <w:sz w:val="28"/>
          <w:szCs w:val="28"/>
        </w:rPr>
        <w:t>2</w:t>
      </w:r>
      <w:r w:rsidRPr="00A6667C">
        <w:rPr>
          <w:b/>
          <w:bCs/>
          <w:sz w:val="28"/>
          <w:szCs w:val="28"/>
        </w:rPr>
        <w:t>Q 20</w:t>
      </w:r>
      <w:r w:rsidR="00B777C3">
        <w:rPr>
          <w:b/>
          <w:bCs/>
          <w:sz w:val="28"/>
          <w:szCs w:val="28"/>
        </w:rPr>
        <w:t>2</w:t>
      </w:r>
      <w:r w:rsidR="00E25F8A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 xml:space="preserve"> </w:t>
      </w:r>
      <w:r w:rsidR="00232631">
        <w:rPr>
          <w:b/>
          <w:bCs/>
          <w:sz w:val="28"/>
          <w:szCs w:val="28"/>
        </w:rPr>
        <w:t>Quarterly Review</w:t>
      </w:r>
    </w:p>
    <w:p w14:paraId="5F1A78FF" w14:textId="52D8E40B" w:rsidR="00D75986" w:rsidRDefault="00B34105">
      <w:r>
        <w:t>September</w:t>
      </w:r>
      <w:r w:rsidR="00586A81">
        <w:t xml:space="preserve"> </w:t>
      </w:r>
      <w:r w:rsidR="003F5B21">
        <w:t>1</w:t>
      </w:r>
      <w:r>
        <w:t>3</w:t>
      </w:r>
      <w:r w:rsidR="000661D8">
        <w:t>, 2021</w:t>
      </w:r>
    </w:p>
    <w:p w14:paraId="65B14EAA" w14:textId="77777777" w:rsidR="00351CA1" w:rsidRDefault="00351CA1"/>
    <w:tbl>
      <w:tblPr>
        <w:tblW w:w="6160" w:type="dxa"/>
        <w:tblInd w:w="1594" w:type="dxa"/>
        <w:tblLook w:val="04A0" w:firstRow="1" w:lastRow="0" w:firstColumn="1" w:lastColumn="0" w:noHBand="0" w:noVBand="1"/>
      </w:tblPr>
      <w:tblGrid>
        <w:gridCol w:w="280"/>
        <w:gridCol w:w="3580"/>
        <w:gridCol w:w="2020"/>
        <w:gridCol w:w="280"/>
      </w:tblGrid>
      <w:tr w:rsidR="00351CA1" w:rsidRPr="00351CA1" w14:paraId="2D215449" w14:textId="77777777" w:rsidTr="00741467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B07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48F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1CA1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2Q 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3B2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51CA1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F405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7582C12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0A5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8C3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D31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2E29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341BE118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8C94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A48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EB2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 xml:space="preserve"> Return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187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0933F7F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2A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E8DE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51F6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E85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5FC71541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0C7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9A3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All Investments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2AF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1.93%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B47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77481E0F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CDF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42F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B94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1B2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1150799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2428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CBFF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All Subordinate Positions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020D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2.08%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5D8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0D314BD2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5A1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45C8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51CA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Mezzanine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989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2.00%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93A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41599A41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39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39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51CA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Leveraged Whole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3DD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2.28%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95B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47D1167A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36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79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51CA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Other Sub. Debt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06A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1.30%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5D6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2B2E8D8C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7F4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91E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16B2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97E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2E0C7224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53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8C4F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Senior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7C6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12F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52C80B5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8F4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D47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5C7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FAD7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750A0433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8A2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23E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Floating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3E0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1.90%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98F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1CF85473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F1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BE9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Fixed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6FF5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1.75%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3CD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3698D7FD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835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A7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679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F56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45949A8D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E545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22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Stabilized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2E1D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1.88%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6F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4DA8184E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E9C3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62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Bridge / Transitional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B66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1.95%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3B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34F0CA6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4D57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6C1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Value-add Projects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CEB" w14:textId="77777777" w:rsidR="00351CA1" w:rsidRPr="00351CA1" w:rsidRDefault="00351CA1" w:rsidP="0035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1.43%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5CB0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163CEE76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144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1B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6CC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9D5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37EB8847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38B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EAB1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51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351CA1" w:rsidRPr="00351CA1" w14:paraId="4A2347B6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EE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97D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D82" w14:textId="77777777" w:rsidR="00351CA1" w:rsidRPr="00351CA1" w:rsidRDefault="00351CA1" w:rsidP="003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0E8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1CA1" w:rsidRPr="00351CA1" w14:paraId="2CCEAFBB" w14:textId="77777777" w:rsidTr="0074146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EC61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2838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C429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E3C" w14:textId="77777777" w:rsidR="00351CA1" w:rsidRPr="00351CA1" w:rsidRDefault="00351CA1" w:rsidP="0035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1C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695881" w14:textId="77777777" w:rsidR="00B50AD8" w:rsidRDefault="00B50AD8"/>
    <w:p w14:paraId="2689EBCC" w14:textId="0FCC5F6D" w:rsidR="00981FBD" w:rsidRPr="00981FBD" w:rsidRDefault="00580C38" w:rsidP="00981FBD">
      <w:pPr>
        <w:rPr>
          <w:sz w:val="18"/>
          <w:szCs w:val="18"/>
        </w:rPr>
      </w:pPr>
      <w:r w:rsidRPr="00981FBD">
        <w:rPr>
          <w:sz w:val="18"/>
          <w:szCs w:val="18"/>
        </w:rPr>
        <w:t xml:space="preserve">Note: </w:t>
      </w:r>
      <w:r w:rsidR="00981FBD" w:rsidRPr="00981FBD">
        <w:rPr>
          <w:sz w:val="18"/>
          <w:szCs w:val="18"/>
        </w:rPr>
        <w:t>Several loans have all data needed to generate investment returns but have not yet provided attribute data. As a result, some reported sub-category returns, e.g., payment type, are each less than the G-L 2 total return.</w:t>
      </w:r>
    </w:p>
    <w:p w14:paraId="4459ACAC" w14:textId="6AF74AC8" w:rsidR="00947F5D" w:rsidRPr="00947F5D" w:rsidRDefault="00232631" w:rsidP="00947F5D">
      <w:pPr>
        <w:rPr>
          <w:b/>
        </w:rPr>
      </w:pPr>
      <w:r>
        <w:rPr>
          <w:b/>
        </w:rPr>
        <w:t>Index Performance</w:t>
      </w:r>
    </w:p>
    <w:p w14:paraId="0C2B949E" w14:textId="5A3786CE" w:rsidR="0064188F" w:rsidRDefault="00BF5148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2</w:t>
      </w:r>
      <w:r w:rsidR="002777C1">
        <w:rPr>
          <w:b/>
          <w:bCs/>
        </w:rPr>
        <w:t>Q 2021 t</w:t>
      </w:r>
      <w:r w:rsidR="00277579" w:rsidRPr="007509ED">
        <w:rPr>
          <w:b/>
          <w:bCs/>
        </w:rPr>
        <w:t xml:space="preserve">otal return </w:t>
      </w:r>
      <w:r w:rsidR="002777C1">
        <w:rPr>
          <w:b/>
          <w:bCs/>
        </w:rPr>
        <w:t>was 1.</w:t>
      </w:r>
      <w:r>
        <w:rPr>
          <w:b/>
          <w:bCs/>
        </w:rPr>
        <w:t>93</w:t>
      </w:r>
      <w:r w:rsidR="002777C1">
        <w:rPr>
          <w:b/>
          <w:bCs/>
        </w:rPr>
        <w:t>%</w:t>
      </w:r>
      <w:r w:rsidR="009F5FE4">
        <w:rPr>
          <w:b/>
          <w:bCs/>
        </w:rPr>
        <w:t xml:space="preserve">, </w:t>
      </w:r>
      <w:r w:rsidR="00AF7C2D">
        <w:rPr>
          <w:b/>
          <w:bCs/>
        </w:rPr>
        <w:t xml:space="preserve">on par with </w:t>
      </w:r>
      <w:r w:rsidR="00CE7F2E">
        <w:rPr>
          <w:b/>
          <w:bCs/>
        </w:rPr>
        <w:t>1.87</w:t>
      </w:r>
      <w:r w:rsidR="00373081">
        <w:rPr>
          <w:b/>
          <w:bCs/>
        </w:rPr>
        <w:t xml:space="preserve">% </w:t>
      </w:r>
      <w:r w:rsidR="00CE7F2E">
        <w:rPr>
          <w:b/>
          <w:bCs/>
        </w:rPr>
        <w:t>generated in 1</w:t>
      </w:r>
      <w:r w:rsidR="006B3DB8">
        <w:rPr>
          <w:b/>
          <w:bCs/>
        </w:rPr>
        <w:t>Q 202</w:t>
      </w:r>
      <w:r w:rsidR="00CE7F2E">
        <w:rPr>
          <w:b/>
          <w:bCs/>
        </w:rPr>
        <w:t>1</w:t>
      </w:r>
      <w:r w:rsidR="00373081">
        <w:rPr>
          <w:b/>
          <w:bCs/>
        </w:rPr>
        <w:t>.</w:t>
      </w:r>
      <w:r w:rsidR="0021702F">
        <w:rPr>
          <w:rStyle w:val="FootnoteReference"/>
        </w:rPr>
        <w:footnoteReference w:id="1"/>
      </w:r>
      <w:r w:rsidR="007509ED">
        <w:tab/>
      </w:r>
    </w:p>
    <w:p w14:paraId="6C572C02" w14:textId="112DDDDF" w:rsidR="009C3DC4" w:rsidRDefault="00340370" w:rsidP="009C3DC4">
      <w:pPr>
        <w:pStyle w:val="ListParagraph"/>
        <w:numPr>
          <w:ilvl w:val="1"/>
          <w:numId w:val="2"/>
        </w:numPr>
      </w:pPr>
      <w:r>
        <w:t xml:space="preserve">The </w:t>
      </w:r>
      <w:r w:rsidR="00C12D29">
        <w:t>6-basis</w:t>
      </w:r>
      <w:r>
        <w:t xml:space="preserve"> point (bp) increase was</w:t>
      </w:r>
      <w:r w:rsidR="00BB3E45">
        <w:t xml:space="preserve"> driven by higher </w:t>
      </w:r>
      <w:r w:rsidR="00DA4C87">
        <w:t>Income return</w:t>
      </w:r>
      <w:r w:rsidR="00BB3E45">
        <w:t xml:space="preserve">: 1.90% for 2Q versus 1.84% in </w:t>
      </w:r>
      <w:r w:rsidR="00C12D29">
        <w:t>1Q</w:t>
      </w:r>
      <w:r w:rsidR="00972A29">
        <w:t>.</w:t>
      </w:r>
    </w:p>
    <w:p w14:paraId="6E2B6899" w14:textId="33AD407D" w:rsidR="009C3DC4" w:rsidRDefault="00DA4C87" w:rsidP="009C3DC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>return was</w:t>
      </w:r>
      <w:r w:rsidR="00281AC3">
        <w:t xml:space="preserve"> </w:t>
      </w:r>
      <w:r w:rsidR="0067333A">
        <w:t>0.</w:t>
      </w:r>
      <w:r w:rsidR="00E8653E">
        <w:t>0</w:t>
      </w:r>
      <w:r w:rsidR="00281AC3">
        <w:t>3</w:t>
      </w:r>
      <w:r w:rsidR="00D1617B">
        <w:t>%</w:t>
      </w:r>
      <w:r w:rsidR="00E311E4">
        <w:t xml:space="preserve">. </w:t>
      </w:r>
    </w:p>
    <w:p w14:paraId="4FAF6011" w14:textId="6B7641F8" w:rsidR="00387282" w:rsidRDefault="00E311E4" w:rsidP="00213189">
      <w:pPr>
        <w:pStyle w:val="ListParagraph"/>
        <w:numPr>
          <w:ilvl w:val="1"/>
          <w:numId w:val="2"/>
        </w:numPr>
      </w:pPr>
      <w:r>
        <w:t xml:space="preserve">Rolling four-quarter total </w:t>
      </w:r>
      <w:r w:rsidR="00463C4D">
        <w:t xml:space="preserve">return ticked up </w:t>
      </w:r>
      <w:r w:rsidR="001934DB">
        <w:t xml:space="preserve">from </w:t>
      </w:r>
      <w:r w:rsidR="004D3012">
        <w:t>6.41</w:t>
      </w:r>
      <w:r w:rsidR="001C363B">
        <w:t xml:space="preserve">% to </w:t>
      </w:r>
      <w:r w:rsidR="00FE48C5">
        <w:t>6.</w:t>
      </w:r>
      <w:r w:rsidR="004D3012">
        <w:t>64</w:t>
      </w:r>
      <w:r w:rsidR="00FE48C5">
        <w:t>%</w:t>
      </w:r>
      <w:r w:rsidR="005C2CFA">
        <w:t xml:space="preserve">. </w:t>
      </w:r>
      <w:r w:rsidR="00466062">
        <w:t>As was the case last quarter, t</w:t>
      </w:r>
      <w:r w:rsidR="00C32996">
        <w:t>he improvement was</w:t>
      </w:r>
      <w:r w:rsidR="004A5FFE">
        <w:t xml:space="preserve"> mainly</w:t>
      </w:r>
      <w:r w:rsidR="00C32996">
        <w:t xml:space="preserve"> driven by </w:t>
      </w:r>
      <w:r w:rsidR="00E03100">
        <w:t xml:space="preserve">a </w:t>
      </w:r>
      <w:r w:rsidR="00E21363">
        <w:t xml:space="preserve">better </w:t>
      </w:r>
      <w:r w:rsidR="00E03100">
        <w:t>“comp”</w:t>
      </w:r>
      <w:r w:rsidR="00FD0085">
        <w:t xml:space="preserve">: </w:t>
      </w:r>
      <w:r w:rsidR="00C32996">
        <w:t>th</w:t>
      </w:r>
      <w:r w:rsidR="00E21363">
        <w:t>is year’s 1.93% compared with 202</w:t>
      </w:r>
      <w:r w:rsidR="00922E9F">
        <w:t>0’s 1.70%</w:t>
      </w:r>
      <w:r w:rsidR="007A5886">
        <w:t>.</w:t>
      </w:r>
    </w:p>
    <w:p w14:paraId="32CDA641" w14:textId="77777777" w:rsidR="00213189" w:rsidRDefault="00213189" w:rsidP="00213189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t>Monthly returns:</w:t>
      </w:r>
    </w:p>
    <w:p w14:paraId="79D0F2E2" w14:textId="32F837B6" w:rsidR="009234AC" w:rsidRDefault="00DB34CD" w:rsidP="009234AC">
      <w:pPr>
        <w:pStyle w:val="ListParagraph"/>
        <w:numPr>
          <w:ilvl w:val="1"/>
          <w:numId w:val="4"/>
        </w:numPr>
      </w:pPr>
      <w:r>
        <w:t>Apr</w:t>
      </w:r>
      <w:r w:rsidR="009234AC">
        <w:t>. 202</w:t>
      </w:r>
      <w:r w:rsidR="008B078C">
        <w:t>1</w:t>
      </w:r>
      <w:r w:rsidR="009234AC">
        <w:tab/>
        <w:t>0.</w:t>
      </w:r>
      <w:r w:rsidR="00BD6F4E">
        <w:t>49</w:t>
      </w:r>
      <w:r w:rsidR="009234AC">
        <w:t>%</w:t>
      </w:r>
    </w:p>
    <w:p w14:paraId="6002B57F" w14:textId="39C4F79F" w:rsidR="009234AC" w:rsidRDefault="00DB34CD" w:rsidP="009234AC">
      <w:pPr>
        <w:pStyle w:val="ListParagraph"/>
        <w:numPr>
          <w:ilvl w:val="1"/>
          <w:numId w:val="4"/>
        </w:numPr>
      </w:pPr>
      <w:r>
        <w:t>May</w:t>
      </w:r>
      <w:r w:rsidR="009234AC">
        <w:t xml:space="preserve"> 202</w:t>
      </w:r>
      <w:r w:rsidR="008B078C">
        <w:t>1</w:t>
      </w:r>
      <w:r w:rsidR="009234AC">
        <w:tab/>
        <w:t>0.</w:t>
      </w:r>
      <w:r w:rsidR="00BD6F4E">
        <w:t>61</w:t>
      </w:r>
      <w:r w:rsidR="009234AC">
        <w:t>%</w:t>
      </w:r>
    </w:p>
    <w:p w14:paraId="3270254E" w14:textId="41B4797C" w:rsidR="00BC22E6" w:rsidRDefault="00DB34CD" w:rsidP="00BC22E6">
      <w:pPr>
        <w:pStyle w:val="ListParagraph"/>
        <w:numPr>
          <w:ilvl w:val="1"/>
          <w:numId w:val="4"/>
        </w:numPr>
      </w:pPr>
      <w:r>
        <w:t>Jun</w:t>
      </w:r>
      <w:r w:rsidR="009234AC">
        <w:t>. 202</w:t>
      </w:r>
      <w:r w:rsidR="008B078C">
        <w:t>1</w:t>
      </w:r>
      <w:r w:rsidR="00D95919">
        <w:tab/>
      </w:r>
      <w:r w:rsidR="009234AC">
        <w:t>0.</w:t>
      </w:r>
      <w:r w:rsidR="00BD6F4E">
        <w:t>82</w:t>
      </w:r>
      <w:r w:rsidR="00BC22E6">
        <w:t>%</w:t>
      </w:r>
    </w:p>
    <w:p w14:paraId="680AB25B" w14:textId="77777777" w:rsidR="00E927BD" w:rsidRDefault="00E927BD" w:rsidP="00E927BD">
      <w:pPr>
        <w:pStyle w:val="ListParagraph"/>
      </w:pPr>
    </w:p>
    <w:p w14:paraId="1DD6F9A2" w14:textId="61CAD071" w:rsidR="00CA5139" w:rsidRDefault="005F0CCB" w:rsidP="00CA5139">
      <w:pPr>
        <w:pStyle w:val="ListParagraph"/>
        <w:numPr>
          <w:ilvl w:val="0"/>
          <w:numId w:val="4"/>
        </w:numPr>
      </w:pPr>
      <w:r w:rsidRPr="0013376D">
        <w:rPr>
          <w:b/>
          <w:bCs/>
        </w:rPr>
        <w:t>I</w:t>
      </w:r>
      <w:r w:rsidR="00056BAD" w:rsidRPr="0013376D">
        <w:rPr>
          <w:b/>
          <w:bCs/>
        </w:rPr>
        <w:t xml:space="preserve">ndex participants </w:t>
      </w:r>
      <w:r w:rsidR="00896537" w:rsidRPr="0013376D">
        <w:rPr>
          <w:b/>
          <w:bCs/>
        </w:rPr>
        <w:t xml:space="preserve">reported about </w:t>
      </w:r>
      <w:r w:rsidR="00056BAD" w:rsidRPr="0013376D">
        <w:rPr>
          <w:b/>
          <w:bCs/>
        </w:rPr>
        <w:t>$</w:t>
      </w:r>
      <w:r w:rsidR="00896537" w:rsidRPr="0013376D">
        <w:rPr>
          <w:b/>
          <w:bCs/>
        </w:rPr>
        <w:t>1</w:t>
      </w:r>
      <w:r w:rsidR="00056BAD" w:rsidRPr="0013376D">
        <w:rPr>
          <w:b/>
          <w:bCs/>
        </w:rPr>
        <w:t>.</w:t>
      </w:r>
      <w:r w:rsidR="00896537" w:rsidRPr="0013376D">
        <w:rPr>
          <w:b/>
          <w:bCs/>
        </w:rPr>
        <w:t>5</w:t>
      </w:r>
      <w:r w:rsidR="00056BAD" w:rsidRPr="0013376D">
        <w:rPr>
          <w:b/>
          <w:bCs/>
        </w:rPr>
        <w:t xml:space="preserve"> billion of</w:t>
      </w:r>
      <w:r w:rsidR="00CA0999" w:rsidRPr="0013376D">
        <w:rPr>
          <w:b/>
          <w:bCs/>
        </w:rPr>
        <w:t xml:space="preserve"> </w:t>
      </w:r>
      <w:r w:rsidR="00B4658F" w:rsidRPr="0013376D">
        <w:rPr>
          <w:b/>
          <w:bCs/>
        </w:rPr>
        <w:t>new l</w:t>
      </w:r>
      <w:r w:rsidR="0013376D" w:rsidRPr="0013376D">
        <w:rPr>
          <w:b/>
          <w:bCs/>
        </w:rPr>
        <w:t xml:space="preserve">oans, based on anticipated balances when the loans are fully funded. </w:t>
      </w:r>
      <w:r w:rsidR="00C778BF" w:rsidRPr="00CA5139">
        <w:t>New index participants</w:t>
      </w:r>
      <w:r w:rsidR="00075FE8" w:rsidRPr="00CA5139">
        <w:t xml:space="preserve"> contributed data on about $225 million of seasoned loans</w:t>
      </w:r>
      <w:r w:rsidR="00CA5139" w:rsidRPr="00CA5139">
        <w:t>, mostly mezzanine positions.</w:t>
      </w:r>
    </w:p>
    <w:p w14:paraId="3CAB57D7" w14:textId="77777777" w:rsidR="00CA5139" w:rsidRPr="00CA5139" w:rsidRDefault="00CA5139" w:rsidP="00396854">
      <w:pPr>
        <w:pStyle w:val="ListParagraph"/>
      </w:pPr>
    </w:p>
    <w:p w14:paraId="45B1FA83" w14:textId="6C82677C" w:rsidR="00F24485" w:rsidRDefault="00C36F6B" w:rsidP="00F61ADA">
      <w:pPr>
        <w:pStyle w:val="ListParagraph"/>
        <w:numPr>
          <w:ilvl w:val="0"/>
          <w:numId w:val="4"/>
        </w:numPr>
      </w:pPr>
      <w:r w:rsidRPr="00510A27">
        <w:rPr>
          <w:b/>
          <w:bCs/>
        </w:rPr>
        <w:t>Cred</w:t>
      </w:r>
      <w:r w:rsidR="00EC4E01" w:rsidRPr="00510A27">
        <w:rPr>
          <w:b/>
          <w:bCs/>
        </w:rPr>
        <w:t>it e</w:t>
      </w:r>
      <w:r w:rsidR="002F055F" w:rsidRPr="00510A27">
        <w:rPr>
          <w:b/>
          <w:bCs/>
        </w:rPr>
        <w:t>vent</w:t>
      </w:r>
      <w:r w:rsidR="00723FA3" w:rsidRPr="00510A27">
        <w:rPr>
          <w:b/>
          <w:bCs/>
        </w:rPr>
        <w:t xml:space="preserve"> incidence </w:t>
      </w:r>
      <w:r w:rsidR="003C6EE0">
        <w:rPr>
          <w:b/>
          <w:bCs/>
        </w:rPr>
        <w:t>declined</w:t>
      </w:r>
      <w:r w:rsidR="00DE3055" w:rsidRPr="00510A27">
        <w:rPr>
          <w:b/>
          <w:bCs/>
        </w:rPr>
        <w:t xml:space="preserve"> during the quarter.</w:t>
      </w:r>
      <w:r w:rsidR="00C921ED" w:rsidRPr="00510A27">
        <w:rPr>
          <w:b/>
          <w:bCs/>
        </w:rPr>
        <w:t xml:space="preserve"> </w:t>
      </w:r>
    </w:p>
    <w:p w14:paraId="4A42679E" w14:textId="77777777" w:rsidR="00510A27" w:rsidRDefault="00510A27" w:rsidP="00510A27">
      <w:pPr>
        <w:pStyle w:val="ListParagraph"/>
      </w:pPr>
    </w:p>
    <w:p w14:paraId="18D1FDFD" w14:textId="61DD5EE6" w:rsidR="00510A27" w:rsidRDefault="002F055F" w:rsidP="00510A27">
      <w:pPr>
        <w:pStyle w:val="ListParagraph"/>
      </w:pPr>
      <w:r>
        <w:t>W</w:t>
      </w:r>
      <w:r w:rsidR="00C95EA0">
        <w:t xml:space="preserve">e measure </w:t>
      </w:r>
      <w:r w:rsidR="006C4D42">
        <w:t xml:space="preserve">credit event </w:t>
      </w:r>
      <w:r w:rsidR="00956D34">
        <w:t>incidence using unpaid principal balance</w:t>
      </w:r>
      <w:r w:rsidR="00BC11D4">
        <w:t xml:space="preserve"> </w:t>
      </w:r>
      <w:r w:rsidR="00C86BF3">
        <w:t>(</w:t>
      </w:r>
      <w:r w:rsidR="00BC11D4">
        <w:t>UPB)</w:t>
      </w:r>
      <w:r w:rsidR="00803AA8">
        <w:t xml:space="preserve">. Percentage incidence is the </w:t>
      </w:r>
      <w:r w:rsidR="00BC11D4">
        <w:t xml:space="preserve">sum of UPB </w:t>
      </w:r>
      <w:r w:rsidR="0085220A">
        <w:t>for a particulate event type divided by the total UPB reported for the index</w:t>
      </w:r>
      <w:r w:rsidR="006717AC">
        <w:t xml:space="preserve"> (see Table </w:t>
      </w:r>
      <w:r w:rsidR="003A7019">
        <w:t>1</w:t>
      </w:r>
      <w:r w:rsidR="006717AC">
        <w:t>)</w:t>
      </w:r>
      <w:r w:rsidR="0085220A">
        <w:t xml:space="preserve">. </w:t>
      </w:r>
      <w:r w:rsidR="00510A27">
        <w:t xml:space="preserve">Loans that receive interest deferrals or are in forbearance are not </w:t>
      </w:r>
      <w:r w:rsidR="00751BED">
        <w:t>counted as</w:t>
      </w:r>
      <w:r w:rsidR="00510A27">
        <w:t xml:space="preserve"> delinquent. </w:t>
      </w:r>
    </w:p>
    <w:p w14:paraId="117E953B" w14:textId="402FB2CE" w:rsidR="00510A27" w:rsidRDefault="00510A27" w:rsidP="00510A27">
      <w:pPr>
        <w:pStyle w:val="ListParagraph"/>
      </w:pPr>
    </w:p>
    <w:p w14:paraId="318F53AD" w14:textId="3FA27752" w:rsidR="00C94A89" w:rsidRDefault="008446CC" w:rsidP="001C4D28">
      <w:pPr>
        <w:pStyle w:val="ListParagraph"/>
      </w:pPr>
      <w:r>
        <w:t xml:space="preserve">Incidence measures for </w:t>
      </w:r>
      <w:r w:rsidR="00CB3A81">
        <w:t>2</w:t>
      </w:r>
      <w:r>
        <w:t xml:space="preserve">Q </w:t>
      </w:r>
      <w:r w:rsidR="00EE32A7">
        <w:t xml:space="preserve">2021 reflect a </w:t>
      </w:r>
      <w:r w:rsidR="00D05AC9">
        <w:t>somewhat</w:t>
      </w:r>
      <w:r w:rsidR="00EE32A7">
        <w:t xml:space="preserve"> larger exposure base</w:t>
      </w:r>
      <w:r w:rsidR="00F92B1A">
        <w:t xml:space="preserve"> due to </w:t>
      </w:r>
      <w:r w:rsidR="0042783F">
        <w:t xml:space="preserve">the addition of </w:t>
      </w:r>
      <w:r w:rsidR="00C8065E">
        <w:t xml:space="preserve">loans from new participants. As a result, </w:t>
      </w:r>
      <w:r w:rsidR="00E060E9">
        <w:t xml:space="preserve">starting incidence for </w:t>
      </w:r>
      <w:r w:rsidR="00D05AC9">
        <w:t>2</w:t>
      </w:r>
      <w:r w:rsidR="00C8065E">
        <w:t>Q 2021</w:t>
      </w:r>
      <w:r w:rsidR="00B97727">
        <w:t xml:space="preserve"> (on April 1, 2021)</w:t>
      </w:r>
      <w:r w:rsidR="00C8065E">
        <w:t xml:space="preserve"> is not </w:t>
      </w:r>
      <w:r w:rsidR="00E060E9">
        <w:t xml:space="preserve">identical </w:t>
      </w:r>
      <w:r w:rsidR="0050244F">
        <w:t>to</w:t>
      </w:r>
      <w:r>
        <w:t xml:space="preserve"> </w:t>
      </w:r>
      <w:r w:rsidR="00D05AC9">
        <w:t>what was repo</w:t>
      </w:r>
      <w:r w:rsidR="00B97727">
        <w:t xml:space="preserve">rted </w:t>
      </w:r>
      <w:r w:rsidR="0042783F">
        <w:t xml:space="preserve">previously </w:t>
      </w:r>
      <w:r w:rsidR="00B97727">
        <w:t>for March 31,</w:t>
      </w:r>
      <w:r w:rsidR="00981FFB">
        <w:t xml:space="preserve"> 202</w:t>
      </w:r>
      <w:r w:rsidR="00E45EDB">
        <w:t>1</w:t>
      </w:r>
      <w:r w:rsidR="00981FFB">
        <w:t xml:space="preserve">. </w:t>
      </w:r>
    </w:p>
    <w:p w14:paraId="6B347E7B" w14:textId="57E517D0" w:rsidR="006717AC" w:rsidRDefault="006717AC" w:rsidP="001C4D28">
      <w:pPr>
        <w:pStyle w:val="ListParagraph"/>
      </w:pPr>
    </w:p>
    <w:p w14:paraId="0ACF6C65" w14:textId="23F64B33" w:rsidR="006717AC" w:rsidRPr="00D47F2E" w:rsidRDefault="006717AC" w:rsidP="001C4D28">
      <w:pPr>
        <w:pStyle w:val="ListParagraph"/>
      </w:pPr>
      <w:r w:rsidRPr="00D47F2E">
        <w:t xml:space="preserve">Table </w:t>
      </w:r>
      <w:r w:rsidR="003A7019" w:rsidRPr="00D47F2E">
        <w:t>1</w:t>
      </w:r>
      <w:r w:rsidRPr="00D47F2E">
        <w:t>. G-L 2 Credit Event Incidence</w:t>
      </w:r>
      <w:r w:rsidR="00FB4DE1" w:rsidRPr="00D47F2E">
        <w:t xml:space="preserve"> </w:t>
      </w:r>
      <w:r w:rsidR="00320B39">
        <w:t>2</w:t>
      </w:r>
      <w:r w:rsidR="00FB4DE1" w:rsidRPr="00D47F2E">
        <w:t>Q 202</w:t>
      </w:r>
      <w:r w:rsidR="008D5309" w:rsidRPr="00D47F2E">
        <w:t>1</w:t>
      </w:r>
    </w:p>
    <w:tbl>
      <w:tblPr>
        <w:tblW w:w="6200" w:type="dxa"/>
        <w:tblInd w:w="764" w:type="dxa"/>
        <w:tblLook w:val="04A0" w:firstRow="1" w:lastRow="0" w:firstColumn="1" w:lastColumn="0" w:noHBand="0" w:noVBand="1"/>
      </w:tblPr>
      <w:tblGrid>
        <w:gridCol w:w="3280"/>
        <w:gridCol w:w="1372"/>
        <w:gridCol w:w="1548"/>
      </w:tblGrid>
      <w:tr w:rsidR="004D2651" w:rsidRPr="004D2651" w14:paraId="5548FCF3" w14:textId="77777777" w:rsidTr="004D2651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7B0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EF5A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651">
              <w:rPr>
                <w:rFonts w:ascii="Calibri" w:eastAsia="Times New Roman" w:hAnsi="Calibri" w:cs="Calibri"/>
                <w:b/>
                <w:bCs/>
                <w:color w:val="000000"/>
              </w:rPr>
              <w:t>Incidence (% of UPB)</w:t>
            </w:r>
          </w:p>
        </w:tc>
      </w:tr>
      <w:tr w:rsidR="004D2651" w:rsidRPr="004D2651" w14:paraId="169685BD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B63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17F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AAC8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651" w:rsidRPr="004D2651" w14:paraId="449CE7B0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74A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B21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4/1/2021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223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6/30/2021</w:t>
            </w:r>
          </w:p>
        </w:tc>
      </w:tr>
      <w:tr w:rsidR="004D2651" w:rsidRPr="004D2651" w14:paraId="71B37A1F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602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651">
              <w:rPr>
                <w:rFonts w:ascii="Calibri" w:eastAsia="Times New Roman" w:hAnsi="Calibri" w:cs="Calibri"/>
                <w:b/>
                <w:bCs/>
                <w:color w:val="000000"/>
              </w:rPr>
              <w:t>Loan Status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A38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AF8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651" w:rsidRPr="004D2651" w14:paraId="2F060157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52F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Interest Deferral or Forbearance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188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0.72%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6DB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0.53%</w:t>
            </w:r>
          </w:p>
        </w:tc>
      </w:tr>
      <w:tr w:rsidR="004D2651" w:rsidRPr="004D2651" w14:paraId="19E62216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205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Delinquent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845E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0.63%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016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0.59%</w:t>
            </w:r>
          </w:p>
        </w:tc>
      </w:tr>
      <w:tr w:rsidR="004D2651" w:rsidRPr="004D2651" w14:paraId="3027D44B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485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In Default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394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0.35%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6A0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0.36%</w:t>
            </w:r>
          </w:p>
        </w:tc>
      </w:tr>
      <w:tr w:rsidR="004D2651" w:rsidRPr="004D2651" w14:paraId="24DE2B3C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59F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161A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D21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651" w:rsidRPr="004D2651" w14:paraId="3660271B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5404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All Credit Events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18A3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1.70%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F05F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1.48%</w:t>
            </w:r>
          </w:p>
        </w:tc>
      </w:tr>
      <w:tr w:rsidR="004D2651" w:rsidRPr="004D2651" w14:paraId="5D7D234D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124C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Delinquent and Defaulted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F22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0.99%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6CD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0.95%</w:t>
            </w:r>
          </w:p>
        </w:tc>
      </w:tr>
      <w:tr w:rsidR="004D2651" w:rsidRPr="004D2651" w14:paraId="0E8341D1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327E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65D" w14:textId="77777777" w:rsidR="004D2651" w:rsidRPr="004D2651" w:rsidRDefault="004D2651" w:rsidP="004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DFA3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651" w:rsidRPr="004D2651" w14:paraId="77582791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9AFB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7E5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2651">
              <w:rPr>
                <w:rFonts w:ascii="Calibri" w:eastAsia="Times New Roman" w:hAnsi="Calibri" w:cs="Calibri"/>
                <w:b/>
                <w:bCs/>
                <w:color w:val="000000"/>
              </w:rPr>
              <w:t>Average Days Delinquent</w:t>
            </w:r>
          </w:p>
        </w:tc>
      </w:tr>
      <w:tr w:rsidR="004D2651" w:rsidRPr="004D2651" w14:paraId="0119AEE8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B8B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Delinquent Loans Only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C54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27F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4D2651" w:rsidRPr="004D2651" w14:paraId="63B6767B" w14:textId="77777777" w:rsidTr="004D2651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9AC" w14:textId="77777777" w:rsidR="004D2651" w:rsidRPr="004D2651" w:rsidRDefault="004D2651" w:rsidP="004D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Delinquent and Defaulted Loans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416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DFE" w14:textId="77777777" w:rsidR="004D2651" w:rsidRPr="004D2651" w:rsidRDefault="004D2651" w:rsidP="004D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51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</w:tr>
    </w:tbl>
    <w:p w14:paraId="73F30C1D" w14:textId="37F7D546" w:rsidR="008119D1" w:rsidRPr="00D667FB" w:rsidRDefault="008119D1" w:rsidP="001C4D28">
      <w:pPr>
        <w:pStyle w:val="ListParagraph"/>
        <w:rPr>
          <w:sz w:val="20"/>
          <w:szCs w:val="20"/>
        </w:rPr>
      </w:pPr>
    </w:p>
    <w:p w14:paraId="332BAA18" w14:textId="78078253" w:rsidR="000E6A32" w:rsidRPr="00D667FB" w:rsidRDefault="0022318F" w:rsidP="000E6A3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E6A32" w:rsidRPr="00D667FB">
        <w:rPr>
          <w:sz w:val="20"/>
          <w:szCs w:val="20"/>
        </w:rPr>
        <w:t>UPB Unpaid Principal Balance</w:t>
      </w:r>
    </w:p>
    <w:p w14:paraId="5C653EEB" w14:textId="77777777" w:rsidR="000E6A32" w:rsidRDefault="000E6A32" w:rsidP="001C4D28">
      <w:pPr>
        <w:pStyle w:val="ListParagraph"/>
        <w:rPr>
          <w:sz w:val="20"/>
          <w:szCs w:val="20"/>
        </w:rPr>
      </w:pPr>
    </w:p>
    <w:p w14:paraId="7B963174" w14:textId="54D9585B" w:rsidR="00E717C9" w:rsidRDefault="00E717C9" w:rsidP="001C4D28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311F8469" w14:textId="127B3CA6" w:rsidR="001D3FB5" w:rsidRDefault="001D3FB5" w:rsidP="001C4D28">
      <w:pPr>
        <w:pStyle w:val="ListParagraph"/>
        <w:rPr>
          <w:sz w:val="20"/>
          <w:szCs w:val="20"/>
        </w:rPr>
      </w:pPr>
    </w:p>
    <w:p w14:paraId="68728CFD" w14:textId="2BAEA70D" w:rsidR="009A12A9" w:rsidRPr="005977B8" w:rsidRDefault="00CD42EE" w:rsidP="001C4D28">
      <w:pPr>
        <w:pStyle w:val="ListParagraph"/>
      </w:pPr>
      <w:r>
        <w:t xml:space="preserve">Chart 1 provides an update on </w:t>
      </w:r>
      <w:r w:rsidR="00B43C56">
        <w:t>credit events within the index.</w:t>
      </w:r>
      <w:r w:rsidR="004F38BD">
        <w:t xml:space="preserve"> </w:t>
      </w:r>
      <w:r w:rsidR="000977A8">
        <w:t>N</w:t>
      </w:r>
      <w:r w:rsidR="00613438">
        <w:t>ew events reflect data from new participants</w:t>
      </w:r>
      <w:r w:rsidR="00C6765C">
        <w:t>, not increased incidence in the prior exposure base.</w:t>
      </w:r>
    </w:p>
    <w:p w14:paraId="381BD843" w14:textId="77777777" w:rsidR="00D46AAD" w:rsidRDefault="00D46AAD" w:rsidP="001C4D28">
      <w:pPr>
        <w:pStyle w:val="ListParagraph"/>
        <w:rPr>
          <w:sz w:val="20"/>
          <w:szCs w:val="20"/>
        </w:rPr>
      </w:pPr>
    </w:p>
    <w:p w14:paraId="015EC2D5" w14:textId="34220D25" w:rsidR="001D3FB5" w:rsidRPr="005977B8" w:rsidRDefault="001D3FB5" w:rsidP="001C4D28">
      <w:pPr>
        <w:pStyle w:val="ListParagraph"/>
      </w:pPr>
      <w:r w:rsidRPr="005977B8">
        <w:t xml:space="preserve">Chart 1. </w:t>
      </w:r>
      <w:r w:rsidR="009C787F">
        <w:t xml:space="preserve">G-L 2 </w:t>
      </w:r>
      <w:r w:rsidR="00D46AAD" w:rsidRPr="005977B8">
        <w:t>Credit Event Tracker</w:t>
      </w:r>
    </w:p>
    <w:tbl>
      <w:tblPr>
        <w:tblW w:w="5520" w:type="dxa"/>
        <w:tblInd w:w="776" w:type="dxa"/>
        <w:tblLook w:val="04A0" w:firstRow="1" w:lastRow="0" w:firstColumn="1" w:lastColumn="0" w:noHBand="0" w:noVBand="1"/>
      </w:tblPr>
      <w:tblGrid>
        <w:gridCol w:w="1520"/>
        <w:gridCol w:w="1000"/>
        <w:gridCol w:w="1000"/>
        <w:gridCol w:w="1000"/>
        <w:gridCol w:w="1000"/>
      </w:tblGrid>
      <w:tr w:rsidR="00580113" w:rsidRPr="00580113" w14:paraId="50C7F9A4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4C7" w14:textId="77777777" w:rsidR="00580113" w:rsidRPr="00580113" w:rsidRDefault="00580113" w:rsidP="0058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8779" w14:textId="77777777" w:rsidR="00580113" w:rsidRPr="00580113" w:rsidRDefault="00580113" w:rsidP="00580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Mar-21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8D1" w14:textId="77777777" w:rsidR="00580113" w:rsidRPr="00580113" w:rsidRDefault="00580113" w:rsidP="00580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Apr-21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712" w14:textId="77777777" w:rsidR="00580113" w:rsidRPr="00580113" w:rsidRDefault="00580113" w:rsidP="00580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May-21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968" w14:textId="77777777" w:rsidR="00580113" w:rsidRPr="00580113" w:rsidRDefault="00580113" w:rsidP="00580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Jun-21</w:t>
            </w:r>
          </w:p>
        </w:tc>
      </w:tr>
      <w:tr w:rsidR="00580113" w:rsidRPr="00580113" w14:paraId="07246620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0C5" w14:textId="77777777" w:rsidR="00580113" w:rsidRPr="00580113" w:rsidRDefault="00580113" w:rsidP="0058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7BB763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37384B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775B3C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F3B2F0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0113" w:rsidRPr="00580113" w14:paraId="5D5E50E9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14D" w14:textId="77777777" w:rsidR="00580113" w:rsidRPr="00580113" w:rsidRDefault="00580113" w:rsidP="0058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C8E8E1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9AB22B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B1D876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CA1397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0113" w:rsidRPr="00580113" w14:paraId="60BD1007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84F" w14:textId="77777777" w:rsidR="00580113" w:rsidRPr="00580113" w:rsidRDefault="00580113" w:rsidP="0058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3410420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4806A8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6343C5D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FC93C0" w14:textId="77777777" w:rsidR="00580113" w:rsidRPr="00580113" w:rsidRDefault="00580113" w:rsidP="0058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64D9C43C" w14:textId="77777777" w:rsidTr="00FC47C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03B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D52A7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08CE1A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D7719F" w14:textId="3746959A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2EA0C0" w14:textId="7A2842CF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0F5F" w:rsidRPr="00580113" w14:paraId="1D3AF792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D83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F51AA7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60C5E1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383A2DB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0B6BF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7B96EC0A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F06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A251DA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2B0EF4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E9A306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E4BC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Paid Off</w:t>
            </w:r>
          </w:p>
        </w:tc>
      </w:tr>
      <w:tr w:rsidR="00070F5F" w:rsidRPr="00580113" w14:paraId="06C967B6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3A0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1450B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26A65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895C1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06110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4C7C1A90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CDF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A3DA36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F7258E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688D8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0B59AE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66A97A30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28C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705B4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D292F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5E1AD9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38EB59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49DF984B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0DF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9A109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23AEAF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1564E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8A2F0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0F5F" w:rsidRPr="00580113" w14:paraId="59FFC551" w14:textId="77777777" w:rsidTr="0021504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D8C" w14:textId="77777777" w:rsidR="00070F5F" w:rsidRPr="00580113" w:rsidRDefault="00070F5F" w:rsidP="0007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01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Retail #1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B97B5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7B80C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C6E2B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EB17E0" w14:textId="77777777" w:rsidR="00070F5F" w:rsidRPr="00580113" w:rsidRDefault="00070F5F" w:rsidP="00070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38CBE77" w14:textId="300E215A" w:rsidR="00E717C9" w:rsidRDefault="00E717C9" w:rsidP="001C4D28">
      <w:pPr>
        <w:pStyle w:val="ListParagraph"/>
        <w:rPr>
          <w:sz w:val="20"/>
          <w:szCs w:val="20"/>
        </w:rPr>
      </w:pPr>
    </w:p>
    <w:tbl>
      <w:tblPr>
        <w:tblW w:w="2016" w:type="dxa"/>
        <w:tblInd w:w="1008" w:type="dxa"/>
        <w:tblLook w:val="04A0" w:firstRow="1" w:lastRow="0" w:firstColumn="1" w:lastColumn="0" w:noHBand="0" w:noVBand="1"/>
      </w:tblPr>
      <w:tblGrid>
        <w:gridCol w:w="620"/>
        <w:gridCol w:w="280"/>
        <w:gridCol w:w="1960"/>
      </w:tblGrid>
      <w:tr w:rsidR="004C76F7" w:rsidRPr="004C76F7" w14:paraId="7266330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36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AD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F4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Legend</w:t>
            </w:r>
          </w:p>
        </w:tc>
      </w:tr>
      <w:tr w:rsidR="004C76F7" w:rsidRPr="004C76F7" w14:paraId="4218907E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C1312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85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1F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Performing</w:t>
            </w:r>
          </w:p>
        </w:tc>
      </w:tr>
      <w:tr w:rsidR="004C76F7" w:rsidRPr="004C76F7" w14:paraId="5BBC1B40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C10A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F0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AD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Deferral</w:t>
            </w:r>
          </w:p>
        </w:tc>
      </w:tr>
      <w:tr w:rsidR="004C76F7" w:rsidRPr="004C76F7" w14:paraId="51FCD622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E529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15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4E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Delinquent</w:t>
            </w:r>
          </w:p>
        </w:tc>
      </w:tr>
      <w:tr w:rsidR="004C76F7" w:rsidRPr="004C76F7" w14:paraId="7165402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AFAE9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C30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0B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Forbearance</w:t>
            </w:r>
          </w:p>
        </w:tc>
      </w:tr>
      <w:tr w:rsidR="004C76F7" w:rsidRPr="004C76F7" w14:paraId="669C3DD6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B9CD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19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106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Default</w:t>
            </w:r>
          </w:p>
        </w:tc>
      </w:tr>
      <w:tr w:rsidR="004C76F7" w:rsidRPr="004C76F7" w14:paraId="2B11CE9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2FD21E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2C9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6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Terminated</w:t>
            </w:r>
          </w:p>
        </w:tc>
      </w:tr>
    </w:tbl>
    <w:p w14:paraId="7D7E0692" w14:textId="77777777" w:rsidR="001330CD" w:rsidRDefault="001330CD" w:rsidP="003F5C09">
      <w:pPr>
        <w:ind w:left="720"/>
        <w:rPr>
          <w:sz w:val="20"/>
          <w:szCs w:val="20"/>
        </w:rPr>
      </w:pPr>
    </w:p>
    <w:p w14:paraId="32BAEC83" w14:textId="27576203" w:rsidR="00320CD8" w:rsidRDefault="009C787F" w:rsidP="003F5C09">
      <w:pPr>
        <w:ind w:left="720"/>
        <w:rPr>
          <w:sz w:val="20"/>
          <w:szCs w:val="20"/>
        </w:rPr>
      </w:pPr>
      <w:r w:rsidRPr="00AB0983">
        <w:rPr>
          <w:sz w:val="20"/>
          <w:szCs w:val="20"/>
        </w:rPr>
        <w:t>Source: Giliberto-Levy</w:t>
      </w:r>
    </w:p>
    <w:p w14:paraId="5E57D325" w14:textId="6A4C2C46" w:rsidR="00B43C56" w:rsidRDefault="00B43C56" w:rsidP="003F5C09">
      <w:pPr>
        <w:ind w:left="720"/>
        <w:rPr>
          <w:sz w:val="20"/>
          <w:szCs w:val="20"/>
        </w:rPr>
      </w:pPr>
    </w:p>
    <w:p w14:paraId="074B609C" w14:textId="17A2D12D" w:rsidR="00B43C56" w:rsidRPr="001D5D09" w:rsidRDefault="00B00AE0" w:rsidP="003F5C09">
      <w:pPr>
        <w:ind w:left="720"/>
      </w:pPr>
      <w:r w:rsidRPr="001D5D09">
        <w:t>Unsurprisingly, the greatest stress continues to be in the lodging sector</w:t>
      </w:r>
      <w:r w:rsidR="00A86185" w:rsidRPr="001D5D09">
        <w:t>. However, some hopeful s</w:t>
      </w:r>
      <w:r w:rsidR="00232939" w:rsidRPr="001D5D09">
        <w:t xml:space="preserve">igns emerged. </w:t>
      </w:r>
      <w:r w:rsidR="009863BB" w:rsidRPr="001D5D09">
        <w:t>Two loans that had been in forbearance o</w:t>
      </w:r>
      <w:r w:rsidR="0064063F" w:rsidRPr="001D5D09">
        <w:t>r</w:t>
      </w:r>
      <w:r w:rsidR="009863BB" w:rsidRPr="001D5D09">
        <w:t xml:space="preserve"> interest deferral paid </w:t>
      </w:r>
      <w:r w:rsidR="0064063F" w:rsidRPr="001D5D09">
        <w:t xml:space="preserve">all </w:t>
      </w:r>
      <w:r w:rsidR="009863BB" w:rsidRPr="001D5D09">
        <w:t>or most</w:t>
      </w:r>
      <w:r w:rsidR="006B4263">
        <w:t xml:space="preserve"> </w:t>
      </w:r>
      <w:r w:rsidR="0084122B" w:rsidRPr="001D5D09">
        <w:t xml:space="preserve">previously capitalized interest and resumed </w:t>
      </w:r>
      <w:r w:rsidR="0064063F" w:rsidRPr="001D5D09">
        <w:t>cash interest</w:t>
      </w:r>
      <w:r w:rsidR="0084122B" w:rsidRPr="001D5D09">
        <w:t xml:space="preserve"> payments. One of these repaid in full at par before quarter end.</w:t>
      </w:r>
      <w:r w:rsidR="00E245F8" w:rsidRPr="001D5D09">
        <w:t xml:space="preserve"> </w:t>
      </w:r>
      <w:r w:rsidR="006B4263">
        <w:t>T</w:t>
      </w:r>
      <w:r w:rsidR="00E245F8" w:rsidRPr="001D5D09">
        <w:t xml:space="preserve">hat said, one hotel asset shifted from delinquent to in default as the lender envisions </w:t>
      </w:r>
      <w:r w:rsidR="00542749" w:rsidRPr="001D5D09">
        <w:t>little chance of recovery of principal</w:t>
      </w:r>
      <w:r w:rsidR="00665D29">
        <w:t xml:space="preserve"> on a subordinate position.</w:t>
      </w:r>
    </w:p>
    <w:p w14:paraId="44656C03" w14:textId="0A42A193" w:rsidR="007B3C43" w:rsidRDefault="006D1DBB" w:rsidP="003F5C09">
      <w:pPr>
        <w:ind w:left="720"/>
      </w:pPr>
      <w:r w:rsidRPr="001D5D09">
        <w:t>In a</w:t>
      </w:r>
      <w:r w:rsidR="007B3C43" w:rsidRPr="001D5D09">
        <w:t xml:space="preserve"> further indication of market improvement</w:t>
      </w:r>
      <w:r w:rsidRPr="001D5D09">
        <w:t xml:space="preserve">, two </w:t>
      </w:r>
      <w:r w:rsidR="00272F7F">
        <w:t>non-lodging</w:t>
      </w:r>
      <w:r w:rsidRPr="001D5D09">
        <w:t xml:space="preserve"> loans</w:t>
      </w:r>
      <w:r w:rsidR="00010432" w:rsidRPr="001D5D09">
        <w:t xml:space="preserve"> that were delinquent at the beginning of the quarter</w:t>
      </w:r>
      <w:r w:rsidR="00A45720" w:rsidRPr="001D5D09">
        <w:t xml:space="preserve"> returned to performing status</w:t>
      </w:r>
      <w:r w:rsidR="00E63E76" w:rsidRPr="001D5D09">
        <w:t>. Both loans repaid</w:t>
      </w:r>
      <w:r w:rsidR="001E7834" w:rsidRPr="001D5D09">
        <w:t xml:space="preserve"> a portion of previously capitalized interest</w:t>
      </w:r>
      <w:r w:rsidR="001E0E6B" w:rsidRPr="001D5D09">
        <w:t xml:space="preserve"> and resumed cash payments.</w:t>
      </w:r>
    </w:p>
    <w:p w14:paraId="70C825A0" w14:textId="70584B91" w:rsidR="007928A4" w:rsidRDefault="005E7D4B" w:rsidP="00105099">
      <w:pPr>
        <w:ind w:left="720"/>
      </w:pPr>
      <w:r>
        <w:t>The average mark on loans with credit events was 54% of par as of June 30, 2021</w:t>
      </w:r>
      <w:r w:rsidR="00367E02">
        <w:t xml:space="preserve">, ranging from below 10% to </w:t>
      </w:r>
      <w:r w:rsidR="00105099">
        <w:t>99%.</w:t>
      </w:r>
    </w:p>
    <w:sectPr w:rsidR="007928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9BD6" w14:textId="77777777" w:rsidR="009A5F54" w:rsidRDefault="009A5F54" w:rsidP="0021702F">
      <w:pPr>
        <w:spacing w:after="0" w:line="240" w:lineRule="auto"/>
      </w:pPr>
      <w:r>
        <w:separator/>
      </w:r>
    </w:p>
  </w:endnote>
  <w:endnote w:type="continuationSeparator" w:id="0">
    <w:p w14:paraId="65BF3CDC" w14:textId="77777777" w:rsidR="009A5F54" w:rsidRDefault="009A5F54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09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C20" w14:textId="6B4B17CC" w:rsidR="00BD4182" w:rsidRDefault="00BD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13DB" w14:textId="77777777" w:rsidR="009A5F54" w:rsidRDefault="009A5F54" w:rsidP="0021702F">
      <w:pPr>
        <w:spacing w:after="0" w:line="240" w:lineRule="auto"/>
      </w:pPr>
      <w:r>
        <w:separator/>
      </w:r>
    </w:p>
  </w:footnote>
  <w:footnote w:type="continuationSeparator" w:id="0">
    <w:p w14:paraId="45866C3A" w14:textId="77777777" w:rsidR="009A5F54" w:rsidRDefault="009A5F54" w:rsidP="0021702F">
      <w:pPr>
        <w:spacing w:after="0" w:line="240" w:lineRule="auto"/>
      </w:pPr>
      <w:r>
        <w:continuationSeparator/>
      </w:r>
    </w:p>
  </w:footnote>
  <w:footnote w:id="1">
    <w:p w14:paraId="412A7E7E" w14:textId="1DFAC0A5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42D7F">
        <w:t>Reported components may not sum to reported totals due to rounding.</w:t>
      </w:r>
      <w:r w:rsidR="006B254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D57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3481"/>
    <w:rsid w:val="000055DC"/>
    <w:rsid w:val="00005F03"/>
    <w:rsid w:val="000062F3"/>
    <w:rsid w:val="00010432"/>
    <w:rsid w:val="00014B4D"/>
    <w:rsid w:val="00022ABC"/>
    <w:rsid w:val="00025001"/>
    <w:rsid w:val="00026EC8"/>
    <w:rsid w:val="00035C63"/>
    <w:rsid w:val="00036C74"/>
    <w:rsid w:val="00037B43"/>
    <w:rsid w:val="00041BFD"/>
    <w:rsid w:val="000446B1"/>
    <w:rsid w:val="0005004F"/>
    <w:rsid w:val="000552BB"/>
    <w:rsid w:val="00056500"/>
    <w:rsid w:val="00056BAD"/>
    <w:rsid w:val="000636A6"/>
    <w:rsid w:val="00064978"/>
    <w:rsid w:val="000661D8"/>
    <w:rsid w:val="0007012C"/>
    <w:rsid w:val="00070F5F"/>
    <w:rsid w:val="0007214A"/>
    <w:rsid w:val="00075335"/>
    <w:rsid w:val="00075FE8"/>
    <w:rsid w:val="00076D79"/>
    <w:rsid w:val="000905A3"/>
    <w:rsid w:val="00093CF1"/>
    <w:rsid w:val="00094A0E"/>
    <w:rsid w:val="000977A8"/>
    <w:rsid w:val="000A1CB1"/>
    <w:rsid w:val="000A5C81"/>
    <w:rsid w:val="000A64C6"/>
    <w:rsid w:val="000A7D19"/>
    <w:rsid w:val="000B3666"/>
    <w:rsid w:val="000B3E10"/>
    <w:rsid w:val="000B4059"/>
    <w:rsid w:val="000B6CEE"/>
    <w:rsid w:val="000C42B9"/>
    <w:rsid w:val="000C581D"/>
    <w:rsid w:val="000D01E9"/>
    <w:rsid w:val="000D247D"/>
    <w:rsid w:val="000D33E4"/>
    <w:rsid w:val="000D505B"/>
    <w:rsid w:val="000D6176"/>
    <w:rsid w:val="000E12A5"/>
    <w:rsid w:val="000E2B62"/>
    <w:rsid w:val="000E6A32"/>
    <w:rsid w:val="000E7F49"/>
    <w:rsid w:val="000F35D8"/>
    <w:rsid w:val="000F3C0B"/>
    <w:rsid w:val="000F536E"/>
    <w:rsid w:val="000F66E3"/>
    <w:rsid w:val="000F6B4E"/>
    <w:rsid w:val="00105099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311A5"/>
    <w:rsid w:val="00132D00"/>
    <w:rsid w:val="001330CD"/>
    <w:rsid w:val="00133404"/>
    <w:rsid w:val="0013376D"/>
    <w:rsid w:val="00134CCB"/>
    <w:rsid w:val="0014090D"/>
    <w:rsid w:val="00140A34"/>
    <w:rsid w:val="001463DF"/>
    <w:rsid w:val="00147001"/>
    <w:rsid w:val="0014716D"/>
    <w:rsid w:val="001571E6"/>
    <w:rsid w:val="00157B5B"/>
    <w:rsid w:val="00160FCE"/>
    <w:rsid w:val="001611A6"/>
    <w:rsid w:val="00161AC3"/>
    <w:rsid w:val="001644F1"/>
    <w:rsid w:val="00164613"/>
    <w:rsid w:val="00164AF9"/>
    <w:rsid w:val="00167FF7"/>
    <w:rsid w:val="001760FF"/>
    <w:rsid w:val="0017688D"/>
    <w:rsid w:val="001850F5"/>
    <w:rsid w:val="00185B10"/>
    <w:rsid w:val="00185ED8"/>
    <w:rsid w:val="001934DB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363B"/>
    <w:rsid w:val="001C4D28"/>
    <w:rsid w:val="001C5626"/>
    <w:rsid w:val="001D2CB2"/>
    <w:rsid w:val="001D3B6C"/>
    <w:rsid w:val="001D3FB5"/>
    <w:rsid w:val="001D5D09"/>
    <w:rsid w:val="001D7828"/>
    <w:rsid w:val="001E0E6B"/>
    <w:rsid w:val="001E2DFA"/>
    <w:rsid w:val="001E712E"/>
    <w:rsid w:val="001E7834"/>
    <w:rsid w:val="001E7D30"/>
    <w:rsid w:val="001F1DBB"/>
    <w:rsid w:val="001F216C"/>
    <w:rsid w:val="001F35D6"/>
    <w:rsid w:val="001F7BC2"/>
    <w:rsid w:val="00210DB0"/>
    <w:rsid w:val="00212B38"/>
    <w:rsid w:val="00213189"/>
    <w:rsid w:val="0021491D"/>
    <w:rsid w:val="002149B1"/>
    <w:rsid w:val="0021504B"/>
    <w:rsid w:val="00215701"/>
    <w:rsid w:val="0021702F"/>
    <w:rsid w:val="00217B68"/>
    <w:rsid w:val="00220045"/>
    <w:rsid w:val="00220EAA"/>
    <w:rsid w:val="0022318F"/>
    <w:rsid w:val="00223A6B"/>
    <w:rsid w:val="0022789D"/>
    <w:rsid w:val="00232631"/>
    <w:rsid w:val="00232939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72F7F"/>
    <w:rsid w:val="0027405A"/>
    <w:rsid w:val="00274FC3"/>
    <w:rsid w:val="00276AFC"/>
    <w:rsid w:val="00277579"/>
    <w:rsid w:val="002777C1"/>
    <w:rsid w:val="00277A33"/>
    <w:rsid w:val="00281AC3"/>
    <w:rsid w:val="0028223B"/>
    <w:rsid w:val="0028318E"/>
    <w:rsid w:val="0028679F"/>
    <w:rsid w:val="002909DD"/>
    <w:rsid w:val="002930F3"/>
    <w:rsid w:val="00296A64"/>
    <w:rsid w:val="00296EF8"/>
    <w:rsid w:val="002A079D"/>
    <w:rsid w:val="002A14DD"/>
    <w:rsid w:val="002A4CD7"/>
    <w:rsid w:val="002A68DE"/>
    <w:rsid w:val="002A6B0A"/>
    <w:rsid w:val="002B186B"/>
    <w:rsid w:val="002B7E57"/>
    <w:rsid w:val="002C2FC8"/>
    <w:rsid w:val="002C63C4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E78EC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0B39"/>
    <w:rsid w:val="00320CD8"/>
    <w:rsid w:val="00322341"/>
    <w:rsid w:val="00322594"/>
    <w:rsid w:val="00322C71"/>
    <w:rsid w:val="0033203F"/>
    <w:rsid w:val="00334EE3"/>
    <w:rsid w:val="00335129"/>
    <w:rsid w:val="00336210"/>
    <w:rsid w:val="0033706A"/>
    <w:rsid w:val="00340370"/>
    <w:rsid w:val="00341346"/>
    <w:rsid w:val="00347C84"/>
    <w:rsid w:val="00350C59"/>
    <w:rsid w:val="00351CA1"/>
    <w:rsid w:val="00353897"/>
    <w:rsid w:val="00353E97"/>
    <w:rsid w:val="00354ACA"/>
    <w:rsid w:val="00355A6D"/>
    <w:rsid w:val="00355C6C"/>
    <w:rsid w:val="003641EC"/>
    <w:rsid w:val="0036695F"/>
    <w:rsid w:val="00367E02"/>
    <w:rsid w:val="00373081"/>
    <w:rsid w:val="003740D1"/>
    <w:rsid w:val="003819F2"/>
    <w:rsid w:val="00381EAA"/>
    <w:rsid w:val="0038281E"/>
    <w:rsid w:val="00382B91"/>
    <w:rsid w:val="003835B7"/>
    <w:rsid w:val="00385323"/>
    <w:rsid w:val="00386026"/>
    <w:rsid w:val="00387282"/>
    <w:rsid w:val="00391408"/>
    <w:rsid w:val="00396854"/>
    <w:rsid w:val="003A5BBC"/>
    <w:rsid w:val="003A6545"/>
    <w:rsid w:val="003A7019"/>
    <w:rsid w:val="003A71D7"/>
    <w:rsid w:val="003B5F7F"/>
    <w:rsid w:val="003C5E7D"/>
    <w:rsid w:val="003C6EE0"/>
    <w:rsid w:val="003D4B26"/>
    <w:rsid w:val="003D52FE"/>
    <w:rsid w:val="003E0696"/>
    <w:rsid w:val="003E1E2E"/>
    <w:rsid w:val="003E3026"/>
    <w:rsid w:val="003F02AD"/>
    <w:rsid w:val="003F24EA"/>
    <w:rsid w:val="003F3E38"/>
    <w:rsid w:val="003F5B21"/>
    <w:rsid w:val="003F5C09"/>
    <w:rsid w:val="003F788E"/>
    <w:rsid w:val="00402FE6"/>
    <w:rsid w:val="00403F8F"/>
    <w:rsid w:val="00404134"/>
    <w:rsid w:val="0041098A"/>
    <w:rsid w:val="0041533A"/>
    <w:rsid w:val="004161AB"/>
    <w:rsid w:val="00417265"/>
    <w:rsid w:val="00420727"/>
    <w:rsid w:val="004224B2"/>
    <w:rsid w:val="00422B59"/>
    <w:rsid w:val="00426B68"/>
    <w:rsid w:val="0042783F"/>
    <w:rsid w:val="004304CA"/>
    <w:rsid w:val="00434809"/>
    <w:rsid w:val="0044044F"/>
    <w:rsid w:val="00440724"/>
    <w:rsid w:val="00440817"/>
    <w:rsid w:val="00444550"/>
    <w:rsid w:val="00445425"/>
    <w:rsid w:val="0044593B"/>
    <w:rsid w:val="0045300A"/>
    <w:rsid w:val="00456337"/>
    <w:rsid w:val="00457C3E"/>
    <w:rsid w:val="004605C5"/>
    <w:rsid w:val="00460779"/>
    <w:rsid w:val="00461CDD"/>
    <w:rsid w:val="00462C1E"/>
    <w:rsid w:val="00463A5A"/>
    <w:rsid w:val="00463C4D"/>
    <w:rsid w:val="00466062"/>
    <w:rsid w:val="004702FD"/>
    <w:rsid w:val="00473079"/>
    <w:rsid w:val="00473751"/>
    <w:rsid w:val="0047402D"/>
    <w:rsid w:val="004759EF"/>
    <w:rsid w:val="00476AC4"/>
    <w:rsid w:val="00485609"/>
    <w:rsid w:val="00485644"/>
    <w:rsid w:val="004943EC"/>
    <w:rsid w:val="0049758C"/>
    <w:rsid w:val="004A11BA"/>
    <w:rsid w:val="004A191E"/>
    <w:rsid w:val="004A54EB"/>
    <w:rsid w:val="004A5FFE"/>
    <w:rsid w:val="004A6451"/>
    <w:rsid w:val="004A6C86"/>
    <w:rsid w:val="004B1EE7"/>
    <w:rsid w:val="004B3CDF"/>
    <w:rsid w:val="004B404C"/>
    <w:rsid w:val="004B4C42"/>
    <w:rsid w:val="004B702F"/>
    <w:rsid w:val="004B7321"/>
    <w:rsid w:val="004C2AF5"/>
    <w:rsid w:val="004C2E4E"/>
    <w:rsid w:val="004C3930"/>
    <w:rsid w:val="004C76F7"/>
    <w:rsid w:val="004D2026"/>
    <w:rsid w:val="004D21E6"/>
    <w:rsid w:val="004D2651"/>
    <w:rsid w:val="004D2C59"/>
    <w:rsid w:val="004D3012"/>
    <w:rsid w:val="004D57B2"/>
    <w:rsid w:val="004E2075"/>
    <w:rsid w:val="004E4251"/>
    <w:rsid w:val="004E6A49"/>
    <w:rsid w:val="004E7515"/>
    <w:rsid w:val="004E7F29"/>
    <w:rsid w:val="004F0D76"/>
    <w:rsid w:val="004F24A7"/>
    <w:rsid w:val="004F38BD"/>
    <w:rsid w:val="004F56A6"/>
    <w:rsid w:val="0050244F"/>
    <w:rsid w:val="005044D0"/>
    <w:rsid w:val="0050452A"/>
    <w:rsid w:val="00504594"/>
    <w:rsid w:val="00506DDD"/>
    <w:rsid w:val="0051089D"/>
    <w:rsid w:val="00510A27"/>
    <w:rsid w:val="00512F93"/>
    <w:rsid w:val="00515898"/>
    <w:rsid w:val="00516CC9"/>
    <w:rsid w:val="00520CD4"/>
    <w:rsid w:val="0052317F"/>
    <w:rsid w:val="005238AE"/>
    <w:rsid w:val="005238B3"/>
    <w:rsid w:val="00526D04"/>
    <w:rsid w:val="00530212"/>
    <w:rsid w:val="00533B52"/>
    <w:rsid w:val="00533B94"/>
    <w:rsid w:val="005360CC"/>
    <w:rsid w:val="00537466"/>
    <w:rsid w:val="005418D5"/>
    <w:rsid w:val="00542749"/>
    <w:rsid w:val="005443D9"/>
    <w:rsid w:val="00547BDB"/>
    <w:rsid w:val="00547D19"/>
    <w:rsid w:val="00550C54"/>
    <w:rsid w:val="005561C1"/>
    <w:rsid w:val="0056442B"/>
    <w:rsid w:val="00566836"/>
    <w:rsid w:val="0057054E"/>
    <w:rsid w:val="00573C89"/>
    <w:rsid w:val="005752B0"/>
    <w:rsid w:val="00580113"/>
    <w:rsid w:val="00580C38"/>
    <w:rsid w:val="00583299"/>
    <w:rsid w:val="00583EA9"/>
    <w:rsid w:val="005864CB"/>
    <w:rsid w:val="00586A81"/>
    <w:rsid w:val="00590BED"/>
    <w:rsid w:val="0059162C"/>
    <w:rsid w:val="00593D6C"/>
    <w:rsid w:val="005977A4"/>
    <w:rsid w:val="005977B8"/>
    <w:rsid w:val="005A56E5"/>
    <w:rsid w:val="005A7423"/>
    <w:rsid w:val="005B32BB"/>
    <w:rsid w:val="005B433F"/>
    <w:rsid w:val="005B630B"/>
    <w:rsid w:val="005B64F0"/>
    <w:rsid w:val="005B7ED9"/>
    <w:rsid w:val="005C2CFA"/>
    <w:rsid w:val="005C3E9D"/>
    <w:rsid w:val="005C3FE5"/>
    <w:rsid w:val="005D1177"/>
    <w:rsid w:val="005D1181"/>
    <w:rsid w:val="005D6431"/>
    <w:rsid w:val="005E02AA"/>
    <w:rsid w:val="005E64C4"/>
    <w:rsid w:val="005E673B"/>
    <w:rsid w:val="005E7D4B"/>
    <w:rsid w:val="005F0CCB"/>
    <w:rsid w:val="005F53C1"/>
    <w:rsid w:val="005F548E"/>
    <w:rsid w:val="005F5922"/>
    <w:rsid w:val="005F6E4C"/>
    <w:rsid w:val="005F7673"/>
    <w:rsid w:val="00603A18"/>
    <w:rsid w:val="0060448C"/>
    <w:rsid w:val="006064A1"/>
    <w:rsid w:val="00606B37"/>
    <w:rsid w:val="0061321B"/>
    <w:rsid w:val="0061335D"/>
    <w:rsid w:val="00613438"/>
    <w:rsid w:val="00614807"/>
    <w:rsid w:val="00615F92"/>
    <w:rsid w:val="006172BC"/>
    <w:rsid w:val="00617589"/>
    <w:rsid w:val="00625AF3"/>
    <w:rsid w:val="0062705A"/>
    <w:rsid w:val="006344BC"/>
    <w:rsid w:val="00634512"/>
    <w:rsid w:val="00636430"/>
    <w:rsid w:val="00636735"/>
    <w:rsid w:val="00636AC3"/>
    <w:rsid w:val="0064063F"/>
    <w:rsid w:val="0064098E"/>
    <w:rsid w:val="0064188F"/>
    <w:rsid w:val="00641AD9"/>
    <w:rsid w:val="00642BE9"/>
    <w:rsid w:val="006472E2"/>
    <w:rsid w:val="006477DA"/>
    <w:rsid w:val="00655779"/>
    <w:rsid w:val="006561B1"/>
    <w:rsid w:val="00656AA9"/>
    <w:rsid w:val="00656E2E"/>
    <w:rsid w:val="006606B2"/>
    <w:rsid w:val="00661DB2"/>
    <w:rsid w:val="00665932"/>
    <w:rsid w:val="00665D29"/>
    <w:rsid w:val="006700AB"/>
    <w:rsid w:val="006717AC"/>
    <w:rsid w:val="0067333A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A2DA9"/>
    <w:rsid w:val="006A385E"/>
    <w:rsid w:val="006A3B44"/>
    <w:rsid w:val="006B1937"/>
    <w:rsid w:val="006B2547"/>
    <w:rsid w:val="006B3D7C"/>
    <w:rsid w:val="006B3DB8"/>
    <w:rsid w:val="006B4263"/>
    <w:rsid w:val="006B45D3"/>
    <w:rsid w:val="006C03C6"/>
    <w:rsid w:val="006C0879"/>
    <w:rsid w:val="006C2944"/>
    <w:rsid w:val="006C34AD"/>
    <w:rsid w:val="006C3E7D"/>
    <w:rsid w:val="006C4049"/>
    <w:rsid w:val="006C409E"/>
    <w:rsid w:val="006C4D42"/>
    <w:rsid w:val="006C735D"/>
    <w:rsid w:val="006D1503"/>
    <w:rsid w:val="006D1B87"/>
    <w:rsid w:val="006D1D70"/>
    <w:rsid w:val="006D1DBB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32AF"/>
    <w:rsid w:val="006F4EB1"/>
    <w:rsid w:val="006F796A"/>
    <w:rsid w:val="0070080B"/>
    <w:rsid w:val="007008C0"/>
    <w:rsid w:val="00722D5F"/>
    <w:rsid w:val="00723FA3"/>
    <w:rsid w:val="007246FB"/>
    <w:rsid w:val="00726795"/>
    <w:rsid w:val="007269F5"/>
    <w:rsid w:val="00735E8F"/>
    <w:rsid w:val="00740106"/>
    <w:rsid w:val="00740965"/>
    <w:rsid w:val="00741467"/>
    <w:rsid w:val="007448EA"/>
    <w:rsid w:val="007509ED"/>
    <w:rsid w:val="00750D62"/>
    <w:rsid w:val="00751BED"/>
    <w:rsid w:val="007532E1"/>
    <w:rsid w:val="007560E0"/>
    <w:rsid w:val="007574E3"/>
    <w:rsid w:val="007627EB"/>
    <w:rsid w:val="007630E6"/>
    <w:rsid w:val="007708DF"/>
    <w:rsid w:val="00776E30"/>
    <w:rsid w:val="00777241"/>
    <w:rsid w:val="00777978"/>
    <w:rsid w:val="00780584"/>
    <w:rsid w:val="007917FE"/>
    <w:rsid w:val="007928A4"/>
    <w:rsid w:val="00797A74"/>
    <w:rsid w:val="007A01E2"/>
    <w:rsid w:val="007A1068"/>
    <w:rsid w:val="007A16B2"/>
    <w:rsid w:val="007A1DF7"/>
    <w:rsid w:val="007A4BEE"/>
    <w:rsid w:val="007A5886"/>
    <w:rsid w:val="007B09D2"/>
    <w:rsid w:val="007B3C43"/>
    <w:rsid w:val="007B4803"/>
    <w:rsid w:val="007B48C1"/>
    <w:rsid w:val="007B50CC"/>
    <w:rsid w:val="007B573C"/>
    <w:rsid w:val="007C0A47"/>
    <w:rsid w:val="007C2077"/>
    <w:rsid w:val="007C3455"/>
    <w:rsid w:val="007C5DB5"/>
    <w:rsid w:val="007D0467"/>
    <w:rsid w:val="007D1468"/>
    <w:rsid w:val="007D213E"/>
    <w:rsid w:val="007D2E0E"/>
    <w:rsid w:val="007D3DCB"/>
    <w:rsid w:val="007E6EA2"/>
    <w:rsid w:val="007F01CB"/>
    <w:rsid w:val="007F1091"/>
    <w:rsid w:val="007F5DF2"/>
    <w:rsid w:val="007F6D36"/>
    <w:rsid w:val="007F6E7E"/>
    <w:rsid w:val="00803518"/>
    <w:rsid w:val="00803AA8"/>
    <w:rsid w:val="00804142"/>
    <w:rsid w:val="008056BD"/>
    <w:rsid w:val="00807D0E"/>
    <w:rsid w:val="00810A2B"/>
    <w:rsid w:val="008119D1"/>
    <w:rsid w:val="0082256E"/>
    <w:rsid w:val="00822F5D"/>
    <w:rsid w:val="00825D97"/>
    <w:rsid w:val="00831726"/>
    <w:rsid w:val="008320F9"/>
    <w:rsid w:val="00836FD3"/>
    <w:rsid w:val="00837C13"/>
    <w:rsid w:val="0084122B"/>
    <w:rsid w:val="00842AF3"/>
    <w:rsid w:val="00842F00"/>
    <w:rsid w:val="00843A95"/>
    <w:rsid w:val="00844558"/>
    <w:rsid w:val="008446CC"/>
    <w:rsid w:val="008460C4"/>
    <w:rsid w:val="0084719F"/>
    <w:rsid w:val="00847A71"/>
    <w:rsid w:val="00850469"/>
    <w:rsid w:val="008521D3"/>
    <w:rsid w:val="0085220A"/>
    <w:rsid w:val="00855781"/>
    <w:rsid w:val="0085605B"/>
    <w:rsid w:val="008610F3"/>
    <w:rsid w:val="00861196"/>
    <w:rsid w:val="00867454"/>
    <w:rsid w:val="0087029E"/>
    <w:rsid w:val="008724D4"/>
    <w:rsid w:val="00873925"/>
    <w:rsid w:val="0087796B"/>
    <w:rsid w:val="008800C7"/>
    <w:rsid w:val="00882171"/>
    <w:rsid w:val="0088415D"/>
    <w:rsid w:val="00884E34"/>
    <w:rsid w:val="008852D7"/>
    <w:rsid w:val="0088672D"/>
    <w:rsid w:val="00887F48"/>
    <w:rsid w:val="00890FE4"/>
    <w:rsid w:val="008922DA"/>
    <w:rsid w:val="008925AB"/>
    <w:rsid w:val="00892FAB"/>
    <w:rsid w:val="00896537"/>
    <w:rsid w:val="008A59B4"/>
    <w:rsid w:val="008A6314"/>
    <w:rsid w:val="008A7595"/>
    <w:rsid w:val="008A7828"/>
    <w:rsid w:val="008B078C"/>
    <w:rsid w:val="008B28E5"/>
    <w:rsid w:val="008B3959"/>
    <w:rsid w:val="008B5A24"/>
    <w:rsid w:val="008B5E0E"/>
    <w:rsid w:val="008B6BAF"/>
    <w:rsid w:val="008C0D9D"/>
    <w:rsid w:val="008C21BE"/>
    <w:rsid w:val="008D012F"/>
    <w:rsid w:val="008D4709"/>
    <w:rsid w:val="008D5309"/>
    <w:rsid w:val="008E0265"/>
    <w:rsid w:val="008E1633"/>
    <w:rsid w:val="008E236B"/>
    <w:rsid w:val="008E409F"/>
    <w:rsid w:val="008E4D2C"/>
    <w:rsid w:val="008E5FA4"/>
    <w:rsid w:val="008E6787"/>
    <w:rsid w:val="008E6FA3"/>
    <w:rsid w:val="008F0322"/>
    <w:rsid w:val="008F1F32"/>
    <w:rsid w:val="009001E2"/>
    <w:rsid w:val="0090058B"/>
    <w:rsid w:val="00911573"/>
    <w:rsid w:val="00911B29"/>
    <w:rsid w:val="0091359F"/>
    <w:rsid w:val="009141E5"/>
    <w:rsid w:val="009159CF"/>
    <w:rsid w:val="00917B5E"/>
    <w:rsid w:val="009203B8"/>
    <w:rsid w:val="00922E9F"/>
    <w:rsid w:val="00923380"/>
    <w:rsid w:val="009234AC"/>
    <w:rsid w:val="00923544"/>
    <w:rsid w:val="009236C5"/>
    <w:rsid w:val="00924640"/>
    <w:rsid w:val="00925CC5"/>
    <w:rsid w:val="009267CE"/>
    <w:rsid w:val="00932F95"/>
    <w:rsid w:val="00933BED"/>
    <w:rsid w:val="0093406C"/>
    <w:rsid w:val="009345A7"/>
    <w:rsid w:val="0093702F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590"/>
    <w:rsid w:val="00972A29"/>
    <w:rsid w:val="00973A3D"/>
    <w:rsid w:val="00975447"/>
    <w:rsid w:val="00977894"/>
    <w:rsid w:val="00977A33"/>
    <w:rsid w:val="00980ACD"/>
    <w:rsid w:val="00981FBD"/>
    <w:rsid w:val="00981FFB"/>
    <w:rsid w:val="009863BB"/>
    <w:rsid w:val="0098641F"/>
    <w:rsid w:val="009900E1"/>
    <w:rsid w:val="00991523"/>
    <w:rsid w:val="00991A1B"/>
    <w:rsid w:val="00993712"/>
    <w:rsid w:val="009A12A9"/>
    <w:rsid w:val="009A27A1"/>
    <w:rsid w:val="009A5371"/>
    <w:rsid w:val="009A5F54"/>
    <w:rsid w:val="009A6E68"/>
    <w:rsid w:val="009A765E"/>
    <w:rsid w:val="009B09B2"/>
    <w:rsid w:val="009B4090"/>
    <w:rsid w:val="009B75ED"/>
    <w:rsid w:val="009C1EFC"/>
    <w:rsid w:val="009C30AE"/>
    <w:rsid w:val="009C390B"/>
    <w:rsid w:val="009C3DC4"/>
    <w:rsid w:val="009C6A7F"/>
    <w:rsid w:val="009C787F"/>
    <w:rsid w:val="009D0270"/>
    <w:rsid w:val="009D0D06"/>
    <w:rsid w:val="009D72B0"/>
    <w:rsid w:val="009E08F5"/>
    <w:rsid w:val="009E2EB7"/>
    <w:rsid w:val="009E41F8"/>
    <w:rsid w:val="009E6DC2"/>
    <w:rsid w:val="009F1DC0"/>
    <w:rsid w:val="009F2571"/>
    <w:rsid w:val="009F5FE4"/>
    <w:rsid w:val="009F6533"/>
    <w:rsid w:val="009F6780"/>
    <w:rsid w:val="009F6C1F"/>
    <w:rsid w:val="00A01C7A"/>
    <w:rsid w:val="00A025FF"/>
    <w:rsid w:val="00A04119"/>
    <w:rsid w:val="00A04718"/>
    <w:rsid w:val="00A04FF1"/>
    <w:rsid w:val="00A07A11"/>
    <w:rsid w:val="00A10E55"/>
    <w:rsid w:val="00A1496B"/>
    <w:rsid w:val="00A154CB"/>
    <w:rsid w:val="00A15751"/>
    <w:rsid w:val="00A213C6"/>
    <w:rsid w:val="00A21F6E"/>
    <w:rsid w:val="00A2247A"/>
    <w:rsid w:val="00A22AE4"/>
    <w:rsid w:val="00A267D9"/>
    <w:rsid w:val="00A26F32"/>
    <w:rsid w:val="00A3318E"/>
    <w:rsid w:val="00A33C08"/>
    <w:rsid w:val="00A37BAA"/>
    <w:rsid w:val="00A4038B"/>
    <w:rsid w:val="00A45720"/>
    <w:rsid w:val="00A459E7"/>
    <w:rsid w:val="00A50D66"/>
    <w:rsid w:val="00A54E22"/>
    <w:rsid w:val="00A55F7F"/>
    <w:rsid w:val="00A56864"/>
    <w:rsid w:val="00A61A48"/>
    <w:rsid w:val="00A648F3"/>
    <w:rsid w:val="00A65DBE"/>
    <w:rsid w:val="00A6667C"/>
    <w:rsid w:val="00A701A0"/>
    <w:rsid w:val="00A7179E"/>
    <w:rsid w:val="00A74215"/>
    <w:rsid w:val="00A77416"/>
    <w:rsid w:val="00A80BDD"/>
    <w:rsid w:val="00A827D1"/>
    <w:rsid w:val="00A8280D"/>
    <w:rsid w:val="00A832C2"/>
    <w:rsid w:val="00A86185"/>
    <w:rsid w:val="00A90BF0"/>
    <w:rsid w:val="00A94A8C"/>
    <w:rsid w:val="00A951D9"/>
    <w:rsid w:val="00A9581D"/>
    <w:rsid w:val="00A95FC7"/>
    <w:rsid w:val="00A96474"/>
    <w:rsid w:val="00A97667"/>
    <w:rsid w:val="00AA35D8"/>
    <w:rsid w:val="00AA4EEB"/>
    <w:rsid w:val="00AA718D"/>
    <w:rsid w:val="00AA79B1"/>
    <w:rsid w:val="00AB0983"/>
    <w:rsid w:val="00AB31D3"/>
    <w:rsid w:val="00AB6F6B"/>
    <w:rsid w:val="00AB7701"/>
    <w:rsid w:val="00AC194F"/>
    <w:rsid w:val="00AC264F"/>
    <w:rsid w:val="00AC44C7"/>
    <w:rsid w:val="00AC5C45"/>
    <w:rsid w:val="00AC62D2"/>
    <w:rsid w:val="00AD18FF"/>
    <w:rsid w:val="00AD2A48"/>
    <w:rsid w:val="00AD3AE5"/>
    <w:rsid w:val="00AD4DF8"/>
    <w:rsid w:val="00AD698E"/>
    <w:rsid w:val="00AE139C"/>
    <w:rsid w:val="00AE312D"/>
    <w:rsid w:val="00AE4C76"/>
    <w:rsid w:val="00AF1CFF"/>
    <w:rsid w:val="00AF31D6"/>
    <w:rsid w:val="00AF51F9"/>
    <w:rsid w:val="00AF5C3D"/>
    <w:rsid w:val="00AF7C2D"/>
    <w:rsid w:val="00B00AE0"/>
    <w:rsid w:val="00B0653E"/>
    <w:rsid w:val="00B07E47"/>
    <w:rsid w:val="00B12780"/>
    <w:rsid w:val="00B14DC6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105"/>
    <w:rsid w:val="00B34C9A"/>
    <w:rsid w:val="00B3607C"/>
    <w:rsid w:val="00B43C56"/>
    <w:rsid w:val="00B45FB8"/>
    <w:rsid w:val="00B4658F"/>
    <w:rsid w:val="00B4699A"/>
    <w:rsid w:val="00B46D3D"/>
    <w:rsid w:val="00B47148"/>
    <w:rsid w:val="00B5007C"/>
    <w:rsid w:val="00B50AD8"/>
    <w:rsid w:val="00B520BA"/>
    <w:rsid w:val="00B5437F"/>
    <w:rsid w:val="00B55036"/>
    <w:rsid w:val="00B60B4D"/>
    <w:rsid w:val="00B6468C"/>
    <w:rsid w:val="00B6490E"/>
    <w:rsid w:val="00B66C22"/>
    <w:rsid w:val="00B67119"/>
    <w:rsid w:val="00B72671"/>
    <w:rsid w:val="00B72AD8"/>
    <w:rsid w:val="00B730B0"/>
    <w:rsid w:val="00B75968"/>
    <w:rsid w:val="00B76FC7"/>
    <w:rsid w:val="00B7736D"/>
    <w:rsid w:val="00B777C3"/>
    <w:rsid w:val="00B80180"/>
    <w:rsid w:val="00B801F2"/>
    <w:rsid w:val="00B80868"/>
    <w:rsid w:val="00B81E5C"/>
    <w:rsid w:val="00B82959"/>
    <w:rsid w:val="00B860F2"/>
    <w:rsid w:val="00B90DCA"/>
    <w:rsid w:val="00B945F8"/>
    <w:rsid w:val="00B94856"/>
    <w:rsid w:val="00B97727"/>
    <w:rsid w:val="00BA01F4"/>
    <w:rsid w:val="00BA176D"/>
    <w:rsid w:val="00BA6F35"/>
    <w:rsid w:val="00BA7A21"/>
    <w:rsid w:val="00BB1176"/>
    <w:rsid w:val="00BB3E45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4070"/>
    <w:rsid w:val="00BD4182"/>
    <w:rsid w:val="00BD6197"/>
    <w:rsid w:val="00BD64E7"/>
    <w:rsid w:val="00BD6F4E"/>
    <w:rsid w:val="00BD7A79"/>
    <w:rsid w:val="00BE4341"/>
    <w:rsid w:val="00BE672B"/>
    <w:rsid w:val="00BE7666"/>
    <w:rsid w:val="00BF18C6"/>
    <w:rsid w:val="00BF5148"/>
    <w:rsid w:val="00BF76F1"/>
    <w:rsid w:val="00C04453"/>
    <w:rsid w:val="00C0565C"/>
    <w:rsid w:val="00C05EB8"/>
    <w:rsid w:val="00C06623"/>
    <w:rsid w:val="00C1099A"/>
    <w:rsid w:val="00C12D29"/>
    <w:rsid w:val="00C151AB"/>
    <w:rsid w:val="00C21CA2"/>
    <w:rsid w:val="00C2548B"/>
    <w:rsid w:val="00C25C2F"/>
    <w:rsid w:val="00C32996"/>
    <w:rsid w:val="00C35780"/>
    <w:rsid w:val="00C36F6B"/>
    <w:rsid w:val="00C423B4"/>
    <w:rsid w:val="00C42A03"/>
    <w:rsid w:val="00C42A83"/>
    <w:rsid w:val="00C42D7F"/>
    <w:rsid w:val="00C4467E"/>
    <w:rsid w:val="00C44911"/>
    <w:rsid w:val="00C45985"/>
    <w:rsid w:val="00C5019B"/>
    <w:rsid w:val="00C50724"/>
    <w:rsid w:val="00C51D9A"/>
    <w:rsid w:val="00C56195"/>
    <w:rsid w:val="00C60775"/>
    <w:rsid w:val="00C610B8"/>
    <w:rsid w:val="00C61CF2"/>
    <w:rsid w:val="00C62AD9"/>
    <w:rsid w:val="00C640F1"/>
    <w:rsid w:val="00C64468"/>
    <w:rsid w:val="00C64C7D"/>
    <w:rsid w:val="00C66BBF"/>
    <w:rsid w:val="00C674F5"/>
    <w:rsid w:val="00C6765C"/>
    <w:rsid w:val="00C70B10"/>
    <w:rsid w:val="00C719C6"/>
    <w:rsid w:val="00C74C32"/>
    <w:rsid w:val="00C75512"/>
    <w:rsid w:val="00C778BF"/>
    <w:rsid w:val="00C8065E"/>
    <w:rsid w:val="00C80FD6"/>
    <w:rsid w:val="00C81EF2"/>
    <w:rsid w:val="00C86BF3"/>
    <w:rsid w:val="00C907A2"/>
    <w:rsid w:val="00C921ED"/>
    <w:rsid w:val="00C93016"/>
    <w:rsid w:val="00C94A89"/>
    <w:rsid w:val="00C95EA0"/>
    <w:rsid w:val="00C96D17"/>
    <w:rsid w:val="00CA0999"/>
    <w:rsid w:val="00CA4356"/>
    <w:rsid w:val="00CA5139"/>
    <w:rsid w:val="00CB0F4F"/>
    <w:rsid w:val="00CB1654"/>
    <w:rsid w:val="00CB1AF5"/>
    <w:rsid w:val="00CB3A81"/>
    <w:rsid w:val="00CB3F5D"/>
    <w:rsid w:val="00CB5CBB"/>
    <w:rsid w:val="00CB5D35"/>
    <w:rsid w:val="00CB6A44"/>
    <w:rsid w:val="00CC3275"/>
    <w:rsid w:val="00CC4318"/>
    <w:rsid w:val="00CC7C11"/>
    <w:rsid w:val="00CD0EC6"/>
    <w:rsid w:val="00CD42EE"/>
    <w:rsid w:val="00CD6FB9"/>
    <w:rsid w:val="00CE00A4"/>
    <w:rsid w:val="00CE0552"/>
    <w:rsid w:val="00CE2837"/>
    <w:rsid w:val="00CE2D19"/>
    <w:rsid w:val="00CE446D"/>
    <w:rsid w:val="00CE6C6C"/>
    <w:rsid w:val="00CE7E21"/>
    <w:rsid w:val="00CE7F2E"/>
    <w:rsid w:val="00CF3A7C"/>
    <w:rsid w:val="00D0075B"/>
    <w:rsid w:val="00D05AC9"/>
    <w:rsid w:val="00D0679A"/>
    <w:rsid w:val="00D07AE9"/>
    <w:rsid w:val="00D12808"/>
    <w:rsid w:val="00D1617B"/>
    <w:rsid w:val="00D166E6"/>
    <w:rsid w:val="00D17295"/>
    <w:rsid w:val="00D17F67"/>
    <w:rsid w:val="00D20896"/>
    <w:rsid w:val="00D23CCB"/>
    <w:rsid w:val="00D2421E"/>
    <w:rsid w:val="00D2437F"/>
    <w:rsid w:val="00D34004"/>
    <w:rsid w:val="00D34798"/>
    <w:rsid w:val="00D35EBC"/>
    <w:rsid w:val="00D36117"/>
    <w:rsid w:val="00D3721E"/>
    <w:rsid w:val="00D46AAD"/>
    <w:rsid w:val="00D46DF7"/>
    <w:rsid w:val="00D4792E"/>
    <w:rsid w:val="00D47ACD"/>
    <w:rsid w:val="00D47F2E"/>
    <w:rsid w:val="00D51D03"/>
    <w:rsid w:val="00D54F80"/>
    <w:rsid w:val="00D554E3"/>
    <w:rsid w:val="00D64633"/>
    <w:rsid w:val="00D667FB"/>
    <w:rsid w:val="00D66E1A"/>
    <w:rsid w:val="00D74F49"/>
    <w:rsid w:val="00D75986"/>
    <w:rsid w:val="00D7799A"/>
    <w:rsid w:val="00D8562D"/>
    <w:rsid w:val="00D906FF"/>
    <w:rsid w:val="00D92721"/>
    <w:rsid w:val="00D95919"/>
    <w:rsid w:val="00D9759E"/>
    <w:rsid w:val="00DA2221"/>
    <w:rsid w:val="00DA4C87"/>
    <w:rsid w:val="00DA4E4D"/>
    <w:rsid w:val="00DB34CD"/>
    <w:rsid w:val="00DB60FC"/>
    <w:rsid w:val="00DC4B5B"/>
    <w:rsid w:val="00DC7E7A"/>
    <w:rsid w:val="00DD7938"/>
    <w:rsid w:val="00DE0047"/>
    <w:rsid w:val="00DE3055"/>
    <w:rsid w:val="00DE3567"/>
    <w:rsid w:val="00DE6AFA"/>
    <w:rsid w:val="00DF0974"/>
    <w:rsid w:val="00DF3B29"/>
    <w:rsid w:val="00DF625D"/>
    <w:rsid w:val="00E03100"/>
    <w:rsid w:val="00E04062"/>
    <w:rsid w:val="00E060E9"/>
    <w:rsid w:val="00E13D25"/>
    <w:rsid w:val="00E20416"/>
    <w:rsid w:val="00E21363"/>
    <w:rsid w:val="00E22F7A"/>
    <w:rsid w:val="00E245F8"/>
    <w:rsid w:val="00E25F8A"/>
    <w:rsid w:val="00E311E4"/>
    <w:rsid w:val="00E31478"/>
    <w:rsid w:val="00E3204C"/>
    <w:rsid w:val="00E330C9"/>
    <w:rsid w:val="00E4162E"/>
    <w:rsid w:val="00E440B5"/>
    <w:rsid w:val="00E45EDB"/>
    <w:rsid w:val="00E472EF"/>
    <w:rsid w:val="00E52D77"/>
    <w:rsid w:val="00E5632F"/>
    <w:rsid w:val="00E61CA1"/>
    <w:rsid w:val="00E63E76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D2"/>
    <w:rsid w:val="00E80747"/>
    <w:rsid w:val="00E80B08"/>
    <w:rsid w:val="00E81765"/>
    <w:rsid w:val="00E823E5"/>
    <w:rsid w:val="00E84989"/>
    <w:rsid w:val="00E8653E"/>
    <w:rsid w:val="00E8659D"/>
    <w:rsid w:val="00E90AC0"/>
    <w:rsid w:val="00E927BD"/>
    <w:rsid w:val="00E972D8"/>
    <w:rsid w:val="00EA2A86"/>
    <w:rsid w:val="00EA469A"/>
    <w:rsid w:val="00EA5B3C"/>
    <w:rsid w:val="00EB3AF1"/>
    <w:rsid w:val="00EB6930"/>
    <w:rsid w:val="00EC1EEA"/>
    <w:rsid w:val="00EC4E01"/>
    <w:rsid w:val="00EC5A6E"/>
    <w:rsid w:val="00EC75D8"/>
    <w:rsid w:val="00ED0975"/>
    <w:rsid w:val="00ED154C"/>
    <w:rsid w:val="00ED7180"/>
    <w:rsid w:val="00ED78E6"/>
    <w:rsid w:val="00EE11C9"/>
    <w:rsid w:val="00EE32A7"/>
    <w:rsid w:val="00EE356B"/>
    <w:rsid w:val="00EE5E88"/>
    <w:rsid w:val="00EF1DE8"/>
    <w:rsid w:val="00EF519B"/>
    <w:rsid w:val="00F01568"/>
    <w:rsid w:val="00F0213E"/>
    <w:rsid w:val="00F05DC2"/>
    <w:rsid w:val="00F06309"/>
    <w:rsid w:val="00F06F1F"/>
    <w:rsid w:val="00F11536"/>
    <w:rsid w:val="00F14485"/>
    <w:rsid w:val="00F1480C"/>
    <w:rsid w:val="00F17117"/>
    <w:rsid w:val="00F17BA5"/>
    <w:rsid w:val="00F21329"/>
    <w:rsid w:val="00F22936"/>
    <w:rsid w:val="00F23AF4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28D1"/>
    <w:rsid w:val="00F5579F"/>
    <w:rsid w:val="00F55CBD"/>
    <w:rsid w:val="00F6284C"/>
    <w:rsid w:val="00F62E9B"/>
    <w:rsid w:val="00F646D2"/>
    <w:rsid w:val="00F64CEA"/>
    <w:rsid w:val="00F72BB5"/>
    <w:rsid w:val="00F76CA7"/>
    <w:rsid w:val="00F908CF"/>
    <w:rsid w:val="00F92B1A"/>
    <w:rsid w:val="00F9335B"/>
    <w:rsid w:val="00F95714"/>
    <w:rsid w:val="00F95DF7"/>
    <w:rsid w:val="00FA1ADA"/>
    <w:rsid w:val="00FA2358"/>
    <w:rsid w:val="00FB0038"/>
    <w:rsid w:val="00FB0C4A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0085"/>
    <w:rsid w:val="00FD3F23"/>
    <w:rsid w:val="00FD5891"/>
    <w:rsid w:val="00FE0412"/>
    <w:rsid w:val="00FE312B"/>
    <w:rsid w:val="00FE3456"/>
    <w:rsid w:val="00FE48C5"/>
    <w:rsid w:val="00FE4BB8"/>
    <w:rsid w:val="00FE5118"/>
    <w:rsid w:val="00FE5172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table" w:styleId="TableGrid">
    <w:name w:val="Table Grid"/>
    <w:basedOn w:val="TableNormal"/>
    <w:uiPriority w:val="39"/>
    <w:rsid w:val="00E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Michael Giliberto</cp:lastModifiedBy>
  <cp:revision>294</cp:revision>
  <dcterms:created xsi:type="dcterms:W3CDTF">2021-02-20T22:46:00Z</dcterms:created>
  <dcterms:modified xsi:type="dcterms:W3CDTF">2021-09-11T14:16:00Z</dcterms:modified>
</cp:coreProperties>
</file>