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9796" w14:textId="1914586A" w:rsidR="00D75986" w:rsidRPr="00A6667C" w:rsidRDefault="00D75986">
      <w:pPr>
        <w:rPr>
          <w:b/>
          <w:bCs/>
          <w:sz w:val="28"/>
          <w:szCs w:val="28"/>
        </w:rPr>
      </w:pPr>
      <w:r w:rsidRPr="00A6667C">
        <w:rPr>
          <w:b/>
          <w:bCs/>
          <w:sz w:val="28"/>
          <w:szCs w:val="28"/>
        </w:rPr>
        <w:t xml:space="preserve">G-L 2 </w:t>
      </w:r>
      <w:r w:rsidR="00446C08">
        <w:rPr>
          <w:b/>
          <w:bCs/>
          <w:sz w:val="28"/>
          <w:szCs w:val="28"/>
        </w:rPr>
        <w:t>3</w:t>
      </w:r>
      <w:r w:rsidRPr="00A6667C">
        <w:rPr>
          <w:b/>
          <w:bCs/>
          <w:sz w:val="28"/>
          <w:szCs w:val="28"/>
        </w:rPr>
        <w:t>Q 20</w:t>
      </w:r>
      <w:r w:rsidR="00B777C3">
        <w:rPr>
          <w:b/>
          <w:bCs/>
          <w:sz w:val="28"/>
          <w:szCs w:val="28"/>
        </w:rPr>
        <w:t>2</w:t>
      </w:r>
      <w:r w:rsidR="00E25F8A">
        <w:rPr>
          <w:b/>
          <w:bCs/>
          <w:sz w:val="28"/>
          <w:szCs w:val="28"/>
        </w:rPr>
        <w:t>1</w:t>
      </w:r>
      <w:r w:rsidRPr="00A6667C">
        <w:rPr>
          <w:b/>
          <w:bCs/>
          <w:sz w:val="28"/>
          <w:szCs w:val="28"/>
        </w:rPr>
        <w:t xml:space="preserve"> </w:t>
      </w:r>
      <w:r w:rsidR="00232631">
        <w:rPr>
          <w:b/>
          <w:bCs/>
          <w:sz w:val="28"/>
          <w:szCs w:val="28"/>
        </w:rPr>
        <w:t>Quarterly Review</w:t>
      </w:r>
    </w:p>
    <w:p w14:paraId="5F1A78FF" w14:textId="43E156FD" w:rsidR="00D75986" w:rsidRDefault="00446C08">
      <w:r>
        <w:t>December</w:t>
      </w:r>
      <w:r w:rsidR="00586A81">
        <w:t xml:space="preserve"> </w:t>
      </w:r>
      <w:r w:rsidR="003F5B21">
        <w:t>1</w:t>
      </w:r>
      <w:r w:rsidR="00015FD6">
        <w:t>9</w:t>
      </w:r>
      <w:r w:rsidR="000661D8">
        <w:t>, 2021</w:t>
      </w:r>
    </w:p>
    <w:p w14:paraId="65B14EAA" w14:textId="77777777" w:rsidR="00351CA1" w:rsidRDefault="00351CA1"/>
    <w:tbl>
      <w:tblPr>
        <w:tblW w:w="6160" w:type="dxa"/>
        <w:tblInd w:w="1592" w:type="dxa"/>
        <w:tblLook w:val="04A0" w:firstRow="1" w:lastRow="0" w:firstColumn="1" w:lastColumn="0" w:noHBand="0" w:noVBand="1"/>
      </w:tblPr>
      <w:tblGrid>
        <w:gridCol w:w="280"/>
        <w:gridCol w:w="3580"/>
        <w:gridCol w:w="2020"/>
        <w:gridCol w:w="280"/>
      </w:tblGrid>
      <w:tr w:rsidR="00835037" w:rsidRPr="00835037" w14:paraId="7ADBA0CA" w14:textId="77777777" w:rsidTr="00835037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3AB1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6447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5037">
              <w:rPr>
                <w:rFonts w:ascii="Calibri" w:eastAsia="Times New Roman" w:hAnsi="Calibri" w:cs="Calibri"/>
                <w:b/>
                <w:bCs/>
                <w:color w:val="000000"/>
              </w:rPr>
              <w:t>G-L 2 Return Summary: 3Q 2021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D8AD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835037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95F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790D7CF2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56D3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6CA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0ED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 xml:space="preserve"> Total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835F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7572B3C3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3AEA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E52B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B5F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 xml:space="preserve"> Return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2CF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59F588FC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3241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CF8A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880" w14:textId="77777777" w:rsidR="00835037" w:rsidRPr="00835037" w:rsidRDefault="00835037" w:rsidP="008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D865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58AA105E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3C6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FCE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All Investments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499C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1.90%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576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7D0FF0A9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D3C6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FC71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6A8" w14:textId="77777777" w:rsidR="00835037" w:rsidRPr="00835037" w:rsidRDefault="00835037" w:rsidP="008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912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50384FF9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BE9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680D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All Subordinate Positions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7E9B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1.96%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FE1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362EC29F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701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924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35037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Mezzanine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AABB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1.85%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D20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2E092B02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A1D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7E6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35037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Leveraged Whole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E278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2.02%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D1C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3E00554C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AB6B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EA7B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35037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   Other Sub. Debt 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5CE2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2.17%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8AA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4B5922B5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21E6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D80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6322" w14:textId="77777777" w:rsidR="00835037" w:rsidRPr="00835037" w:rsidRDefault="00835037" w:rsidP="008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52C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5BBEBE82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5EE8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CC5D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Senior Loans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CB6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1.53%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EC31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49D801AE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F99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969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F043" w14:textId="77777777" w:rsidR="00835037" w:rsidRPr="00835037" w:rsidRDefault="00835037" w:rsidP="008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27D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445F757B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C2E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4718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Floating Rate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639F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1.78%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A700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3696403A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B84B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91A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Fixed Rate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923C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1.85%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CC95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3F7295C3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D194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F2CF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316" w14:textId="77777777" w:rsidR="00835037" w:rsidRPr="00835037" w:rsidRDefault="00835037" w:rsidP="008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C32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33AAD6C2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2D63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F6BF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Stabilized Assets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D7AC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1.73%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CF8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7809C8B3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A0F3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6744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Bridge / Transitional Assets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5F24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1.90%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ADD6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2E4F0F01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72B1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6ED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Value-add Projects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589" w14:textId="77777777" w:rsidR="00835037" w:rsidRPr="00835037" w:rsidRDefault="00835037" w:rsidP="00835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1.87%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E87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1E1B6016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6AAA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24E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D2B" w14:textId="77777777" w:rsidR="00835037" w:rsidRPr="00835037" w:rsidRDefault="00835037" w:rsidP="008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481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2176AB71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00D0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F6B7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3503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B notes, second mortgages, preferred equity and other or unknown</w:t>
            </w:r>
          </w:p>
        </w:tc>
      </w:tr>
      <w:tr w:rsidR="00835037" w:rsidRPr="00835037" w14:paraId="588D2108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C32C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6DE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4477" w14:textId="77777777" w:rsidR="00835037" w:rsidRPr="00835037" w:rsidRDefault="00835037" w:rsidP="0083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5FB4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037" w:rsidRPr="00835037" w14:paraId="6F048E0D" w14:textId="77777777" w:rsidTr="00835037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902ED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21D3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Source: Giliberto-Levy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92CA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1E1" w14:textId="77777777" w:rsidR="00835037" w:rsidRPr="00835037" w:rsidRDefault="00835037" w:rsidP="0083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50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695881" w14:textId="77777777" w:rsidR="00B50AD8" w:rsidRDefault="00B50AD8"/>
    <w:p w14:paraId="2689EBCC" w14:textId="0FCC5F6D" w:rsidR="00981FBD" w:rsidRPr="00981FBD" w:rsidRDefault="00580C38" w:rsidP="00981FBD">
      <w:pPr>
        <w:rPr>
          <w:sz w:val="18"/>
          <w:szCs w:val="18"/>
        </w:rPr>
      </w:pPr>
      <w:r w:rsidRPr="00981FBD">
        <w:rPr>
          <w:sz w:val="18"/>
          <w:szCs w:val="18"/>
        </w:rPr>
        <w:t xml:space="preserve">Note: </w:t>
      </w:r>
      <w:r w:rsidR="00981FBD" w:rsidRPr="00981FBD">
        <w:rPr>
          <w:sz w:val="18"/>
          <w:szCs w:val="18"/>
        </w:rPr>
        <w:t>Several loans have all data needed to generate investment returns but have not yet provided attribute data. As a result, some reported sub-category returns, e.g., payment type, are each less than the G-L 2 total return.</w:t>
      </w:r>
    </w:p>
    <w:p w14:paraId="4459ACAC" w14:textId="6AF74AC8" w:rsidR="00947F5D" w:rsidRPr="00947F5D" w:rsidRDefault="00232631" w:rsidP="00947F5D">
      <w:pPr>
        <w:rPr>
          <w:b/>
        </w:rPr>
      </w:pPr>
      <w:r>
        <w:rPr>
          <w:b/>
        </w:rPr>
        <w:t>Index Performance</w:t>
      </w:r>
    </w:p>
    <w:p w14:paraId="0C2B949E" w14:textId="691D9FF5" w:rsidR="0064188F" w:rsidRDefault="00402450" w:rsidP="0064188F">
      <w:pPr>
        <w:pStyle w:val="ListParagraph"/>
        <w:numPr>
          <w:ilvl w:val="0"/>
          <w:numId w:val="2"/>
        </w:numPr>
      </w:pPr>
      <w:r>
        <w:rPr>
          <w:b/>
          <w:bCs/>
        </w:rPr>
        <w:t>3</w:t>
      </w:r>
      <w:r w:rsidR="002777C1">
        <w:rPr>
          <w:b/>
          <w:bCs/>
        </w:rPr>
        <w:t>Q 2021 t</w:t>
      </w:r>
      <w:r w:rsidR="00277579" w:rsidRPr="007509ED">
        <w:rPr>
          <w:b/>
          <w:bCs/>
        </w:rPr>
        <w:t xml:space="preserve">otal return </w:t>
      </w:r>
      <w:r w:rsidR="002777C1">
        <w:rPr>
          <w:b/>
          <w:bCs/>
        </w:rPr>
        <w:t>was 1.</w:t>
      </w:r>
      <w:r w:rsidR="00BF5148">
        <w:rPr>
          <w:b/>
          <w:bCs/>
        </w:rPr>
        <w:t>9</w:t>
      </w:r>
      <w:r>
        <w:rPr>
          <w:b/>
          <w:bCs/>
        </w:rPr>
        <w:t>0</w:t>
      </w:r>
      <w:r w:rsidR="002777C1">
        <w:rPr>
          <w:b/>
          <w:bCs/>
        </w:rPr>
        <w:t>%</w:t>
      </w:r>
      <w:r>
        <w:rPr>
          <w:b/>
          <w:bCs/>
        </w:rPr>
        <w:t xml:space="preserve">. This was consistent with </w:t>
      </w:r>
      <w:r w:rsidR="00B7056A">
        <w:rPr>
          <w:b/>
          <w:bCs/>
        </w:rPr>
        <w:t xml:space="preserve">last </w:t>
      </w:r>
      <w:r w:rsidR="009460B6">
        <w:rPr>
          <w:b/>
          <w:bCs/>
        </w:rPr>
        <w:t>quarter</w:t>
      </w:r>
      <w:r w:rsidR="00B7056A">
        <w:rPr>
          <w:b/>
          <w:bCs/>
        </w:rPr>
        <w:t>’</w:t>
      </w:r>
      <w:r w:rsidR="009460B6">
        <w:rPr>
          <w:b/>
          <w:bCs/>
        </w:rPr>
        <w:t>s</w:t>
      </w:r>
      <w:r w:rsidR="00B7056A">
        <w:rPr>
          <w:b/>
          <w:bCs/>
        </w:rPr>
        <w:t xml:space="preserve"> </w:t>
      </w:r>
      <w:r w:rsidR="00651A89">
        <w:rPr>
          <w:b/>
          <w:bCs/>
        </w:rPr>
        <w:t>1.88%</w:t>
      </w:r>
      <w:r w:rsidR="009460B6">
        <w:rPr>
          <w:b/>
          <w:bCs/>
        </w:rPr>
        <w:t>.</w:t>
      </w:r>
      <w:r w:rsidR="0021702F">
        <w:rPr>
          <w:rStyle w:val="FootnoteReference"/>
        </w:rPr>
        <w:footnoteReference w:id="1"/>
      </w:r>
      <w:r w:rsidR="007509ED">
        <w:tab/>
      </w:r>
    </w:p>
    <w:p w14:paraId="6C572C02" w14:textId="3F35DEF8" w:rsidR="009C3DC4" w:rsidRDefault="00651A89" w:rsidP="009C3DC4">
      <w:pPr>
        <w:pStyle w:val="ListParagraph"/>
        <w:numPr>
          <w:ilvl w:val="1"/>
          <w:numId w:val="2"/>
        </w:numPr>
      </w:pPr>
      <w:r>
        <w:t xml:space="preserve">Income return was </w:t>
      </w:r>
      <w:r w:rsidR="008C496C">
        <w:t>1.89%, up slightly from 1.85%</w:t>
      </w:r>
      <w:r w:rsidR="000D5B43">
        <w:t xml:space="preserve"> in </w:t>
      </w:r>
      <w:r w:rsidR="00BB3E45">
        <w:t>2Q</w:t>
      </w:r>
      <w:r w:rsidR="00972A29">
        <w:t>.</w:t>
      </w:r>
    </w:p>
    <w:p w14:paraId="6E2B6899" w14:textId="724C787E" w:rsidR="009C3DC4" w:rsidRDefault="00DA4C87" w:rsidP="009C3DC4">
      <w:pPr>
        <w:pStyle w:val="ListParagraph"/>
        <w:numPr>
          <w:ilvl w:val="1"/>
          <w:numId w:val="2"/>
        </w:numPr>
      </w:pPr>
      <w:r w:rsidRPr="0047402D">
        <w:t xml:space="preserve">Capital value </w:t>
      </w:r>
      <w:r w:rsidR="00B80180">
        <w:t>return was</w:t>
      </w:r>
      <w:r w:rsidR="00281AC3">
        <w:t xml:space="preserve"> </w:t>
      </w:r>
      <w:r w:rsidR="0067333A">
        <w:t>0.</w:t>
      </w:r>
      <w:r w:rsidR="00E8653E">
        <w:t>0</w:t>
      </w:r>
      <w:r w:rsidR="000D5B43">
        <w:t>1</w:t>
      </w:r>
      <w:r w:rsidR="00D1617B">
        <w:t>%</w:t>
      </w:r>
      <w:r w:rsidR="00E311E4">
        <w:t xml:space="preserve">. </w:t>
      </w:r>
    </w:p>
    <w:p w14:paraId="32CDA641" w14:textId="2024B276" w:rsidR="00213189" w:rsidRDefault="00E311E4" w:rsidP="005C411A">
      <w:pPr>
        <w:pStyle w:val="ListParagraph"/>
        <w:numPr>
          <w:ilvl w:val="1"/>
          <w:numId w:val="2"/>
        </w:numPr>
      </w:pPr>
      <w:r>
        <w:t xml:space="preserve">Rolling four-quarter total </w:t>
      </w:r>
      <w:r w:rsidR="00463C4D">
        <w:t xml:space="preserve">return ticked up </w:t>
      </w:r>
      <w:r w:rsidR="00711C25">
        <w:t>to</w:t>
      </w:r>
      <w:r w:rsidR="001934DB">
        <w:t xml:space="preserve"> </w:t>
      </w:r>
      <w:r w:rsidR="004D3012">
        <w:t>6.</w:t>
      </w:r>
      <w:r w:rsidR="00A16471">
        <w:t>6</w:t>
      </w:r>
      <w:r w:rsidR="004D3012">
        <w:t>1</w:t>
      </w:r>
      <w:r w:rsidR="001C363B">
        <w:t>%</w:t>
      </w:r>
      <w:r w:rsidR="00A16471">
        <w:t>. Again, this was about the same as</w:t>
      </w:r>
      <w:r w:rsidR="0046257F">
        <w:t xml:space="preserve"> the prior quarter.</w:t>
      </w:r>
    </w:p>
    <w:p w14:paraId="479EFAFC" w14:textId="77777777" w:rsidR="0046257F" w:rsidRDefault="0046257F" w:rsidP="0046257F">
      <w:pPr>
        <w:pStyle w:val="ListParagraph"/>
        <w:ind w:left="1440"/>
      </w:pPr>
    </w:p>
    <w:p w14:paraId="1E1772D3" w14:textId="77777777" w:rsidR="0046257F" w:rsidRDefault="0046257F" w:rsidP="0046257F">
      <w:pPr>
        <w:pStyle w:val="ListParagraph"/>
        <w:ind w:left="1440"/>
      </w:pPr>
    </w:p>
    <w:p w14:paraId="6193AFED" w14:textId="77777777" w:rsidR="009234AC" w:rsidRDefault="009234AC" w:rsidP="009234AC">
      <w:pPr>
        <w:pStyle w:val="ListParagraph"/>
        <w:numPr>
          <w:ilvl w:val="0"/>
          <w:numId w:val="4"/>
        </w:numPr>
      </w:pPr>
      <w:r>
        <w:lastRenderedPageBreak/>
        <w:t>Monthly returns:</w:t>
      </w:r>
    </w:p>
    <w:p w14:paraId="79D0F2E2" w14:textId="35549B39" w:rsidR="009234AC" w:rsidRDefault="00FD6D5D" w:rsidP="009234AC">
      <w:pPr>
        <w:pStyle w:val="ListParagraph"/>
        <w:numPr>
          <w:ilvl w:val="1"/>
          <w:numId w:val="4"/>
        </w:numPr>
      </w:pPr>
      <w:r>
        <w:t>Jul</w:t>
      </w:r>
      <w:r w:rsidR="009234AC">
        <w:t>. 202</w:t>
      </w:r>
      <w:r w:rsidR="008B078C">
        <w:t>1</w:t>
      </w:r>
      <w:r w:rsidR="009234AC">
        <w:tab/>
        <w:t>0.</w:t>
      </w:r>
      <w:r>
        <w:t>58</w:t>
      </w:r>
      <w:r w:rsidR="009234AC">
        <w:t>%</w:t>
      </w:r>
    </w:p>
    <w:p w14:paraId="6002B57F" w14:textId="678A5D63" w:rsidR="009234AC" w:rsidRDefault="00FD6D5D" w:rsidP="009234AC">
      <w:pPr>
        <w:pStyle w:val="ListParagraph"/>
        <w:numPr>
          <w:ilvl w:val="1"/>
          <w:numId w:val="4"/>
        </w:numPr>
      </w:pPr>
      <w:r>
        <w:t>Aug.</w:t>
      </w:r>
      <w:r w:rsidR="009234AC">
        <w:t xml:space="preserve"> 202</w:t>
      </w:r>
      <w:r w:rsidR="008B078C">
        <w:t>1</w:t>
      </w:r>
      <w:r w:rsidR="009234AC">
        <w:tab/>
        <w:t>0.</w:t>
      </w:r>
      <w:r w:rsidR="00E96BF5">
        <w:t>48</w:t>
      </w:r>
      <w:r w:rsidR="009234AC">
        <w:t>%</w:t>
      </w:r>
    </w:p>
    <w:p w14:paraId="3270254E" w14:textId="2CFA3FE3" w:rsidR="00BC22E6" w:rsidRDefault="00E96BF5" w:rsidP="00BC22E6">
      <w:pPr>
        <w:pStyle w:val="ListParagraph"/>
        <w:numPr>
          <w:ilvl w:val="1"/>
          <w:numId w:val="4"/>
        </w:numPr>
      </w:pPr>
      <w:r>
        <w:t>Sep</w:t>
      </w:r>
      <w:r w:rsidR="009234AC">
        <w:t>. 202</w:t>
      </w:r>
      <w:r w:rsidR="008B078C">
        <w:t>1</w:t>
      </w:r>
      <w:r w:rsidR="00D95919">
        <w:tab/>
      </w:r>
      <w:r w:rsidR="009234AC">
        <w:t>0.</w:t>
      </w:r>
      <w:r>
        <w:t>82</w:t>
      </w:r>
      <w:r w:rsidR="00BC22E6">
        <w:t>%</w:t>
      </w:r>
    </w:p>
    <w:p w14:paraId="680AB25B" w14:textId="77777777" w:rsidR="00E927BD" w:rsidRDefault="00E927BD" w:rsidP="00E927BD">
      <w:pPr>
        <w:pStyle w:val="ListParagraph"/>
      </w:pPr>
    </w:p>
    <w:p w14:paraId="0F833A04" w14:textId="4ACBCBAB" w:rsidR="006F3A5D" w:rsidRDefault="005F0CCB" w:rsidP="006F3A5D">
      <w:pPr>
        <w:pStyle w:val="ListParagraph"/>
        <w:numPr>
          <w:ilvl w:val="0"/>
          <w:numId w:val="4"/>
        </w:numPr>
      </w:pPr>
      <w:r w:rsidRPr="006F3A5D">
        <w:rPr>
          <w:b/>
          <w:bCs/>
        </w:rPr>
        <w:t>I</w:t>
      </w:r>
      <w:r w:rsidR="00056BAD" w:rsidRPr="006F3A5D">
        <w:rPr>
          <w:b/>
          <w:bCs/>
        </w:rPr>
        <w:t xml:space="preserve">ndex participants </w:t>
      </w:r>
      <w:r w:rsidR="00896537" w:rsidRPr="006F3A5D">
        <w:rPr>
          <w:b/>
          <w:bCs/>
        </w:rPr>
        <w:t xml:space="preserve">reported about </w:t>
      </w:r>
      <w:r w:rsidR="00056BAD" w:rsidRPr="006F3A5D">
        <w:rPr>
          <w:b/>
          <w:bCs/>
        </w:rPr>
        <w:t>$</w:t>
      </w:r>
      <w:r w:rsidR="00896537" w:rsidRPr="006F3A5D">
        <w:rPr>
          <w:b/>
          <w:bCs/>
        </w:rPr>
        <w:t>1</w:t>
      </w:r>
      <w:r w:rsidR="00056BAD" w:rsidRPr="006F3A5D">
        <w:rPr>
          <w:b/>
          <w:bCs/>
        </w:rPr>
        <w:t>.</w:t>
      </w:r>
      <w:r w:rsidR="00896537" w:rsidRPr="006F3A5D">
        <w:rPr>
          <w:b/>
          <w:bCs/>
        </w:rPr>
        <w:t>5</w:t>
      </w:r>
      <w:r w:rsidR="00056BAD" w:rsidRPr="006F3A5D">
        <w:rPr>
          <w:b/>
          <w:bCs/>
        </w:rPr>
        <w:t xml:space="preserve"> billion of</w:t>
      </w:r>
      <w:r w:rsidR="00CA0999" w:rsidRPr="006F3A5D">
        <w:rPr>
          <w:b/>
          <w:bCs/>
        </w:rPr>
        <w:t xml:space="preserve"> </w:t>
      </w:r>
      <w:r w:rsidR="00B4658F" w:rsidRPr="006F3A5D">
        <w:rPr>
          <w:b/>
          <w:bCs/>
        </w:rPr>
        <w:t>new l</w:t>
      </w:r>
      <w:r w:rsidR="0013376D" w:rsidRPr="006F3A5D">
        <w:rPr>
          <w:b/>
          <w:bCs/>
        </w:rPr>
        <w:t xml:space="preserve">oans, based on anticipated balances when loans are fully funded. </w:t>
      </w:r>
      <w:r w:rsidR="00C778BF" w:rsidRPr="00CA5139">
        <w:t>New index participants</w:t>
      </w:r>
      <w:r w:rsidR="00075FE8" w:rsidRPr="00CA5139">
        <w:t xml:space="preserve"> </w:t>
      </w:r>
      <w:r w:rsidR="006F3A5D">
        <w:t>provided</w:t>
      </w:r>
      <w:r w:rsidR="00075FE8" w:rsidRPr="00CA5139">
        <w:t xml:space="preserve"> data on about $</w:t>
      </w:r>
      <w:r w:rsidR="00D70661">
        <w:t>390</w:t>
      </w:r>
      <w:r w:rsidR="00075FE8" w:rsidRPr="00CA5139">
        <w:t xml:space="preserve"> million of seasoned </w:t>
      </w:r>
      <w:r w:rsidR="006F3A5D">
        <w:t xml:space="preserve">and new </w:t>
      </w:r>
      <w:r w:rsidR="007856A7">
        <w:t>subordinate</w:t>
      </w:r>
      <w:r w:rsidR="006F3A5D">
        <w:t xml:space="preserve"> debt.</w:t>
      </w:r>
    </w:p>
    <w:p w14:paraId="636F9289" w14:textId="77777777" w:rsidR="006F3A5D" w:rsidRPr="00CA5139" w:rsidRDefault="006F3A5D" w:rsidP="006F3A5D">
      <w:pPr>
        <w:pStyle w:val="ListParagraph"/>
      </w:pPr>
    </w:p>
    <w:p w14:paraId="45B1FA83" w14:textId="71792AEF" w:rsidR="00F24485" w:rsidRDefault="00C36F6B" w:rsidP="00F61ADA">
      <w:pPr>
        <w:pStyle w:val="ListParagraph"/>
        <w:numPr>
          <w:ilvl w:val="0"/>
          <w:numId w:val="4"/>
        </w:numPr>
      </w:pPr>
      <w:r w:rsidRPr="00510A27">
        <w:rPr>
          <w:b/>
          <w:bCs/>
        </w:rPr>
        <w:t>Cred</w:t>
      </w:r>
      <w:r w:rsidR="00EC4E01" w:rsidRPr="00510A27">
        <w:rPr>
          <w:b/>
          <w:bCs/>
        </w:rPr>
        <w:t>it e</w:t>
      </w:r>
      <w:r w:rsidR="002F055F" w:rsidRPr="00510A27">
        <w:rPr>
          <w:b/>
          <w:bCs/>
        </w:rPr>
        <w:t>vent</w:t>
      </w:r>
      <w:r w:rsidR="00723FA3" w:rsidRPr="00510A27">
        <w:rPr>
          <w:b/>
          <w:bCs/>
        </w:rPr>
        <w:t xml:space="preserve"> incidence </w:t>
      </w:r>
      <w:r w:rsidR="00572CB2">
        <w:rPr>
          <w:b/>
          <w:bCs/>
        </w:rPr>
        <w:t>modestly decreased</w:t>
      </w:r>
      <w:r w:rsidR="00DE3055" w:rsidRPr="00510A27">
        <w:rPr>
          <w:b/>
          <w:bCs/>
        </w:rPr>
        <w:t>.</w:t>
      </w:r>
      <w:r w:rsidR="00C921ED" w:rsidRPr="00510A27">
        <w:rPr>
          <w:b/>
          <w:bCs/>
        </w:rPr>
        <w:t xml:space="preserve"> </w:t>
      </w:r>
    </w:p>
    <w:p w14:paraId="4A42679E" w14:textId="77777777" w:rsidR="00510A27" w:rsidRDefault="00510A27" w:rsidP="00510A27">
      <w:pPr>
        <w:pStyle w:val="ListParagraph"/>
      </w:pPr>
    </w:p>
    <w:p w14:paraId="38EE32FA" w14:textId="77777777" w:rsidR="00CB1EA1" w:rsidRDefault="002F055F" w:rsidP="00CB1EA1">
      <w:pPr>
        <w:pStyle w:val="ListParagraph"/>
      </w:pPr>
      <w:r>
        <w:t>W</w:t>
      </w:r>
      <w:r w:rsidR="00C95EA0">
        <w:t xml:space="preserve">e measure </w:t>
      </w:r>
      <w:r w:rsidR="006C4D42">
        <w:t xml:space="preserve">credit event </w:t>
      </w:r>
      <w:r w:rsidR="00956D34">
        <w:t>incidence using unpaid principal balance</w:t>
      </w:r>
      <w:r w:rsidR="00BC11D4">
        <w:t xml:space="preserve"> </w:t>
      </w:r>
      <w:r w:rsidR="00C86BF3">
        <w:t>(</w:t>
      </w:r>
      <w:r w:rsidR="00BC11D4">
        <w:t>UPB)</w:t>
      </w:r>
      <w:r w:rsidR="00803AA8">
        <w:t xml:space="preserve">. Percentage incidence is the </w:t>
      </w:r>
      <w:r w:rsidR="00BC11D4">
        <w:t xml:space="preserve">sum of UPB </w:t>
      </w:r>
      <w:r w:rsidR="0085220A">
        <w:t>for a particula</w:t>
      </w:r>
      <w:r w:rsidR="00934F21">
        <w:t>r</w:t>
      </w:r>
      <w:r w:rsidR="0085220A">
        <w:t xml:space="preserve"> event type divided by the total UPB reported for the index</w:t>
      </w:r>
      <w:r w:rsidR="006717AC">
        <w:t xml:space="preserve"> (see Table </w:t>
      </w:r>
      <w:r w:rsidR="003A7019">
        <w:t>1</w:t>
      </w:r>
      <w:r w:rsidR="006717AC">
        <w:t>)</w:t>
      </w:r>
      <w:r w:rsidR="0085220A">
        <w:t xml:space="preserve">. </w:t>
      </w:r>
      <w:r w:rsidR="00510A27">
        <w:t xml:space="preserve">Loans that receive interest deferrals or are in forbearance are not </w:t>
      </w:r>
      <w:r w:rsidR="00751BED">
        <w:t>counted as</w:t>
      </w:r>
      <w:r w:rsidR="00510A27">
        <w:t xml:space="preserve"> delinquent. </w:t>
      </w:r>
      <w:r w:rsidR="00CB1EA1">
        <w:t>Table 1 includes seasoned loans reported by new participants that are experiencing credit events.</w:t>
      </w:r>
    </w:p>
    <w:p w14:paraId="117E953B" w14:textId="402FB2CE" w:rsidR="00510A27" w:rsidRDefault="00510A27" w:rsidP="00510A27">
      <w:pPr>
        <w:pStyle w:val="ListParagraph"/>
      </w:pPr>
    </w:p>
    <w:p w14:paraId="318F53AD" w14:textId="3A33D443" w:rsidR="00C94A89" w:rsidRDefault="008446CC" w:rsidP="001C4D28">
      <w:pPr>
        <w:pStyle w:val="ListParagraph"/>
      </w:pPr>
      <w:r>
        <w:t xml:space="preserve">Incidence measures for </w:t>
      </w:r>
      <w:r w:rsidR="00937FC4">
        <w:t>3</w:t>
      </w:r>
      <w:r>
        <w:t xml:space="preserve">Q </w:t>
      </w:r>
      <w:r w:rsidR="00EE32A7">
        <w:t xml:space="preserve">2021 reflect a </w:t>
      </w:r>
      <w:r w:rsidR="00D05AC9">
        <w:t>somewhat</w:t>
      </w:r>
      <w:r w:rsidR="00EE32A7">
        <w:t xml:space="preserve"> larger exposure base</w:t>
      </w:r>
      <w:r w:rsidR="00F92B1A">
        <w:t xml:space="preserve"> due to </w:t>
      </w:r>
      <w:r w:rsidR="0042783F">
        <w:t xml:space="preserve">the addition of </w:t>
      </w:r>
      <w:r w:rsidR="00C8065E">
        <w:t xml:space="preserve">loans from new participants. As a result, </w:t>
      </w:r>
      <w:r w:rsidR="00E060E9">
        <w:t xml:space="preserve">starting incidence for </w:t>
      </w:r>
      <w:r w:rsidR="00937FC4">
        <w:t>3</w:t>
      </w:r>
      <w:r w:rsidR="00C8065E">
        <w:t>Q 2021</w:t>
      </w:r>
      <w:r w:rsidR="00B97727">
        <w:t xml:space="preserve"> (on </w:t>
      </w:r>
      <w:r w:rsidR="00937FC4">
        <w:t>July</w:t>
      </w:r>
      <w:r w:rsidR="00B97727">
        <w:t xml:space="preserve"> 1, 2021)</w:t>
      </w:r>
      <w:r w:rsidR="00C8065E">
        <w:t xml:space="preserve"> is not </w:t>
      </w:r>
      <w:r w:rsidR="00E060E9">
        <w:t xml:space="preserve">identical </w:t>
      </w:r>
      <w:r w:rsidR="0050244F">
        <w:t>to</w:t>
      </w:r>
      <w:r>
        <w:t xml:space="preserve"> </w:t>
      </w:r>
      <w:r w:rsidR="00D05AC9">
        <w:t>what was repo</w:t>
      </w:r>
      <w:r w:rsidR="00B97727">
        <w:t xml:space="preserve">rted </w:t>
      </w:r>
      <w:r w:rsidR="0042783F">
        <w:t xml:space="preserve">previously </w:t>
      </w:r>
      <w:r w:rsidR="00B97727">
        <w:t xml:space="preserve">for </w:t>
      </w:r>
      <w:r w:rsidR="00937FC4">
        <w:t>June 30</w:t>
      </w:r>
      <w:r w:rsidR="00B97727">
        <w:t>,</w:t>
      </w:r>
      <w:r w:rsidR="00981FFB">
        <w:t xml:space="preserve"> 202</w:t>
      </w:r>
      <w:r w:rsidR="00E45EDB">
        <w:t>1</w:t>
      </w:r>
      <w:r w:rsidR="00981FFB">
        <w:t xml:space="preserve">. </w:t>
      </w:r>
    </w:p>
    <w:p w14:paraId="5CC45F35" w14:textId="77777777" w:rsidR="00EF3045" w:rsidRDefault="00EF3045" w:rsidP="001C4D28">
      <w:pPr>
        <w:pStyle w:val="ListParagraph"/>
      </w:pPr>
    </w:p>
    <w:p w14:paraId="6B347E7B" w14:textId="57E517D0" w:rsidR="006717AC" w:rsidRDefault="006717AC" w:rsidP="001C4D28">
      <w:pPr>
        <w:pStyle w:val="ListParagraph"/>
      </w:pPr>
    </w:p>
    <w:p w14:paraId="0ACF6C65" w14:textId="6C85A8EA" w:rsidR="006717AC" w:rsidRPr="00D47F2E" w:rsidRDefault="006717AC" w:rsidP="001C4D28">
      <w:pPr>
        <w:pStyle w:val="ListParagraph"/>
      </w:pPr>
      <w:r w:rsidRPr="00D47F2E">
        <w:t xml:space="preserve">Table </w:t>
      </w:r>
      <w:r w:rsidR="003A7019" w:rsidRPr="00D47F2E">
        <w:t>1</w:t>
      </w:r>
      <w:r w:rsidRPr="00D47F2E">
        <w:t>. G-L 2 Credit Event Incidence</w:t>
      </w:r>
      <w:r w:rsidR="00FB4DE1" w:rsidRPr="00D47F2E">
        <w:t xml:space="preserve"> </w:t>
      </w:r>
      <w:r w:rsidR="00AE4611">
        <w:t>3</w:t>
      </w:r>
      <w:r w:rsidR="00FB4DE1" w:rsidRPr="00D47F2E">
        <w:t>Q 202</w:t>
      </w:r>
      <w:r w:rsidR="008D5309" w:rsidRPr="00D47F2E">
        <w:t>1</w:t>
      </w:r>
    </w:p>
    <w:tbl>
      <w:tblPr>
        <w:tblW w:w="6200" w:type="dxa"/>
        <w:tblInd w:w="855" w:type="dxa"/>
        <w:tblLook w:val="04A0" w:firstRow="1" w:lastRow="0" w:firstColumn="1" w:lastColumn="0" w:noHBand="0" w:noVBand="1"/>
      </w:tblPr>
      <w:tblGrid>
        <w:gridCol w:w="3280"/>
        <w:gridCol w:w="1372"/>
        <w:gridCol w:w="1548"/>
      </w:tblGrid>
      <w:tr w:rsidR="009B0D33" w:rsidRPr="009B0D33" w14:paraId="68462FEF" w14:textId="77777777" w:rsidTr="009B0D33">
        <w:trPr>
          <w:trHeight w:val="6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692D" w14:textId="77777777" w:rsidR="009B0D33" w:rsidRPr="009B0D33" w:rsidRDefault="009B0D33" w:rsidP="009B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2CD98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0D33">
              <w:rPr>
                <w:rFonts w:ascii="Calibri" w:eastAsia="Times New Roman" w:hAnsi="Calibri" w:cs="Calibri"/>
                <w:b/>
                <w:bCs/>
                <w:color w:val="000000"/>
              </w:rPr>
              <w:t>Incidence (% of UPB)</w:t>
            </w:r>
          </w:p>
        </w:tc>
      </w:tr>
      <w:tr w:rsidR="009B0D33" w:rsidRPr="009B0D33" w14:paraId="3A2D95F8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D6E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BD98" w14:textId="77777777" w:rsidR="009B0D33" w:rsidRPr="009B0D33" w:rsidRDefault="009B0D33" w:rsidP="009B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5AFF" w14:textId="77777777" w:rsidR="009B0D33" w:rsidRPr="009B0D33" w:rsidRDefault="009B0D33" w:rsidP="009B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D33" w:rsidRPr="009B0D33" w14:paraId="23FB881F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20D1" w14:textId="77777777" w:rsidR="009B0D33" w:rsidRPr="009B0D33" w:rsidRDefault="009B0D33" w:rsidP="009B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D9B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7/1/2021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F8C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9/30/2021</w:t>
            </w:r>
          </w:p>
        </w:tc>
      </w:tr>
      <w:tr w:rsidR="009B0D33" w:rsidRPr="009B0D33" w14:paraId="6EA81598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D1D3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0D33">
              <w:rPr>
                <w:rFonts w:ascii="Calibri" w:eastAsia="Times New Roman" w:hAnsi="Calibri" w:cs="Calibri"/>
                <w:b/>
                <w:bCs/>
                <w:color w:val="000000"/>
              </w:rPr>
              <w:t>Loan Status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46D8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957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D33" w:rsidRPr="009B0D33" w14:paraId="14C629C0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6400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Interest Deferral or Forbearance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089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0.40%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E1F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0.44%</w:t>
            </w:r>
          </w:p>
        </w:tc>
      </w:tr>
      <w:tr w:rsidR="009B0D33" w:rsidRPr="009B0D33" w14:paraId="0A3A37CE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601A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Delinquent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582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0.89%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B1AE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0.49%</w:t>
            </w:r>
          </w:p>
        </w:tc>
      </w:tr>
      <w:tr w:rsidR="009B0D33" w:rsidRPr="009B0D33" w14:paraId="20829130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9A45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In Default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15C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0.41%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FD9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0.72%</w:t>
            </w:r>
          </w:p>
        </w:tc>
      </w:tr>
      <w:tr w:rsidR="009B0D33" w:rsidRPr="009B0D33" w14:paraId="334D6AF1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B19C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8FB" w14:textId="77777777" w:rsidR="009B0D33" w:rsidRPr="009B0D33" w:rsidRDefault="009B0D33" w:rsidP="009B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75B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D33" w:rsidRPr="009B0D33" w14:paraId="70031281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1D3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All Credit Events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711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1.70%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1BB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1.65%</w:t>
            </w:r>
          </w:p>
        </w:tc>
      </w:tr>
      <w:tr w:rsidR="009B0D33" w:rsidRPr="009B0D33" w14:paraId="41659EAF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DB52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Delinquent and Defaulted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A763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1.30%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F8F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1.21%</w:t>
            </w:r>
          </w:p>
        </w:tc>
      </w:tr>
      <w:tr w:rsidR="009B0D33" w:rsidRPr="009B0D33" w14:paraId="6C7D92AB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8254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9CB" w14:textId="77777777" w:rsidR="009B0D33" w:rsidRPr="009B0D33" w:rsidRDefault="009B0D33" w:rsidP="009B0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5C2A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D33" w:rsidRPr="009B0D33" w14:paraId="16DD0D38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B0A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E49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0D33">
              <w:rPr>
                <w:rFonts w:ascii="Calibri" w:eastAsia="Times New Roman" w:hAnsi="Calibri" w:cs="Calibri"/>
                <w:b/>
                <w:bCs/>
                <w:color w:val="000000"/>
              </w:rPr>
              <w:t>Average Days Delinquent</w:t>
            </w:r>
          </w:p>
        </w:tc>
      </w:tr>
      <w:tr w:rsidR="009B0D33" w:rsidRPr="009B0D33" w14:paraId="3CA43A55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E7C0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Delinquent Loans Only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8963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9699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</w:tr>
      <w:tr w:rsidR="009B0D33" w:rsidRPr="009B0D33" w14:paraId="68E2ED42" w14:textId="77777777" w:rsidTr="009B0D33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A50D" w14:textId="77777777" w:rsidR="009B0D33" w:rsidRPr="009B0D33" w:rsidRDefault="009B0D33" w:rsidP="009B0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Delinquent and Defaulted Loans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2DA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8B3" w14:textId="77777777" w:rsidR="009B0D33" w:rsidRPr="009B0D33" w:rsidRDefault="009B0D33" w:rsidP="009B0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0D33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</w:tr>
    </w:tbl>
    <w:p w14:paraId="73F30C1D" w14:textId="37F7D546" w:rsidR="008119D1" w:rsidRPr="00D667FB" w:rsidRDefault="008119D1" w:rsidP="001C4D28">
      <w:pPr>
        <w:pStyle w:val="ListParagraph"/>
        <w:rPr>
          <w:sz w:val="20"/>
          <w:szCs w:val="20"/>
        </w:rPr>
      </w:pPr>
    </w:p>
    <w:p w14:paraId="332BAA18" w14:textId="78078253" w:rsidR="000E6A32" w:rsidRPr="00D667FB" w:rsidRDefault="0022318F" w:rsidP="000E6A3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E6A32" w:rsidRPr="00D667FB">
        <w:rPr>
          <w:sz w:val="20"/>
          <w:szCs w:val="20"/>
        </w:rPr>
        <w:t>UPB Unpaid Principal Balance</w:t>
      </w:r>
    </w:p>
    <w:p w14:paraId="5C653EEB" w14:textId="77777777" w:rsidR="000E6A32" w:rsidRDefault="000E6A32" w:rsidP="001C4D28">
      <w:pPr>
        <w:pStyle w:val="ListParagraph"/>
        <w:rPr>
          <w:sz w:val="20"/>
          <w:szCs w:val="20"/>
        </w:rPr>
      </w:pPr>
    </w:p>
    <w:p w14:paraId="7B963174" w14:textId="54D9585B" w:rsidR="00E717C9" w:rsidRDefault="00E717C9" w:rsidP="001C4D28">
      <w:pPr>
        <w:pStyle w:val="ListParagraph"/>
        <w:rPr>
          <w:sz w:val="20"/>
          <w:szCs w:val="20"/>
        </w:rPr>
      </w:pPr>
      <w:r w:rsidRPr="00D667FB">
        <w:rPr>
          <w:sz w:val="20"/>
          <w:szCs w:val="20"/>
        </w:rPr>
        <w:t>Source: Giliberto-Levy</w:t>
      </w:r>
    </w:p>
    <w:p w14:paraId="311F8469" w14:textId="127B3CA6" w:rsidR="001D3FB5" w:rsidRDefault="001D3FB5" w:rsidP="001C4D28">
      <w:pPr>
        <w:pStyle w:val="ListParagraph"/>
        <w:rPr>
          <w:sz w:val="20"/>
          <w:szCs w:val="20"/>
        </w:rPr>
      </w:pPr>
    </w:p>
    <w:p w14:paraId="68728CFD" w14:textId="601739E5" w:rsidR="009A12A9" w:rsidRPr="005977B8" w:rsidRDefault="00CD42EE" w:rsidP="001C4D28">
      <w:pPr>
        <w:pStyle w:val="ListParagraph"/>
      </w:pPr>
      <w:r>
        <w:lastRenderedPageBreak/>
        <w:t xml:space="preserve">Chart 1 provides an update on </w:t>
      </w:r>
      <w:r w:rsidR="00B50B77">
        <w:t xml:space="preserve">specific </w:t>
      </w:r>
      <w:r w:rsidR="00B43C56">
        <w:t>credit events within the index.</w:t>
      </w:r>
      <w:r w:rsidR="004F38BD">
        <w:t xml:space="preserve"> </w:t>
      </w:r>
      <w:r w:rsidR="00A00281">
        <w:t>The chart</w:t>
      </w:r>
      <w:r w:rsidR="00445D6A">
        <w:t xml:space="preserve"> includes ongoing and new credit events</w:t>
      </w:r>
      <w:r w:rsidR="00164EB5">
        <w:t xml:space="preserve">. Loans that had </w:t>
      </w:r>
      <w:r w:rsidR="003E3575">
        <w:t xml:space="preserve">credit events but </w:t>
      </w:r>
      <w:r w:rsidR="00164EB5">
        <w:t xml:space="preserve">paid off or otherwise terminated </w:t>
      </w:r>
      <w:r w:rsidR="003E3575">
        <w:t xml:space="preserve">in prior quarters </w:t>
      </w:r>
      <w:r w:rsidR="00164EB5">
        <w:t>are not</w:t>
      </w:r>
      <w:r w:rsidR="003E3575">
        <w:t xml:space="preserve"> shown.</w:t>
      </w:r>
    </w:p>
    <w:p w14:paraId="381BD843" w14:textId="77777777" w:rsidR="00D46AAD" w:rsidRDefault="00D46AAD" w:rsidP="001C4D28">
      <w:pPr>
        <w:pStyle w:val="ListParagraph"/>
        <w:rPr>
          <w:sz w:val="20"/>
          <w:szCs w:val="20"/>
        </w:rPr>
      </w:pPr>
    </w:p>
    <w:p w14:paraId="015EC2D5" w14:textId="1FF60511" w:rsidR="001D3FB5" w:rsidRPr="005977B8" w:rsidRDefault="001D3FB5" w:rsidP="001C4D28">
      <w:pPr>
        <w:pStyle w:val="ListParagraph"/>
      </w:pPr>
      <w:r w:rsidRPr="005977B8">
        <w:t xml:space="preserve">Chart 1. </w:t>
      </w:r>
      <w:r w:rsidR="009C787F">
        <w:t xml:space="preserve">G-L 2 </w:t>
      </w:r>
      <w:r w:rsidR="00D46AAD" w:rsidRPr="005977B8">
        <w:t>Credit Event Tracker</w:t>
      </w:r>
      <w:r w:rsidR="00CA2453">
        <w:t xml:space="preserve"> 3Q 2021</w:t>
      </w:r>
    </w:p>
    <w:tbl>
      <w:tblPr>
        <w:tblW w:w="5600" w:type="dxa"/>
        <w:tblInd w:w="1890" w:type="dxa"/>
        <w:tblLook w:val="04A0" w:firstRow="1" w:lastRow="0" w:firstColumn="1" w:lastColumn="0" w:noHBand="0" w:noVBand="1"/>
      </w:tblPr>
      <w:tblGrid>
        <w:gridCol w:w="1536"/>
        <w:gridCol w:w="1016"/>
        <w:gridCol w:w="1016"/>
        <w:gridCol w:w="1016"/>
        <w:gridCol w:w="1016"/>
      </w:tblGrid>
      <w:tr w:rsidR="006B4CBC" w:rsidRPr="006B4CBC" w14:paraId="62E2BB1C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7856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70F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Jun-21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230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Jul-21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802D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Aug-21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82F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Sep-21</w:t>
            </w:r>
          </w:p>
        </w:tc>
      </w:tr>
      <w:tr w:rsidR="006B4CBC" w:rsidRPr="006B4CBC" w14:paraId="32AEF96B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FA90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509348B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D315DE3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EB9970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6A64EE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5E0C4D21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A7B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7ED30E00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01CD16CE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F0999B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418EB4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43112EFA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E9B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239E32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978E5B8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117990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719294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007F2FEA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065D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DB4D396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D25E501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1CF2416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2A86032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7EE98BBA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DE01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Lodging #9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1A9677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13A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CEDA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3E30" w14:textId="77777777" w:rsidR="006B4CBC" w:rsidRPr="006B4CBC" w:rsidRDefault="006B4CBC" w:rsidP="006B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CBC" w:rsidRPr="006B4CBC" w14:paraId="508F5CC0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6C09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Mixed-use #4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176CB6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7B25AFB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059395B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9FA40A9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5CEF30FE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04EC" w14:textId="214D2152" w:rsidR="006B4CBC" w:rsidRPr="006B4CBC" w:rsidRDefault="004C1EF9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Multifamily</w:t>
            </w:r>
            <w:r w:rsidR="006B4CBC"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#1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579D09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305129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A68B81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A637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PAID OFF</w:t>
            </w:r>
          </w:p>
        </w:tc>
      </w:tr>
      <w:tr w:rsidR="006B4CBC" w:rsidRPr="006B4CBC" w14:paraId="7A29D6C0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7622" w14:textId="2B216A06" w:rsidR="006B4CBC" w:rsidRPr="006B4CBC" w:rsidRDefault="00D56FA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Multifamily</w:t>
            </w:r>
            <w:r w:rsidR="006B4CBC"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#2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BBEBD6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5369C0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0CD213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E40F3F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62C262FF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F0C" w14:textId="13B4FD69" w:rsidR="006B4CBC" w:rsidRPr="006B4CBC" w:rsidRDefault="00D56FA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Multifamily</w:t>
            </w:r>
            <w:r w:rsidR="006B4CBC"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#3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50FD66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15E3F5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D706CB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2C7CF4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61E86219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BFFB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DD6E0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92F49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7CA2D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240533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4CBC" w:rsidRPr="006B4CBC" w14:paraId="2EA5A2D2" w14:textId="77777777" w:rsidTr="006B4CB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3A7E" w14:textId="77777777" w:rsidR="006B4CBC" w:rsidRPr="006B4CBC" w:rsidRDefault="006B4CBC" w:rsidP="006B4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C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#3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8AC57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B88B21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ABE3ED6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7D8D62" w14:textId="77777777" w:rsidR="006B4CBC" w:rsidRPr="006B4CBC" w:rsidRDefault="006B4CBC" w:rsidP="006B4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4C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38CBE77" w14:textId="300E215A" w:rsidR="00E717C9" w:rsidRDefault="00E717C9" w:rsidP="001C4D28">
      <w:pPr>
        <w:pStyle w:val="ListParagraph"/>
        <w:rPr>
          <w:sz w:val="20"/>
          <w:szCs w:val="20"/>
        </w:rPr>
      </w:pPr>
    </w:p>
    <w:tbl>
      <w:tblPr>
        <w:tblW w:w="2860" w:type="dxa"/>
        <w:tblInd w:w="3255" w:type="dxa"/>
        <w:tblLook w:val="04A0" w:firstRow="1" w:lastRow="0" w:firstColumn="1" w:lastColumn="0" w:noHBand="0" w:noVBand="1"/>
      </w:tblPr>
      <w:tblGrid>
        <w:gridCol w:w="620"/>
        <w:gridCol w:w="280"/>
        <w:gridCol w:w="1960"/>
      </w:tblGrid>
      <w:tr w:rsidR="004C76F7" w:rsidRPr="004C76F7" w14:paraId="7266330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36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ADD" w14:textId="77777777" w:rsidR="004C76F7" w:rsidRPr="004C76F7" w:rsidRDefault="004C76F7" w:rsidP="004C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7F4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Legend</w:t>
            </w:r>
          </w:p>
        </w:tc>
      </w:tr>
      <w:tr w:rsidR="004C76F7" w:rsidRPr="004C76F7" w14:paraId="4218907E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55C1312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85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D1F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Performing</w:t>
            </w:r>
          </w:p>
        </w:tc>
      </w:tr>
      <w:tr w:rsidR="004C76F7" w:rsidRPr="004C76F7" w14:paraId="5BBC1B40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C10A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EF0B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4AD2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Deferral</w:t>
            </w:r>
          </w:p>
        </w:tc>
      </w:tr>
      <w:tr w:rsidR="004C76F7" w:rsidRPr="004C76F7" w14:paraId="51FCD622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E529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8415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4E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Delinquent</w:t>
            </w:r>
          </w:p>
        </w:tc>
      </w:tr>
      <w:tr w:rsidR="004C76F7" w:rsidRPr="004C76F7" w14:paraId="7165402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AFAE9D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BC30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0B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Interest Forbearance</w:t>
            </w:r>
          </w:p>
        </w:tc>
      </w:tr>
      <w:tr w:rsidR="004C76F7" w:rsidRPr="004C76F7" w14:paraId="669C3DD6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5B9CD8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19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106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Default</w:t>
            </w:r>
          </w:p>
        </w:tc>
      </w:tr>
      <w:tr w:rsidR="004C76F7" w:rsidRPr="004C76F7" w14:paraId="2B11CE9B" w14:textId="77777777" w:rsidTr="006B4C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2FD21EC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2C9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767" w14:textId="77777777" w:rsidR="004C76F7" w:rsidRPr="004C76F7" w:rsidRDefault="004C76F7" w:rsidP="004C7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6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Terminated</w:t>
            </w:r>
          </w:p>
        </w:tc>
      </w:tr>
    </w:tbl>
    <w:p w14:paraId="7D7E0692" w14:textId="77777777" w:rsidR="001330CD" w:rsidRDefault="001330CD" w:rsidP="003F5C09">
      <w:pPr>
        <w:ind w:left="720"/>
        <w:rPr>
          <w:sz w:val="20"/>
          <w:szCs w:val="20"/>
        </w:rPr>
      </w:pPr>
    </w:p>
    <w:p w14:paraId="32BAEC83" w14:textId="27576203" w:rsidR="00320CD8" w:rsidRDefault="009C787F" w:rsidP="003F5C09">
      <w:pPr>
        <w:ind w:left="720"/>
        <w:rPr>
          <w:sz w:val="20"/>
          <w:szCs w:val="20"/>
        </w:rPr>
      </w:pPr>
      <w:r w:rsidRPr="00AB0983">
        <w:rPr>
          <w:sz w:val="20"/>
          <w:szCs w:val="20"/>
        </w:rPr>
        <w:t>Source: Giliberto-Levy</w:t>
      </w:r>
    </w:p>
    <w:p w14:paraId="5E57D325" w14:textId="6A4C2C46" w:rsidR="00B43C56" w:rsidRDefault="00B43C56" w:rsidP="003F5C09">
      <w:pPr>
        <w:ind w:left="720"/>
        <w:rPr>
          <w:sz w:val="20"/>
          <w:szCs w:val="20"/>
        </w:rPr>
      </w:pPr>
    </w:p>
    <w:p w14:paraId="074B609C" w14:textId="3FADADC7" w:rsidR="00B43C56" w:rsidRDefault="00D316EB" w:rsidP="003F5C09">
      <w:pPr>
        <w:ind w:left="720"/>
      </w:pPr>
      <w:r>
        <w:t xml:space="preserve">Note that </w:t>
      </w:r>
      <w:r w:rsidR="00254EFC">
        <w:t xml:space="preserve">Table 1 reflects </w:t>
      </w:r>
      <w:r w:rsidR="00555B18">
        <w:t>one office l</w:t>
      </w:r>
      <w:r>
        <w:t>oan</w:t>
      </w:r>
      <w:r w:rsidR="0088368D">
        <w:t xml:space="preserve"> </w:t>
      </w:r>
      <w:r>
        <w:t>transition</w:t>
      </w:r>
      <w:r w:rsidR="00254EFC">
        <w:t>ing</w:t>
      </w:r>
      <w:r>
        <w:t xml:space="preserve"> from delinquent to </w:t>
      </w:r>
      <w:r w:rsidR="00E801C1">
        <w:t>in default</w:t>
      </w:r>
      <w:r w:rsidR="00254EFC">
        <w:t>.</w:t>
      </w:r>
      <w:r w:rsidR="00E801C1">
        <w:t xml:space="preserve"> </w:t>
      </w:r>
    </w:p>
    <w:p w14:paraId="70C825A0" w14:textId="6F0A777E" w:rsidR="007928A4" w:rsidRDefault="005E7D4B" w:rsidP="00105099">
      <w:pPr>
        <w:ind w:left="720"/>
      </w:pPr>
      <w:r>
        <w:t xml:space="preserve">The average mark </w:t>
      </w:r>
      <w:r w:rsidR="00254EFC">
        <w:t xml:space="preserve">to market </w:t>
      </w:r>
      <w:r>
        <w:t xml:space="preserve">on loans with </w:t>
      </w:r>
      <w:r w:rsidR="00DC3F7A">
        <w:t xml:space="preserve">known </w:t>
      </w:r>
      <w:r>
        <w:t xml:space="preserve">credit events was </w:t>
      </w:r>
      <w:r w:rsidR="00DC3F7A">
        <w:t>63</w:t>
      </w:r>
      <w:r>
        <w:t xml:space="preserve">% of par as of </w:t>
      </w:r>
      <w:r w:rsidR="00DC3F7A">
        <w:t>September</w:t>
      </w:r>
      <w:r>
        <w:t xml:space="preserve"> 30, 2021</w:t>
      </w:r>
      <w:r w:rsidR="00D02F42">
        <w:t xml:space="preserve">. Excluding </w:t>
      </w:r>
      <w:r w:rsidR="007C2294">
        <w:t xml:space="preserve">those </w:t>
      </w:r>
      <w:r w:rsidR="00D02F42">
        <w:t xml:space="preserve">loans valued at par – generally loans receiving interest deferrals </w:t>
      </w:r>
      <w:r w:rsidR="00561C8E">
        <w:t xml:space="preserve">– the average mark was about 50% of par. </w:t>
      </w:r>
    </w:p>
    <w:p w14:paraId="0ABCB3B2" w14:textId="10425923" w:rsidR="00697B43" w:rsidRDefault="00697B43" w:rsidP="00105099">
      <w:pPr>
        <w:ind w:left="720"/>
      </w:pPr>
      <w:r>
        <w:t>Several participants mentioned they anticipated selling some loans</w:t>
      </w:r>
      <w:r w:rsidR="009914F5">
        <w:t xml:space="preserve"> in 4Q 2021</w:t>
      </w:r>
      <w:r w:rsidR="006A7F89">
        <w:t xml:space="preserve">. </w:t>
      </w:r>
      <w:r w:rsidR="00861BDD">
        <w:t>If sales do take place, w</w:t>
      </w:r>
      <w:r w:rsidR="0060464E">
        <w:t>e will report average selling prices</w:t>
      </w:r>
      <w:r w:rsidR="00015FD6">
        <w:t>.</w:t>
      </w:r>
    </w:p>
    <w:sectPr w:rsidR="00697B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E936" w14:textId="77777777" w:rsidR="00F01DA3" w:rsidRDefault="00F01DA3" w:rsidP="0021702F">
      <w:pPr>
        <w:spacing w:after="0" w:line="240" w:lineRule="auto"/>
      </w:pPr>
      <w:r>
        <w:separator/>
      </w:r>
    </w:p>
  </w:endnote>
  <w:endnote w:type="continuationSeparator" w:id="0">
    <w:p w14:paraId="20B4C070" w14:textId="77777777" w:rsidR="00F01DA3" w:rsidRDefault="00F01DA3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09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3BC20" w14:textId="6B4B17CC" w:rsidR="00BD4182" w:rsidRDefault="00BD4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B79D1" w14:textId="77777777" w:rsidR="00BD4182" w:rsidRDefault="00BD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03C2" w14:textId="77777777" w:rsidR="00F01DA3" w:rsidRDefault="00F01DA3" w:rsidP="0021702F">
      <w:pPr>
        <w:spacing w:after="0" w:line="240" w:lineRule="auto"/>
      </w:pPr>
      <w:r>
        <w:separator/>
      </w:r>
    </w:p>
  </w:footnote>
  <w:footnote w:type="continuationSeparator" w:id="0">
    <w:p w14:paraId="2DB6BD4D" w14:textId="77777777" w:rsidR="00F01DA3" w:rsidRDefault="00F01DA3" w:rsidP="0021702F">
      <w:pPr>
        <w:spacing w:after="0" w:line="240" w:lineRule="auto"/>
      </w:pPr>
      <w:r>
        <w:continuationSeparator/>
      </w:r>
    </w:p>
  </w:footnote>
  <w:footnote w:id="1">
    <w:p w14:paraId="412A7E7E" w14:textId="0588CDE3" w:rsidR="0021702F" w:rsidRDefault="002170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188F">
        <w:t xml:space="preserve">Results reflect performance fully netted for use of leverage to “manufacture mezz” from senior whole loans. </w:t>
      </w:r>
      <w:r w:rsidR="00C42D7F">
        <w:t>Reported components may not sum to totals due to rounding.</w:t>
      </w:r>
      <w:r w:rsidR="006B254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B7"/>
    <w:multiLevelType w:val="hybridMultilevel"/>
    <w:tmpl w:val="DAA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6FD"/>
    <w:multiLevelType w:val="hybridMultilevel"/>
    <w:tmpl w:val="D57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83F"/>
    <w:multiLevelType w:val="hybridMultilevel"/>
    <w:tmpl w:val="B5F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24F3"/>
    <w:multiLevelType w:val="hybridMultilevel"/>
    <w:tmpl w:val="6F5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4D4"/>
    <w:multiLevelType w:val="hybridMultilevel"/>
    <w:tmpl w:val="408A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C4495"/>
    <w:multiLevelType w:val="hybridMultilevel"/>
    <w:tmpl w:val="8AE0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81F1C"/>
    <w:multiLevelType w:val="hybridMultilevel"/>
    <w:tmpl w:val="5772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24"/>
    <w:rsid w:val="00001071"/>
    <w:rsid w:val="000016F0"/>
    <w:rsid w:val="00003481"/>
    <w:rsid w:val="000055DC"/>
    <w:rsid w:val="00005F03"/>
    <w:rsid w:val="000062F3"/>
    <w:rsid w:val="00010432"/>
    <w:rsid w:val="00014B4D"/>
    <w:rsid w:val="00015FD6"/>
    <w:rsid w:val="00022ABC"/>
    <w:rsid w:val="00025001"/>
    <w:rsid w:val="00026EC8"/>
    <w:rsid w:val="00035C63"/>
    <w:rsid w:val="00036C74"/>
    <w:rsid w:val="00037B43"/>
    <w:rsid w:val="00041BFD"/>
    <w:rsid w:val="000446B1"/>
    <w:rsid w:val="0005004F"/>
    <w:rsid w:val="000552BB"/>
    <w:rsid w:val="00056500"/>
    <w:rsid w:val="00056BAD"/>
    <w:rsid w:val="000636A6"/>
    <w:rsid w:val="00064978"/>
    <w:rsid w:val="000661D8"/>
    <w:rsid w:val="0007012C"/>
    <w:rsid w:val="00070F5F"/>
    <w:rsid w:val="0007214A"/>
    <w:rsid w:val="00075335"/>
    <w:rsid w:val="00075FE8"/>
    <w:rsid w:val="00076D79"/>
    <w:rsid w:val="000905A3"/>
    <w:rsid w:val="00093CF1"/>
    <w:rsid w:val="00094A0E"/>
    <w:rsid w:val="000977A8"/>
    <w:rsid w:val="000A1CB1"/>
    <w:rsid w:val="000A5C81"/>
    <w:rsid w:val="000A64C6"/>
    <w:rsid w:val="000A7D19"/>
    <w:rsid w:val="000B3666"/>
    <w:rsid w:val="000B3E10"/>
    <w:rsid w:val="000B4059"/>
    <w:rsid w:val="000B6CEE"/>
    <w:rsid w:val="000C1066"/>
    <w:rsid w:val="000C42B9"/>
    <w:rsid w:val="000C581D"/>
    <w:rsid w:val="000D01E9"/>
    <w:rsid w:val="000D247D"/>
    <w:rsid w:val="000D33E4"/>
    <w:rsid w:val="000D505B"/>
    <w:rsid w:val="000D5B43"/>
    <w:rsid w:val="000D6176"/>
    <w:rsid w:val="000E12A5"/>
    <w:rsid w:val="000E2B62"/>
    <w:rsid w:val="000E6A32"/>
    <w:rsid w:val="000E7F49"/>
    <w:rsid w:val="000F35D8"/>
    <w:rsid w:val="000F3C0B"/>
    <w:rsid w:val="000F536E"/>
    <w:rsid w:val="000F66E3"/>
    <w:rsid w:val="000F6B4E"/>
    <w:rsid w:val="00105099"/>
    <w:rsid w:val="00105695"/>
    <w:rsid w:val="00105EEE"/>
    <w:rsid w:val="00106571"/>
    <w:rsid w:val="00106E99"/>
    <w:rsid w:val="00107F5D"/>
    <w:rsid w:val="0011369E"/>
    <w:rsid w:val="0011459F"/>
    <w:rsid w:val="001147C6"/>
    <w:rsid w:val="0011487E"/>
    <w:rsid w:val="00114D20"/>
    <w:rsid w:val="00120750"/>
    <w:rsid w:val="00120ABE"/>
    <w:rsid w:val="0012221A"/>
    <w:rsid w:val="00122919"/>
    <w:rsid w:val="00122DB6"/>
    <w:rsid w:val="00126580"/>
    <w:rsid w:val="001311A5"/>
    <w:rsid w:val="00132D00"/>
    <w:rsid w:val="001330CD"/>
    <w:rsid w:val="00133404"/>
    <w:rsid w:val="0013376D"/>
    <w:rsid w:val="00134CCB"/>
    <w:rsid w:val="0014090D"/>
    <w:rsid w:val="00140A34"/>
    <w:rsid w:val="001463DF"/>
    <w:rsid w:val="00147001"/>
    <w:rsid w:val="0014716D"/>
    <w:rsid w:val="00155F49"/>
    <w:rsid w:val="001571E6"/>
    <w:rsid w:val="00157B5B"/>
    <w:rsid w:val="00160FCE"/>
    <w:rsid w:val="001611A6"/>
    <w:rsid w:val="00161AC3"/>
    <w:rsid w:val="001644F1"/>
    <w:rsid w:val="00164613"/>
    <w:rsid w:val="00164AF9"/>
    <w:rsid w:val="00164EB5"/>
    <w:rsid w:val="00165746"/>
    <w:rsid w:val="00165BB8"/>
    <w:rsid w:val="00167FF7"/>
    <w:rsid w:val="001760FF"/>
    <w:rsid w:val="0017688D"/>
    <w:rsid w:val="001850F5"/>
    <w:rsid w:val="00185B10"/>
    <w:rsid w:val="00185ED8"/>
    <w:rsid w:val="001934DB"/>
    <w:rsid w:val="00193AF1"/>
    <w:rsid w:val="00196E14"/>
    <w:rsid w:val="001A4FD5"/>
    <w:rsid w:val="001A5E3B"/>
    <w:rsid w:val="001B057B"/>
    <w:rsid w:val="001B0CE9"/>
    <w:rsid w:val="001B0DC5"/>
    <w:rsid w:val="001B2F62"/>
    <w:rsid w:val="001B7CE0"/>
    <w:rsid w:val="001C012C"/>
    <w:rsid w:val="001C363B"/>
    <w:rsid w:val="001C4D28"/>
    <w:rsid w:val="001C5626"/>
    <w:rsid w:val="001D2CB2"/>
    <w:rsid w:val="001D3B6C"/>
    <w:rsid w:val="001D3FB5"/>
    <w:rsid w:val="001D5D09"/>
    <w:rsid w:val="001D7828"/>
    <w:rsid w:val="001E0E6B"/>
    <w:rsid w:val="001E2DFA"/>
    <w:rsid w:val="001E712E"/>
    <w:rsid w:val="001E7834"/>
    <w:rsid w:val="001E7D30"/>
    <w:rsid w:val="001F1DBB"/>
    <w:rsid w:val="001F216C"/>
    <w:rsid w:val="001F35D6"/>
    <w:rsid w:val="001F7BC2"/>
    <w:rsid w:val="00210DB0"/>
    <w:rsid w:val="00212B38"/>
    <w:rsid w:val="00212BB7"/>
    <w:rsid w:val="00213189"/>
    <w:rsid w:val="0021491D"/>
    <w:rsid w:val="002149B1"/>
    <w:rsid w:val="0021504B"/>
    <w:rsid w:val="00215701"/>
    <w:rsid w:val="0021702F"/>
    <w:rsid w:val="00217B68"/>
    <w:rsid w:val="00220045"/>
    <w:rsid w:val="00220EAA"/>
    <w:rsid w:val="0022318F"/>
    <w:rsid w:val="00223A6B"/>
    <w:rsid w:val="0022789D"/>
    <w:rsid w:val="00232631"/>
    <w:rsid w:val="00232939"/>
    <w:rsid w:val="002345F9"/>
    <w:rsid w:val="0023577D"/>
    <w:rsid w:val="00240054"/>
    <w:rsid w:val="00240ED5"/>
    <w:rsid w:val="00244B04"/>
    <w:rsid w:val="002462C6"/>
    <w:rsid w:val="002468BC"/>
    <w:rsid w:val="002470D5"/>
    <w:rsid w:val="00252C29"/>
    <w:rsid w:val="00254EFC"/>
    <w:rsid w:val="00272F7F"/>
    <w:rsid w:val="0027405A"/>
    <w:rsid w:val="00274FC3"/>
    <w:rsid w:val="00276AFC"/>
    <w:rsid w:val="00277579"/>
    <w:rsid w:val="002777C1"/>
    <w:rsid w:val="00277A33"/>
    <w:rsid w:val="00281AC3"/>
    <w:rsid w:val="0028223B"/>
    <w:rsid w:val="0028318E"/>
    <w:rsid w:val="0028679F"/>
    <w:rsid w:val="002909DD"/>
    <w:rsid w:val="002930F3"/>
    <w:rsid w:val="00296A64"/>
    <w:rsid w:val="00296EF8"/>
    <w:rsid w:val="002A079D"/>
    <w:rsid w:val="002A14DD"/>
    <w:rsid w:val="002A4CD7"/>
    <w:rsid w:val="002A68DE"/>
    <w:rsid w:val="002A6B0A"/>
    <w:rsid w:val="002B186B"/>
    <w:rsid w:val="002B7E57"/>
    <w:rsid w:val="002C2FC8"/>
    <w:rsid w:val="002C63C4"/>
    <w:rsid w:val="002C64C0"/>
    <w:rsid w:val="002C73B2"/>
    <w:rsid w:val="002C74D7"/>
    <w:rsid w:val="002D025E"/>
    <w:rsid w:val="002D0918"/>
    <w:rsid w:val="002D0DC6"/>
    <w:rsid w:val="002D2B9C"/>
    <w:rsid w:val="002D355E"/>
    <w:rsid w:val="002D3DD7"/>
    <w:rsid w:val="002D6555"/>
    <w:rsid w:val="002D68B5"/>
    <w:rsid w:val="002E2B8A"/>
    <w:rsid w:val="002E6939"/>
    <w:rsid w:val="002E78EC"/>
    <w:rsid w:val="002F055F"/>
    <w:rsid w:val="002F1729"/>
    <w:rsid w:val="002F320B"/>
    <w:rsid w:val="002F6042"/>
    <w:rsid w:val="002F67E3"/>
    <w:rsid w:val="00301784"/>
    <w:rsid w:val="00302326"/>
    <w:rsid w:val="00302B5B"/>
    <w:rsid w:val="00302F9E"/>
    <w:rsid w:val="0030788B"/>
    <w:rsid w:val="003102DA"/>
    <w:rsid w:val="00311071"/>
    <w:rsid w:val="00311AD2"/>
    <w:rsid w:val="00312E25"/>
    <w:rsid w:val="00312F86"/>
    <w:rsid w:val="00320B39"/>
    <w:rsid w:val="00320CD8"/>
    <w:rsid w:val="00322341"/>
    <w:rsid w:val="00322594"/>
    <w:rsid w:val="00322C71"/>
    <w:rsid w:val="0033203F"/>
    <w:rsid w:val="00334EE3"/>
    <w:rsid w:val="00335129"/>
    <w:rsid w:val="00336210"/>
    <w:rsid w:val="0033706A"/>
    <w:rsid w:val="00340370"/>
    <w:rsid w:val="00341346"/>
    <w:rsid w:val="00347C84"/>
    <w:rsid w:val="003508A7"/>
    <w:rsid w:val="00350C59"/>
    <w:rsid w:val="00351CA1"/>
    <w:rsid w:val="00352C97"/>
    <w:rsid w:val="00353897"/>
    <w:rsid w:val="00353E97"/>
    <w:rsid w:val="00354ACA"/>
    <w:rsid w:val="00355A6D"/>
    <w:rsid w:val="00355C6C"/>
    <w:rsid w:val="003641EC"/>
    <w:rsid w:val="0036695F"/>
    <w:rsid w:val="00367E02"/>
    <w:rsid w:val="00373081"/>
    <w:rsid w:val="003740D1"/>
    <w:rsid w:val="003819F2"/>
    <w:rsid w:val="00381EAA"/>
    <w:rsid w:val="0038281E"/>
    <w:rsid w:val="00382B91"/>
    <w:rsid w:val="003835B7"/>
    <w:rsid w:val="00385323"/>
    <w:rsid w:val="00386026"/>
    <w:rsid w:val="0038723F"/>
    <w:rsid w:val="00387282"/>
    <w:rsid w:val="00391408"/>
    <w:rsid w:val="003940CB"/>
    <w:rsid w:val="00396854"/>
    <w:rsid w:val="003A5BBC"/>
    <w:rsid w:val="003A6545"/>
    <w:rsid w:val="003A7019"/>
    <w:rsid w:val="003A71D7"/>
    <w:rsid w:val="003B5F7F"/>
    <w:rsid w:val="003C5E7D"/>
    <w:rsid w:val="003C6EE0"/>
    <w:rsid w:val="003D4B26"/>
    <w:rsid w:val="003D52FE"/>
    <w:rsid w:val="003E0696"/>
    <w:rsid w:val="003E1E2E"/>
    <w:rsid w:val="003E3026"/>
    <w:rsid w:val="003E3575"/>
    <w:rsid w:val="003F02AD"/>
    <w:rsid w:val="003F24EA"/>
    <w:rsid w:val="003F3E38"/>
    <w:rsid w:val="003F5B21"/>
    <w:rsid w:val="003F5C09"/>
    <w:rsid w:val="003F788E"/>
    <w:rsid w:val="00402450"/>
    <w:rsid w:val="00402FE6"/>
    <w:rsid w:val="00403F8F"/>
    <w:rsid w:val="00404134"/>
    <w:rsid w:val="00406FFC"/>
    <w:rsid w:val="0041098A"/>
    <w:rsid w:val="0041533A"/>
    <w:rsid w:val="004161AB"/>
    <w:rsid w:val="00417265"/>
    <w:rsid w:val="00420727"/>
    <w:rsid w:val="004224B2"/>
    <w:rsid w:val="00422B59"/>
    <w:rsid w:val="00426B68"/>
    <w:rsid w:val="0042783F"/>
    <w:rsid w:val="004304CA"/>
    <w:rsid w:val="00434809"/>
    <w:rsid w:val="0044044F"/>
    <w:rsid w:val="00440724"/>
    <w:rsid w:val="00440817"/>
    <w:rsid w:val="00444550"/>
    <w:rsid w:val="00445425"/>
    <w:rsid w:val="0044593B"/>
    <w:rsid w:val="00445D6A"/>
    <w:rsid w:val="00446C08"/>
    <w:rsid w:val="00446E27"/>
    <w:rsid w:val="0045300A"/>
    <w:rsid w:val="00456337"/>
    <w:rsid w:val="00457C3E"/>
    <w:rsid w:val="004605C5"/>
    <w:rsid w:val="00460779"/>
    <w:rsid w:val="00461CDD"/>
    <w:rsid w:val="0046257F"/>
    <w:rsid w:val="00462C1E"/>
    <w:rsid w:val="00463A5A"/>
    <w:rsid w:val="00463C4D"/>
    <w:rsid w:val="00466062"/>
    <w:rsid w:val="004702FD"/>
    <w:rsid w:val="00473079"/>
    <w:rsid w:val="00473751"/>
    <w:rsid w:val="0047402D"/>
    <w:rsid w:val="00474665"/>
    <w:rsid w:val="004759EF"/>
    <w:rsid w:val="00476AC4"/>
    <w:rsid w:val="0048468E"/>
    <w:rsid w:val="00485609"/>
    <w:rsid w:val="00485644"/>
    <w:rsid w:val="004943EC"/>
    <w:rsid w:val="0049758C"/>
    <w:rsid w:val="004A11BA"/>
    <w:rsid w:val="004A191E"/>
    <w:rsid w:val="004A54EB"/>
    <w:rsid w:val="004A5FFE"/>
    <w:rsid w:val="004A6451"/>
    <w:rsid w:val="004A6C86"/>
    <w:rsid w:val="004B1EE7"/>
    <w:rsid w:val="004B3CDF"/>
    <w:rsid w:val="004B404C"/>
    <w:rsid w:val="004B4C42"/>
    <w:rsid w:val="004B702F"/>
    <w:rsid w:val="004B7321"/>
    <w:rsid w:val="004C1EF9"/>
    <w:rsid w:val="004C2AF5"/>
    <w:rsid w:val="004C2E4E"/>
    <w:rsid w:val="004C3930"/>
    <w:rsid w:val="004C76F7"/>
    <w:rsid w:val="004D2026"/>
    <w:rsid w:val="004D21E6"/>
    <w:rsid w:val="004D2651"/>
    <w:rsid w:val="004D2C59"/>
    <w:rsid w:val="004D3012"/>
    <w:rsid w:val="004D57B2"/>
    <w:rsid w:val="004E2075"/>
    <w:rsid w:val="004E4251"/>
    <w:rsid w:val="004E6A49"/>
    <w:rsid w:val="004E7515"/>
    <w:rsid w:val="004E7F29"/>
    <w:rsid w:val="004F0D76"/>
    <w:rsid w:val="004F24A7"/>
    <w:rsid w:val="004F38BD"/>
    <w:rsid w:val="004F56A6"/>
    <w:rsid w:val="0050244F"/>
    <w:rsid w:val="005044D0"/>
    <w:rsid w:val="0050452A"/>
    <w:rsid w:val="00504594"/>
    <w:rsid w:val="00506DDD"/>
    <w:rsid w:val="0051089D"/>
    <w:rsid w:val="00510A27"/>
    <w:rsid w:val="00512F93"/>
    <w:rsid w:val="00515898"/>
    <w:rsid w:val="00516CC9"/>
    <w:rsid w:val="00520CD4"/>
    <w:rsid w:val="0052317F"/>
    <w:rsid w:val="005238AE"/>
    <w:rsid w:val="005238B3"/>
    <w:rsid w:val="00526D04"/>
    <w:rsid w:val="00530212"/>
    <w:rsid w:val="00533B52"/>
    <w:rsid w:val="00533B94"/>
    <w:rsid w:val="005360CC"/>
    <w:rsid w:val="00537466"/>
    <w:rsid w:val="005418D5"/>
    <w:rsid w:val="00542749"/>
    <w:rsid w:val="005443D9"/>
    <w:rsid w:val="00547BDB"/>
    <w:rsid w:val="00547D19"/>
    <w:rsid w:val="00550C54"/>
    <w:rsid w:val="00555B18"/>
    <w:rsid w:val="005561C1"/>
    <w:rsid w:val="00561C8E"/>
    <w:rsid w:val="0056442B"/>
    <w:rsid w:val="00566836"/>
    <w:rsid w:val="0057054E"/>
    <w:rsid w:val="00572CB2"/>
    <w:rsid w:val="00573C89"/>
    <w:rsid w:val="005752B0"/>
    <w:rsid w:val="00580113"/>
    <w:rsid w:val="00580C38"/>
    <w:rsid w:val="00583299"/>
    <w:rsid w:val="00583EA9"/>
    <w:rsid w:val="005864CB"/>
    <w:rsid w:val="00586A81"/>
    <w:rsid w:val="00590BED"/>
    <w:rsid w:val="0059162C"/>
    <w:rsid w:val="00593D6C"/>
    <w:rsid w:val="005977A4"/>
    <w:rsid w:val="005977B8"/>
    <w:rsid w:val="005A56E5"/>
    <w:rsid w:val="005A7423"/>
    <w:rsid w:val="005B32BB"/>
    <w:rsid w:val="005B433F"/>
    <w:rsid w:val="005B630B"/>
    <w:rsid w:val="005B64F0"/>
    <w:rsid w:val="005B7ED9"/>
    <w:rsid w:val="005C2CFA"/>
    <w:rsid w:val="005C3E9D"/>
    <w:rsid w:val="005C3FE5"/>
    <w:rsid w:val="005D1177"/>
    <w:rsid w:val="005D1181"/>
    <w:rsid w:val="005D6431"/>
    <w:rsid w:val="005E02AA"/>
    <w:rsid w:val="005E64C4"/>
    <w:rsid w:val="005E673B"/>
    <w:rsid w:val="005E7D4B"/>
    <w:rsid w:val="005F0CCB"/>
    <w:rsid w:val="005F53C1"/>
    <w:rsid w:val="005F548E"/>
    <w:rsid w:val="005F5922"/>
    <w:rsid w:val="005F6E4C"/>
    <w:rsid w:val="005F7673"/>
    <w:rsid w:val="00603A18"/>
    <w:rsid w:val="0060448C"/>
    <w:rsid w:val="0060464E"/>
    <w:rsid w:val="006064A1"/>
    <w:rsid w:val="00606B37"/>
    <w:rsid w:val="0061321B"/>
    <w:rsid w:val="0061335D"/>
    <w:rsid w:val="00613438"/>
    <w:rsid w:val="00614807"/>
    <w:rsid w:val="00615F92"/>
    <w:rsid w:val="006172BC"/>
    <w:rsid w:val="00617589"/>
    <w:rsid w:val="00625AF3"/>
    <w:rsid w:val="0062705A"/>
    <w:rsid w:val="006303B1"/>
    <w:rsid w:val="006344BC"/>
    <w:rsid w:val="00634512"/>
    <w:rsid w:val="00636430"/>
    <w:rsid w:val="00636735"/>
    <w:rsid w:val="00636AC3"/>
    <w:rsid w:val="0064063F"/>
    <w:rsid w:val="0064098E"/>
    <w:rsid w:val="0064188F"/>
    <w:rsid w:val="00641AD9"/>
    <w:rsid w:val="00642BE9"/>
    <w:rsid w:val="00643E65"/>
    <w:rsid w:val="006472E2"/>
    <w:rsid w:val="006477DA"/>
    <w:rsid w:val="00651A89"/>
    <w:rsid w:val="00655779"/>
    <w:rsid w:val="006561B1"/>
    <w:rsid w:val="00656AA9"/>
    <w:rsid w:val="00656E2E"/>
    <w:rsid w:val="006606B2"/>
    <w:rsid w:val="00661DB2"/>
    <w:rsid w:val="00665932"/>
    <w:rsid w:val="00665D29"/>
    <w:rsid w:val="006700AB"/>
    <w:rsid w:val="006717AC"/>
    <w:rsid w:val="0067333A"/>
    <w:rsid w:val="00673B0B"/>
    <w:rsid w:val="006775BD"/>
    <w:rsid w:val="006777C7"/>
    <w:rsid w:val="006826F3"/>
    <w:rsid w:val="00685E96"/>
    <w:rsid w:val="00686C82"/>
    <w:rsid w:val="00691A9F"/>
    <w:rsid w:val="006932EE"/>
    <w:rsid w:val="00693349"/>
    <w:rsid w:val="00696CA2"/>
    <w:rsid w:val="00697B43"/>
    <w:rsid w:val="006A2DA9"/>
    <w:rsid w:val="006A385E"/>
    <w:rsid w:val="006A3B44"/>
    <w:rsid w:val="006A7F89"/>
    <w:rsid w:val="006B1937"/>
    <w:rsid w:val="006B2547"/>
    <w:rsid w:val="006B3D7C"/>
    <w:rsid w:val="006B3DB8"/>
    <w:rsid w:val="006B4263"/>
    <w:rsid w:val="006B45D3"/>
    <w:rsid w:val="006B4CBC"/>
    <w:rsid w:val="006C03C6"/>
    <w:rsid w:val="006C0879"/>
    <w:rsid w:val="006C2944"/>
    <w:rsid w:val="006C34AD"/>
    <w:rsid w:val="006C3E7D"/>
    <w:rsid w:val="006C4049"/>
    <w:rsid w:val="006C409E"/>
    <w:rsid w:val="006C4D42"/>
    <w:rsid w:val="006C4F50"/>
    <w:rsid w:val="006C735D"/>
    <w:rsid w:val="006D1503"/>
    <w:rsid w:val="006D1B87"/>
    <w:rsid w:val="006D1D70"/>
    <w:rsid w:val="006D1DBB"/>
    <w:rsid w:val="006D20B4"/>
    <w:rsid w:val="006D2C2F"/>
    <w:rsid w:val="006D2FDE"/>
    <w:rsid w:val="006D5EE7"/>
    <w:rsid w:val="006D6FE3"/>
    <w:rsid w:val="006E360D"/>
    <w:rsid w:val="006E5505"/>
    <w:rsid w:val="006E5B59"/>
    <w:rsid w:val="006E73F4"/>
    <w:rsid w:val="006F32AF"/>
    <w:rsid w:val="006F3A5D"/>
    <w:rsid w:val="006F4EB1"/>
    <w:rsid w:val="006F796A"/>
    <w:rsid w:val="0070080B"/>
    <w:rsid w:val="007008C0"/>
    <w:rsid w:val="00711C25"/>
    <w:rsid w:val="00722D5F"/>
    <w:rsid w:val="00723FA3"/>
    <w:rsid w:val="007246FB"/>
    <w:rsid w:val="00726795"/>
    <w:rsid w:val="007269F5"/>
    <w:rsid w:val="00735E8F"/>
    <w:rsid w:val="00740106"/>
    <w:rsid w:val="00740965"/>
    <w:rsid w:val="00741467"/>
    <w:rsid w:val="007448EA"/>
    <w:rsid w:val="007509ED"/>
    <w:rsid w:val="00750D62"/>
    <w:rsid w:val="00751BED"/>
    <w:rsid w:val="00752017"/>
    <w:rsid w:val="007532E1"/>
    <w:rsid w:val="007560E0"/>
    <w:rsid w:val="007574E3"/>
    <w:rsid w:val="007627EB"/>
    <w:rsid w:val="007630E6"/>
    <w:rsid w:val="007708DF"/>
    <w:rsid w:val="00776E30"/>
    <w:rsid w:val="00777241"/>
    <w:rsid w:val="00777978"/>
    <w:rsid w:val="00780584"/>
    <w:rsid w:val="007856A7"/>
    <w:rsid w:val="007917FE"/>
    <w:rsid w:val="007928A4"/>
    <w:rsid w:val="007942FC"/>
    <w:rsid w:val="00797A74"/>
    <w:rsid w:val="007A01E2"/>
    <w:rsid w:val="007A1068"/>
    <w:rsid w:val="007A16B2"/>
    <w:rsid w:val="007A1DF7"/>
    <w:rsid w:val="007A4BEE"/>
    <w:rsid w:val="007A5886"/>
    <w:rsid w:val="007B09D2"/>
    <w:rsid w:val="007B3C43"/>
    <w:rsid w:val="007B4803"/>
    <w:rsid w:val="007B48C1"/>
    <w:rsid w:val="007B50CC"/>
    <w:rsid w:val="007B573C"/>
    <w:rsid w:val="007C0A47"/>
    <w:rsid w:val="007C2077"/>
    <w:rsid w:val="007C2294"/>
    <w:rsid w:val="007C3455"/>
    <w:rsid w:val="007C5DB5"/>
    <w:rsid w:val="007D0467"/>
    <w:rsid w:val="007D1468"/>
    <w:rsid w:val="007D213E"/>
    <w:rsid w:val="007D2E0E"/>
    <w:rsid w:val="007D3DCB"/>
    <w:rsid w:val="007E6EA2"/>
    <w:rsid w:val="007F01CB"/>
    <w:rsid w:val="007F1091"/>
    <w:rsid w:val="007F5DF2"/>
    <w:rsid w:val="007F6D36"/>
    <w:rsid w:val="007F6E7E"/>
    <w:rsid w:val="00803518"/>
    <w:rsid w:val="00803AA8"/>
    <w:rsid w:val="00804142"/>
    <w:rsid w:val="00804C52"/>
    <w:rsid w:val="008056BD"/>
    <w:rsid w:val="00807D0E"/>
    <w:rsid w:val="00810A2B"/>
    <w:rsid w:val="008119D1"/>
    <w:rsid w:val="0082256E"/>
    <w:rsid w:val="00822F5D"/>
    <w:rsid w:val="00823E3A"/>
    <w:rsid w:val="00825D97"/>
    <w:rsid w:val="00831726"/>
    <w:rsid w:val="008320F9"/>
    <w:rsid w:val="00835037"/>
    <w:rsid w:val="00836FD3"/>
    <w:rsid w:val="00837C13"/>
    <w:rsid w:val="0084122B"/>
    <w:rsid w:val="00842AF3"/>
    <w:rsid w:val="00842F00"/>
    <w:rsid w:val="00843A95"/>
    <w:rsid w:val="00844558"/>
    <w:rsid w:val="008446CC"/>
    <w:rsid w:val="008460C4"/>
    <w:rsid w:val="0084719F"/>
    <w:rsid w:val="00847A71"/>
    <w:rsid w:val="00850469"/>
    <w:rsid w:val="008521D3"/>
    <w:rsid w:val="0085220A"/>
    <w:rsid w:val="00855781"/>
    <w:rsid w:val="00855B2F"/>
    <w:rsid w:val="0085605B"/>
    <w:rsid w:val="008610F3"/>
    <w:rsid w:val="00861196"/>
    <w:rsid w:val="00861BDD"/>
    <w:rsid w:val="00867454"/>
    <w:rsid w:val="0087029E"/>
    <w:rsid w:val="008724D4"/>
    <w:rsid w:val="00873925"/>
    <w:rsid w:val="0087796B"/>
    <w:rsid w:val="008800C7"/>
    <w:rsid w:val="00882171"/>
    <w:rsid w:val="0088368D"/>
    <w:rsid w:val="0088415D"/>
    <w:rsid w:val="00884E34"/>
    <w:rsid w:val="008852D7"/>
    <w:rsid w:val="0088672D"/>
    <w:rsid w:val="00887F48"/>
    <w:rsid w:val="00890FE4"/>
    <w:rsid w:val="008922DA"/>
    <w:rsid w:val="008925AB"/>
    <w:rsid w:val="00892FAB"/>
    <w:rsid w:val="00896537"/>
    <w:rsid w:val="008A59B4"/>
    <w:rsid w:val="008A6314"/>
    <w:rsid w:val="008A7595"/>
    <w:rsid w:val="008A7828"/>
    <w:rsid w:val="008B078C"/>
    <w:rsid w:val="008B28E5"/>
    <w:rsid w:val="008B3959"/>
    <w:rsid w:val="008B5A24"/>
    <w:rsid w:val="008B5E0E"/>
    <w:rsid w:val="008B6BAF"/>
    <w:rsid w:val="008C0D9D"/>
    <w:rsid w:val="008C21BE"/>
    <w:rsid w:val="008C496C"/>
    <w:rsid w:val="008D012F"/>
    <w:rsid w:val="008D4709"/>
    <w:rsid w:val="008D5309"/>
    <w:rsid w:val="008E0265"/>
    <w:rsid w:val="008E1633"/>
    <w:rsid w:val="008E236B"/>
    <w:rsid w:val="008E409F"/>
    <w:rsid w:val="008E4D2C"/>
    <w:rsid w:val="008E5754"/>
    <w:rsid w:val="008E5FA4"/>
    <w:rsid w:val="008E6787"/>
    <w:rsid w:val="008E6FA3"/>
    <w:rsid w:val="008F0322"/>
    <w:rsid w:val="008F1F32"/>
    <w:rsid w:val="009001E2"/>
    <w:rsid w:val="0090058B"/>
    <w:rsid w:val="00911573"/>
    <w:rsid w:val="00911B29"/>
    <w:rsid w:val="0091359F"/>
    <w:rsid w:val="009141E5"/>
    <w:rsid w:val="00914335"/>
    <w:rsid w:val="009159CF"/>
    <w:rsid w:val="00917B5E"/>
    <w:rsid w:val="009203B8"/>
    <w:rsid w:val="00922E9F"/>
    <w:rsid w:val="00923380"/>
    <w:rsid w:val="009234AC"/>
    <w:rsid w:val="00923544"/>
    <w:rsid w:val="009236C5"/>
    <w:rsid w:val="00924640"/>
    <w:rsid w:val="00925CC5"/>
    <w:rsid w:val="009267CE"/>
    <w:rsid w:val="009315A6"/>
    <w:rsid w:val="00932F95"/>
    <w:rsid w:val="00933BED"/>
    <w:rsid w:val="0093406C"/>
    <w:rsid w:val="009345A7"/>
    <w:rsid w:val="00934F21"/>
    <w:rsid w:val="0093702F"/>
    <w:rsid w:val="00937FC4"/>
    <w:rsid w:val="009460B6"/>
    <w:rsid w:val="00947CEE"/>
    <w:rsid w:val="00947F5D"/>
    <w:rsid w:val="00951507"/>
    <w:rsid w:val="00954ED5"/>
    <w:rsid w:val="00956D34"/>
    <w:rsid w:val="00957974"/>
    <w:rsid w:val="00963CE4"/>
    <w:rsid w:val="00964B40"/>
    <w:rsid w:val="00966498"/>
    <w:rsid w:val="009705D8"/>
    <w:rsid w:val="009708B1"/>
    <w:rsid w:val="00972590"/>
    <w:rsid w:val="00972A29"/>
    <w:rsid w:val="00973A3D"/>
    <w:rsid w:val="00975447"/>
    <w:rsid w:val="00977894"/>
    <w:rsid w:val="00977A33"/>
    <w:rsid w:val="00980ACD"/>
    <w:rsid w:val="00981FBD"/>
    <w:rsid w:val="00981FFB"/>
    <w:rsid w:val="009863BB"/>
    <w:rsid w:val="0098641F"/>
    <w:rsid w:val="009900E1"/>
    <w:rsid w:val="009914F5"/>
    <w:rsid w:val="00991523"/>
    <w:rsid w:val="00991A1B"/>
    <w:rsid w:val="00993712"/>
    <w:rsid w:val="009A12A9"/>
    <w:rsid w:val="009A27A1"/>
    <w:rsid w:val="009A5371"/>
    <w:rsid w:val="009A5F54"/>
    <w:rsid w:val="009A6E68"/>
    <w:rsid w:val="009A765E"/>
    <w:rsid w:val="009B09B2"/>
    <w:rsid w:val="009B0D33"/>
    <w:rsid w:val="009B4090"/>
    <w:rsid w:val="009B75ED"/>
    <w:rsid w:val="009C1EFC"/>
    <w:rsid w:val="009C30AE"/>
    <w:rsid w:val="009C390B"/>
    <w:rsid w:val="009C3DC4"/>
    <w:rsid w:val="009C6A7F"/>
    <w:rsid w:val="009C787F"/>
    <w:rsid w:val="009D0270"/>
    <w:rsid w:val="009D0D06"/>
    <w:rsid w:val="009D72B0"/>
    <w:rsid w:val="009E08F5"/>
    <w:rsid w:val="009E2EB7"/>
    <w:rsid w:val="009E41F8"/>
    <w:rsid w:val="009E6DC2"/>
    <w:rsid w:val="009F1DC0"/>
    <w:rsid w:val="009F2571"/>
    <w:rsid w:val="009F5FE4"/>
    <w:rsid w:val="009F6533"/>
    <w:rsid w:val="009F6780"/>
    <w:rsid w:val="009F6C1F"/>
    <w:rsid w:val="00A00281"/>
    <w:rsid w:val="00A01C7A"/>
    <w:rsid w:val="00A025FF"/>
    <w:rsid w:val="00A04119"/>
    <w:rsid w:val="00A04718"/>
    <w:rsid w:val="00A04FF1"/>
    <w:rsid w:val="00A07A11"/>
    <w:rsid w:val="00A10E55"/>
    <w:rsid w:val="00A1496B"/>
    <w:rsid w:val="00A154CB"/>
    <w:rsid w:val="00A15751"/>
    <w:rsid w:val="00A16471"/>
    <w:rsid w:val="00A213C6"/>
    <w:rsid w:val="00A21F6E"/>
    <w:rsid w:val="00A2247A"/>
    <w:rsid w:val="00A22AE4"/>
    <w:rsid w:val="00A267D9"/>
    <w:rsid w:val="00A26F32"/>
    <w:rsid w:val="00A3318E"/>
    <w:rsid w:val="00A33C08"/>
    <w:rsid w:val="00A37BAA"/>
    <w:rsid w:val="00A4038B"/>
    <w:rsid w:val="00A45720"/>
    <w:rsid w:val="00A459E7"/>
    <w:rsid w:val="00A50D66"/>
    <w:rsid w:val="00A54E22"/>
    <w:rsid w:val="00A55F7F"/>
    <w:rsid w:val="00A56864"/>
    <w:rsid w:val="00A61A48"/>
    <w:rsid w:val="00A648F3"/>
    <w:rsid w:val="00A65DBE"/>
    <w:rsid w:val="00A6667C"/>
    <w:rsid w:val="00A701A0"/>
    <w:rsid w:val="00A7179E"/>
    <w:rsid w:val="00A74215"/>
    <w:rsid w:val="00A77416"/>
    <w:rsid w:val="00A80BDD"/>
    <w:rsid w:val="00A827D1"/>
    <w:rsid w:val="00A8280D"/>
    <w:rsid w:val="00A832C2"/>
    <w:rsid w:val="00A85437"/>
    <w:rsid w:val="00A86185"/>
    <w:rsid w:val="00A90BF0"/>
    <w:rsid w:val="00A94A8C"/>
    <w:rsid w:val="00A951D9"/>
    <w:rsid w:val="00A9581D"/>
    <w:rsid w:val="00A95FC7"/>
    <w:rsid w:val="00A96474"/>
    <w:rsid w:val="00A97667"/>
    <w:rsid w:val="00AA35D8"/>
    <w:rsid w:val="00AA4EEB"/>
    <w:rsid w:val="00AA718D"/>
    <w:rsid w:val="00AA79B1"/>
    <w:rsid w:val="00AB0983"/>
    <w:rsid w:val="00AB31D3"/>
    <w:rsid w:val="00AB626F"/>
    <w:rsid w:val="00AB6F6B"/>
    <w:rsid w:val="00AB7701"/>
    <w:rsid w:val="00AC194F"/>
    <w:rsid w:val="00AC264F"/>
    <w:rsid w:val="00AC44C7"/>
    <w:rsid w:val="00AC5C45"/>
    <w:rsid w:val="00AC62D2"/>
    <w:rsid w:val="00AD18FF"/>
    <w:rsid w:val="00AD2A48"/>
    <w:rsid w:val="00AD3AE5"/>
    <w:rsid w:val="00AD4DF8"/>
    <w:rsid w:val="00AD698E"/>
    <w:rsid w:val="00AE139C"/>
    <w:rsid w:val="00AE312D"/>
    <w:rsid w:val="00AE4611"/>
    <w:rsid w:val="00AE4C76"/>
    <w:rsid w:val="00AF1CFF"/>
    <w:rsid w:val="00AF31D6"/>
    <w:rsid w:val="00AF51F9"/>
    <w:rsid w:val="00AF5C3D"/>
    <w:rsid w:val="00AF7C2D"/>
    <w:rsid w:val="00B00AE0"/>
    <w:rsid w:val="00B05AD5"/>
    <w:rsid w:val="00B0653E"/>
    <w:rsid w:val="00B07E47"/>
    <w:rsid w:val="00B12780"/>
    <w:rsid w:val="00B14AA8"/>
    <w:rsid w:val="00B14DC6"/>
    <w:rsid w:val="00B17F18"/>
    <w:rsid w:val="00B208F7"/>
    <w:rsid w:val="00B2183E"/>
    <w:rsid w:val="00B23321"/>
    <w:rsid w:val="00B25493"/>
    <w:rsid w:val="00B26426"/>
    <w:rsid w:val="00B264DC"/>
    <w:rsid w:val="00B305E3"/>
    <w:rsid w:val="00B31A7A"/>
    <w:rsid w:val="00B337A7"/>
    <w:rsid w:val="00B34105"/>
    <w:rsid w:val="00B34C9A"/>
    <w:rsid w:val="00B3607C"/>
    <w:rsid w:val="00B43C56"/>
    <w:rsid w:val="00B45FB8"/>
    <w:rsid w:val="00B46197"/>
    <w:rsid w:val="00B4658F"/>
    <w:rsid w:val="00B4699A"/>
    <w:rsid w:val="00B46D3D"/>
    <w:rsid w:val="00B47148"/>
    <w:rsid w:val="00B5007C"/>
    <w:rsid w:val="00B50AD8"/>
    <w:rsid w:val="00B50B77"/>
    <w:rsid w:val="00B520BA"/>
    <w:rsid w:val="00B5437F"/>
    <w:rsid w:val="00B55036"/>
    <w:rsid w:val="00B60B4D"/>
    <w:rsid w:val="00B6468C"/>
    <w:rsid w:val="00B6490E"/>
    <w:rsid w:val="00B66C22"/>
    <w:rsid w:val="00B67119"/>
    <w:rsid w:val="00B7056A"/>
    <w:rsid w:val="00B72671"/>
    <w:rsid w:val="00B72AD8"/>
    <w:rsid w:val="00B730B0"/>
    <w:rsid w:val="00B75968"/>
    <w:rsid w:val="00B76FC7"/>
    <w:rsid w:val="00B7736D"/>
    <w:rsid w:val="00B777C3"/>
    <w:rsid w:val="00B80180"/>
    <w:rsid w:val="00B801F2"/>
    <w:rsid w:val="00B80868"/>
    <w:rsid w:val="00B81E5C"/>
    <w:rsid w:val="00B82959"/>
    <w:rsid w:val="00B860F2"/>
    <w:rsid w:val="00B90DCA"/>
    <w:rsid w:val="00B945F8"/>
    <w:rsid w:val="00B94856"/>
    <w:rsid w:val="00B97727"/>
    <w:rsid w:val="00BA01F4"/>
    <w:rsid w:val="00BA176D"/>
    <w:rsid w:val="00BA6F35"/>
    <w:rsid w:val="00BA7A21"/>
    <w:rsid w:val="00BB1176"/>
    <w:rsid w:val="00BB3E45"/>
    <w:rsid w:val="00BB6630"/>
    <w:rsid w:val="00BC06D8"/>
    <w:rsid w:val="00BC08C4"/>
    <w:rsid w:val="00BC11D4"/>
    <w:rsid w:val="00BC22E6"/>
    <w:rsid w:val="00BC299A"/>
    <w:rsid w:val="00BC3BA6"/>
    <w:rsid w:val="00BC4684"/>
    <w:rsid w:val="00BC6869"/>
    <w:rsid w:val="00BD189F"/>
    <w:rsid w:val="00BD4070"/>
    <w:rsid w:val="00BD4182"/>
    <w:rsid w:val="00BD47A4"/>
    <w:rsid w:val="00BD6197"/>
    <w:rsid w:val="00BD64E7"/>
    <w:rsid w:val="00BD6F4E"/>
    <w:rsid w:val="00BD7A79"/>
    <w:rsid w:val="00BE4341"/>
    <w:rsid w:val="00BE672B"/>
    <w:rsid w:val="00BE7666"/>
    <w:rsid w:val="00BF18C6"/>
    <w:rsid w:val="00BF33AB"/>
    <w:rsid w:val="00BF5148"/>
    <w:rsid w:val="00BF518E"/>
    <w:rsid w:val="00BF76F1"/>
    <w:rsid w:val="00C04453"/>
    <w:rsid w:val="00C0565C"/>
    <w:rsid w:val="00C05EB8"/>
    <w:rsid w:val="00C06623"/>
    <w:rsid w:val="00C1099A"/>
    <w:rsid w:val="00C12D29"/>
    <w:rsid w:val="00C151AB"/>
    <w:rsid w:val="00C21CA2"/>
    <w:rsid w:val="00C2548B"/>
    <w:rsid w:val="00C25C2F"/>
    <w:rsid w:val="00C32996"/>
    <w:rsid w:val="00C35780"/>
    <w:rsid w:val="00C36F6B"/>
    <w:rsid w:val="00C423B4"/>
    <w:rsid w:val="00C42A03"/>
    <w:rsid w:val="00C42A83"/>
    <w:rsid w:val="00C42D7F"/>
    <w:rsid w:val="00C4467E"/>
    <w:rsid w:val="00C44911"/>
    <w:rsid w:val="00C45985"/>
    <w:rsid w:val="00C5019B"/>
    <w:rsid w:val="00C50724"/>
    <w:rsid w:val="00C51D9A"/>
    <w:rsid w:val="00C56195"/>
    <w:rsid w:val="00C60775"/>
    <w:rsid w:val="00C610B8"/>
    <w:rsid w:val="00C61CF2"/>
    <w:rsid w:val="00C62AD9"/>
    <w:rsid w:val="00C636FB"/>
    <w:rsid w:val="00C640F1"/>
    <w:rsid w:val="00C64468"/>
    <w:rsid w:val="00C64C7D"/>
    <w:rsid w:val="00C66BBF"/>
    <w:rsid w:val="00C674F5"/>
    <w:rsid w:val="00C6765C"/>
    <w:rsid w:val="00C70B10"/>
    <w:rsid w:val="00C719C6"/>
    <w:rsid w:val="00C74C32"/>
    <w:rsid w:val="00C75512"/>
    <w:rsid w:val="00C778BF"/>
    <w:rsid w:val="00C8065E"/>
    <w:rsid w:val="00C80FD6"/>
    <w:rsid w:val="00C81EF2"/>
    <w:rsid w:val="00C86BF3"/>
    <w:rsid w:val="00C907A2"/>
    <w:rsid w:val="00C921ED"/>
    <w:rsid w:val="00C93016"/>
    <w:rsid w:val="00C94A89"/>
    <w:rsid w:val="00C95EA0"/>
    <w:rsid w:val="00C96D17"/>
    <w:rsid w:val="00CA0999"/>
    <w:rsid w:val="00CA2453"/>
    <w:rsid w:val="00CA4356"/>
    <w:rsid w:val="00CA5139"/>
    <w:rsid w:val="00CB0F4F"/>
    <w:rsid w:val="00CB1654"/>
    <w:rsid w:val="00CB1AF5"/>
    <w:rsid w:val="00CB1EA1"/>
    <w:rsid w:val="00CB3A81"/>
    <w:rsid w:val="00CB3F5D"/>
    <w:rsid w:val="00CB5CBB"/>
    <w:rsid w:val="00CB5D35"/>
    <w:rsid w:val="00CB6A44"/>
    <w:rsid w:val="00CC3275"/>
    <w:rsid w:val="00CC4318"/>
    <w:rsid w:val="00CC7C11"/>
    <w:rsid w:val="00CD0EC6"/>
    <w:rsid w:val="00CD42EE"/>
    <w:rsid w:val="00CD6FB9"/>
    <w:rsid w:val="00CE00A4"/>
    <w:rsid w:val="00CE0552"/>
    <w:rsid w:val="00CE2837"/>
    <w:rsid w:val="00CE2D19"/>
    <w:rsid w:val="00CE446D"/>
    <w:rsid w:val="00CE6C6C"/>
    <w:rsid w:val="00CE7E21"/>
    <w:rsid w:val="00CE7F2E"/>
    <w:rsid w:val="00CF3A7C"/>
    <w:rsid w:val="00D0075B"/>
    <w:rsid w:val="00D02F42"/>
    <w:rsid w:val="00D05AC9"/>
    <w:rsid w:val="00D0679A"/>
    <w:rsid w:val="00D07AE9"/>
    <w:rsid w:val="00D12808"/>
    <w:rsid w:val="00D1617B"/>
    <w:rsid w:val="00D166E6"/>
    <w:rsid w:val="00D17295"/>
    <w:rsid w:val="00D17F67"/>
    <w:rsid w:val="00D20896"/>
    <w:rsid w:val="00D23CCB"/>
    <w:rsid w:val="00D2421E"/>
    <w:rsid w:val="00D2437F"/>
    <w:rsid w:val="00D316EB"/>
    <w:rsid w:val="00D34004"/>
    <w:rsid w:val="00D34798"/>
    <w:rsid w:val="00D35EBC"/>
    <w:rsid w:val="00D36117"/>
    <w:rsid w:val="00D3721E"/>
    <w:rsid w:val="00D46AAD"/>
    <w:rsid w:val="00D46DF7"/>
    <w:rsid w:val="00D4792E"/>
    <w:rsid w:val="00D47ACD"/>
    <w:rsid w:val="00D47F2E"/>
    <w:rsid w:val="00D51D03"/>
    <w:rsid w:val="00D54F80"/>
    <w:rsid w:val="00D554E3"/>
    <w:rsid w:val="00D56FAC"/>
    <w:rsid w:val="00D64633"/>
    <w:rsid w:val="00D655BA"/>
    <w:rsid w:val="00D667FB"/>
    <w:rsid w:val="00D66E1A"/>
    <w:rsid w:val="00D70661"/>
    <w:rsid w:val="00D74F49"/>
    <w:rsid w:val="00D75986"/>
    <w:rsid w:val="00D7799A"/>
    <w:rsid w:val="00D8562D"/>
    <w:rsid w:val="00D906FF"/>
    <w:rsid w:val="00D92721"/>
    <w:rsid w:val="00D95919"/>
    <w:rsid w:val="00D9759E"/>
    <w:rsid w:val="00DA2221"/>
    <w:rsid w:val="00DA4C87"/>
    <w:rsid w:val="00DA4E4D"/>
    <w:rsid w:val="00DB34CD"/>
    <w:rsid w:val="00DB60FC"/>
    <w:rsid w:val="00DC3F7A"/>
    <w:rsid w:val="00DC4B5B"/>
    <w:rsid w:val="00DC7E7A"/>
    <w:rsid w:val="00DD44E0"/>
    <w:rsid w:val="00DD7938"/>
    <w:rsid w:val="00DE0047"/>
    <w:rsid w:val="00DE3055"/>
    <w:rsid w:val="00DE3567"/>
    <w:rsid w:val="00DE6AFA"/>
    <w:rsid w:val="00DF0974"/>
    <w:rsid w:val="00DF3B29"/>
    <w:rsid w:val="00DF625D"/>
    <w:rsid w:val="00E03100"/>
    <w:rsid w:val="00E04062"/>
    <w:rsid w:val="00E060E9"/>
    <w:rsid w:val="00E1203F"/>
    <w:rsid w:val="00E13D25"/>
    <w:rsid w:val="00E20416"/>
    <w:rsid w:val="00E21363"/>
    <w:rsid w:val="00E22F7A"/>
    <w:rsid w:val="00E245F8"/>
    <w:rsid w:val="00E25F8A"/>
    <w:rsid w:val="00E311E4"/>
    <w:rsid w:val="00E31478"/>
    <w:rsid w:val="00E3204C"/>
    <w:rsid w:val="00E330C9"/>
    <w:rsid w:val="00E4162E"/>
    <w:rsid w:val="00E440B5"/>
    <w:rsid w:val="00E45EDB"/>
    <w:rsid w:val="00E472EF"/>
    <w:rsid w:val="00E52D77"/>
    <w:rsid w:val="00E5632F"/>
    <w:rsid w:val="00E61CA1"/>
    <w:rsid w:val="00E63E76"/>
    <w:rsid w:val="00E64A81"/>
    <w:rsid w:val="00E65626"/>
    <w:rsid w:val="00E65B27"/>
    <w:rsid w:val="00E66A69"/>
    <w:rsid w:val="00E708BF"/>
    <w:rsid w:val="00E717C9"/>
    <w:rsid w:val="00E71FE3"/>
    <w:rsid w:val="00E7524C"/>
    <w:rsid w:val="00E75C8E"/>
    <w:rsid w:val="00E761EA"/>
    <w:rsid w:val="00E77384"/>
    <w:rsid w:val="00E801C1"/>
    <w:rsid w:val="00E801D2"/>
    <w:rsid w:val="00E80747"/>
    <w:rsid w:val="00E80B08"/>
    <w:rsid w:val="00E81765"/>
    <w:rsid w:val="00E823E5"/>
    <w:rsid w:val="00E84989"/>
    <w:rsid w:val="00E8653E"/>
    <w:rsid w:val="00E8659D"/>
    <w:rsid w:val="00E90AC0"/>
    <w:rsid w:val="00E927BD"/>
    <w:rsid w:val="00E96BF5"/>
    <w:rsid w:val="00E972D8"/>
    <w:rsid w:val="00EA2A86"/>
    <w:rsid w:val="00EA469A"/>
    <w:rsid w:val="00EA5B3C"/>
    <w:rsid w:val="00EB3365"/>
    <w:rsid w:val="00EB3AF1"/>
    <w:rsid w:val="00EB6930"/>
    <w:rsid w:val="00EC1EEA"/>
    <w:rsid w:val="00EC4E01"/>
    <w:rsid w:val="00EC5A6E"/>
    <w:rsid w:val="00EC75D8"/>
    <w:rsid w:val="00ED0975"/>
    <w:rsid w:val="00ED154C"/>
    <w:rsid w:val="00ED7180"/>
    <w:rsid w:val="00ED78E6"/>
    <w:rsid w:val="00EE11C9"/>
    <w:rsid w:val="00EE32A7"/>
    <w:rsid w:val="00EE356B"/>
    <w:rsid w:val="00EE5E88"/>
    <w:rsid w:val="00EF1DE8"/>
    <w:rsid w:val="00EF3045"/>
    <w:rsid w:val="00EF519B"/>
    <w:rsid w:val="00F01568"/>
    <w:rsid w:val="00F01DA3"/>
    <w:rsid w:val="00F0213E"/>
    <w:rsid w:val="00F05DC2"/>
    <w:rsid w:val="00F06309"/>
    <w:rsid w:val="00F06F1F"/>
    <w:rsid w:val="00F11536"/>
    <w:rsid w:val="00F14485"/>
    <w:rsid w:val="00F1480C"/>
    <w:rsid w:val="00F16218"/>
    <w:rsid w:val="00F17117"/>
    <w:rsid w:val="00F17BA5"/>
    <w:rsid w:val="00F21329"/>
    <w:rsid w:val="00F22376"/>
    <w:rsid w:val="00F22936"/>
    <w:rsid w:val="00F23AF4"/>
    <w:rsid w:val="00F24485"/>
    <w:rsid w:val="00F24B01"/>
    <w:rsid w:val="00F30386"/>
    <w:rsid w:val="00F36013"/>
    <w:rsid w:val="00F379BF"/>
    <w:rsid w:val="00F37D68"/>
    <w:rsid w:val="00F37F03"/>
    <w:rsid w:val="00F41F4A"/>
    <w:rsid w:val="00F42957"/>
    <w:rsid w:val="00F45589"/>
    <w:rsid w:val="00F46133"/>
    <w:rsid w:val="00F470CB"/>
    <w:rsid w:val="00F47395"/>
    <w:rsid w:val="00F528D1"/>
    <w:rsid w:val="00F5579F"/>
    <w:rsid w:val="00F55CBD"/>
    <w:rsid w:val="00F6284C"/>
    <w:rsid w:val="00F62E9B"/>
    <w:rsid w:val="00F646D2"/>
    <w:rsid w:val="00F64CEA"/>
    <w:rsid w:val="00F72BB5"/>
    <w:rsid w:val="00F76CA7"/>
    <w:rsid w:val="00F908CF"/>
    <w:rsid w:val="00F92B1A"/>
    <w:rsid w:val="00F9335B"/>
    <w:rsid w:val="00F95714"/>
    <w:rsid w:val="00F95DF7"/>
    <w:rsid w:val="00FA1ADA"/>
    <w:rsid w:val="00FA2358"/>
    <w:rsid w:val="00FB0038"/>
    <w:rsid w:val="00FB0C4A"/>
    <w:rsid w:val="00FB15B6"/>
    <w:rsid w:val="00FB4DE1"/>
    <w:rsid w:val="00FB7E8E"/>
    <w:rsid w:val="00FC023F"/>
    <w:rsid w:val="00FC0CDD"/>
    <w:rsid w:val="00FC18F9"/>
    <w:rsid w:val="00FC1D10"/>
    <w:rsid w:val="00FC21D6"/>
    <w:rsid w:val="00FC2406"/>
    <w:rsid w:val="00FC2BD2"/>
    <w:rsid w:val="00FC4041"/>
    <w:rsid w:val="00FC6026"/>
    <w:rsid w:val="00FD0085"/>
    <w:rsid w:val="00FD3F23"/>
    <w:rsid w:val="00FD5891"/>
    <w:rsid w:val="00FD6D5D"/>
    <w:rsid w:val="00FE0412"/>
    <w:rsid w:val="00FE312B"/>
    <w:rsid w:val="00FE3456"/>
    <w:rsid w:val="00FE48C5"/>
    <w:rsid w:val="00FE4BB8"/>
    <w:rsid w:val="00FE5118"/>
    <w:rsid w:val="00FE5172"/>
    <w:rsid w:val="00FF3736"/>
    <w:rsid w:val="00FF3BAC"/>
    <w:rsid w:val="00FF4BC0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E988"/>
  <w15:chartTrackingRefBased/>
  <w15:docId w15:val="{72AA2431-53AF-4C80-9ECF-23D814A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5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0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0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82"/>
  </w:style>
  <w:style w:type="paragraph" w:styleId="Footer">
    <w:name w:val="footer"/>
    <w:basedOn w:val="Normal"/>
    <w:link w:val="FooterChar"/>
    <w:uiPriority w:val="99"/>
    <w:unhideWhenUsed/>
    <w:rsid w:val="00BD4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82"/>
  </w:style>
  <w:style w:type="table" w:styleId="TableGrid">
    <w:name w:val="Table Grid"/>
    <w:basedOn w:val="TableNormal"/>
    <w:uiPriority w:val="39"/>
    <w:rsid w:val="00E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3" ma:contentTypeDescription="Create a new document." ma:contentTypeScope="" ma:versionID="d7e9334ee45fd7f8907f15d38fb5b72d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069fee5fcea6cee9425adf666f9512be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F776D-C41B-4FA2-B98A-E0BDF98599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374E5-0FC6-4622-B36D-602EA849F9D6}"/>
</file>

<file path=customXml/itemProps3.xml><?xml version="1.0" encoding="utf-8"?>
<ds:datastoreItem xmlns:ds="http://schemas.openxmlformats.org/officeDocument/2006/customXml" ds:itemID="{72E65292-8135-42EC-94FE-43190B2829EC}"/>
</file>

<file path=customXml/itemProps4.xml><?xml version="1.0" encoding="utf-8"?>
<ds:datastoreItem xmlns:ds="http://schemas.openxmlformats.org/officeDocument/2006/customXml" ds:itemID="{6B5DE92D-1918-4502-BD4F-DDA4A03D5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Giliberto</dc:creator>
  <cp:keywords/>
  <dc:description/>
  <cp:lastModifiedBy>Michael Giliberto</cp:lastModifiedBy>
  <cp:revision>90</cp:revision>
  <cp:lastPrinted>2021-12-19T12:38:00Z</cp:lastPrinted>
  <dcterms:created xsi:type="dcterms:W3CDTF">2021-12-16T12:24:00Z</dcterms:created>
  <dcterms:modified xsi:type="dcterms:W3CDTF">2021-12-19T12:39:00Z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0x01010022495580B468F346A4C463B2EA7BEAA1</vt:lpwstr>
  </property>
</Properties>
</file>