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9796" w14:textId="27998D01" w:rsidR="00D75986" w:rsidRPr="00A6667C" w:rsidRDefault="00D75986">
      <w:pPr>
        <w:rPr>
          <w:b/>
          <w:bCs/>
          <w:sz w:val="28"/>
          <w:szCs w:val="28"/>
        </w:rPr>
      </w:pPr>
      <w:r w:rsidRPr="00A6667C">
        <w:rPr>
          <w:b/>
          <w:bCs/>
          <w:sz w:val="28"/>
          <w:szCs w:val="28"/>
        </w:rPr>
        <w:t xml:space="preserve">G-L 2 </w:t>
      </w:r>
      <w:r w:rsidR="00B80235">
        <w:rPr>
          <w:b/>
          <w:bCs/>
          <w:sz w:val="28"/>
          <w:szCs w:val="28"/>
        </w:rPr>
        <w:t>1</w:t>
      </w:r>
      <w:r w:rsidRPr="00A6667C">
        <w:rPr>
          <w:b/>
          <w:bCs/>
          <w:sz w:val="28"/>
          <w:szCs w:val="28"/>
        </w:rPr>
        <w:t>Q 20</w:t>
      </w:r>
      <w:r w:rsidR="00B777C3">
        <w:rPr>
          <w:b/>
          <w:bCs/>
          <w:sz w:val="28"/>
          <w:szCs w:val="28"/>
        </w:rPr>
        <w:t>2</w:t>
      </w:r>
      <w:r w:rsidR="00B80235">
        <w:rPr>
          <w:b/>
          <w:bCs/>
          <w:sz w:val="28"/>
          <w:szCs w:val="28"/>
        </w:rPr>
        <w:t>2</w:t>
      </w:r>
      <w:r w:rsidRPr="00A6667C">
        <w:rPr>
          <w:b/>
          <w:bCs/>
          <w:sz w:val="28"/>
          <w:szCs w:val="28"/>
        </w:rPr>
        <w:t xml:space="preserve"> </w:t>
      </w:r>
      <w:r w:rsidR="00232631">
        <w:rPr>
          <w:b/>
          <w:bCs/>
          <w:sz w:val="28"/>
          <w:szCs w:val="28"/>
        </w:rPr>
        <w:t>Quarterly Review</w:t>
      </w:r>
    </w:p>
    <w:p w14:paraId="5F1A78FF" w14:textId="61713FB5" w:rsidR="00D75986" w:rsidRDefault="00C907AF">
      <w:r>
        <w:t>June</w:t>
      </w:r>
      <w:r w:rsidR="00586A81">
        <w:t xml:space="preserve"> </w:t>
      </w:r>
      <w:r>
        <w:t>27</w:t>
      </w:r>
      <w:r w:rsidR="000661D8">
        <w:t>, 202</w:t>
      </w:r>
      <w:r w:rsidR="00AF53AB">
        <w:t>2</w:t>
      </w:r>
    </w:p>
    <w:tbl>
      <w:tblPr>
        <w:tblW w:w="6208" w:type="dxa"/>
        <w:tblInd w:w="1570" w:type="dxa"/>
        <w:tblLook w:val="04A0" w:firstRow="1" w:lastRow="0" w:firstColumn="1" w:lastColumn="0" w:noHBand="0" w:noVBand="1"/>
      </w:tblPr>
      <w:tblGrid>
        <w:gridCol w:w="288"/>
        <w:gridCol w:w="3596"/>
        <w:gridCol w:w="2036"/>
        <w:gridCol w:w="288"/>
      </w:tblGrid>
      <w:tr w:rsidR="007C47F7" w:rsidRPr="007C47F7" w14:paraId="66EA2ACE" w14:textId="77777777" w:rsidTr="007C47F7">
        <w:trPr>
          <w:trHeight w:val="30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44AD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5693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47F7">
              <w:rPr>
                <w:rFonts w:ascii="Calibri" w:eastAsia="Times New Roman" w:hAnsi="Calibri" w:cs="Calibri"/>
                <w:b/>
                <w:bCs/>
                <w:color w:val="000000"/>
              </w:rPr>
              <w:t>G-L 2 Return Summary: 1Q 2022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01F2" w14:textId="53CBC483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71C4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45AA34D4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04A4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DF51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1B29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F41A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29F77198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8960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F1FB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F650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 xml:space="preserve"> Return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2384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5DC0BEF8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AA9D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0D12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42AE" w14:textId="77777777" w:rsidR="007C47F7" w:rsidRPr="007C47F7" w:rsidRDefault="007C47F7" w:rsidP="007C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F092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59E76B4E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1732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BC13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All Investments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CF62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1.66%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E26D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21175368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64E8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DC64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C670" w14:textId="77777777" w:rsidR="007C47F7" w:rsidRPr="007C47F7" w:rsidRDefault="007C47F7" w:rsidP="007C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95EC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285EE08D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7A00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14D6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All Subordinate Positions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307B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1.69%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B73F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33BB2AC8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53F1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32C5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C47F7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Mezzanine Loans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90D2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1.69%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BFA7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121A344B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0E94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1386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C47F7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Leveraged Whole Loans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F660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1.79%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9851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29C3CF2D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E50F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32AF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C47F7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Other Sub. Debt *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534C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1.03%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376B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68B72AB8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B9E1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BFFC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F8D1" w14:textId="77777777" w:rsidR="007C47F7" w:rsidRPr="007C47F7" w:rsidRDefault="007C47F7" w:rsidP="007C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54B3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3AF9CC33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D0ED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E625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Senior Loans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EF50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1.45%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89B0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5A896D55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A143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4DEC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349E" w14:textId="77777777" w:rsidR="007C47F7" w:rsidRPr="007C47F7" w:rsidRDefault="007C47F7" w:rsidP="007C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822A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48430373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3B2E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43BB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Floating Rate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259D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1.64%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D939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0F1E876B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1EE8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89BD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Fixed Rate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013B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1.44%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3203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378C56D5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BDAF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A3B0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6ADB" w14:textId="77777777" w:rsidR="007C47F7" w:rsidRPr="007C47F7" w:rsidRDefault="007C47F7" w:rsidP="007C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3E2F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32DCD3B7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0757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65E8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Stabilized Assets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2BD4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1.48%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46D9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78885171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E800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1DA4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Bridge / Transitional Assets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0E05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1.72%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AFCD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31C1802A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5390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8A5D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Value-add Projects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DD77" w14:textId="77777777" w:rsidR="007C47F7" w:rsidRPr="007C47F7" w:rsidRDefault="007C47F7" w:rsidP="007C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1.72%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E33D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28E63711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9F66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0B95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32D0" w14:textId="77777777" w:rsidR="007C47F7" w:rsidRPr="007C47F7" w:rsidRDefault="007C47F7" w:rsidP="007C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2DAE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4E7F194D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4C43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96BF3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47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 B notes, second mortgages, preferred equity and other or unknown</w:t>
            </w:r>
          </w:p>
        </w:tc>
      </w:tr>
      <w:tr w:rsidR="007C47F7" w:rsidRPr="007C47F7" w14:paraId="337616D1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7882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15C1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50C6" w14:textId="77777777" w:rsidR="007C47F7" w:rsidRPr="007C47F7" w:rsidRDefault="007C47F7" w:rsidP="007C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9698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7F7" w:rsidRPr="007C47F7" w14:paraId="0FC6FA30" w14:textId="77777777" w:rsidTr="007C47F7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62259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082AF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Source: Giliberto-Levy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21898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285B" w14:textId="77777777" w:rsidR="007C47F7" w:rsidRPr="007C47F7" w:rsidRDefault="007C47F7" w:rsidP="007C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7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C695881" w14:textId="77777777" w:rsidR="00B50AD8" w:rsidRDefault="00B50AD8"/>
    <w:p w14:paraId="2689EBCC" w14:textId="240A50F2" w:rsidR="00981FBD" w:rsidRPr="00981FBD" w:rsidRDefault="00580C38" w:rsidP="00981FBD">
      <w:pPr>
        <w:rPr>
          <w:sz w:val="18"/>
          <w:szCs w:val="18"/>
        </w:rPr>
      </w:pPr>
      <w:r w:rsidRPr="00981FBD">
        <w:rPr>
          <w:sz w:val="18"/>
          <w:szCs w:val="18"/>
        </w:rPr>
        <w:t xml:space="preserve">Note: </w:t>
      </w:r>
      <w:r w:rsidR="00981FBD" w:rsidRPr="00981FBD">
        <w:rPr>
          <w:sz w:val="18"/>
          <w:szCs w:val="18"/>
        </w:rPr>
        <w:t>Several loans have all data needed to generate investment returns but have not yet provided attribute data. As a result, some reported sub-category returns</w:t>
      </w:r>
      <w:r w:rsidR="00726734">
        <w:rPr>
          <w:sz w:val="18"/>
          <w:szCs w:val="18"/>
        </w:rPr>
        <w:t xml:space="preserve"> may</w:t>
      </w:r>
      <w:r w:rsidR="00D17576">
        <w:rPr>
          <w:sz w:val="18"/>
          <w:szCs w:val="18"/>
        </w:rPr>
        <w:t xml:space="preserve"> appear inconsistent with </w:t>
      </w:r>
      <w:r w:rsidR="00981FBD" w:rsidRPr="00981FBD">
        <w:rPr>
          <w:sz w:val="18"/>
          <w:szCs w:val="18"/>
        </w:rPr>
        <w:t>G-L 2 total return.</w:t>
      </w:r>
    </w:p>
    <w:p w14:paraId="4459ACAC" w14:textId="6AF74AC8" w:rsidR="00947F5D" w:rsidRPr="00947F5D" w:rsidRDefault="00232631" w:rsidP="00947F5D">
      <w:pPr>
        <w:rPr>
          <w:b/>
        </w:rPr>
      </w:pPr>
      <w:r>
        <w:rPr>
          <w:b/>
        </w:rPr>
        <w:t>Index Performance</w:t>
      </w:r>
    </w:p>
    <w:p w14:paraId="0C2B949E" w14:textId="6AE44876" w:rsidR="0064188F" w:rsidRDefault="00C33D7D" w:rsidP="0064188F">
      <w:pPr>
        <w:pStyle w:val="ListParagraph"/>
        <w:numPr>
          <w:ilvl w:val="0"/>
          <w:numId w:val="2"/>
        </w:numPr>
      </w:pPr>
      <w:r>
        <w:rPr>
          <w:b/>
          <w:bCs/>
        </w:rPr>
        <w:t>1</w:t>
      </w:r>
      <w:r w:rsidR="002777C1">
        <w:rPr>
          <w:b/>
          <w:bCs/>
        </w:rPr>
        <w:t>Q 202</w:t>
      </w:r>
      <w:r>
        <w:rPr>
          <w:b/>
          <w:bCs/>
        </w:rPr>
        <w:t>2</w:t>
      </w:r>
      <w:r w:rsidR="002777C1">
        <w:rPr>
          <w:b/>
          <w:bCs/>
        </w:rPr>
        <w:t xml:space="preserve"> t</w:t>
      </w:r>
      <w:r w:rsidR="00277579" w:rsidRPr="007509ED">
        <w:rPr>
          <w:b/>
          <w:bCs/>
        </w:rPr>
        <w:t xml:space="preserve">otal return </w:t>
      </w:r>
      <w:r w:rsidR="002777C1">
        <w:rPr>
          <w:b/>
          <w:bCs/>
        </w:rPr>
        <w:t>was 1.</w:t>
      </w:r>
      <w:r w:rsidR="003C57DA">
        <w:rPr>
          <w:b/>
          <w:bCs/>
        </w:rPr>
        <w:t>6</w:t>
      </w:r>
      <w:r>
        <w:rPr>
          <w:b/>
          <w:bCs/>
        </w:rPr>
        <w:t>6</w:t>
      </w:r>
      <w:r w:rsidR="002777C1">
        <w:rPr>
          <w:b/>
          <w:bCs/>
        </w:rPr>
        <w:t>%</w:t>
      </w:r>
      <w:r w:rsidR="00095825">
        <w:rPr>
          <w:b/>
          <w:bCs/>
        </w:rPr>
        <w:t>, slightly less than the prior</w:t>
      </w:r>
      <w:r w:rsidR="00B7056A">
        <w:rPr>
          <w:b/>
          <w:bCs/>
        </w:rPr>
        <w:t xml:space="preserve"> </w:t>
      </w:r>
      <w:r w:rsidR="009460B6">
        <w:rPr>
          <w:b/>
          <w:bCs/>
        </w:rPr>
        <w:t>quarter</w:t>
      </w:r>
      <w:r w:rsidR="00B7056A">
        <w:rPr>
          <w:b/>
          <w:bCs/>
        </w:rPr>
        <w:t>’</w:t>
      </w:r>
      <w:r w:rsidR="009460B6">
        <w:rPr>
          <w:b/>
          <w:bCs/>
        </w:rPr>
        <w:t>s</w:t>
      </w:r>
      <w:r w:rsidR="00B7056A">
        <w:rPr>
          <w:b/>
          <w:bCs/>
        </w:rPr>
        <w:t xml:space="preserve"> </w:t>
      </w:r>
      <w:r w:rsidR="00651A89">
        <w:rPr>
          <w:b/>
          <w:bCs/>
        </w:rPr>
        <w:t>1.</w:t>
      </w:r>
      <w:r w:rsidR="00095825">
        <w:rPr>
          <w:b/>
          <w:bCs/>
        </w:rPr>
        <w:t>7</w:t>
      </w:r>
      <w:r w:rsidR="00F96325">
        <w:rPr>
          <w:b/>
          <w:bCs/>
        </w:rPr>
        <w:t>2</w:t>
      </w:r>
      <w:r w:rsidR="00651A89">
        <w:rPr>
          <w:b/>
          <w:bCs/>
        </w:rPr>
        <w:t>%</w:t>
      </w:r>
      <w:r w:rsidR="009460B6">
        <w:rPr>
          <w:b/>
          <w:bCs/>
        </w:rPr>
        <w:t>.</w:t>
      </w:r>
      <w:r w:rsidR="0021702F">
        <w:rPr>
          <w:rStyle w:val="FootnoteReference"/>
        </w:rPr>
        <w:footnoteReference w:id="1"/>
      </w:r>
      <w:r w:rsidR="007509ED">
        <w:tab/>
      </w:r>
    </w:p>
    <w:p w14:paraId="6C572C02" w14:textId="0A704A5D" w:rsidR="009C3DC4" w:rsidRDefault="00651A89" w:rsidP="009C3DC4">
      <w:pPr>
        <w:pStyle w:val="ListParagraph"/>
        <w:numPr>
          <w:ilvl w:val="1"/>
          <w:numId w:val="2"/>
        </w:numPr>
      </w:pPr>
      <w:r>
        <w:t xml:space="preserve">Income return was </w:t>
      </w:r>
      <w:r w:rsidR="008C496C">
        <w:t>1.8</w:t>
      </w:r>
      <w:r w:rsidR="00F70774">
        <w:t>0</w:t>
      </w:r>
      <w:r w:rsidR="008C496C">
        <w:t>%</w:t>
      </w:r>
      <w:r w:rsidR="0049092C">
        <w:t xml:space="preserve"> compared with 1.84%</w:t>
      </w:r>
      <w:r w:rsidR="005B45A7">
        <w:t xml:space="preserve"> in 4Q 2021</w:t>
      </w:r>
      <w:r w:rsidR="00972A29">
        <w:t>.</w:t>
      </w:r>
      <w:r w:rsidR="00C522A4">
        <w:t xml:space="preserve"> </w:t>
      </w:r>
    </w:p>
    <w:p w14:paraId="6B4A5277" w14:textId="77777777" w:rsidR="00ED7F3F" w:rsidRDefault="00DA4C87" w:rsidP="009C3DC4">
      <w:pPr>
        <w:pStyle w:val="ListParagraph"/>
        <w:numPr>
          <w:ilvl w:val="1"/>
          <w:numId w:val="2"/>
        </w:numPr>
      </w:pPr>
      <w:r w:rsidRPr="0047402D">
        <w:t xml:space="preserve">Capital value </w:t>
      </w:r>
      <w:r w:rsidR="00B80180">
        <w:t>return was</w:t>
      </w:r>
      <w:r w:rsidR="00281AC3">
        <w:t xml:space="preserve"> </w:t>
      </w:r>
      <w:r w:rsidR="00620EA6">
        <w:t>-0.</w:t>
      </w:r>
      <w:r w:rsidR="005B45A7">
        <w:t>14</w:t>
      </w:r>
      <w:r w:rsidR="00D1617B">
        <w:t>%</w:t>
      </w:r>
      <w:r w:rsidR="009201D8">
        <w:t xml:space="preserve">. </w:t>
      </w:r>
      <w:r w:rsidR="00D413F1">
        <w:t>This</w:t>
      </w:r>
      <w:r w:rsidR="001E595A">
        <w:t xml:space="preserve"> include</w:t>
      </w:r>
      <w:r w:rsidR="00D413F1">
        <w:t>s</w:t>
      </w:r>
      <w:r w:rsidR="001E595A">
        <w:t xml:space="preserve"> both</w:t>
      </w:r>
      <w:r w:rsidR="00DB5546">
        <w:t xml:space="preserve"> routine mark to market and credit-related value decreases.</w:t>
      </w:r>
      <w:r w:rsidR="009201D8">
        <w:t xml:space="preserve"> </w:t>
      </w:r>
    </w:p>
    <w:p w14:paraId="6E2B6899" w14:textId="6C2CEB16" w:rsidR="009C3DC4" w:rsidRDefault="00336EC3" w:rsidP="00ED7F3F">
      <w:pPr>
        <w:pStyle w:val="ListParagraph"/>
        <w:numPr>
          <w:ilvl w:val="2"/>
          <w:numId w:val="2"/>
        </w:numPr>
      </w:pPr>
      <w:r>
        <w:t>Rising U.S. Treasury yields</w:t>
      </w:r>
      <w:r w:rsidR="00135D79">
        <w:t xml:space="preserve"> took a toll on fixed-rate</w:t>
      </w:r>
      <w:r w:rsidR="00ED7F3F">
        <w:t xml:space="preserve"> loans in G-L 2. </w:t>
      </w:r>
      <w:r w:rsidR="00AF0966">
        <w:t>Their capital value return was -0.36%.</w:t>
      </w:r>
    </w:p>
    <w:p w14:paraId="44798379" w14:textId="50FF3561" w:rsidR="00AF0966" w:rsidRDefault="00AF0966" w:rsidP="00ED7F3F">
      <w:pPr>
        <w:pStyle w:val="ListParagraph"/>
        <w:numPr>
          <w:ilvl w:val="2"/>
          <w:numId w:val="2"/>
        </w:numPr>
      </w:pPr>
      <w:r>
        <w:t>In contrast, floating-rate loans</w:t>
      </w:r>
      <w:r w:rsidR="00013467">
        <w:t xml:space="preserve"> had only a -0.06% capital value change.</w:t>
      </w:r>
    </w:p>
    <w:p w14:paraId="1E1772D3" w14:textId="4094C593" w:rsidR="0046257F" w:rsidRDefault="00013467" w:rsidP="00EB4F5D">
      <w:pPr>
        <w:pStyle w:val="ListParagraph"/>
        <w:numPr>
          <w:ilvl w:val="1"/>
          <w:numId w:val="2"/>
        </w:numPr>
      </w:pPr>
      <w:r>
        <w:lastRenderedPageBreak/>
        <w:t xml:space="preserve">Rolling 12-month </w:t>
      </w:r>
      <w:r w:rsidR="00654D6A">
        <w:t>t</w:t>
      </w:r>
      <w:r w:rsidR="0083169A">
        <w:t>otal return</w:t>
      </w:r>
      <w:r w:rsidR="00654D6A">
        <w:t xml:space="preserve"> as of March 31, 2022 </w:t>
      </w:r>
      <w:r w:rsidR="0083169A">
        <w:t xml:space="preserve">was </w:t>
      </w:r>
      <w:r w:rsidR="00A456FA">
        <w:t>7.</w:t>
      </w:r>
      <w:r w:rsidR="00654D6A">
        <w:t>46</w:t>
      </w:r>
      <w:r w:rsidR="00A456FA">
        <w:t xml:space="preserve">%. </w:t>
      </w:r>
      <w:r w:rsidR="00FE5810">
        <w:t xml:space="preserve">This </w:t>
      </w:r>
      <w:r w:rsidR="00E20DA5">
        <w:t xml:space="preserve">result continued </w:t>
      </w:r>
      <w:r w:rsidR="00041E87">
        <w:t>a</w:t>
      </w:r>
      <w:r w:rsidR="00E20DA5">
        <w:t xml:space="preserve"> </w:t>
      </w:r>
      <w:r w:rsidR="00946902">
        <w:t>trend of declining returns</w:t>
      </w:r>
      <w:r w:rsidR="00041E87">
        <w:t xml:space="preserve">. As of September 30, 2021, </w:t>
      </w:r>
      <w:r w:rsidR="00CE01CB">
        <w:t>12-month return was 8.08%. As of year</w:t>
      </w:r>
      <w:r w:rsidR="00AD1782">
        <w:t>-</w:t>
      </w:r>
      <w:r w:rsidR="00CE01CB">
        <w:t>end 2021, it was 7.58%</w:t>
      </w:r>
      <w:r w:rsidR="00BA27BE">
        <w:t xml:space="preserve"> </w:t>
      </w:r>
    </w:p>
    <w:p w14:paraId="30BAB12F" w14:textId="77777777" w:rsidR="00BA27BE" w:rsidRDefault="00BA27BE" w:rsidP="00BA27BE">
      <w:pPr>
        <w:pStyle w:val="ListParagraph"/>
        <w:ind w:left="1440"/>
      </w:pPr>
    </w:p>
    <w:p w14:paraId="6193AFED" w14:textId="77777777" w:rsidR="009234AC" w:rsidRDefault="009234AC" w:rsidP="009234AC">
      <w:pPr>
        <w:pStyle w:val="ListParagraph"/>
        <w:numPr>
          <w:ilvl w:val="0"/>
          <w:numId w:val="4"/>
        </w:numPr>
      </w:pPr>
      <w:r>
        <w:t>Monthly returns:</w:t>
      </w:r>
    </w:p>
    <w:p w14:paraId="79D0F2E2" w14:textId="4BA52F1E" w:rsidR="009234AC" w:rsidRDefault="00FD6D5D" w:rsidP="009234AC">
      <w:pPr>
        <w:pStyle w:val="ListParagraph"/>
        <w:numPr>
          <w:ilvl w:val="1"/>
          <w:numId w:val="4"/>
        </w:numPr>
      </w:pPr>
      <w:r>
        <w:t>J</w:t>
      </w:r>
      <w:r w:rsidR="00AD1782">
        <w:t>an</w:t>
      </w:r>
      <w:r w:rsidR="009234AC">
        <w:t>. 202</w:t>
      </w:r>
      <w:r w:rsidR="00916F8A">
        <w:t>2</w:t>
      </w:r>
      <w:r w:rsidR="009234AC">
        <w:tab/>
        <w:t>0.</w:t>
      </w:r>
      <w:r w:rsidR="00740822">
        <w:t>4</w:t>
      </w:r>
      <w:r w:rsidR="00C5633F">
        <w:t>1</w:t>
      </w:r>
      <w:r w:rsidR="009234AC">
        <w:t>%</w:t>
      </w:r>
    </w:p>
    <w:p w14:paraId="6002B57F" w14:textId="57D4AF63" w:rsidR="009234AC" w:rsidRDefault="00916F8A" w:rsidP="009234AC">
      <w:pPr>
        <w:pStyle w:val="ListParagraph"/>
        <w:numPr>
          <w:ilvl w:val="1"/>
          <w:numId w:val="4"/>
        </w:numPr>
      </w:pPr>
      <w:r>
        <w:t>Feb</w:t>
      </w:r>
      <w:r w:rsidR="00FD6D5D">
        <w:t>.</w:t>
      </w:r>
      <w:r w:rsidR="009234AC">
        <w:t xml:space="preserve"> 202</w:t>
      </w:r>
      <w:r>
        <w:t>2</w:t>
      </w:r>
      <w:r w:rsidR="009234AC">
        <w:tab/>
        <w:t>0.</w:t>
      </w:r>
      <w:r w:rsidR="00A60BD7">
        <w:t>49</w:t>
      </w:r>
      <w:r w:rsidR="009234AC">
        <w:t>%</w:t>
      </w:r>
    </w:p>
    <w:p w14:paraId="3270254E" w14:textId="1BC467D2" w:rsidR="00BC22E6" w:rsidRDefault="00916F8A" w:rsidP="00BC22E6">
      <w:pPr>
        <w:pStyle w:val="ListParagraph"/>
        <w:numPr>
          <w:ilvl w:val="1"/>
          <w:numId w:val="4"/>
        </w:numPr>
      </w:pPr>
      <w:r>
        <w:t>Mar</w:t>
      </w:r>
      <w:r w:rsidR="009234AC">
        <w:t>. 202</w:t>
      </w:r>
      <w:r>
        <w:t>2</w:t>
      </w:r>
      <w:r w:rsidR="00D95919">
        <w:tab/>
      </w:r>
      <w:r w:rsidR="009234AC">
        <w:t>0.</w:t>
      </w:r>
      <w:r w:rsidR="00A60BD7">
        <w:t>75</w:t>
      </w:r>
      <w:r w:rsidR="00BC22E6">
        <w:t>%</w:t>
      </w:r>
    </w:p>
    <w:p w14:paraId="680AB25B" w14:textId="77777777" w:rsidR="00E927BD" w:rsidRDefault="00E927BD" w:rsidP="00E927BD">
      <w:pPr>
        <w:pStyle w:val="ListParagraph"/>
      </w:pPr>
    </w:p>
    <w:p w14:paraId="6A1A2383" w14:textId="1AE6EAD4" w:rsidR="006F26C6" w:rsidRPr="00A4748C" w:rsidRDefault="005F0CCB" w:rsidP="007D476A">
      <w:pPr>
        <w:pStyle w:val="ListParagraph"/>
        <w:numPr>
          <w:ilvl w:val="0"/>
          <w:numId w:val="4"/>
        </w:numPr>
      </w:pPr>
      <w:r w:rsidRPr="00142028">
        <w:rPr>
          <w:b/>
          <w:bCs/>
        </w:rPr>
        <w:t>I</w:t>
      </w:r>
      <w:r w:rsidR="00056BAD" w:rsidRPr="00142028">
        <w:rPr>
          <w:b/>
          <w:bCs/>
        </w:rPr>
        <w:t xml:space="preserve">ndex participants </w:t>
      </w:r>
      <w:r w:rsidR="00896537" w:rsidRPr="00142028">
        <w:rPr>
          <w:b/>
          <w:bCs/>
        </w:rPr>
        <w:t xml:space="preserve">reported </w:t>
      </w:r>
      <w:r w:rsidR="000460B2" w:rsidRPr="00142028">
        <w:rPr>
          <w:b/>
          <w:bCs/>
        </w:rPr>
        <w:t>nearly</w:t>
      </w:r>
      <w:r w:rsidR="00896537" w:rsidRPr="00142028">
        <w:rPr>
          <w:b/>
          <w:bCs/>
        </w:rPr>
        <w:t xml:space="preserve"> </w:t>
      </w:r>
      <w:r w:rsidR="00056BAD" w:rsidRPr="00142028">
        <w:rPr>
          <w:b/>
          <w:bCs/>
        </w:rPr>
        <w:t>$</w:t>
      </w:r>
      <w:r w:rsidR="00896537" w:rsidRPr="00142028">
        <w:rPr>
          <w:b/>
          <w:bCs/>
        </w:rPr>
        <w:t>1</w:t>
      </w:r>
      <w:r w:rsidR="00056BAD" w:rsidRPr="00142028">
        <w:rPr>
          <w:b/>
          <w:bCs/>
        </w:rPr>
        <w:t>.</w:t>
      </w:r>
      <w:r w:rsidR="000460B2" w:rsidRPr="00142028">
        <w:rPr>
          <w:b/>
          <w:bCs/>
        </w:rPr>
        <w:t>8</w:t>
      </w:r>
      <w:r w:rsidR="00056BAD" w:rsidRPr="00142028">
        <w:rPr>
          <w:b/>
          <w:bCs/>
        </w:rPr>
        <w:t xml:space="preserve"> billion of</w:t>
      </w:r>
      <w:r w:rsidR="00CA0999" w:rsidRPr="00142028">
        <w:rPr>
          <w:b/>
          <w:bCs/>
        </w:rPr>
        <w:t xml:space="preserve"> </w:t>
      </w:r>
      <w:r w:rsidR="00B4658F" w:rsidRPr="00142028">
        <w:rPr>
          <w:b/>
          <w:bCs/>
        </w:rPr>
        <w:t>new l</w:t>
      </w:r>
      <w:r w:rsidR="0013376D" w:rsidRPr="00142028">
        <w:rPr>
          <w:b/>
          <w:bCs/>
        </w:rPr>
        <w:t>oans</w:t>
      </w:r>
      <w:r w:rsidR="0013376D" w:rsidRPr="000B4FFD">
        <w:t xml:space="preserve">, based on anticipated balances when loans </w:t>
      </w:r>
      <w:proofErr w:type="gramStart"/>
      <w:r w:rsidR="0013376D" w:rsidRPr="000B4FFD">
        <w:t>are fully funded</w:t>
      </w:r>
      <w:proofErr w:type="gramEnd"/>
      <w:r w:rsidR="0013376D" w:rsidRPr="000B4FFD">
        <w:t>.</w:t>
      </w:r>
      <w:r w:rsidR="0013376D" w:rsidRPr="00142028">
        <w:rPr>
          <w:b/>
          <w:bCs/>
        </w:rPr>
        <w:t xml:space="preserve"> </w:t>
      </w:r>
      <w:r w:rsidR="00272E42">
        <w:t xml:space="preserve">This considerably exceeded </w:t>
      </w:r>
      <w:r w:rsidR="00142028" w:rsidRPr="006F26C6">
        <w:rPr>
          <w:b/>
          <w:bCs/>
        </w:rPr>
        <w:t>$599 million (principal balances as of Jan. 1, 2022) that paid off or otherwise terminated</w:t>
      </w:r>
      <w:r w:rsidR="00142028">
        <w:t xml:space="preserve"> d</w:t>
      </w:r>
      <w:r w:rsidR="00B715F3">
        <w:t>uring the quarter</w:t>
      </w:r>
      <w:r w:rsidR="00142028">
        <w:t>.</w:t>
      </w:r>
    </w:p>
    <w:p w14:paraId="45B1FA83" w14:textId="78B89B50" w:rsidR="00F24485" w:rsidRDefault="00C36F6B" w:rsidP="00270BEC">
      <w:r w:rsidRPr="00A4748C">
        <w:rPr>
          <w:b/>
          <w:bCs/>
        </w:rPr>
        <w:t>Cred</w:t>
      </w:r>
      <w:r w:rsidR="00EC4E01" w:rsidRPr="00A4748C">
        <w:rPr>
          <w:b/>
          <w:bCs/>
        </w:rPr>
        <w:t xml:space="preserve">it </w:t>
      </w:r>
      <w:r w:rsidR="00C20950">
        <w:rPr>
          <w:b/>
          <w:bCs/>
        </w:rPr>
        <w:t>E</w:t>
      </w:r>
      <w:r w:rsidR="002F055F" w:rsidRPr="00A4748C">
        <w:rPr>
          <w:b/>
          <w:bCs/>
        </w:rPr>
        <w:t>vent</w:t>
      </w:r>
      <w:r w:rsidR="00C20950">
        <w:rPr>
          <w:b/>
          <w:bCs/>
        </w:rPr>
        <w:t>s</w:t>
      </w:r>
    </w:p>
    <w:p w14:paraId="68728CFD" w14:textId="3F3E66AF" w:rsidR="009A12A9" w:rsidRPr="005977B8" w:rsidRDefault="00CD42EE" w:rsidP="00270BEC">
      <w:r>
        <w:t xml:space="preserve">Chart 1 </w:t>
      </w:r>
      <w:r w:rsidR="00270BEC">
        <w:t>shows</w:t>
      </w:r>
      <w:r>
        <w:t xml:space="preserve"> </w:t>
      </w:r>
      <w:r w:rsidR="00B43C56">
        <w:t xml:space="preserve">credit events </w:t>
      </w:r>
      <w:r w:rsidR="00B953CA">
        <w:t xml:space="preserve">as </w:t>
      </w:r>
      <w:r w:rsidR="00C522A4">
        <w:t xml:space="preserve">reported </w:t>
      </w:r>
      <w:r w:rsidR="00B953CA">
        <w:t xml:space="preserve">by </w:t>
      </w:r>
      <w:r w:rsidR="0000667B">
        <w:t>participants</w:t>
      </w:r>
      <w:r w:rsidR="00B43C56">
        <w:t>.</w:t>
      </w:r>
      <w:r w:rsidR="004F38BD">
        <w:t xml:space="preserve"> </w:t>
      </w:r>
      <w:r w:rsidR="00FA45E1">
        <w:t>C</w:t>
      </w:r>
      <w:r w:rsidR="00A00281">
        <w:t>hart</w:t>
      </w:r>
      <w:r w:rsidR="00FA45E1">
        <w:t xml:space="preserve"> 1</w:t>
      </w:r>
      <w:r w:rsidR="00445D6A">
        <w:t xml:space="preserve"> includes ongoing and new credit events</w:t>
      </w:r>
      <w:r w:rsidR="00D73B45">
        <w:t xml:space="preserve">, based </w:t>
      </w:r>
      <w:r w:rsidR="00FA45E1">
        <w:t>on loan</w:t>
      </w:r>
      <w:r w:rsidR="00D73B45">
        <w:t xml:space="preserve"> status</w:t>
      </w:r>
      <w:r w:rsidR="00A51496">
        <w:t>es</w:t>
      </w:r>
      <w:r w:rsidR="00D73B45">
        <w:t xml:space="preserve"> on </w:t>
      </w:r>
      <w:r w:rsidR="00CF06FC">
        <w:t>January</w:t>
      </w:r>
      <w:r w:rsidR="00D73B45">
        <w:t xml:space="preserve"> 1, 202</w:t>
      </w:r>
      <w:r w:rsidR="00CF06FC">
        <w:t>2 and March 31, 2022</w:t>
      </w:r>
      <w:r w:rsidR="00164EB5">
        <w:t>.</w:t>
      </w:r>
      <w:r w:rsidR="00402F41">
        <w:t xml:space="preserve"> </w:t>
      </w:r>
      <w:r w:rsidR="00164EB5">
        <w:t xml:space="preserve">Loans that had </w:t>
      </w:r>
      <w:r w:rsidR="003E3575">
        <w:t xml:space="preserve">credit events but </w:t>
      </w:r>
      <w:r w:rsidR="00402F41">
        <w:t xml:space="preserve">became current, </w:t>
      </w:r>
      <w:r w:rsidR="00164EB5">
        <w:t xml:space="preserve">paid off or otherwise terminated </w:t>
      </w:r>
      <w:r w:rsidR="003E3575">
        <w:t xml:space="preserve">in prior quarters </w:t>
      </w:r>
      <w:proofErr w:type="gramStart"/>
      <w:r w:rsidR="00164EB5">
        <w:t>are not</w:t>
      </w:r>
      <w:r w:rsidR="003E3575">
        <w:t xml:space="preserve"> shown</w:t>
      </w:r>
      <w:proofErr w:type="gramEnd"/>
      <w:r w:rsidR="003E3575">
        <w:t>.</w:t>
      </w:r>
      <w:r w:rsidR="00FD50F8">
        <w:t xml:space="preserve"> </w:t>
      </w:r>
    </w:p>
    <w:p w14:paraId="118043BC" w14:textId="4A5F18B4" w:rsidR="00FD50F8" w:rsidRPr="005977B8" w:rsidRDefault="001D3FB5" w:rsidP="00D12C58">
      <w:r w:rsidRPr="005977B8">
        <w:t xml:space="preserve">Chart 1. </w:t>
      </w:r>
      <w:r w:rsidR="009C787F">
        <w:t xml:space="preserve">G-L 2 </w:t>
      </w:r>
      <w:r w:rsidR="00D46AAD" w:rsidRPr="005977B8">
        <w:t>Credit Event Tracker</w:t>
      </w:r>
      <w:r w:rsidR="00CA2453">
        <w:t xml:space="preserve"> </w:t>
      </w:r>
      <w:r w:rsidR="00B85E1C">
        <w:t>1</w:t>
      </w:r>
      <w:r w:rsidR="00CA2453">
        <w:t>Q 202</w:t>
      </w:r>
      <w:r w:rsidR="00B85E1C">
        <w:t>2</w:t>
      </w:r>
    </w:p>
    <w:tbl>
      <w:tblPr>
        <w:tblW w:w="7072" w:type="dxa"/>
        <w:tblLook w:val="04A0" w:firstRow="1" w:lastRow="0" w:firstColumn="1" w:lastColumn="0" w:noHBand="0" w:noVBand="1"/>
      </w:tblPr>
      <w:tblGrid>
        <w:gridCol w:w="1536"/>
        <w:gridCol w:w="1016"/>
        <w:gridCol w:w="1016"/>
        <w:gridCol w:w="1016"/>
        <w:gridCol w:w="1016"/>
        <w:gridCol w:w="836"/>
        <w:gridCol w:w="636"/>
      </w:tblGrid>
      <w:tr w:rsidR="00AF3412" w:rsidRPr="00AF3412" w14:paraId="05D66F68" w14:textId="77777777" w:rsidTr="00AF3412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E479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Loan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CDC6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Dec-21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FA45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Jan-22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24FF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Feb-22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3543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Mar-22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1107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EA2C" w14:textId="77777777" w:rsidR="00AF3412" w:rsidRPr="00AF3412" w:rsidRDefault="00AF3412" w:rsidP="00A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412" w:rsidRPr="00AF3412" w14:paraId="3F95AE20" w14:textId="77777777" w:rsidTr="00AF3412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9EF5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#</w:t>
            </w:r>
            <w:proofErr w:type="gramStart"/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EADCFE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2CDAC3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D12030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CCB7DD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7EBC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F040" w14:textId="77777777" w:rsidR="00AF3412" w:rsidRPr="00AF3412" w:rsidRDefault="00AF3412" w:rsidP="00A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412" w:rsidRPr="00AF3412" w14:paraId="24AC5E92" w14:textId="77777777" w:rsidTr="00AF3412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EA86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</w:t>
            </w:r>
            <w:proofErr w:type="gramStart"/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142FBE8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1C6DC69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502558E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DEE9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DISCOUNTED PAYOFF</w:t>
            </w:r>
          </w:p>
        </w:tc>
      </w:tr>
      <w:tr w:rsidR="00AF3412" w:rsidRPr="00AF3412" w14:paraId="4E020C72" w14:textId="77777777" w:rsidTr="00AF3412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DD49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</w:t>
            </w:r>
            <w:proofErr w:type="gramStart"/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99EF9E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5FC8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SOLD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5E42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0BAD" w14:textId="77777777" w:rsidR="00AF3412" w:rsidRPr="00AF3412" w:rsidRDefault="00AF3412" w:rsidP="00A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D5E0" w14:textId="77777777" w:rsidR="00AF3412" w:rsidRPr="00AF3412" w:rsidRDefault="00AF3412" w:rsidP="00A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A6AE" w14:textId="77777777" w:rsidR="00AF3412" w:rsidRPr="00AF3412" w:rsidRDefault="00AF3412" w:rsidP="00A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412" w:rsidRPr="00AF3412" w14:paraId="4813895A" w14:textId="77777777" w:rsidTr="00AF3412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43D6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</w:t>
            </w:r>
            <w:proofErr w:type="gramStart"/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CB3B17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A6ACBB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3D77CC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299C3C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7C72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E24E" w14:textId="77777777" w:rsidR="00AF3412" w:rsidRPr="00AF3412" w:rsidRDefault="00AF3412" w:rsidP="00A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412" w:rsidRPr="00AF3412" w14:paraId="49A6A11A" w14:textId="77777777" w:rsidTr="00AF3412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1252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Mixed-use #</w:t>
            </w:r>
            <w:proofErr w:type="gramStart"/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590985A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7316FE3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9E4455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B06E29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E958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B5A1" w14:textId="77777777" w:rsidR="00AF3412" w:rsidRPr="00AF3412" w:rsidRDefault="00AF3412" w:rsidP="00A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412" w:rsidRPr="00AF3412" w14:paraId="6B274703" w14:textId="77777777" w:rsidTr="00AF3412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4474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#</w:t>
            </w:r>
            <w:proofErr w:type="gramStart"/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71E018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AEDD45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6B9721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919885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DD63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0C36" w14:textId="77777777" w:rsidR="00AF3412" w:rsidRPr="00AF3412" w:rsidRDefault="00AF3412" w:rsidP="00A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412" w:rsidRPr="00AF3412" w14:paraId="6497E043" w14:textId="77777777" w:rsidTr="00AF3412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1E4C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Multifamily #</w:t>
            </w:r>
            <w:proofErr w:type="gramStart"/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3832C25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A413572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2AC447D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5CC1C5D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1B64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8BB2" w14:textId="77777777" w:rsidR="00AF3412" w:rsidRPr="00AF3412" w:rsidRDefault="00AF3412" w:rsidP="00A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412" w:rsidRPr="00AF3412" w14:paraId="32C9F109" w14:textId="77777777" w:rsidTr="00AF3412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57D0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Multifamily #</w:t>
            </w:r>
            <w:proofErr w:type="gramStart"/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6CC8881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F9D6A58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50595A0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249E4EF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5514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B935" w14:textId="77777777" w:rsidR="00AF3412" w:rsidRPr="00AF3412" w:rsidRDefault="00AF3412" w:rsidP="00A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412" w:rsidRPr="00AF3412" w14:paraId="0CD7100C" w14:textId="77777777" w:rsidTr="00AF3412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A464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</w:t>
            </w:r>
            <w:proofErr w:type="gramStart"/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D1F33B2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10F0350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7FEF11F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A752308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AB9E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B1B3" w14:textId="77777777" w:rsidR="00AF3412" w:rsidRPr="00AF3412" w:rsidRDefault="00AF3412" w:rsidP="00A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412" w:rsidRPr="00AF3412" w14:paraId="4FA8ED33" w14:textId="77777777" w:rsidTr="00AF3412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650B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Mixed-use #</w:t>
            </w:r>
            <w:proofErr w:type="gramStart"/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52411D0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3CC48F5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F17A42A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901ABD7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FCA6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1FDC" w14:textId="77777777" w:rsidR="00AF3412" w:rsidRPr="00AF3412" w:rsidRDefault="00AF3412" w:rsidP="00A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412" w:rsidRPr="00AF3412" w14:paraId="4962B603" w14:textId="77777777" w:rsidTr="00AF3412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92CC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#</w:t>
            </w:r>
            <w:proofErr w:type="gramStart"/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12C6AB6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0069058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6DC8411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4C36302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0D9C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D0E5" w14:textId="77777777" w:rsidR="00AF3412" w:rsidRPr="00AF3412" w:rsidRDefault="00AF3412" w:rsidP="00A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412" w:rsidRPr="00AF3412" w14:paraId="113585D1" w14:textId="77777777" w:rsidTr="00AF3412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5C3E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Retail #</w:t>
            </w:r>
            <w:proofErr w:type="gramStart"/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EF8977B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1D82553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C1C9A40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0564C76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2215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69F5" w14:textId="77777777" w:rsidR="00AF3412" w:rsidRPr="00AF3412" w:rsidRDefault="00AF3412" w:rsidP="00A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412" w:rsidRPr="00AF3412" w14:paraId="71BCFCDB" w14:textId="77777777" w:rsidTr="00AF3412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640A" w14:textId="77777777" w:rsidR="00AF3412" w:rsidRPr="00AF3412" w:rsidRDefault="00AF3412" w:rsidP="00AF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#</w:t>
            </w:r>
            <w:proofErr w:type="gramStart"/>
            <w:r w:rsidRPr="00AF34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19A78D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3DB6D8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9C6885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6266F1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34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2755" w14:textId="77777777" w:rsidR="00AF3412" w:rsidRPr="00AF3412" w:rsidRDefault="00AF3412" w:rsidP="00AF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C46A" w14:textId="77777777" w:rsidR="00AF3412" w:rsidRPr="00AF3412" w:rsidRDefault="00AF3412" w:rsidP="00A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8CBE77" w14:textId="300E215A" w:rsidR="00E717C9" w:rsidRDefault="00E717C9" w:rsidP="001C4D28">
      <w:pPr>
        <w:pStyle w:val="ListParagraph"/>
        <w:rPr>
          <w:sz w:val="20"/>
          <w:szCs w:val="20"/>
        </w:rPr>
      </w:pPr>
    </w:p>
    <w:tbl>
      <w:tblPr>
        <w:tblW w:w="2860" w:type="dxa"/>
        <w:tblInd w:w="3255" w:type="dxa"/>
        <w:tblLook w:val="04A0" w:firstRow="1" w:lastRow="0" w:firstColumn="1" w:lastColumn="0" w:noHBand="0" w:noVBand="1"/>
      </w:tblPr>
      <w:tblGrid>
        <w:gridCol w:w="620"/>
        <w:gridCol w:w="280"/>
        <w:gridCol w:w="1960"/>
      </w:tblGrid>
      <w:tr w:rsidR="004C76F7" w:rsidRPr="004C76F7" w14:paraId="7266330B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636D" w14:textId="77777777" w:rsidR="004C76F7" w:rsidRPr="004C76F7" w:rsidRDefault="004C76F7" w:rsidP="004C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0ADD" w14:textId="77777777" w:rsidR="004C76F7" w:rsidRPr="004C76F7" w:rsidRDefault="004C76F7" w:rsidP="004C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97F4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Legend</w:t>
            </w:r>
          </w:p>
        </w:tc>
      </w:tr>
      <w:tr w:rsidR="004C76F7" w:rsidRPr="004C76F7" w14:paraId="4218907E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5C1312B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2858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9D1F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Performing</w:t>
            </w:r>
          </w:p>
        </w:tc>
      </w:tr>
      <w:tr w:rsidR="004C76F7" w:rsidRPr="004C76F7" w14:paraId="5BBC1B40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6C10A2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EF0B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4AD2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Interest Deferral</w:t>
            </w:r>
          </w:p>
        </w:tc>
      </w:tr>
      <w:tr w:rsidR="004C76F7" w:rsidRPr="004C76F7" w14:paraId="51FCD622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6E5298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8415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04ED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Delinquent</w:t>
            </w:r>
          </w:p>
        </w:tc>
      </w:tr>
      <w:tr w:rsidR="004C76F7" w:rsidRPr="004C76F7" w14:paraId="7165402B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BAFAE9D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BC30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60B7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Interest Forbearance</w:t>
            </w:r>
          </w:p>
        </w:tc>
      </w:tr>
      <w:tr w:rsidR="004C76F7" w:rsidRPr="004C76F7" w14:paraId="669C3DD6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5B9CD8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E19C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0106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 Default</w:t>
            </w:r>
          </w:p>
        </w:tc>
      </w:tr>
      <w:tr w:rsidR="004C76F7" w:rsidRPr="004C76F7" w14:paraId="2B11CE9B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2FD21EC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12C9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5767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Terminated</w:t>
            </w:r>
          </w:p>
        </w:tc>
      </w:tr>
    </w:tbl>
    <w:p w14:paraId="32BAEC83" w14:textId="27576203" w:rsidR="00320CD8" w:rsidRDefault="009C787F" w:rsidP="007D476A">
      <w:pPr>
        <w:rPr>
          <w:sz w:val="20"/>
          <w:szCs w:val="20"/>
        </w:rPr>
      </w:pPr>
      <w:r w:rsidRPr="00AB0983">
        <w:rPr>
          <w:sz w:val="20"/>
          <w:szCs w:val="20"/>
        </w:rPr>
        <w:t>Source: Giliberto-Levy</w:t>
      </w:r>
    </w:p>
    <w:p w14:paraId="5E57D325" w14:textId="6A4C2C46" w:rsidR="00B43C56" w:rsidRDefault="00B43C56" w:rsidP="003F5C09">
      <w:pPr>
        <w:ind w:left="720"/>
        <w:rPr>
          <w:sz w:val="20"/>
          <w:szCs w:val="20"/>
        </w:rPr>
      </w:pPr>
    </w:p>
    <w:p w14:paraId="6416D8CB" w14:textId="2818EFFC" w:rsidR="00BA59A5" w:rsidRDefault="00BA59A5" w:rsidP="00BA59A5">
      <w:pPr>
        <w:pStyle w:val="ListParagraph"/>
      </w:pPr>
      <w:r>
        <w:t xml:space="preserve">We measure credit event incidence using unpaid principal balance (UPB). Percentage incidence is the sum of UPB for a particular event type divided by the total UPB reported for the index (see Table 1). Loans that receive interest deferrals or are in forbearance </w:t>
      </w:r>
      <w:proofErr w:type="gramStart"/>
      <w:r>
        <w:t>are not counted</w:t>
      </w:r>
      <w:proofErr w:type="gramEnd"/>
      <w:r>
        <w:t xml:space="preserve"> as delinquent. Table 1 </w:t>
      </w:r>
      <w:r w:rsidR="009A686F">
        <w:t xml:space="preserve">summarizes, in the context of the overall index, the specific </w:t>
      </w:r>
      <w:r w:rsidR="005C7368">
        <w:t>cases</w:t>
      </w:r>
      <w:r w:rsidR="009A686F">
        <w:t xml:space="preserve"> shown in Chart 1. </w:t>
      </w:r>
    </w:p>
    <w:p w14:paraId="5B87C620" w14:textId="77777777" w:rsidR="00BA59A5" w:rsidRDefault="00BA59A5" w:rsidP="00BA59A5">
      <w:pPr>
        <w:pStyle w:val="ListParagraph"/>
      </w:pPr>
    </w:p>
    <w:p w14:paraId="78CD6F39" w14:textId="3F71F924" w:rsidR="00BA59A5" w:rsidRPr="00D47F2E" w:rsidRDefault="00BA59A5" w:rsidP="00BA59A5">
      <w:pPr>
        <w:pStyle w:val="ListParagraph"/>
      </w:pPr>
      <w:r w:rsidRPr="00D47F2E">
        <w:t xml:space="preserve">Table 1. G-L 2 Credit Event Incidence </w:t>
      </w:r>
      <w:r w:rsidR="000A5196">
        <w:t>1</w:t>
      </w:r>
      <w:r w:rsidRPr="00D47F2E">
        <w:t>Q 202</w:t>
      </w:r>
      <w:r w:rsidR="000A5196">
        <w:t>2</w:t>
      </w:r>
    </w:p>
    <w:tbl>
      <w:tblPr>
        <w:tblW w:w="6200" w:type="dxa"/>
        <w:tblInd w:w="945" w:type="dxa"/>
        <w:tblLook w:val="04A0" w:firstRow="1" w:lastRow="0" w:firstColumn="1" w:lastColumn="0" w:noHBand="0" w:noVBand="1"/>
      </w:tblPr>
      <w:tblGrid>
        <w:gridCol w:w="3296"/>
        <w:gridCol w:w="1363"/>
        <w:gridCol w:w="1541"/>
      </w:tblGrid>
      <w:tr w:rsidR="00041D1B" w:rsidRPr="00041D1B" w14:paraId="1147D68F" w14:textId="77777777" w:rsidTr="00041D1B">
        <w:trPr>
          <w:trHeight w:val="6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3BB8" w14:textId="77777777" w:rsidR="00041D1B" w:rsidRPr="00041D1B" w:rsidRDefault="00041D1B" w:rsidP="0004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202F3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1D1B">
              <w:rPr>
                <w:rFonts w:ascii="Calibri" w:eastAsia="Times New Roman" w:hAnsi="Calibri" w:cs="Calibri"/>
                <w:b/>
                <w:bCs/>
                <w:color w:val="000000"/>
              </w:rPr>
              <w:t>Incidence (% of UPB)</w:t>
            </w:r>
          </w:p>
        </w:tc>
      </w:tr>
      <w:tr w:rsidR="00041D1B" w:rsidRPr="00041D1B" w14:paraId="2A5CA45D" w14:textId="77777777" w:rsidTr="00041D1B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DADC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D228" w14:textId="77777777" w:rsidR="00041D1B" w:rsidRPr="00041D1B" w:rsidRDefault="00041D1B" w:rsidP="0004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371F" w14:textId="77777777" w:rsidR="00041D1B" w:rsidRPr="00041D1B" w:rsidRDefault="00041D1B" w:rsidP="0004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D1B" w:rsidRPr="00041D1B" w14:paraId="48DB4051" w14:textId="77777777" w:rsidTr="00041D1B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4041" w14:textId="77777777" w:rsidR="00041D1B" w:rsidRPr="00041D1B" w:rsidRDefault="00041D1B" w:rsidP="0004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C77D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1/1/2022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0A5B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3/31/2022</w:t>
            </w:r>
          </w:p>
        </w:tc>
      </w:tr>
      <w:tr w:rsidR="00041D1B" w:rsidRPr="00041D1B" w14:paraId="33EA9952" w14:textId="77777777" w:rsidTr="00041D1B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35A0" w14:textId="77777777" w:rsidR="00041D1B" w:rsidRPr="00041D1B" w:rsidRDefault="00041D1B" w:rsidP="00041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1D1B">
              <w:rPr>
                <w:rFonts w:ascii="Calibri" w:eastAsia="Times New Roman" w:hAnsi="Calibri" w:cs="Calibri"/>
                <w:b/>
                <w:bCs/>
                <w:color w:val="000000"/>
              </w:rPr>
              <w:t>Loan Status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F890" w14:textId="77777777" w:rsidR="00041D1B" w:rsidRPr="00041D1B" w:rsidRDefault="00041D1B" w:rsidP="00041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AA6A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D1B" w:rsidRPr="00041D1B" w14:paraId="7D6A2131" w14:textId="77777777" w:rsidTr="00041D1B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BF72" w14:textId="77777777" w:rsidR="00041D1B" w:rsidRPr="00041D1B" w:rsidRDefault="00041D1B" w:rsidP="00041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Interest Deferral or Forbearance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5E64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0.42%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0455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0.22%</w:t>
            </w:r>
          </w:p>
        </w:tc>
      </w:tr>
      <w:tr w:rsidR="00041D1B" w:rsidRPr="00041D1B" w14:paraId="57491394" w14:textId="77777777" w:rsidTr="00041D1B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5FCA" w14:textId="77777777" w:rsidR="00041D1B" w:rsidRPr="00041D1B" w:rsidRDefault="00041D1B" w:rsidP="00041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Delinquent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C67C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0.07%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77DC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0.08%</w:t>
            </w:r>
          </w:p>
        </w:tc>
      </w:tr>
      <w:tr w:rsidR="00041D1B" w:rsidRPr="00041D1B" w14:paraId="6426BD79" w14:textId="77777777" w:rsidTr="00041D1B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FABF" w14:textId="77777777" w:rsidR="00041D1B" w:rsidRPr="00041D1B" w:rsidRDefault="00041D1B" w:rsidP="00041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In Default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2D07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1.22%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55DC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0.74%</w:t>
            </w:r>
          </w:p>
        </w:tc>
      </w:tr>
      <w:tr w:rsidR="00041D1B" w:rsidRPr="00041D1B" w14:paraId="3229A312" w14:textId="77777777" w:rsidTr="00041D1B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C22B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516" w14:textId="77777777" w:rsidR="00041D1B" w:rsidRPr="00041D1B" w:rsidRDefault="00041D1B" w:rsidP="0004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B230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D1B" w:rsidRPr="00041D1B" w14:paraId="06048701" w14:textId="77777777" w:rsidTr="00041D1B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B5E5" w14:textId="77777777" w:rsidR="00041D1B" w:rsidRPr="00041D1B" w:rsidRDefault="00041D1B" w:rsidP="00041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All Credit Events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C930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1.72%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1CB9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1.05%</w:t>
            </w:r>
          </w:p>
        </w:tc>
      </w:tr>
      <w:tr w:rsidR="00041D1B" w:rsidRPr="00041D1B" w14:paraId="4D49AE79" w14:textId="77777777" w:rsidTr="00041D1B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E1C4" w14:textId="77777777" w:rsidR="00041D1B" w:rsidRPr="00041D1B" w:rsidRDefault="00041D1B" w:rsidP="00041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Delinquent and Defaulted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1A13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1.30%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1B9A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0.82%</w:t>
            </w:r>
          </w:p>
        </w:tc>
      </w:tr>
      <w:tr w:rsidR="00041D1B" w:rsidRPr="00041D1B" w14:paraId="481B9E64" w14:textId="77777777" w:rsidTr="00041D1B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3565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2A92" w14:textId="77777777" w:rsidR="00041D1B" w:rsidRPr="00041D1B" w:rsidRDefault="00041D1B" w:rsidP="0004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1CCD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D1B" w:rsidRPr="00041D1B" w14:paraId="0A58FCCA" w14:textId="77777777" w:rsidTr="00041D1B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4BD3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D443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1D1B">
              <w:rPr>
                <w:rFonts w:ascii="Calibri" w:eastAsia="Times New Roman" w:hAnsi="Calibri" w:cs="Calibri"/>
                <w:b/>
                <w:bCs/>
                <w:color w:val="000000"/>
              </w:rPr>
              <w:t>Average Days Delinquent</w:t>
            </w:r>
          </w:p>
        </w:tc>
      </w:tr>
      <w:tr w:rsidR="00041D1B" w:rsidRPr="00041D1B" w14:paraId="6A745921" w14:textId="77777777" w:rsidTr="00041D1B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7AF9" w14:textId="77777777" w:rsidR="00041D1B" w:rsidRPr="00041D1B" w:rsidRDefault="00041D1B" w:rsidP="00041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Delinquent Loans Only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4EAB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B00A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</w:tr>
      <w:tr w:rsidR="00041D1B" w:rsidRPr="00041D1B" w14:paraId="7FC3CDAD" w14:textId="77777777" w:rsidTr="00041D1B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3D9A" w14:textId="77777777" w:rsidR="00041D1B" w:rsidRPr="00041D1B" w:rsidRDefault="00041D1B" w:rsidP="00041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Delinquent and Defaulted Loans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0506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465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AD58" w14:textId="77777777" w:rsidR="00041D1B" w:rsidRPr="00041D1B" w:rsidRDefault="00041D1B" w:rsidP="0004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D1B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</w:tr>
    </w:tbl>
    <w:p w14:paraId="0C3C3F54" w14:textId="77777777" w:rsidR="00BA59A5" w:rsidRPr="00D667FB" w:rsidRDefault="00BA59A5" w:rsidP="00BA59A5">
      <w:pPr>
        <w:pStyle w:val="ListParagraph"/>
        <w:rPr>
          <w:sz w:val="20"/>
          <w:szCs w:val="20"/>
        </w:rPr>
      </w:pPr>
    </w:p>
    <w:p w14:paraId="7E563707" w14:textId="77777777" w:rsidR="00BA59A5" w:rsidRPr="00D667FB" w:rsidRDefault="00BA59A5" w:rsidP="00BA59A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667FB">
        <w:rPr>
          <w:sz w:val="20"/>
          <w:szCs w:val="20"/>
        </w:rPr>
        <w:t>UPB Unpaid Principal Balance</w:t>
      </w:r>
    </w:p>
    <w:p w14:paraId="4C8A0C9D" w14:textId="77777777" w:rsidR="00BA59A5" w:rsidRDefault="00BA59A5" w:rsidP="00BA59A5">
      <w:pPr>
        <w:pStyle w:val="ListParagraph"/>
        <w:rPr>
          <w:sz w:val="20"/>
          <w:szCs w:val="20"/>
        </w:rPr>
      </w:pPr>
    </w:p>
    <w:p w14:paraId="6712D3A6" w14:textId="77777777" w:rsidR="00BA59A5" w:rsidRDefault="00BA59A5" w:rsidP="00BA59A5">
      <w:pPr>
        <w:pStyle w:val="ListParagraph"/>
        <w:rPr>
          <w:sz w:val="20"/>
          <w:szCs w:val="20"/>
        </w:rPr>
      </w:pPr>
      <w:r w:rsidRPr="00D667FB">
        <w:rPr>
          <w:sz w:val="20"/>
          <w:szCs w:val="20"/>
        </w:rPr>
        <w:t>Source: Giliberto-Levy</w:t>
      </w:r>
    </w:p>
    <w:p w14:paraId="074B609C" w14:textId="00F32444" w:rsidR="00B43C56" w:rsidRDefault="00254EFC" w:rsidP="003F5C09">
      <w:pPr>
        <w:ind w:left="720"/>
      </w:pPr>
      <w:r>
        <w:t xml:space="preserve">Table 1 reflects </w:t>
      </w:r>
      <w:r w:rsidR="00EF115C">
        <w:t>transitions</w:t>
      </w:r>
      <w:r w:rsidR="000E470F">
        <w:t xml:space="preserve"> that occurred during the quarter. For example, </w:t>
      </w:r>
      <w:r w:rsidR="00D662E0">
        <w:t>Mixed</w:t>
      </w:r>
      <w:r w:rsidR="008A5A69">
        <w:t>-u</w:t>
      </w:r>
      <w:r w:rsidR="00D662E0">
        <w:t xml:space="preserve">se </w:t>
      </w:r>
      <w:r w:rsidR="00E0680B">
        <w:t>#</w:t>
      </w:r>
      <w:r w:rsidR="00D662E0">
        <w:t>5</w:t>
      </w:r>
      <w:r w:rsidR="00E0680B">
        <w:t xml:space="preserve"> </w:t>
      </w:r>
      <w:r w:rsidR="00432240">
        <w:t>became delinquent</w:t>
      </w:r>
      <w:proofErr w:type="gramStart"/>
      <w:r w:rsidR="00FB3E92">
        <w:t xml:space="preserve">. </w:t>
      </w:r>
      <w:r w:rsidR="00B05E99">
        <w:t xml:space="preserve"> </w:t>
      </w:r>
      <w:proofErr w:type="gramEnd"/>
      <w:r w:rsidR="00B05E99">
        <w:t xml:space="preserve">Two credit situations </w:t>
      </w:r>
      <w:proofErr w:type="gramStart"/>
      <w:r w:rsidR="00B05E99">
        <w:t>were resolve</w:t>
      </w:r>
      <w:r w:rsidR="00EE7385">
        <w:t>d</w:t>
      </w:r>
      <w:proofErr w:type="gramEnd"/>
      <w:r w:rsidR="00EE7385">
        <w:t>: one loan</w:t>
      </w:r>
      <w:r w:rsidR="00CE0F16">
        <w:t xml:space="preserve"> received a discounted pay off and another was sold. The average recovery</w:t>
      </w:r>
      <w:r w:rsidR="00E85ECB">
        <w:t xml:space="preserve">, as a percentage of unpaid principal inclusive of any capitalized interest, was </w:t>
      </w:r>
      <w:r w:rsidR="008D2E9B">
        <w:t>45%.</w:t>
      </w:r>
    </w:p>
    <w:p w14:paraId="698BD468" w14:textId="32E24F60" w:rsidR="00D12C58" w:rsidRDefault="008D2E9B" w:rsidP="00814A08">
      <w:pPr>
        <w:ind w:left="720"/>
      </w:pPr>
      <w:r>
        <w:t>Coincidentally, t</w:t>
      </w:r>
      <w:r w:rsidR="005E7D4B">
        <w:t xml:space="preserve">he average mark </w:t>
      </w:r>
      <w:r w:rsidR="00254EFC">
        <w:t xml:space="preserve">to market </w:t>
      </w:r>
      <w:r w:rsidR="005E7D4B">
        <w:t xml:space="preserve">on loans with </w:t>
      </w:r>
      <w:r w:rsidR="00706977">
        <w:t>reported</w:t>
      </w:r>
      <w:r w:rsidR="00DC3F7A">
        <w:t xml:space="preserve"> </w:t>
      </w:r>
      <w:r w:rsidR="005E7D4B">
        <w:t xml:space="preserve">credit events was </w:t>
      </w:r>
      <w:r>
        <w:t>49</w:t>
      </w:r>
      <w:r w:rsidR="005E7D4B">
        <w:t xml:space="preserve">% of par as of </w:t>
      </w:r>
      <w:r>
        <w:t>March</w:t>
      </w:r>
      <w:r w:rsidR="005E7D4B">
        <w:t xml:space="preserve"> 3</w:t>
      </w:r>
      <w:r w:rsidR="00394B95">
        <w:t>1</w:t>
      </w:r>
      <w:r w:rsidR="005E7D4B">
        <w:t>, 202</w:t>
      </w:r>
      <w:r>
        <w:t>2</w:t>
      </w:r>
      <w:r w:rsidR="00D02F42">
        <w:t xml:space="preserve">. </w:t>
      </w:r>
      <w:r w:rsidR="005C0662">
        <w:t xml:space="preserve">As was the case last quarter, </w:t>
      </w:r>
      <w:r w:rsidR="00EE1476">
        <w:t xml:space="preserve">there was a distinct difference between </w:t>
      </w:r>
      <w:r w:rsidR="00D02F42">
        <w:t>loans receiving interest deferrals</w:t>
      </w:r>
      <w:r w:rsidR="00AD4A6A">
        <w:t xml:space="preserve"> </w:t>
      </w:r>
      <w:r w:rsidR="006379A7">
        <w:t>and</w:t>
      </w:r>
      <w:r w:rsidR="00AD4A6A">
        <w:t xml:space="preserve"> under forbearance agreements </w:t>
      </w:r>
      <w:r w:rsidR="00EE1476">
        <w:t>compared with delinquent and defaulted loans</w:t>
      </w:r>
      <w:r w:rsidR="006379A7">
        <w:t xml:space="preserve">. The former </w:t>
      </w:r>
      <w:proofErr w:type="gramStart"/>
      <w:r w:rsidR="00AD4A6A">
        <w:t>were marked</w:t>
      </w:r>
      <w:proofErr w:type="gramEnd"/>
      <w:r w:rsidR="00AD4A6A">
        <w:t xml:space="preserve"> at an average </w:t>
      </w:r>
      <w:r w:rsidR="004A6C32">
        <w:t>of 8</w:t>
      </w:r>
      <w:r w:rsidR="006379A7">
        <w:t>6</w:t>
      </w:r>
      <w:r w:rsidR="004A6C32">
        <w:t>%</w:t>
      </w:r>
      <w:r w:rsidR="00DE2AD6">
        <w:t>; the latter at 39%.</w:t>
      </w:r>
      <w:r w:rsidR="00082E8B">
        <w:t xml:space="preserve"> </w:t>
      </w:r>
    </w:p>
    <w:p w14:paraId="3F2CCCD3" w14:textId="77777777" w:rsidR="00004D04" w:rsidRDefault="00004D04" w:rsidP="00105099">
      <w:pPr>
        <w:ind w:left="720"/>
      </w:pPr>
    </w:p>
    <w:p w14:paraId="2101A22A" w14:textId="77777777" w:rsidR="00004D04" w:rsidRPr="00F669B4" w:rsidRDefault="00004D04" w:rsidP="00105099">
      <w:pPr>
        <w:ind w:left="720"/>
        <w:rPr>
          <w:b/>
          <w:bCs/>
        </w:rPr>
      </w:pPr>
      <w:r w:rsidRPr="00F669B4">
        <w:rPr>
          <w:b/>
          <w:bCs/>
        </w:rPr>
        <w:t>G-L 2 Webinar</w:t>
      </w:r>
    </w:p>
    <w:p w14:paraId="6CBFAB88" w14:textId="1F3BBC57" w:rsidR="007306F2" w:rsidRDefault="00F669B4" w:rsidP="00105099">
      <w:pPr>
        <w:ind w:left="720"/>
      </w:pPr>
      <w:r>
        <w:t xml:space="preserve">Thank you to all who joined us on June 15 for our annual G-L 2 </w:t>
      </w:r>
      <w:proofErr w:type="gramStart"/>
      <w:r>
        <w:t>webinar</w:t>
      </w:r>
      <w:proofErr w:type="gramEnd"/>
      <w:r>
        <w:t xml:space="preserve">. </w:t>
      </w:r>
      <w:r w:rsidR="00DF0A75">
        <w:t xml:space="preserve">A recording of the session along with presentation slides are available. </w:t>
      </w:r>
      <w:r w:rsidR="008705AF">
        <w:t>P</w:t>
      </w:r>
      <w:r w:rsidR="00C94BD4">
        <w:t>lease contact Julia Grant (</w:t>
      </w:r>
      <w:hyperlink r:id="rId8" w:history="1">
        <w:r w:rsidR="00C94BD4" w:rsidRPr="005C2698">
          <w:rPr>
            <w:rStyle w:val="Hyperlink"/>
          </w:rPr>
          <w:t>jgrant@jblevyco.com</w:t>
        </w:r>
      </w:hyperlink>
      <w:r w:rsidR="00C94BD4">
        <w:t>)</w:t>
      </w:r>
      <w:r w:rsidR="008705AF">
        <w:t xml:space="preserve"> for more information.</w:t>
      </w:r>
    </w:p>
    <w:p w14:paraId="437B0C63" w14:textId="77777777" w:rsidR="008705AF" w:rsidRPr="00F22DB5" w:rsidRDefault="008705AF" w:rsidP="008705AF">
      <w:pPr>
        <w:ind w:left="720"/>
        <w:rPr>
          <w:b/>
          <w:bCs/>
        </w:rPr>
      </w:pPr>
      <w:r w:rsidRPr="00F22DB5">
        <w:rPr>
          <w:b/>
          <w:bCs/>
        </w:rPr>
        <w:lastRenderedPageBreak/>
        <w:t>G-L 2 Report Package and Dashboard</w:t>
      </w:r>
    </w:p>
    <w:p w14:paraId="7B609683" w14:textId="1F85868E" w:rsidR="008705AF" w:rsidRDefault="008705AF" w:rsidP="008705AF">
      <w:pPr>
        <w:ind w:left="720"/>
      </w:pPr>
      <w:r>
        <w:t xml:space="preserve">We expect to distribute the detailed 1Q 2022 report package and dashboard the week of June 27. </w:t>
      </w:r>
      <w:r w:rsidRPr="00901E63">
        <w:rPr>
          <w:b/>
          <w:bCs/>
        </w:rPr>
        <w:t>We also are preparing a special report stress testing G-L 2</w:t>
      </w:r>
      <w:r w:rsidR="004F0F95" w:rsidRPr="00901E63">
        <w:rPr>
          <w:b/>
          <w:bCs/>
        </w:rPr>
        <w:t>.</w:t>
      </w:r>
      <w:r w:rsidR="004F0F95">
        <w:t xml:space="preserve"> This will be an expanded version of </w:t>
      </w:r>
      <w:r>
        <w:t>the analysis we conducted in June 2020</w:t>
      </w:r>
      <w:r w:rsidR="00AD0635">
        <w:t xml:space="preserve"> to assess potential effects from declining asset values </w:t>
      </w:r>
      <w:r w:rsidR="00681290">
        <w:t xml:space="preserve">caused by </w:t>
      </w:r>
      <w:r w:rsidR="00AD0635">
        <w:t xml:space="preserve">the COVID-19 </w:t>
      </w:r>
      <w:r w:rsidR="00681290">
        <w:t>pandemic</w:t>
      </w:r>
      <w:r w:rsidR="009E1EB7">
        <w:t>.</w:t>
      </w:r>
    </w:p>
    <w:p w14:paraId="34C9B75A" w14:textId="77777777" w:rsidR="003705B4" w:rsidRDefault="003705B4" w:rsidP="00105099">
      <w:pPr>
        <w:ind w:left="720"/>
      </w:pPr>
    </w:p>
    <w:p w14:paraId="2FAB3400" w14:textId="77777777" w:rsidR="00ED600C" w:rsidRDefault="00ED600C" w:rsidP="00105099">
      <w:pPr>
        <w:ind w:left="720"/>
      </w:pPr>
    </w:p>
    <w:p w14:paraId="717CA536" w14:textId="77777777" w:rsidR="00ED600C" w:rsidRDefault="00ED600C" w:rsidP="00105099">
      <w:pPr>
        <w:ind w:left="720"/>
      </w:pPr>
    </w:p>
    <w:sectPr w:rsidR="00ED600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6AE3" w14:textId="77777777" w:rsidR="0036454B" w:rsidRDefault="0036454B" w:rsidP="0021702F">
      <w:pPr>
        <w:spacing w:after="0" w:line="240" w:lineRule="auto"/>
      </w:pPr>
      <w:r>
        <w:separator/>
      </w:r>
    </w:p>
  </w:endnote>
  <w:endnote w:type="continuationSeparator" w:id="0">
    <w:p w14:paraId="08623A95" w14:textId="77777777" w:rsidR="0036454B" w:rsidRDefault="0036454B" w:rsidP="0021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093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3BC20" w14:textId="6B4B17CC" w:rsidR="00BD4182" w:rsidRDefault="00BD41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5B79D1" w14:textId="77777777" w:rsidR="00BD4182" w:rsidRDefault="00BD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0CE5" w14:textId="77777777" w:rsidR="0036454B" w:rsidRDefault="0036454B" w:rsidP="0021702F">
      <w:pPr>
        <w:spacing w:after="0" w:line="240" w:lineRule="auto"/>
      </w:pPr>
      <w:r>
        <w:separator/>
      </w:r>
    </w:p>
  </w:footnote>
  <w:footnote w:type="continuationSeparator" w:id="0">
    <w:p w14:paraId="56345C40" w14:textId="77777777" w:rsidR="0036454B" w:rsidRDefault="0036454B" w:rsidP="0021702F">
      <w:pPr>
        <w:spacing w:after="0" w:line="240" w:lineRule="auto"/>
      </w:pPr>
      <w:r>
        <w:continuationSeparator/>
      </w:r>
    </w:p>
  </w:footnote>
  <w:footnote w:id="1">
    <w:p w14:paraId="412A7E7E" w14:textId="662A6EDA" w:rsidR="0021702F" w:rsidRDefault="002170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4188F">
        <w:t xml:space="preserve">Results reflect performance fully netted for use of leverage to “manufacture mezz” from senior whole loans. </w:t>
      </w:r>
      <w:r w:rsidR="00C50CB4">
        <w:t>G-L 2 is not a “frozen” index, so r</w:t>
      </w:r>
      <w:r w:rsidR="00E11A03">
        <w:t>esults shown f</w:t>
      </w:r>
      <w:r w:rsidR="00C50CB4">
        <w:t>or</w:t>
      </w:r>
      <w:r w:rsidR="00E11A03">
        <w:t xml:space="preserve"> prior quarters</w:t>
      </w:r>
      <w:r w:rsidR="00C50CB4">
        <w:t xml:space="preserve"> may differ from those reported previously. </w:t>
      </w:r>
      <w:r w:rsidR="00C42D7F">
        <w:t>Reported components may not sum to totals due to rounding.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2B7"/>
    <w:multiLevelType w:val="hybridMultilevel"/>
    <w:tmpl w:val="DAA2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6FD"/>
    <w:multiLevelType w:val="hybridMultilevel"/>
    <w:tmpl w:val="D576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483F"/>
    <w:multiLevelType w:val="hybridMultilevel"/>
    <w:tmpl w:val="B5F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24F3"/>
    <w:multiLevelType w:val="hybridMultilevel"/>
    <w:tmpl w:val="6F54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54D4"/>
    <w:multiLevelType w:val="hybridMultilevel"/>
    <w:tmpl w:val="408A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C4495"/>
    <w:multiLevelType w:val="hybridMultilevel"/>
    <w:tmpl w:val="8AE0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81F1C"/>
    <w:multiLevelType w:val="hybridMultilevel"/>
    <w:tmpl w:val="5772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661027">
    <w:abstractNumId w:val="6"/>
  </w:num>
  <w:num w:numId="2" w16cid:durableId="937105773">
    <w:abstractNumId w:val="3"/>
  </w:num>
  <w:num w:numId="3" w16cid:durableId="485710114">
    <w:abstractNumId w:val="0"/>
  </w:num>
  <w:num w:numId="4" w16cid:durableId="932125364">
    <w:abstractNumId w:val="1"/>
  </w:num>
  <w:num w:numId="5" w16cid:durableId="1492987739">
    <w:abstractNumId w:val="4"/>
  </w:num>
  <w:num w:numId="6" w16cid:durableId="1939823012">
    <w:abstractNumId w:val="2"/>
  </w:num>
  <w:num w:numId="7" w16cid:durableId="644549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24"/>
    <w:rsid w:val="00001071"/>
    <w:rsid w:val="000016F0"/>
    <w:rsid w:val="00003481"/>
    <w:rsid w:val="00004BEA"/>
    <w:rsid w:val="00004D04"/>
    <w:rsid w:val="000055DC"/>
    <w:rsid w:val="00005F03"/>
    <w:rsid w:val="000062F3"/>
    <w:rsid w:val="0000667B"/>
    <w:rsid w:val="00010432"/>
    <w:rsid w:val="00013467"/>
    <w:rsid w:val="00014B4D"/>
    <w:rsid w:val="00015FD6"/>
    <w:rsid w:val="00022ABC"/>
    <w:rsid w:val="00023047"/>
    <w:rsid w:val="00025001"/>
    <w:rsid w:val="00026EC8"/>
    <w:rsid w:val="00033B86"/>
    <w:rsid w:val="00035C63"/>
    <w:rsid w:val="00036C74"/>
    <w:rsid w:val="00037B43"/>
    <w:rsid w:val="00041BFD"/>
    <w:rsid w:val="00041D1B"/>
    <w:rsid w:val="00041E87"/>
    <w:rsid w:val="000446B1"/>
    <w:rsid w:val="0004564C"/>
    <w:rsid w:val="000460B2"/>
    <w:rsid w:val="0005004F"/>
    <w:rsid w:val="000552BB"/>
    <w:rsid w:val="00056500"/>
    <w:rsid w:val="00056BAD"/>
    <w:rsid w:val="000636A6"/>
    <w:rsid w:val="00064978"/>
    <w:rsid w:val="000661D8"/>
    <w:rsid w:val="0007012C"/>
    <w:rsid w:val="00070F5F"/>
    <w:rsid w:val="0007214A"/>
    <w:rsid w:val="00075335"/>
    <w:rsid w:val="00075FE8"/>
    <w:rsid w:val="00076D79"/>
    <w:rsid w:val="00082E8B"/>
    <w:rsid w:val="000905A3"/>
    <w:rsid w:val="00093CF1"/>
    <w:rsid w:val="00094A0E"/>
    <w:rsid w:val="00095825"/>
    <w:rsid w:val="000977A8"/>
    <w:rsid w:val="000A1CB1"/>
    <w:rsid w:val="000A5196"/>
    <w:rsid w:val="000A545B"/>
    <w:rsid w:val="000A5C81"/>
    <w:rsid w:val="000A64C6"/>
    <w:rsid w:val="000A7D19"/>
    <w:rsid w:val="000B3666"/>
    <w:rsid w:val="000B3E10"/>
    <w:rsid w:val="000B4059"/>
    <w:rsid w:val="000B4FFD"/>
    <w:rsid w:val="000B6CEE"/>
    <w:rsid w:val="000C1066"/>
    <w:rsid w:val="000C42B9"/>
    <w:rsid w:val="000C48F1"/>
    <w:rsid w:val="000C581D"/>
    <w:rsid w:val="000D01E9"/>
    <w:rsid w:val="000D247D"/>
    <w:rsid w:val="000D33E4"/>
    <w:rsid w:val="000D505B"/>
    <w:rsid w:val="000D5B43"/>
    <w:rsid w:val="000D6176"/>
    <w:rsid w:val="000D7914"/>
    <w:rsid w:val="000E12A5"/>
    <w:rsid w:val="000E2B62"/>
    <w:rsid w:val="000E470F"/>
    <w:rsid w:val="000E6A32"/>
    <w:rsid w:val="000E7F49"/>
    <w:rsid w:val="000F35D8"/>
    <w:rsid w:val="000F3C0B"/>
    <w:rsid w:val="000F536E"/>
    <w:rsid w:val="000F66E3"/>
    <w:rsid w:val="000F6B4E"/>
    <w:rsid w:val="00105099"/>
    <w:rsid w:val="00105695"/>
    <w:rsid w:val="00105EEE"/>
    <w:rsid w:val="00106571"/>
    <w:rsid w:val="00106E99"/>
    <w:rsid w:val="00107F5D"/>
    <w:rsid w:val="0011369E"/>
    <w:rsid w:val="0011459F"/>
    <w:rsid w:val="001147C6"/>
    <w:rsid w:val="0011487E"/>
    <w:rsid w:val="00114D20"/>
    <w:rsid w:val="00120750"/>
    <w:rsid w:val="00120ABE"/>
    <w:rsid w:val="0012221A"/>
    <w:rsid w:val="00122919"/>
    <w:rsid w:val="00122DB6"/>
    <w:rsid w:val="00126580"/>
    <w:rsid w:val="001311A5"/>
    <w:rsid w:val="00132D00"/>
    <w:rsid w:val="001330CD"/>
    <w:rsid w:val="00133404"/>
    <w:rsid w:val="0013376D"/>
    <w:rsid w:val="00134CCB"/>
    <w:rsid w:val="00135D79"/>
    <w:rsid w:val="0014090D"/>
    <w:rsid w:val="00140A34"/>
    <w:rsid w:val="00142028"/>
    <w:rsid w:val="001463DF"/>
    <w:rsid w:val="00147001"/>
    <w:rsid w:val="0014716D"/>
    <w:rsid w:val="00155F49"/>
    <w:rsid w:val="001571E6"/>
    <w:rsid w:val="00157B5B"/>
    <w:rsid w:val="00160FCE"/>
    <w:rsid w:val="001611A6"/>
    <w:rsid w:val="00161AC3"/>
    <w:rsid w:val="001644F1"/>
    <w:rsid w:val="00164613"/>
    <w:rsid w:val="00164AF9"/>
    <w:rsid w:val="00164EB5"/>
    <w:rsid w:val="00165746"/>
    <w:rsid w:val="00165BB8"/>
    <w:rsid w:val="00167FF7"/>
    <w:rsid w:val="001760FF"/>
    <w:rsid w:val="0017688D"/>
    <w:rsid w:val="001850F5"/>
    <w:rsid w:val="00185B10"/>
    <w:rsid w:val="00185ED8"/>
    <w:rsid w:val="001934DB"/>
    <w:rsid w:val="00193AF1"/>
    <w:rsid w:val="00196E14"/>
    <w:rsid w:val="001A4FD5"/>
    <w:rsid w:val="001A5E3B"/>
    <w:rsid w:val="001B057B"/>
    <w:rsid w:val="001B0CE9"/>
    <w:rsid w:val="001B0DC5"/>
    <w:rsid w:val="001B2F62"/>
    <w:rsid w:val="001B7CE0"/>
    <w:rsid w:val="001C012C"/>
    <w:rsid w:val="001C363B"/>
    <w:rsid w:val="001C4D28"/>
    <w:rsid w:val="001C5626"/>
    <w:rsid w:val="001D2CB2"/>
    <w:rsid w:val="001D3B6C"/>
    <w:rsid w:val="001D3FB5"/>
    <w:rsid w:val="001D5D09"/>
    <w:rsid w:val="001D629D"/>
    <w:rsid w:val="001D7828"/>
    <w:rsid w:val="001E0E6B"/>
    <w:rsid w:val="001E2DFA"/>
    <w:rsid w:val="001E3C7E"/>
    <w:rsid w:val="001E595A"/>
    <w:rsid w:val="001E712E"/>
    <w:rsid w:val="001E7834"/>
    <w:rsid w:val="001E7D30"/>
    <w:rsid w:val="001F1DBB"/>
    <w:rsid w:val="001F216C"/>
    <w:rsid w:val="001F35D6"/>
    <w:rsid w:val="001F3955"/>
    <w:rsid w:val="001F7BC2"/>
    <w:rsid w:val="00200734"/>
    <w:rsid w:val="00210DB0"/>
    <w:rsid w:val="00212B38"/>
    <w:rsid w:val="00212BB7"/>
    <w:rsid w:val="00213189"/>
    <w:rsid w:val="0021491D"/>
    <w:rsid w:val="002149B1"/>
    <w:rsid w:val="0021504B"/>
    <w:rsid w:val="00215701"/>
    <w:rsid w:val="0021702F"/>
    <w:rsid w:val="00217B68"/>
    <w:rsid w:val="00220045"/>
    <w:rsid w:val="00220EAA"/>
    <w:rsid w:val="0022318F"/>
    <w:rsid w:val="00223A6B"/>
    <w:rsid w:val="0022789D"/>
    <w:rsid w:val="00232631"/>
    <w:rsid w:val="00232939"/>
    <w:rsid w:val="002345F9"/>
    <w:rsid w:val="0023577D"/>
    <w:rsid w:val="00240054"/>
    <w:rsid w:val="00240ED5"/>
    <w:rsid w:val="00244B04"/>
    <w:rsid w:val="002462C6"/>
    <w:rsid w:val="002468BC"/>
    <w:rsid w:val="002470D5"/>
    <w:rsid w:val="00252C29"/>
    <w:rsid w:val="00254EFC"/>
    <w:rsid w:val="00270BEC"/>
    <w:rsid w:val="0027252D"/>
    <w:rsid w:val="00272E42"/>
    <w:rsid w:val="00272F7F"/>
    <w:rsid w:val="0027405A"/>
    <w:rsid w:val="00274FC3"/>
    <w:rsid w:val="00276AFC"/>
    <w:rsid w:val="00277579"/>
    <w:rsid w:val="002777C1"/>
    <w:rsid w:val="00277A33"/>
    <w:rsid w:val="0028037C"/>
    <w:rsid w:val="00281AC3"/>
    <w:rsid w:val="0028223B"/>
    <w:rsid w:val="0028318E"/>
    <w:rsid w:val="0028679F"/>
    <w:rsid w:val="002909DD"/>
    <w:rsid w:val="00292132"/>
    <w:rsid w:val="002930F3"/>
    <w:rsid w:val="002966DB"/>
    <w:rsid w:val="00296A64"/>
    <w:rsid w:val="00296EF8"/>
    <w:rsid w:val="002A079D"/>
    <w:rsid w:val="002A14DD"/>
    <w:rsid w:val="002A4CD7"/>
    <w:rsid w:val="002A68DE"/>
    <w:rsid w:val="002A6B0A"/>
    <w:rsid w:val="002A7B3D"/>
    <w:rsid w:val="002B186B"/>
    <w:rsid w:val="002B7E57"/>
    <w:rsid w:val="002C2FC8"/>
    <w:rsid w:val="002C63C4"/>
    <w:rsid w:val="002C64C0"/>
    <w:rsid w:val="002C73B2"/>
    <w:rsid w:val="002C74D7"/>
    <w:rsid w:val="002D025E"/>
    <w:rsid w:val="002D0918"/>
    <w:rsid w:val="002D0DC6"/>
    <w:rsid w:val="002D2B9C"/>
    <w:rsid w:val="002D355E"/>
    <w:rsid w:val="002D3DD7"/>
    <w:rsid w:val="002D6555"/>
    <w:rsid w:val="002D68B5"/>
    <w:rsid w:val="002E2B8A"/>
    <w:rsid w:val="002E6939"/>
    <w:rsid w:val="002E78EC"/>
    <w:rsid w:val="002F055F"/>
    <w:rsid w:val="002F1729"/>
    <w:rsid w:val="002F320B"/>
    <w:rsid w:val="002F6042"/>
    <w:rsid w:val="002F67E3"/>
    <w:rsid w:val="00301784"/>
    <w:rsid w:val="00302326"/>
    <w:rsid w:val="00302B5B"/>
    <w:rsid w:val="00302F9E"/>
    <w:rsid w:val="00305ABE"/>
    <w:rsid w:val="0030788B"/>
    <w:rsid w:val="003102DA"/>
    <w:rsid w:val="00311071"/>
    <w:rsid w:val="00311AD2"/>
    <w:rsid w:val="00312E25"/>
    <w:rsid w:val="00312F86"/>
    <w:rsid w:val="00320B39"/>
    <w:rsid w:val="00320CD8"/>
    <w:rsid w:val="00322341"/>
    <w:rsid w:val="00322594"/>
    <w:rsid w:val="00322C71"/>
    <w:rsid w:val="00324AD6"/>
    <w:rsid w:val="0033203F"/>
    <w:rsid w:val="00334EE3"/>
    <w:rsid w:val="00335129"/>
    <w:rsid w:val="00336210"/>
    <w:rsid w:val="00336EC3"/>
    <w:rsid w:val="0033706A"/>
    <w:rsid w:val="00340370"/>
    <w:rsid w:val="00341346"/>
    <w:rsid w:val="00347C84"/>
    <w:rsid w:val="003508A7"/>
    <w:rsid w:val="00350C59"/>
    <w:rsid w:val="00351CA1"/>
    <w:rsid w:val="00352C97"/>
    <w:rsid w:val="00353897"/>
    <w:rsid w:val="00353E97"/>
    <w:rsid w:val="00354ACA"/>
    <w:rsid w:val="00355A6D"/>
    <w:rsid w:val="00355C6C"/>
    <w:rsid w:val="003641EC"/>
    <w:rsid w:val="0036454B"/>
    <w:rsid w:val="0036695F"/>
    <w:rsid w:val="00366B4D"/>
    <w:rsid w:val="00367E02"/>
    <w:rsid w:val="003705B4"/>
    <w:rsid w:val="00373081"/>
    <w:rsid w:val="003740D1"/>
    <w:rsid w:val="003819F2"/>
    <w:rsid w:val="00381EAA"/>
    <w:rsid w:val="0038281E"/>
    <w:rsid w:val="00382B91"/>
    <w:rsid w:val="003835B7"/>
    <w:rsid w:val="00385323"/>
    <w:rsid w:val="00385BC2"/>
    <w:rsid w:val="00386026"/>
    <w:rsid w:val="0038723F"/>
    <w:rsid w:val="00387282"/>
    <w:rsid w:val="00391408"/>
    <w:rsid w:val="00392008"/>
    <w:rsid w:val="003940CB"/>
    <w:rsid w:val="00394B95"/>
    <w:rsid w:val="00396854"/>
    <w:rsid w:val="003A5BBC"/>
    <w:rsid w:val="003A6545"/>
    <w:rsid w:val="003A7019"/>
    <w:rsid w:val="003A71D7"/>
    <w:rsid w:val="003B5F7F"/>
    <w:rsid w:val="003C2FFF"/>
    <w:rsid w:val="003C57DA"/>
    <w:rsid w:val="003C5E7D"/>
    <w:rsid w:val="003C6EE0"/>
    <w:rsid w:val="003D4B26"/>
    <w:rsid w:val="003D52FE"/>
    <w:rsid w:val="003E0696"/>
    <w:rsid w:val="003E09B6"/>
    <w:rsid w:val="003E1E2E"/>
    <w:rsid w:val="003E3026"/>
    <w:rsid w:val="003E3575"/>
    <w:rsid w:val="003F02AD"/>
    <w:rsid w:val="003F24EA"/>
    <w:rsid w:val="003F3E38"/>
    <w:rsid w:val="003F5B21"/>
    <w:rsid w:val="003F5C09"/>
    <w:rsid w:val="003F788E"/>
    <w:rsid w:val="00402450"/>
    <w:rsid w:val="00402F41"/>
    <w:rsid w:val="00402FE6"/>
    <w:rsid w:val="00403F8F"/>
    <w:rsid w:val="00404134"/>
    <w:rsid w:val="00406FFC"/>
    <w:rsid w:val="0041030E"/>
    <w:rsid w:val="0041098A"/>
    <w:rsid w:val="0041533A"/>
    <w:rsid w:val="004161AB"/>
    <w:rsid w:val="00417265"/>
    <w:rsid w:val="00420727"/>
    <w:rsid w:val="004224B2"/>
    <w:rsid w:val="004229E2"/>
    <w:rsid w:val="00422B59"/>
    <w:rsid w:val="00426B68"/>
    <w:rsid w:val="0042783F"/>
    <w:rsid w:val="004304CA"/>
    <w:rsid w:val="00432240"/>
    <w:rsid w:val="00434809"/>
    <w:rsid w:val="0044044F"/>
    <w:rsid w:val="00440724"/>
    <w:rsid w:val="00440817"/>
    <w:rsid w:val="00444550"/>
    <w:rsid w:val="00445425"/>
    <w:rsid w:val="0044593B"/>
    <w:rsid w:val="00445D6A"/>
    <w:rsid w:val="00446C08"/>
    <w:rsid w:val="00446E27"/>
    <w:rsid w:val="00450686"/>
    <w:rsid w:val="0045300A"/>
    <w:rsid w:val="00456337"/>
    <w:rsid w:val="00457C3E"/>
    <w:rsid w:val="004605C5"/>
    <w:rsid w:val="00460779"/>
    <w:rsid w:val="00461CDD"/>
    <w:rsid w:val="0046257F"/>
    <w:rsid w:val="00462C1E"/>
    <w:rsid w:val="00463A5A"/>
    <w:rsid w:val="00463C4D"/>
    <w:rsid w:val="00464F0F"/>
    <w:rsid w:val="00466062"/>
    <w:rsid w:val="00466EF5"/>
    <w:rsid w:val="004702FD"/>
    <w:rsid w:val="00473079"/>
    <w:rsid w:val="00473751"/>
    <w:rsid w:val="0047402D"/>
    <w:rsid w:val="00474665"/>
    <w:rsid w:val="004759EF"/>
    <w:rsid w:val="0047698A"/>
    <w:rsid w:val="00476AC4"/>
    <w:rsid w:val="0048468E"/>
    <w:rsid w:val="00485609"/>
    <w:rsid w:val="00485644"/>
    <w:rsid w:val="0049092C"/>
    <w:rsid w:val="004943EC"/>
    <w:rsid w:val="0049758C"/>
    <w:rsid w:val="004A11BA"/>
    <w:rsid w:val="004A191E"/>
    <w:rsid w:val="004A4BDF"/>
    <w:rsid w:val="004A54EB"/>
    <w:rsid w:val="004A5FFE"/>
    <w:rsid w:val="004A6451"/>
    <w:rsid w:val="004A6C32"/>
    <w:rsid w:val="004A6C86"/>
    <w:rsid w:val="004B1EE7"/>
    <w:rsid w:val="004B3CDF"/>
    <w:rsid w:val="004B404C"/>
    <w:rsid w:val="004B4C42"/>
    <w:rsid w:val="004B702F"/>
    <w:rsid w:val="004B7321"/>
    <w:rsid w:val="004C1EF9"/>
    <w:rsid w:val="004C2AF5"/>
    <w:rsid w:val="004C2E4E"/>
    <w:rsid w:val="004C3930"/>
    <w:rsid w:val="004C76F7"/>
    <w:rsid w:val="004D2026"/>
    <w:rsid w:val="004D21E6"/>
    <w:rsid w:val="004D2651"/>
    <w:rsid w:val="004D2C59"/>
    <w:rsid w:val="004D3012"/>
    <w:rsid w:val="004D57B2"/>
    <w:rsid w:val="004E2075"/>
    <w:rsid w:val="004E400A"/>
    <w:rsid w:val="004E4251"/>
    <w:rsid w:val="004E6A49"/>
    <w:rsid w:val="004E7515"/>
    <w:rsid w:val="004E7F29"/>
    <w:rsid w:val="004F0D76"/>
    <w:rsid w:val="004F0F95"/>
    <w:rsid w:val="004F24A7"/>
    <w:rsid w:val="004F38BD"/>
    <w:rsid w:val="004F3962"/>
    <w:rsid w:val="004F4437"/>
    <w:rsid w:val="004F56A6"/>
    <w:rsid w:val="004F6866"/>
    <w:rsid w:val="0050244F"/>
    <w:rsid w:val="005044D0"/>
    <w:rsid w:val="0050452A"/>
    <w:rsid w:val="00504594"/>
    <w:rsid w:val="00506DDD"/>
    <w:rsid w:val="0051089D"/>
    <w:rsid w:val="00510A27"/>
    <w:rsid w:val="00512F93"/>
    <w:rsid w:val="00514DAA"/>
    <w:rsid w:val="00515898"/>
    <w:rsid w:val="00516CC9"/>
    <w:rsid w:val="00520CD4"/>
    <w:rsid w:val="0052317F"/>
    <w:rsid w:val="005238AE"/>
    <w:rsid w:val="005238B3"/>
    <w:rsid w:val="005263E5"/>
    <w:rsid w:val="00526D04"/>
    <w:rsid w:val="00530102"/>
    <w:rsid w:val="00530212"/>
    <w:rsid w:val="005303C0"/>
    <w:rsid w:val="00533B52"/>
    <w:rsid w:val="00533B94"/>
    <w:rsid w:val="005360CC"/>
    <w:rsid w:val="00537466"/>
    <w:rsid w:val="005418D5"/>
    <w:rsid w:val="00542749"/>
    <w:rsid w:val="005443D9"/>
    <w:rsid w:val="00547BDB"/>
    <w:rsid w:val="00547D19"/>
    <w:rsid w:val="00550C54"/>
    <w:rsid w:val="00555B18"/>
    <w:rsid w:val="005561C1"/>
    <w:rsid w:val="00561C8E"/>
    <w:rsid w:val="00564028"/>
    <w:rsid w:val="0056442B"/>
    <w:rsid w:val="00566836"/>
    <w:rsid w:val="0057054E"/>
    <w:rsid w:val="00572CB2"/>
    <w:rsid w:val="00573C89"/>
    <w:rsid w:val="005752B0"/>
    <w:rsid w:val="00580113"/>
    <w:rsid w:val="00580C38"/>
    <w:rsid w:val="00583299"/>
    <w:rsid w:val="00583EA9"/>
    <w:rsid w:val="005864CB"/>
    <w:rsid w:val="00586A81"/>
    <w:rsid w:val="00590BED"/>
    <w:rsid w:val="0059162C"/>
    <w:rsid w:val="00593D6C"/>
    <w:rsid w:val="005977A4"/>
    <w:rsid w:val="005977B8"/>
    <w:rsid w:val="005A56E5"/>
    <w:rsid w:val="005A7423"/>
    <w:rsid w:val="005B32BB"/>
    <w:rsid w:val="005B433F"/>
    <w:rsid w:val="005B45A7"/>
    <w:rsid w:val="005B630B"/>
    <w:rsid w:val="005B64F0"/>
    <w:rsid w:val="005B7ED9"/>
    <w:rsid w:val="005C0662"/>
    <w:rsid w:val="005C2CFA"/>
    <w:rsid w:val="005C3E9D"/>
    <w:rsid w:val="005C3FE5"/>
    <w:rsid w:val="005C7368"/>
    <w:rsid w:val="005D1177"/>
    <w:rsid w:val="005D1181"/>
    <w:rsid w:val="005D6431"/>
    <w:rsid w:val="005E02AA"/>
    <w:rsid w:val="005E513F"/>
    <w:rsid w:val="005E64C4"/>
    <w:rsid w:val="005E673B"/>
    <w:rsid w:val="005E7D4B"/>
    <w:rsid w:val="005F0BA7"/>
    <w:rsid w:val="005F0CCB"/>
    <w:rsid w:val="005F53C1"/>
    <w:rsid w:val="005F548E"/>
    <w:rsid w:val="005F5922"/>
    <w:rsid w:val="005F6E4C"/>
    <w:rsid w:val="005F731C"/>
    <w:rsid w:val="005F7673"/>
    <w:rsid w:val="00603A18"/>
    <w:rsid w:val="0060448C"/>
    <w:rsid w:val="0060464E"/>
    <w:rsid w:val="006064A1"/>
    <w:rsid w:val="00606B37"/>
    <w:rsid w:val="006122A0"/>
    <w:rsid w:val="0061321B"/>
    <w:rsid w:val="0061335D"/>
    <w:rsid w:val="00613438"/>
    <w:rsid w:val="00614807"/>
    <w:rsid w:val="00615F92"/>
    <w:rsid w:val="006172BC"/>
    <w:rsid w:val="00617589"/>
    <w:rsid w:val="00620EA6"/>
    <w:rsid w:val="00625AF3"/>
    <w:rsid w:val="0062705A"/>
    <w:rsid w:val="006303B1"/>
    <w:rsid w:val="006344BC"/>
    <w:rsid w:val="00634512"/>
    <w:rsid w:val="00636430"/>
    <w:rsid w:val="00636735"/>
    <w:rsid w:val="00636AC3"/>
    <w:rsid w:val="006379A7"/>
    <w:rsid w:val="0064063F"/>
    <w:rsid w:val="0064098E"/>
    <w:rsid w:val="0064188F"/>
    <w:rsid w:val="00641AD9"/>
    <w:rsid w:val="00642BE9"/>
    <w:rsid w:val="00643E65"/>
    <w:rsid w:val="006472E2"/>
    <w:rsid w:val="006477DA"/>
    <w:rsid w:val="00651A89"/>
    <w:rsid w:val="00654D6A"/>
    <w:rsid w:val="00655779"/>
    <w:rsid w:val="006561B1"/>
    <w:rsid w:val="00656AA9"/>
    <w:rsid w:val="00656E2E"/>
    <w:rsid w:val="006606B2"/>
    <w:rsid w:val="00661DB2"/>
    <w:rsid w:val="00665932"/>
    <w:rsid w:val="00665D29"/>
    <w:rsid w:val="006700AB"/>
    <w:rsid w:val="006717AC"/>
    <w:rsid w:val="0067333A"/>
    <w:rsid w:val="00673B0B"/>
    <w:rsid w:val="006775BD"/>
    <w:rsid w:val="006777C7"/>
    <w:rsid w:val="00681290"/>
    <w:rsid w:val="006826F3"/>
    <w:rsid w:val="00685E96"/>
    <w:rsid w:val="00686C82"/>
    <w:rsid w:val="00691A9F"/>
    <w:rsid w:val="006932EE"/>
    <w:rsid w:val="00693349"/>
    <w:rsid w:val="00696CA2"/>
    <w:rsid w:val="00697B43"/>
    <w:rsid w:val="006A2DA9"/>
    <w:rsid w:val="006A385E"/>
    <w:rsid w:val="006A3B44"/>
    <w:rsid w:val="006A7F89"/>
    <w:rsid w:val="006B1937"/>
    <w:rsid w:val="006B2547"/>
    <w:rsid w:val="006B3D7C"/>
    <w:rsid w:val="006B3DB8"/>
    <w:rsid w:val="006B4263"/>
    <w:rsid w:val="006B45D3"/>
    <w:rsid w:val="006B4CBC"/>
    <w:rsid w:val="006C03C6"/>
    <w:rsid w:val="006C0879"/>
    <w:rsid w:val="006C2944"/>
    <w:rsid w:val="006C34AD"/>
    <w:rsid w:val="006C3E7D"/>
    <w:rsid w:val="006C4049"/>
    <w:rsid w:val="006C409E"/>
    <w:rsid w:val="006C4D42"/>
    <w:rsid w:val="006C4F50"/>
    <w:rsid w:val="006C735D"/>
    <w:rsid w:val="006D1503"/>
    <w:rsid w:val="006D1B87"/>
    <w:rsid w:val="006D1D70"/>
    <w:rsid w:val="006D1DBB"/>
    <w:rsid w:val="006D20B4"/>
    <w:rsid w:val="006D2C2F"/>
    <w:rsid w:val="006D2FDE"/>
    <w:rsid w:val="006D5EE7"/>
    <w:rsid w:val="006D6FE3"/>
    <w:rsid w:val="006E360D"/>
    <w:rsid w:val="006E5505"/>
    <w:rsid w:val="006E5B59"/>
    <w:rsid w:val="006E73F4"/>
    <w:rsid w:val="006F26C6"/>
    <w:rsid w:val="006F2BEE"/>
    <w:rsid w:val="006F32AF"/>
    <w:rsid w:val="006F3A5D"/>
    <w:rsid w:val="006F4EB1"/>
    <w:rsid w:val="006F796A"/>
    <w:rsid w:val="0070080B"/>
    <w:rsid w:val="007008C0"/>
    <w:rsid w:val="00706977"/>
    <w:rsid w:val="00711C25"/>
    <w:rsid w:val="00722D5F"/>
    <w:rsid w:val="00723FA3"/>
    <w:rsid w:val="007246FB"/>
    <w:rsid w:val="00726734"/>
    <w:rsid w:val="00726795"/>
    <w:rsid w:val="007269F5"/>
    <w:rsid w:val="007306F2"/>
    <w:rsid w:val="00735E8F"/>
    <w:rsid w:val="00736D3B"/>
    <w:rsid w:val="00740106"/>
    <w:rsid w:val="00740822"/>
    <w:rsid w:val="00740965"/>
    <w:rsid w:val="00741467"/>
    <w:rsid w:val="007448EA"/>
    <w:rsid w:val="007509ED"/>
    <w:rsid w:val="00750D62"/>
    <w:rsid w:val="00751BED"/>
    <w:rsid w:val="00752017"/>
    <w:rsid w:val="007532E1"/>
    <w:rsid w:val="007560E0"/>
    <w:rsid w:val="007574E3"/>
    <w:rsid w:val="007627EB"/>
    <w:rsid w:val="007630E6"/>
    <w:rsid w:val="007708DF"/>
    <w:rsid w:val="00776E30"/>
    <w:rsid w:val="00777241"/>
    <w:rsid w:val="00777978"/>
    <w:rsid w:val="00780584"/>
    <w:rsid w:val="007856A7"/>
    <w:rsid w:val="007917FE"/>
    <w:rsid w:val="007928A4"/>
    <w:rsid w:val="007942FC"/>
    <w:rsid w:val="00797A74"/>
    <w:rsid w:val="007A01E2"/>
    <w:rsid w:val="007A1068"/>
    <w:rsid w:val="007A16B2"/>
    <w:rsid w:val="007A1DF7"/>
    <w:rsid w:val="007A4BEE"/>
    <w:rsid w:val="007A5886"/>
    <w:rsid w:val="007B09D2"/>
    <w:rsid w:val="007B3C43"/>
    <w:rsid w:val="007B4803"/>
    <w:rsid w:val="007B48C1"/>
    <w:rsid w:val="007B50CC"/>
    <w:rsid w:val="007B573C"/>
    <w:rsid w:val="007C0A47"/>
    <w:rsid w:val="007C2077"/>
    <w:rsid w:val="007C2294"/>
    <w:rsid w:val="007C3455"/>
    <w:rsid w:val="007C47F7"/>
    <w:rsid w:val="007C5DB5"/>
    <w:rsid w:val="007C7567"/>
    <w:rsid w:val="007D0467"/>
    <w:rsid w:val="007D1468"/>
    <w:rsid w:val="007D213E"/>
    <w:rsid w:val="007D2E0E"/>
    <w:rsid w:val="007D3DCB"/>
    <w:rsid w:val="007D476A"/>
    <w:rsid w:val="007D50DF"/>
    <w:rsid w:val="007E6EA2"/>
    <w:rsid w:val="007E7EB9"/>
    <w:rsid w:val="007F01CB"/>
    <w:rsid w:val="007F1091"/>
    <w:rsid w:val="007F5DF2"/>
    <w:rsid w:val="007F6D36"/>
    <w:rsid w:val="007F6E7E"/>
    <w:rsid w:val="00803518"/>
    <w:rsid w:val="00803AA8"/>
    <w:rsid w:val="00804142"/>
    <w:rsid w:val="00804C52"/>
    <w:rsid w:val="008056BD"/>
    <w:rsid w:val="00807D0E"/>
    <w:rsid w:val="00810A2B"/>
    <w:rsid w:val="008119D1"/>
    <w:rsid w:val="00814A08"/>
    <w:rsid w:val="00815381"/>
    <w:rsid w:val="00820143"/>
    <w:rsid w:val="0082256E"/>
    <w:rsid w:val="00822F5D"/>
    <w:rsid w:val="00823E3A"/>
    <w:rsid w:val="00825D97"/>
    <w:rsid w:val="0083169A"/>
    <w:rsid w:val="00831726"/>
    <w:rsid w:val="008320F9"/>
    <w:rsid w:val="00835037"/>
    <w:rsid w:val="00836FD3"/>
    <w:rsid w:val="00837C13"/>
    <w:rsid w:val="0084122B"/>
    <w:rsid w:val="00842AF3"/>
    <w:rsid w:val="00842F00"/>
    <w:rsid w:val="00843A95"/>
    <w:rsid w:val="00844558"/>
    <w:rsid w:val="008446CC"/>
    <w:rsid w:val="008460C4"/>
    <w:rsid w:val="0084719F"/>
    <w:rsid w:val="00847A71"/>
    <w:rsid w:val="00850469"/>
    <w:rsid w:val="008521D3"/>
    <w:rsid w:val="0085220A"/>
    <w:rsid w:val="00855781"/>
    <w:rsid w:val="00855B2F"/>
    <w:rsid w:val="0085605B"/>
    <w:rsid w:val="0085614A"/>
    <w:rsid w:val="00856A86"/>
    <w:rsid w:val="008610F3"/>
    <w:rsid w:val="00861196"/>
    <w:rsid w:val="00861BDD"/>
    <w:rsid w:val="00867454"/>
    <w:rsid w:val="0087029E"/>
    <w:rsid w:val="008705AF"/>
    <w:rsid w:val="008724D4"/>
    <w:rsid w:val="00873925"/>
    <w:rsid w:val="0087796B"/>
    <w:rsid w:val="008800C7"/>
    <w:rsid w:val="00882171"/>
    <w:rsid w:val="0088368D"/>
    <w:rsid w:val="0088415D"/>
    <w:rsid w:val="00884E34"/>
    <w:rsid w:val="008852D7"/>
    <w:rsid w:val="0088672D"/>
    <w:rsid w:val="00886FAF"/>
    <w:rsid w:val="00887F48"/>
    <w:rsid w:val="00890FE4"/>
    <w:rsid w:val="008922DA"/>
    <w:rsid w:val="008925AB"/>
    <w:rsid w:val="00892FAB"/>
    <w:rsid w:val="00896537"/>
    <w:rsid w:val="008A59B4"/>
    <w:rsid w:val="008A5A69"/>
    <w:rsid w:val="008A6314"/>
    <w:rsid w:val="008A7595"/>
    <w:rsid w:val="008A7828"/>
    <w:rsid w:val="008B078C"/>
    <w:rsid w:val="008B28E5"/>
    <w:rsid w:val="008B3959"/>
    <w:rsid w:val="008B5A24"/>
    <w:rsid w:val="008B5E0E"/>
    <w:rsid w:val="008B6BAF"/>
    <w:rsid w:val="008C0D9D"/>
    <w:rsid w:val="008C21BE"/>
    <w:rsid w:val="008C496C"/>
    <w:rsid w:val="008D012F"/>
    <w:rsid w:val="008D2E9B"/>
    <w:rsid w:val="008D4709"/>
    <w:rsid w:val="008D5309"/>
    <w:rsid w:val="008E0265"/>
    <w:rsid w:val="008E1633"/>
    <w:rsid w:val="008E236B"/>
    <w:rsid w:val="008E409F"/>
    <w:rsid w:val="008E4D2C"/>
    <w:rsid w:val="008E5754"/>
    <w:rsid w:val="008E5FA4"/>
    <w:rsid w:val="008E6787"/>
    <w:rsid w:val="008E6FA3"/>
    <w:rsid w:val="008F0322"/>
    <w:rsid w:val="008F1F32"/>
    <w:rsid w:val="009001E2"/>
    <w:rsid w:val="0090058B"/>
    <w:rsid w:val="00901E63"/>
    <w:rsid w:val="00911573"/>
    <w:rsid w:val="00911B29"/>
    <w:rsid w:val="0091359F"/>
    <w:rsid w:val="009141E5"/>
    <w:rsid w:val="00914335"/>
    <w:rsid w:val="009159CF"/>
    <w:rsid w:val="00916F8A"/>
    <w:rsid w:val="00917B5E"/>
    <w:rsid w:val="009201D8"/>
    <w:rsid w:val="009203B8"/>
    <w:rsid w:val="00922E9F"/>
    <w:rsid w:val="00923380"/>
    <w:rsid w:val="009234AC"/>
    <w:rsid w:val="00923544"/>
    <w:rsid w:val="009236C5"/>
    <w:rsid w:val="00924640"/>
    <w:rsid w:val="00925CC5"/>
    <w:rsid w:val="009267CE"/>
    <w:rsid w:val="009315A6"/>
    <w:rsid w:val="00932F95"/>
    <w:rsid w:val="00933BED"/>
    <w:rsid w:val="0093406C"/>
    <w:rsid w:val="009345A7"/>
    <w:rsid w:val="00934F21"/>
    <w:rsid w:val="0093702F"/>
    <w:rsid w:val="00937FC4"/>
    <w:rsid w:val="009460B6"/>
    <w:rsid w:val="00946902"/>
    <w:rsid w:val="00947CEE"/>
    <w:rsid w:val="00947F5D"/>
    <w:rsid w:val="00951507"/>
    <w:rsid w:val="00954ED5"/>
    <w:rsid w:val="00956D34"/>
    <w:rsid w:val="00957974"/>
    <w:rsid w:val="00963CE4"/>
    <w:rsid w:val="00964B40"/>
    <w:rsid w:val="00966498"/>
    <w:rsid w:val="009705D8"/>
    <w:rsid w:val="009708B1"/>
    <w:rsid w:val="00972590"/>
    <w:rsid w:val="00972A29"/>
    <w:rsid w:val="00973A3D"/>
    <w:rsid w:val="00975447"/>
    <w:rsid w:val="00977894"/>
    <w:rsid w:val="00977A33"/>
    <w:rsid w:val="00980ACD"/>
    <w:rsid w:val="00981FBD"/>
    <w:rsid w:val="00981FFB"/>
    <w:rsid w:val="009863BB"/>
    <w:rsid w:val="0098641F"/>
    <w:rsid w:val="009900E1"/>
    <w:rsid w:val="009914F5"/>
    <w:rsid w:val="00991523"/>
    <w:rsid w:val="00991A1B"/>
    <w:rsid w:val="00993712"/>
    <w:rsid w:val="009A12A9"/>
    <w:rsid w:val="009A27A1"/>
    <w:rsid w:val="009A5371"/>
    <w:rsid w:val="009A5F54"/>
    <w:rsid w:val="009A6507"/>
    <w:rsid w:val="009A686F"/>
    <w:rsid w:val="009A6E68"/>
    <w:rsid w:val="009A765E"/>
    <w:rsid w:val="009B09B2"/>
    <w:rsid w:val="009B0D33"/>
    <w:rsid w:val="009B4090"/>
    <w:rsid w:val="009B75ED"/>
    <w:rsid w:val="009C1EFC"/>
    <w:rsid w:val="009C30AE"/>
    <w:rsid w:val="009C390B"/>
    <w:rsid w:val="009C3DC4"/>
    <w:rsid w:val="009C6A7F"/>
    <w:rsid w:val="009C787F"/>
    <w:rsid w:val="009D0270"/>
    <w:rsid w:val="009D0D06"/>
    <w:rsid w:val="009D72B0"/>
    <w:rsid w:val="009E08F5"/>
    <w:rsid w:val="009E1EB7"/>
    <w:rsid w:val="009E2EB7"/>
    <w:rsid w:val="009E41F8"/>
    <w:rsid w:val="009E6DC2"/>
    <w:rsid w:val="009F091F"/>
    <w:rsid w:val="009F1DC0"/>
    <w:rsid w:val="009F2571"/>
    <w:rsid w:val="009F5FE4"/>
    <w:rsid w:val="009F6533"/>
    <w:rsid w:val="009F6780"/>
    <w:rsid w:val="009F6C1F"/>
    <w:rsid w:val="00A00281"/>
    <w:rsid w:val="00A01C7A"/>
    <w:rsid w:val="00A025FF"/>
    <w:rsid w:val="00A04119"/>
    <w:rsid w:val="00A04718"/>
    <w:rsid w:val="00A04FF1"/>
    <w:rsid w:val="00A07A11"/>
    <w:rsid w:val="00A10E55"/>
    <w:rsid w:val="00A13ACF"/>
    <w:rsid w:val="00A1496B"/>
    <w:rsid w:val="00A154CB"/>
    <w:rsid w:val="00A15751"/>
    <w:rsid w:val="00A16471"/>
    <w:rsid w:val="00A213C6"/>
    <w:rsid w:val="00A21F6E"/>
    <w:rsid w:val="00A2247A"/>
    <w:rsid w:val="00A22AE4"/>
    <w:rsid w:val="00A267D9"/>
    <w:rsid w:val="00A26F32"/>
    <w:rsid w:val="00A3318E"/>
    <w:rsid w:val="00A33C08"/>
    <w:rsid w:val="00A37BAA"/>
    <w:rsid w:val="00A4038B"/>
    <w:rsid w:val="00A456FA"/>
    <w:rsid w:val="00A45720"/>
    <w:rsid w:val="00A459E7"/>
    <w:rsid w:val="00A4748C"/>
    <w:rsid w:val="00A50B5D"/>
    <w:rsid w:val="00A50D66"/>
    <w:rsid w:val="00A51496"/>
    <w:rsid w:val="00A54E22"/>
    <w:rsid w:val="00A55F7F"/>
    <w:rsid w:val="00A56864"/>
    <w:rsid w:val="00A60BD7"/>
    <w:rsid w:val="00A61A48"/>
    <w:rsid w:val="00A648F3"/>
    <w:rsid w:val="00A65DBE"/>
    <w:rsid w:val="00A6667C"/>
    <w:rsid w:val="00A701A0"/>
    <w:rsid w:val="00A7179E"/>
    <w:rsid w:val="00A74215"/>
    <w:rsid w:val="00A75DAE"/>
    <w:rsid w:val="00A77416"/>
    <w:rsid w:val="00A80BDD"/>
    <w:rsid w:val="00A827D1"/>
    <w:rsid w:val="00A8280D"/>
    <w:rsid w:val="00A832C2"/>
    <w:rsid w:val="00A85437"/>
    <w:rsid w:val="00A86185"/>
    <w:rsid w:val="00A90BF0"/>
    <w:rsid w:val="00A94A8C"/>
    <w:rsid w:val="00A951D9"/>
    <w:rsid w:val="00A9581D"/>
    <w:rsid w:val="00A95FC7"/>
    <w:rsid w:val="00A96474"/>
    <w:rsid w:val="00A97667"/>
    <w:rsid w:val="00AA0862"/>
    <w:rsid w:val="00AA35D8"/>
    <w:rsid w:val="00AA4EEB"/>
    <w:rsid w:val="00AA4FFD"/>
    <w:rsid w:val="00AA718D"/>
    <w:rsid w:val="00AA79B1"/>
    <w:rsid w:val="00AB0211"/>
    <w:rsid w:val="00AB0983"/>
    <w:rsid w:val="00AB31D3"/>
    <w:rsid w:val="00AB626F"/>
    <w:rsid w:val="00AB6F6B"/>
    <w:rsid w:val="00AB7701"/>
    <w:rsid w:val="00AC194F"/>
    <w:rsid w:val="00AC264F"/>
    <w:rsid w:val="00AC44C7"/>
    <w:rsid w:val="00AC5C45"/>
    <w:rsid w:val="00AC62D2"/>
    <w:rsid w:val="00AD0635"/>
    <w:rsid w:val="00AD1782"/>
    <w:rsid w:val="00AD18FF"/>
    <w:rsid w:val="00AD2A48"/>
    <w:rsid w:val="00AD3AE5"/>
    <w:rsid w:val="00AD4A6A"/>
    <w:rsid w:val="00AD4AB0"/>
    <w:rsid w:val="00AD4DF8"/>
    <w:rsid w:val="00AD698E"/>
    <w:rsid w:val="00AE139C"/>
    <w:rsid w:val="00AE1944"/>
    <w:rsid w:val="00AE312D"/>
    <w:rsid w:val="00AE4611"/>
    <w:rsid w:val="00AE4C76"/>
    <w:rsid w:val="00AF0966"/>
    <w:rsid w:val="00AF1CFF"/>
    <w:rsid w:val="00AF31D6"/>
    <w:rsid w:val="00AF3412"/>
    <w:rsid w:val="00AF51F9"/>
    <w:rsid w:val="00AF53AB"/>
    <w:rsid w:val="00AF5C3D"/>
    <w:rsid w:val="00AF7C2D"/>
    <w:rsid w:val="00B00AE0"/>
    <w:rsid w:val="00B05AD5"/>
    <w:rsid w:val="00B05E99"/>
    <w:rsid w:val="00B0653E"/>
    <w:rsid w:val="00B07E47"/>
    <w:rsid w:val="00B1219A"/>
    <w:rsid w:val="00B12780"/>
    <w:rsid w:val="00B14AA8"/>
    <w:rsid w:val="00B14DC6"/>
    <w:rsid w:val="00B15653"/>
    <w:rsid w:val="00B17F18"/>
    <w:rsid w:val="00B208F7"/>
    <w:rsid w:val="00B2183E"/>
    <w:rsid w:val="00B23321"/>
    <w:rsid w:val="00B25493"/>
    <w:rsid w:val="00B26426"/>
    <w:rsid w:val="00B264DC"/>
    <w:rsid w:val="00B305E3"/>
    <w:rsid w:val="00B31A7A"/>
    <w:rsid w:val="00B337A7"/>
    <w:rsid w:val="00B34105"/>
    <w:rsid w:val="00B34C9A"/>
    <w:rsid w:val="00B34FC1"/>
    <w:rsid w:val="00B3607C"/>
    <w:rsid w:val="00B43C56"/>
    <w:rsid w:val="00B45FB8"/>
    <w:rsid w:val="00B46197"/>
    <w:rsid w:val="00B4658F"/>
    <w:rsid w:val="00B4699A"/>
    <w:rsid w:val="00B46D3D"/>
    <w:rsid w:val="00B47148"/>
    <w:rsid w:val="00B50012"/>
    <w:rsid w:val="00B5007C"/>
    <w:rsid w:val="00B50AD8"/>
    <w:rsid w:val="00B50B77"/>
    <w:rsid w:val="00B520BA"/>
    <w:rsid w:val="00B526E0"/>
    <w:rsid w:val="00B5437F"/>
    <w:rsid w:val="00B55036"/>
    <w:rsid w:val="00B5592E"/>
    <w:rsid w:val="00B55C76"/>
    <w:rsid w:val="00B60B4D"/>
    <w:rsid w:val="00B61AC0"/>
    <w:rsid w:val="00B6468C"/>
    <w:rsid w:val="00B6490E"/>
    <w:rsid w:val="00B66C22"/>
    <w:rsid w:val="00B67119"/>
    <w:rsid w:val="00B7056A"/>
    <w:rsid w:val="00B70666"/>
    <w:rsid w:val="00B715F3"/>
    <w:rsid w:val="00B72671"/>
    <w:rsid w:val="00B72AD8"/>
    <w:rsid w:val="00B730B0"/>
    <w:rsid w:val="00B75968"/>
    <w:rsid w:val="00B76FC7"/>
    <w:rsid w:val="00B7736D"/>
    <w:rsid w:val="00B777C3"/>
    <w:rsid w:val="00B80180"/>
    <w:rsid w:val="00B801F2"/>
    <w:rsid w:val="00B80235"/>
    <w:rsid w:val="00B80868"/>
    <w:rsid w:val="00B81E5C"/>
    <w:rsid w:val="00B82959"/>
    <w:rsid w:val="00B85E1C"/>
    <w:rsid w:val="00B860F2"/>
    <w:rsid w:val="00B90DCA"/>
    <w:rsid w:val="00B945F8"/>
    <w:rsid w:val="00B94856"/>
    <w:rsid w:val="00B953CA"/>
    <w:rsid w:val="00B97727"/>
    <w:rsid w:val="00BA01F4"/>
    <w:rsid w:val="00BA176D"/>
    <w:rsid w:val="00BA27BE"/>
    <w:rsid w:val="00BA59A5"/>
    <w:rsid w:val="00BA6F35"/>
    <w:rsid w:val="00BA7A21"/>
    <w:rsid w:val="00BB1176"/>
    <w:rsid w:val="00BB1B23"/>
    <w:rsid w:val="00BB3E45"/>
    <w:rsid w:val="00BB6630"/>
    <w:rsid w:val="00BC06D8"/>
    <w:rsid w:val="00BC08C4"/>
    <w:rsid w:val="00BC11D4"/>
    <w:rsid w:val="00BC22E6"/>
    <w:rsid w:val="00BC299A"/>
    <w:rsid w:val="00BC3BA6"/>
    <w:rsid w:val="00BC4684"/>
    <w:rsid w:val="00BC6869"/>
    <w:rsid w:val="00BD189F"/>
    <w:rsid w:val="00BD3AF6"/>
    <w:rsid w:val="00BD4070"/>
    <w:rsid w:val="00BD4182"/>
    <w:rsid w:val="00BD47A4"/>
    <w:rsid w:val="00BD53AC"/>
    <w:rsid w:val="00BD6197"/>
    <w:rsid w:val="00BD64E7"/>
    <w:rsid w:val="00BD6F4E"/>
    <w:rsid w:val="00BD7A79"/>
    <w:rsid w:val="00BE4341"/>
    <w:rsid w:val="00BE672B"/>
    <w:rsid w:val="00BE7666"/>
    <w:rsid w:val="00BF18C6"/>
    <w:rsid w:val="00BF33AB"/>
    <w:rsid w:val="00BF5148"/>
    <w:rsid w:val="00BF518E"/>
    <w:rsid w:val="00BF76F1"/>
    <w:rsid w:val="00C04453"/>
    <w:rsid w:val="00C0565C"/>
    <w:rsid w:val="00C05D00"/>
    <w:rsid w:val="00C05EB8"/>
    <w:rsid w:val="00C06623"/>
    <w:rsid w:val="00C1099A"/>
    <w:rsid w:val="00C12D29"/>
    <w:rsid w:val="00C151AB"/>
    <w:rsid w:val="00C20950"/>
    <w:rsid w:val="00C21CA2"/>
    <w:rsid w:val="00C233FA"/>
    <w:rsid w:val="00C2548B"/>
    <w:rsid w:val="00C25C2F"/>
    <w:rsid w:val="00C32996"/>
    <w:rsid w:val="00C33D7D"/>
    <w:rsid w:val="00C35780"/>
    <w:rsid w:val="00C36F6B"/>
    <w:rsid w:val="00C423B4"/>
    <w:rsid w:val="00C42A03"/>
    <w:rsid w:val="00C42A83"/>
    <w:rsid w:val="00C42D7F"/>
    <w:rsid w:val="00C4467E"/>
    <w:rsid w:val="00C44911"/>
    <w:rsid w:val="00C45985"/>
    <w:rsid w:val="00C460BA"/>
    <w:rsid w:val="00C5019B"/>
    <w:rsid w:val="00C50724"/>
    <w:rsid w:val="00C50CB4"/>
    <w:rsid w:val="00C51D9A"/>
    <w:rsid w:val="00C522A4"/>
    <w:rsid w:val="00C56195"/>
    <w:rsid w:val="00C5633F"/>
    <w:rsid w:val="00C60775"/>
    <w:rsid w:val="00C610B8"/>
    <w:rsid w:val="00C61CF2"/>
    <w:rsid w:val="00C62715"/>
    <w:rsid w:val="00C62AD9"/>
    <w:rsid w:val="00C636FB"/>
    <w:rsid w:val="00C640F1"/>
    <w:rsid w:val="00C64468"/>
    <w:rsid w:val="00C64C7D"/>
    <w:rsid w:val="00C66BBF"/>
    <w:rsid w:val="00C674F5"/>
    <w:rsid w:val="00C6765C"/>
    <w:rsid w:val="00C70B10"/>
    <w:rsid w:val="00C719C6"/>
    <w:rsid w:val="00C74C32"/>
    <w:rsid w:val="00C75512"/>
    <w:rsid w:val="00C778BF"/>
    <w:rsid w:val="00C8065E"/>
    <w:rsid w:val="00C80FD6"/>
    <w:rsid w:val="00C81EF2"/>
    <w:rsid w:val="00C86BF3"/>
    <w:rsid w:val="00C907A2"/>
    <w:rsid w:val="00C907AF"/>
    <w:rsid w:val="00C921ED"/>
    <w:rsid w:val="00C93016"/>
    <w:rsid w:val="00C94A89"/>
    <w:rsid w:val="00C94BD4"/>
    <w:rsid w:val="00C95EA0"/>
    <w:rsid w:val="00C96D17"/>
    <w:rsid w:val="00CA0999"/>
    <w:rsid w:val="00CA2453"/>
    <w:rsid w:val="00CA4356"/>
    <w:rsid w:val="00CA5139"/>
    <w:rsid w:val="00CB0F4F"/>
    <w:rsid w:val="00CB1654"/>
    <w:rsid w:val="00CB1AF5"/>
    <w:rsid w:val="00CB1EA1"/>
    <w:rsid w:val="00CB3A81"/>
    <w:rsid w:val="00CB3F5D"/>
    <w:rsid w:val="00CB5437"/>
    <w:rsid w:val="00CB5CBB"/>
    <w:rsid w:val="00CB5D35"/>
    <w:rsid w:val="00CB6A44"/>
    <w:rsid w:val="00CC3275"/>
    <w:rsid w:val="00CC4318"/>
    <w:rsid w:val="00CC7C11"/>
    <w:rsid w:val="00CD0EC6"/>
    <w:rsid w:val="00CD42EE"/>
    <w:rsid w:val="00CD6FB9"/>
    <w:rsid w:val="00CE00A4"/>
    <w:rsid w:val="00CE01CB"/>
    <w:rsid w:val="00CE0552"/>
    <w:rsid w:val="00CE0F16"/>
    <w:rsid w:val="00CE2837"/>
    <w:rsid w:val="00CE2D19"/>
    <w:rsid w:val="00CE446D"/>
    <w:rsid w:val="00CE6C6C"/>
    <w:rsid w:val="00CE7E21"/>
    <w:rsid w:val="00CE7F2E"/>
    <w:rsid w:val="00CF06FC"/>
    <w:rsid w:val="00CF3A7C"/>
    <w:rsid w:val="00D0075B"/>
    <w:rsid w:val="00D02F42"/>
    <w:rsid w:val="00D05AC9"/>
    <w:rsid w:val="00D0679A"/>
    <w:rsid w:val="00D07AE9"/>
    <w:rsid w:val="00D11DDE"/>
    <w:rsid w:val="00D12808"/>
    <w:rsid w:val="00D12C58"/>
    <w:rsid w:val="00D1617B"/>
    <w:rsid w:val="00D166E6"/>
    <w:rsid w:val="00D17295"/>
    <w:rsid w:val="00D17576"/>
    <w:rsid w:val="00D17F67"/>
    <w:rsid w:val="00D20896"/>
    <w:rsid w:val="00D23CCB"/>
    <w:rsid w:val="00D2421E"/>
    <w:rsid w:val="00D2437F"/>
    <w:rsid w:val="00D25620"/>
    <w:rsid w:val="00D30106"/>
    <w:rsid w:val="00D316EB"/>
    <w:rsid w:val="00D34004"/>
    <w:rsid w:val="00D34798"/>
    <w:rsid w:val="00D35EBC"/>
    <w:rsid w:val="00D36117"/>
    <w:rsid w:val="00D3721E"/>
    <w:rsid w:val="00D413F1"/>
    <w:rsid w:val="00D46AAD"/>
    <w:rsid w:val="00D46DF7"/>
    <w:rsid w:val="00D4792E"/>
    <w:rsid w:val="00D47ACD"/>
    <w:rsid w:val="00D47F2E"/>
    <w:rsid w:val="00D51D03"/>
    <w:rsid w:val="00D54F80"/>
    <w:rsid w:val="00D554E3"/>
    <w:rsid w:val="00D56FAC"/>
    <w:rsid w:val="00D64633"/>
    <w:rsid w:val="00D655BA"/>
    <w:rsid w:val="00D662E0"/>
    <w:rsid w:val="00D667FB"/>
    <w:rsid w:val="00D66E1A"/>
    <w:rsid w:val="00D70661"/>
    <w:rsid w:val="00D73B45"/>
    <w:rsid w:val="00D74F49"/>
    <w:rsid w:val="00D75986"/>
    <w:rsid w:val="00D7799A"/>
    <w:rsid w:val="00D8562D"/>
    <w:rsid w:val="00D906FF"/>
    <w:rsid w:val="00D92721"/>
    <w:rsid w:val="00D933D3"/>
    <w:rsid w:val="00D95919"/>
    <w:rsid w:val="00D9759E"/>
    <w:rsid w:val="00DA2221"/>
    <w:rsid w:val="00DA4C87"/>
    <w:rsid w:val="00DA4E4D"/>
    <w:rsid w:val="00DB34CD"/>
    <w:rsid w:val="00DB5546"/>
    <w:rsid w:val="00DB60FC"/>
    <w:rsid w:val="00DC3F7A"/>
    <w:rsid w:val="00DC4B5B"/>
    <w:rsid w:val="00DC7E7A"/>
    <w:rsid w:val="00DD44E0"/>
    <w:rsid w:val="00DD6C30"/>
    <w:rsid w:val="00DD7938"/>
    <w:rsid w:val="00DE0047"/>
    <w:rsid w:val="00DE2AD6"/>
    <w:rsid w:val="00DE3055"/>
    <w:rsid w:val="00DE3567"/>
    <w:rsid w:val="00DE6AFA"/>
    <w:rsid w:val="00DF0974"/>
    <w:rsid w:val="00DF0A75"/>
    <w:rsid w:val="00DF3B29"/>
    <w:rsid w:val="00DF625D"/>
    <w:rsid w:val="00DF64FA"/>
    <w:rsid w:val="00E03100"/>
    <w:rsid w:val="00E04062"/>
    <w:rsid w:val="00E060E9"/>
    <w:rsid w:val="00E0680B"/>
    <w:rsid w:val="00E11A03"/>
    <w:rsid w:val="00E1203F"/>
    <w:rsid w:val="00E13D25"/>
    <w:rsid w:val="00E20416"/>
    <w:rsid w:val="00E20DA5"/>
    <w:rsid w:val="00E21363"/>
    <w:rsid w:val="00E22F7A"/>
    <w:rsid w:val="00E245F8"/>
    <w:rsid w:val="00E25F8A"/>
    <w:rsid w:val="00E311E4"/>
    <w:rsid w:val="00E31478"/>
    <w:rsid w:val="00E3204C"/>
    <w:rsid w:val="00E330C9"/>
    <w:rsid w:val="00E371C3"/>
    <w:rsid w:val="00E4162E"/>
    <w:rsid w:val="00E440B5"/>
    <w:rsid w:val="00E45EDB"/>
    <w:rsid w:val="00E472EF"/>
    <w:rsid w:val="00E52D77"/>
    <w:rsid w:val="00E5632F"/>
    <w:rsid w:val="00E61CA1"/>
    <w:rsid w:val="00E63E76"/>
    <w:rsid w:val="00E64A81"/>
    <w:rsid w:val="00E65626"/>
    <w:rsid w:val="00E65B27"/>
    <w:rsid w:val="00E66A69"/>
    <w:rsid w:val="00E708BF"/>
    <w:rsid w:val="00E717C9"/>
    <w:rsid w:val="00E71FE3"/>
    <w:rsid w:val="00E7524C"/>
    <w:rsid w:val="00E75C8E"/>
    <w:rsid w:val="00E761EA"/>
    <w:rsid w:val="00E77384"/>
    <w:rsid w:val="00E801C1"/>
    <w:rsid w:val="00E801D2"/>
    <w:rsid w:val="00E80747"/>
    <w:rsid w:val="00E80B08"/>
    <w:rsid w:val="00E81765"/>
    <w:rsid w:val="00E823E5"/>
    <w:rsid w:val="00E829CD"/>
    <w:rsid w:val="00E84989"/>
    <w:rsid w:val="00E85ECB"/>
    <w:rsid w:val="00E8653E"/>
    <w:rsid w:val="00E8659D"/>
    <w:rsid w:val="00E90AC0"/>
    <w:rsid w:val="00E927BD"/>
    <w:rsid w:val="00E96BF5"/>
    <w:rsid w:val="00E972D8"/>
    <w:rsid w:val="00EA1B0E"/>
    <w:rsid w:val="00EA2A86"/>
    <w:rsid w:val="00EA469A"/>
    <w:rsid w:val="00EA5B3C"/>
    <w:rsid w:val="00EB3365"/>
    <w:rsid w:val="00EB3AF1"/>
    <w:rsid w:val="00EB6930"/>
    <w:rsid w:val="00EC1EEA"/>
    <w:rsid w:val="00EC4E01"/>
    <w:rsid w:val="00EC5A6E"/>
    <w:rsid w:val="00EC75D8"/>
    <w:rsid w:val="00ED0975"/>
    <w:rsid w:val="00ED154C"/>
    <w:rsid w:val="00ED49F1"/>
    <w:rsid w:val="00ED600C"/>
    <w:rsid w:val="00ED7180"/>
    <w:rsid w:val="00ED78E6"/>
    <w:rsid w:val="00ED7F3F"/>
    <w:rsid w:val="00EE11C9"/>
    <w:rsid w:val="00EE1476"/>
    <w:rsid w:val="00EE32A7"/>
    <w:rsid w:val="00EE356B"/>
    <w:rsid w:val="00EE5E88"/>
    <w:rsid w:val="00EE7385"/>
    <w:rsid w:val="00EF115C"/>
    <w:rsid w:val="00EF1DE8"/>
    <w:rsid w:val="00EF3045"/>
    <w:rsid w:val="00EF519B"/>
    <w:rsid w:val="00F01568"/>
    <w:rsid w:val="00F01DA3"/>
    <w:rsid w:val="00F0213E"/>
    <w:rsid w:val="00F05DC2"/>
    <w:rsid w:val="00F06309"/>
    <w:rsid w:val="00F06F1F"/>
    <w:rsid w:val="00F11536"/>
    <w:rsid w:val="00F14485"/>
    <w:rsid w:val="00F1480C"/>
    <w:rsid w:val="00F156F7"/>
    <w:rsid w:val="00F16218"/>
    <w:rsid w:val="00F17117"/>
    <w:rsid w:val="00F17BA5"/>
    <w:rsid w:val="00F21329"/>
    <w:rsid w:val="00F22376"/>
    <w:rsid w:val="00F22936"/>
    <w:rsid w:val="00F22DB5"/>
    <w:rsid w:val="00F23AF4"/>
    <w:rsid w:val="00F24485"/>
    <w:rsid w:val="00F24B01"/>
    <w:rsid w:val="00F30386"/>
    <w:rsid w:val="00F36013"/>
    <w:rsid w:val="00F379BF"/>
    <w:rsid w:val="00F37D68"/>
    <w:rsid w:val="00F37F03"/>
    <w:rsid w:val="00F41F4A"/>
    <w:rsid w:val="00F42957"/>
    <w:rsid w:val="00F45589"/>
    <w:rsid w:val="00F46133"/>
    <w:rsid w:val="00F470CB"/>
    <w:rsid w:val="00F47395"/>
    <w:rsid w:val="00F528D1"/>
    <w:rsid w:val="00F5579F"/>
    <w:rsid w:val="00F55CBD"/>
    <w:rsid w:val="00F55FE9"/>
    <w:rsid w:val="00F6284C"/>
    <w:rsid w:val="00F62E9B"/>
    <w:rsid w:val="00F646D2"/>
    <w:rsid w:val="00F64CEA"/>
    <w:rsid w:val="00F669B4"/>
    <w:rsid w:val="00F70774"/>
    <w:rsid w:val="00F72BB5"/>
    <w:rsid w:val="00F76CA7"/>
    <w:rsid w:val="00F838EE"/>
    <w:rsid w:val="00F86F64"/>
    <w:rsid w:val="00F908CF"/>
    <w:rsid w:val="00F92B1A"/>
    <w:rsid w:val="00F92FD2"/>
    <w:rsid w:val="00F9335B"/>
    <w:rsid w:val="00F95714"/>
    <w:rsid w:val="00F95DF7"/>
    <w:rsid w:val="00F96325"/>
    <w:rsid w:val="00F96D29"/>
    <w:rsid w:val="00FA038F"/>
    <w:rsid w:val="00FA1ADA"/>
    <w:rsid w:val="00FA2358"/>
    <w:rsid w:val="00FA45E1"/>
    <w:rsid w:val="00FB0038"/>
    <w:rsid w:val="00FB0C4A"/>
    <w:rsid w:val="00FB15B6"/>
    <w:rsid w:val="00FB3E92"/>
    <w:rsid w:val="00FB4DE1"/>
    <w:rsid w:val="00FB7E8E"/>
    <w:rsid w:val="00FC023F"/>
    <w:rsid w:val="00FC0CDD"/>
    <w:rsid w:val="00FC18F9"/>
    <w:rsid w:val="00FC1D10"/>
    <w:rsid w:val="00FC21D6"/>
    <w:rsid w:val="00FC2406"/>
    <w:rsid w:val="00FC2BD2"/>
    <w:rsid w:val="00FC4041"/>
    <w:rsid w:val="00FC6026"/>
    <w:rsid w:val="00FD0085"/>
    <w:rsid w:val="00FD3F23"/>
    <w:rsid w:val="00FD50F8"/>
    <w:rsid w:val="00FD5891"/>
    <w:rsid w:val="00FD6D5D"/>
    <w:rsid w:val="00FE0412"/>
    <w:rsid w:val="00FE312B"/>
    <w:rsid w:val="00FE3456"/>
    <w:rsid w:val="00FE48C5"/>
    <w:rsid w:val="00FE4BB8"/>
    <w:rsid w:val="00FE5118"/>
    <w:rsid w:val="00FE5172"/>
    <w:rsid w:val="00FE5810"/>
    <w:rsid w:val="00FF3736"/>
    <w:rsid w:val="00FF3BAC"/>
    <w:rsid w:val="00FF4BC0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E988"/>
  <w15:chartTrackingRefBased/>
  <w15:docId w15:val="{72AA2431-53AF-4C80-9ECF-23D814AB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57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70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0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0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82"/>
  </w:style>
  <w:style w:type="paragraph" w:styleId="Footer">
    <w:name w:val="footer"/>
    <w:basedOn w:val="Normal"/>
    <w:link w:val="FooterChar"/>
    <w:uiPriority w:val="99"/>
    <w:unhideWhenUsed/>
    <w:rsid w:val="00BD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82"/>
  </w:style>
  <w:style w:type="table" w:styleId="TableGrid">
    <w:name w:val="Table Grid"/>
    <w:basedOn w:val="TableNormal"/>
    <w:uiPriority w:val="39"/>
    <w:rsid w:val="00E2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B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rant@jblevyco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5580B468F346A4C463B2EA7BEAA1" ma:contentTypeVersion="16" ma:contentTypeDescription="Create a new document." ma:contentTypeScope="" ma:versionID="06f3c6b6e6b17b86de24c6bcabcac6aa">
  <xsd:schema xmlns:xsd="http://www.w3.org/2001/XMLSchema" xmlns:xs="http://www.w3.org/2001/XMLSchema" xmlns:p="http://schemas.microsoft.com/office/2006/metadata/properties" xmlns:ns2="38d1cc01-ac6f-41c2-9aa5-887b22cd2b02" xmlns:ns3="260f0ded-529c-47ef-9161-d699068475d3" targetNamespace="http://schemas.microsoft.com/office/2006/metadata/properties" ma:root="true" ma:fieldsID="d85b9b6f4c95f3a40f4e0ca451ec5a86" ns2:_="" ns3:_="">
    <xsd:import namespace="38d1cc01-ac6f-41c2-9aa5-887b22cd2b02"/>
    <xsd:import namespace="260f0ded-529c-47ef-9161-d69906847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cc01-ac6f-41c2-9aa5-887b22cd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bb9fbf-0e89-45b0-a3cf-cdefa6d17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0ded-529c-47ef-9161-d69906847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e4c1a1-25f6-4c82-a6c5-d390927796a4}" ma:internalName="TaxCatchAll" ma:showField="CatchAllData" ma:web="260f0ded-529c-47ef-9161-d69906847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F776D-C41B-4FA2-B98A-E0BDF98599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31796D-9E76-4CE4-91F5-565E5AB54703}"/>
</file>

<file path=customXml/itemProps3.xml><?xml version="1.0" encoding="utf-8"?>
<ds:datastoreItem xmlns:ds="http://schemas.openxmlformats.org/officeDocument/2006/customXml" ds:itemID="{BE8F4CF2-EF60-4BFB-A13E-DDBDF188E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Giliberto</dc:creator>
  <cp:keywords/>
  <dc:description/>
  <cp:lastModifiedBy>Michael Giliberto</cp:lastModifiedBy>
  <cp:revision>84</cp:revision>
  <cp:lastPrinted>2022-06-27T12:48:00Z</cp:lastPrinted>
  <dcterms:created xsi:type="dcterms:W3CDTF">2022-06-25T11:10:00Z</dcterms:created>
  <dcterms:modified xsi:type="dcterms:W3CDTF">2022-06-27T12:49:00Z</dcterms:modified>
</cp:coreProperties>
</file>