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195A" w14:textId="2AF22FC8" w:rsidR="00AD3DE0" w:rsidRDefault="00690516">
      <w:r>
        <w:t xml:space="preserve">   </w:t>
      </w:r>
      <w:r w:rsidR="00872ECD">
        <w:rPr>
          <w:b/>
          <w:noProof/>
        </w:rPr>
        <w:drawing>
          <wp:inline distT="0" distB="0" distL="0" distR="0" wp14:anchorId="281FE054" wp14:editId="45BAB7EC">
            <wp:extent cx="5486400" cy="133413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02068" w14:textId="77777777" w:rsidR="00DA391C" w:rsidRDefault="00DA391C">
      <w:pPr>
        <w:pStyle w:val="Heading1"/>
        <w:widowControl/>
        <w:rPr>
          <w:b/>
        </w:rPr>
      </w:pPr>
    </w:p>
    <w:p w14:paraId="6C74D26E" w14:textId="77777777" w:rsidR="00DA391C" w:rsidRDefault="00DA391C" w:rsidP="00DA391C">
      <w:pPr>
        <w:pStyle w:val="Header"/>
        <w:rPr>
          <w:b/>
          <w:sz w:val="28"/>
        </w:rPr>
      </w:pPr>
      <w:r>
        <w:rPr>
          <w:b/>
          <w:sz w:val="28"/>
        </w:rPr>
        <w:t>Giliberto-Levy Commercial Mortgage Performance Index (G-L 1)</w:t>
      </w:r>
    </w:p>
    <w:p w14:paraId="6F2C195B" w14:textId="48A0B29E" w:rsidR="00AD3DE0" w:rsidRDefault="0052046F" w:rsidP="00872ECD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>Third</w:t>
      </w:r>
      <w:r w:rsidR="00983ECC" w:rsidRPr="003F3114">
        <w:rPr>
          <w:b/>
          <w:sz w:val="28"/>
          <w:szCs w:val="28"/>
        </w:rPr>
        <w:t xml:space="preserve"> </w:t>
      </w:r>
      <w:r w:rsidR="00AC1BD3" w:rsidRPr="003F3114">
        <w:rPr>
          <w:b/>
          <w:sz w:val="28"/>
          <w:szCs w:val="28"/>
        </w:rPr>
        <w:t>Quarter 20</w:t>
      </w:r>
      <w:r w:rsidR="00A1608A" w:rsidRPr="003F3114">
        <w:rPr>
          <w:b/>
          <w:sz w:val="28"/>
          <w:szCs w:val="28"/>
        </w:rPr>
        <w:t>2</w:t>
      </w:r>
      <w:r w:rsidR="00E02328">
        <w:rPr>
          <w:b/>
          <w:sz w:val="28"/>
          <w:szCs w:val="28"/>
        </w:rPr>
        <w:t>5</w:t>
      </w:r>
      <w:r w:rsidR="003F3114">
        <w:rPr>
          <w:b/>
          <w:sz w:val="28"/>
          <w:szCs w:val="28"/>
        </w:rPr>
        <w:t xml:space="preserve"> Flash Report</w:t>
      </w:r>
    </w:p>
    <w:p w14:paraId="18FC5F2B" w14:textId="77777777" w:rsidR="00560CDD" w:rsidRDefault="00560CDD" w:rsidP="00872ECD">
      <w:pPr>
        <w:pStyle w:val="Header"/>
        <w:rPr>
          <w:b/>
          <w:sz w:val="28"/>
          <w:szCs w:val="28"/>
        </w:rPr>
      </w:pPr>
    </w:p>
    <w:tbl>
      <w:tblPr>
        <w:tblW w:w="6459" w:type="dxa"/>
        <w:tblInd w:w="1082" w:type="dxa"/>
        <w:tblLook w:val="04A0" w:firstRow="1" w:lastRow="0" w:firstColumn="1" w:lastColumn="0" w:noHBand="0" w:noVBand="1"/>
      </w:tblPr>
      <w:tblGrid>
        <w:gridCol w:w="272"/>
        <w:gridCol w:w="2579"/>
        <w:gridCol w:w="2038"/>
        <w:gridCol w:w="272"/>
        <w:gridCol w:w="1026"/>
        <w:gridCol w:w="272"/>
      </w:tblGrid>
      <w:tr w:rsidR="00237216" w:rsidRPr="00237216" w14:paraId="6B3E75AA" w14:textId="77777777" w:rsidTr="00237216">
        <w:trPr>
          <w:trHeight w:val="255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D007A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47F535" w14:textId="77777777" w:rsidR="00237216" w:rsidRPr="00237216" w:rsidRDefault="00237216" w:rsidP="00237216">
            <w:pPr>
              <w:rPr>
                <w:rFonts w:ascii="Arial" w:hAnsi="Arial" w:cs="Arial"/>
                <w:b/>
                <w:bCs/>
              </w:rPr>
            </w:pPr>
            <w:r w:rsidRPr="00237216">
              <w:rPr>
                <w:rFonts w:ascii="Arial" w:hAnsi="Arial" w:cs="Arial"/>
                <w:b/>
                <w:bCs/>
              </w:rPr>
              <w:t>Giliberto-Levy Commercial Mortgage Performance Index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969E29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</w:tr>
      <w:tr w:rsidR="00237216" w:rsidRPr="00237216" w14:paraId="162857FC" w14:textId="77777777" w:rsidTr="0023721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4F4BD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4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9DEBC6" w14:textId="77777777" w:rsidR="00237216" w:rsidRPr="00237216" w:rsidRDefault="00237216" w:rsidP="00237216">
            <w:pPr>
              <w:rPr>
                <w:rFonts w:ascii="Arial" w:hAnsi="Arial" w:cs="Arial"/>
                <w:b/>
                <w:bCs/>
              </w:rPr>
            </w:pPr>
            <w:r w:rsidRPr="00237216">
              <w:rPr>
                <w:rFonts w:ascii="Arial" w:hAnsi="Arial" w:cs="Arial"/>
                <w:b/>
                <w:bCs/>
              </w:rPr>
              <w:t>Third Quarter 2025 Summary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6AE118" w14:textId="77777777" w:rsidR="00237216" w:rsidRPr="00237216" w:rsidRDefault="00237216" w:rsidP="00237216">
            <w:pPr>
              <w:jc w:val="center"/>
              <w:rPr>
                <w:rFonts w:ascii="Arial" w:hAnsi="Arial" w:cs="Arial"/>
                <w:b/>
                <w:bCs/>
              </w:rPr>
            </w:pPr>
            <w:r w:rsidRPr="0023721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4A5193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</w:tr>
      <w:tr w:rsidR="00237216" w:rsidRPr="00237216" w14:paraId="4659A180" w14:textId="77777777" w:rsidTr="0023721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42163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13418758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53F1ED2B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03247F4A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2A33E63E" w14:textId="77777777" w:rsidR="00237216" w:rsidRPr="00237216" w:rsidRDefault="00237216" w:rsidP="00237216">
            <w:pPr>
              <w:jc w:val="center"/>
              <w:rPr>
                <w:rFonts w:ascii="Arial" w:hAnsi="Arial" w:cs="Arial"/>
                <w:b/>
                <w:bCs/>
              </w:rPr>
            </w:pPr>
            <w:r w:rsidRPr="0023721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14A062" w14:textId="77777777" w:rsidR="00237216" w:rsidRPr="00237216" w:rsidRDefault="00237216" w:rsidP="00237216">
            <w:pPr>
              <w:rPr>
                <w:rFonts w:ascii="Arial" w:hAnsi="Arial" w:cs="Arial"/>
                <w:b/>
                <w:bCs/>
              </w:rPr>
            </w:pPr>
            <w:r w:rsidRPr="0023721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37216" w:rsidRPr="00237216" w14:paraId="04AA241D" w14:textId="77777777" w:rsidTr="0023721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5736E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7A2B30" w14:textId="77777777" w:rsidR="00237216" w:rsidRPr="00237216" w:rsidRDefault="00237216" w:rsidP="00237216">
            <w:pPr>
              <w:rPr>
                <w:rFonts w:ascii="Arial" w:hAnsi="Arial" w:cs="Arial"/>
                <w:b/>
                <w:bCs/>
              </w:rPr>
            </w:pPr>
            <w:r w:rsidRPr="00237216">
              <w:rPr>
                <w:rFonts w:ascii="Arial" w:hAnsi="Arial" w:cs="Arial"/>
                <w:b/>
                <w:bCs/>
              </w:rPr>
              <w:t>Total Return: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D79D63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Total (all sectors)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BDCDB5" w14:textId="77777777" w:rsidR="00237216" w:rsidRPr="00237216" w:rsidRDefault="00237216" w:rsidP="00237216">
            <w:pPr>
              <w:jc w:val="right"/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1.78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89846E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</w:tr>
      <w:tr w:rsidR="00237216" w:rsidRPr="00237216" w14:paraId="0861B9E8" w14:textId="77777777" w:rsidTr="0023721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83033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9DC8D4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(in %)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2E3E9C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Office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24DF75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9D5DDA" w14:textId="77777777" w:rsidR="00237216" w:rsidRPr="00237216" w:rsidRDefault="00237216" w:rsidP="00237216">
            <w:pPr>
              <w:jc w:val="right"/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2.08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263F92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</w:tr>
      <w:tr w:rsidR="00237216" w:rsidRPr="00237216" w14:paraId="6FD7FCFC" w14:textId="77777777" w:rsidTr="0023721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5A20B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C652A4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5D44D4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Multi-family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265E65" w14:textId="77777777" w:rsidR="00237216" w:rsidRPr="00237216" w:rsidRDefault="00237216" w:rsidP="00237216">
            <w:pPr>
              <w:jc w:val="right"/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1.75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001951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</w:tr>
      <w:tr w:rsidR="00237216" w:rsidRPr="00237216" w14:paraId="05B558B7" w14:textId="77777777" w:rsidTr="0023721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1311A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959F77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137D15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Retail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B27B34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2D34EE" w14:textId="77777777" w:rsidR="00237216" w:rsidRPr="00237216" w:rsidRDefault="00237216" w:rsidP="00237216">
            <w:pPr>
              <w:jc w:val="right"/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1.84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5493C2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</w:tr>
      <w:tr w:rsidR="00237216" w:rsidRPr="00237216" w14:paraId="062670BB" w14:textId="77777777" w:rsidTr="0023721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912CA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71F28C99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0108B2C9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Industrial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45BF7D65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3A6442" w14:textId="77777777" w:rsidR="00237216" w:rsidRPr="00237216" w:rsidRDefault="00237216" w:rsidP="00237216">
            <w:pPr>
              <w:jc w:val="right"/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1.58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12511BF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</w:tr>
      <w:tr w:rsidR="00237216" w:rsidRPr="00237216" w14:paraId="45B7EACB" w14:textId="77777777" w:rsidTr="0023721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F6D16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C897FA" w14:textId="77777777" w:rsidR="00237216" w:rsidRPr="00237216" w:rsidRDefault="00237216" w:rsidP="00237216">
            <w:pPr>
              <w:rPr>
                <w:rFonts w:ascii="Arial" w:hAnsi="Arial" w:cs="Arial"/>
                <w:b/>
                <w:bCs/>
              </w:rPr>
            </w:pPr>
            <w:r w:rsidRPr="00237216">
              <w:rPr>
                <w:rFonts w:ascii="Arial" w:hAnsi="Arial" w:cs="Arial"/>
                <w:b/>
                <w:bCs/>
              </w:rPr>
              <w:t>Index Statistics: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7B281F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Principal ($ billion)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EF233" w14:textId="77777777" w:rsidR="00237216" w:rsidRPr="00237216" w:rsidRDefault="00237216" w:rsidP="00237216">
            <w:pPr>
              <w:jc w:val="right"/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302.90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5E4634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</w:tr>
      <w:tr w:rsidR="00237216" w:rsidRPr="00237216" w14:paraId="08AF8666" w14:textId="77777777" w:rsidTr="0023721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74689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19D8FB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(as of 9/30/2025)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7A5B52D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Capitalization ($ billion)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6EB2" w14:textId="77777777" w:rsidR="00237216" w:rsidRPr="00237216" w:rsidRDefault="00237216" w:rsidP="00237216">
            <w:pPr>
              <w:jc w:val="right"/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287.10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B75E76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</w:tr>
      <w:tr w:rsidR="00237216" w:rsidRPr="00237216" w14:paraId="75E8289A" w14:textId="77777777" w:rsidTr="0023721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3AD01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0D0CF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E7800C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Duration (years)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271A" w14:textId="77777777" w:rsidR="00237216" w:rsidRPr="00237216" w:rsidRDefault="00237216" w:rsidP="00237216">
            <w:pPr>
              <w:jc w:val="right"/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3.90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970C2A5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</w:tr>
      <w:tr w:rsidR="00237216" w:rsidRPr="00237216" w14:paraId="31A2B259" w14:textId="77777777" w:rsidTr="0023721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A951A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E6FBB6" w14:textId="77777777" w:rsidR="00237216" w:rsidRPr="00237216" w:rsidRDefault="00237216" w:rsidP="00237216">
            <w:pPr>
              <w:rPr>
                <w:rFonts w:ascii="Arial" w:hAnsi="Arial" w:cs="Arial"/>
                <w:b/>
                <w:bCs/>
              </w:rPr>
            </w:pPr>
            <w:r w:rsidRPr="0023721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5332DC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Coupon (%)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EF2C" w14:textId="77777777" w:rsidR="00237216" w:rsidRPr="00237216" w:rsidRDefault="00237216" w:rsidP="00237216">
            <w:pPr>
              <w:jc w:val="right"/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4.41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2E4F3D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</w:tr>
      <w:tr w:rsidR="00237216" w:rsidRPr="00237216" w14:paraId="50FBD406" w14:textId="77777777" w:rsidTr="0023721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0DC58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31F7E8" w14:textId="77777777" w:rsidR="00237216" w:rsidRPr="00237216" w:rsidRDefault="00237216" w:rsidP="00237216">
            <w:pPr>
              <w:rPr>
                <w:rFonts w:ascii="Arial" w:hAnsi="Arial" w:cs="Arial"/>
                <w:b/>
                <w:bCs/>
              </w:rPr>
            </w:pPr>
            <w:r w:rsidRPr="0023721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005441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Maturity (years)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F457" w14:textId="77777777" w:rsidR="00237216" w:rsidRPr="00237216" w:rsidRDefault="00237216" w:rsidP="00237216">
            <w:pPr>
              <w:jc w:val="right"/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5.32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268652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</w:tr>
      <w:tr w:rsidR="00237216" w:rsidRPr="00237216" w14:paraId="2FC46BE5" w14:textId="77777777" w:rsidTr="0023721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1DB05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2A3C3DC9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1B223B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Book LTV (%)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7FFD25F2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5A010" w14:textId="77777777" w:rsidR="00237216" w:rsidRPr="00237216" w:rsidRDefault="00237216" w:rsidP="00237216">
            <w:pPr>
              <w:jc w:val="right"/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55.23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5FA5610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</w:tr>
      <w:tr w:rsidR="00237216" w:rsidRPr="00237216" w14:paraId="7CD1EE54" w14:textId="77777777" w:rsidTr="0023721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BFFFE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4877E8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CE7CF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C5B296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60FBC9" w14:textId="77777777" w:rsidR="00237216" w:rsidRPr="00237216" w:rsidRDefault="00237216" w:rsidP="00237216">
            <w:pPr>
              <w:jc w:val="right"/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A818F2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</w:tr>
      <w:tr w:rsidR="00237216" w:rsidRPr="00237216" w14:paraId="5E7F59D4" w14:textId="77777777" w:rsidTr="0023721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B0F45E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4B9B8AB2" w14:textId="77777777" w:rsidR="00237216" w:rsidRPr="00237216" w:rsidRDefault="00237216" w:rsidP="00237216">
            <w:pPr>
              <w:rPr>
                <w:rFonts w:ascii="Arial" w:hAnsi="Arial" w:cs="Arial"/>
                <w:sz w:val="16"/>
                <w:szCs w:val="16"/>
              </w:rPr>
            </w:pPr>
            <w:r w:rsidRPr="00237216">
              <w:rPr>
                <w:rFonts w:ascii="Arial" w:hAnsi="Arial" w:cs="Arial"/>
                <w:sz w:val="16"/>
                <w:szCs w:val="16"/>
              </w:rPr>
              <w:t>Source: Giliberto-Levy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2924B29F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7FE53D13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1864EE67" w14:textId="77777777" w:rsidR="00237216" w:rsidRPr="00237216" w:rsidRDefault="00237216" w:rsidP="00237216">
            <w:pPr>
              <w:jc w:val="center"/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1A997E" w14:textId="77777777" w:rsidR="00237216" w:rsidRPr="00237216" w:rsidRDefault="00237216" w:rsidP="00237216">
            <w:pPr>
              <w:rPr>
                <w:rFonts w:ascii="Arial" w:hAnsi="Arial" w:cs="Arial"/>
              </w:rPr>
            </w:pPr>
            <w:r w:rsidRPr="00237216">
              <w:rPr>
                <w:rFonts w:ascii="Arial" w:hAnsi="Arial" w:cs="Arial"/>
              </w:rPr>
              <w:t> </w:t>
            </w:r>
          </w:p>
        </w:tc>
      </w:tr>
    </w:tbl>
    <w:p w14:paraId="1B4DC76D" w14:textId="77777777" w:rsidR="00560CDD" w:rsidRDefault="00560CDD" w:rsidP="00872ECD">
      <w:pPr>
        <w:pStyle w:val="Header"/>
        <w:rPr>
          <w:b/>
        </w:rPr>
      </w:pPr>
    </w:p>
    <w:p w14:paraId="3E195FE3" w14:textId="77777777" w:rsidR="00E92486" w:rsidRPr="00E92486" w:rsidRDefault="00E92486" w:rsidP="00E92486"/>
    <w:p w14:paraId="75AEB77B" w14:textId="2D0629B4" w:rsidR="00FB3976" w:rsidRDefault="00BE6F11" w:rsidP="00F82026">
      <w:pPr>
        <w:rPr>
          <w:bCs/>
          <w:sz w:val="24"/>
        </w:rPr>
      </w:pPr>
      <w:r>
        <w:rPr>
          <w:b/>
          <w:sz w:val="24"/>
        </w:rPr>
        <w:t>T</w:t>
      </w:r>
      <w:r w:rsidR="002B1928">
        <w:rPr>
          <w:b/>
          <w:sz w:val="24"/>
        </w:rPr>
        <w:t xml:space="preserve">he </w:t>
      </w:r>
      <w:r w:rsidR="0038146B" w:rsidRPr="00E87BA1">
        <w:rPr>
          <w:b/>
          <w:sz w:val="24"/>
        </w:rPr>
        <w:t>Giliberto-Levy Commercial Mortgage Performance Index</w:t>
      </w:r>
      <w:r w:rsidR="0038146B">
        <w:rPr>
          <w:b/>
          <w:sz w:val="24"/>
        </w:rPr>
        <w:t xml:space="preserve"> (G-L 1)</w:t>
      </w:r>
      <w:r w:rsidR="0038146B" w:rsidRPr="00E87BA1">
        <w:rPr>
          <w:b/>
          <w:sz w:val="24"/>
        </w:rPr>
        <w:t xml:space="preserve"> </w:t>
      </w:r>
      <w:r w:rsidR="00640F61">
        <w:rPr>
          <w:b/>
          <w:sz w:val="24"/>
        </w:rPr>
        <w:t>produced</w:t>
      </w:r>
      <w:r w:rsidR="006A40FB">
        <w:rPr>
          <w:b/>
          <w:sz w:val="24"/>
        </w:rPr>
        <w:t xml:space="preserve"> a </w:t>
      </w:r>
      <w:r w:rsidR="00C26060">
        <w:rPr>
          <w:b/>
          <w:sz w:val="24"/>
        </w:rPr>
        <w:t>1.</w:t>
      </w:r>
      <w:r w:rsidR="00640F61">
        <w:rPr>
          <w:b/>
          <w:sz w:val="24"/>
        </w:rPr>
        <w:t>7</w:t>
      </w:r>
      <w:r w:rsidR="00C26060">
        <w:rPr>
          <w:b/>
          <w:sz w:val="24"/>
        </w:rPr>
        <w:t>8</w:t>
      </w:r>
      <w:r>
        <w:rPr>
          <w:b/>
          <w:sz w:val="24"/>
        </w:rPr>
        <w:t xml:space="preserve">% </w:t>
      </w:r>
      <w:r w:rsidR="002C57A7">
        <w:rPr>
          <w:b/>
          <w:sz w:val="24"/>
        </w:rPr>
        <w:t xml:space="preserve">total return for </w:t>
      </w:r>
      <w:r w:rsidR="00640F61">
        <w:rPr>
          <w:b/>
          <w:sz w:val="24"/>
        </w:rPr>
        <w:t>3</w:t>
      </w:r>
      <w:r w:rsidR="00951063">
        <w:rPr>
          <w:b/>
          <w:sz w:val="24"/>
        </w:rPr>
        <w:t>Q 202</w:t>
      </w:r>
      <w:r>
        <w:rPr>
          <w:b/>
          <w:sz w:val="24"/>
        </w:rPr>
        <w:t>5</w:t>
      </w:r>
      <w:r w:rsidR="006A40FB">
        <w:rPr>
          <w:b/>
          <w:sz w:val="24"/>
        </w:rPr>
        <w:t>.</w:t>
      </w:r>
      <w:r w:rsidR="00EF68F5">
        <w:rPr>
          <w:rStyle w:val="FootnoteReference"/>
        </w:rPr>
        <w:footnoteReference w:id="1"/>
      </w:r>
      <w:r w:rsidR="00051150">
        <w:rPr>
          <w:bCs/>
          <w:sz w:val="24"/>
        </w:rPr>
        <w:t xml:space="preserve"> </w:t>
      </w:r>
      <w:r w:rsidR="00A11549">
        <w:rPr>
          <w:bCs/>
          <w:sz w:val="24"/>
        </w:rPr>
        <w:t>I</w:t>
      </w:r>
      <w:r w:rsidR="00EC0686">
        <w:rPr>
          <w:bCs/>
          <w:sz w:val="24"/>
        </w:rPr>
        <w:t xml:space="preserve">ncome return </w:t>
      </w:r>
      <w:r w:rsidR="00A11549">
        <w:rPr>
          <w:bCs/>
          <w:sz w:val="24"/>
        </w:rPr>
        <w:t>held steady at</w:t>
      </w:r>
      <w:r w:rsidR="00EC0686">
        <w:rPr>
          <w:bCs/>
          <w:sz w:val="24"/>
        </w:rPr>
        <w:t xml:space="preserve"> </w:t>
      </w:r>
      <w:r w:rsidR="00F506B3">
        <w:rPr>
          <w:bCs/>
          <w:sz w:val="24"/>
        </w:rPr>
        <w:t>1.15%</w:t>
      </w:r>
      <w:r w:rsidR="007E648A">
        <w:rPr>
          <w:bCs/>
          <w:sz w:val="24"/>
        </w:rPr>
        <w:t>, and capital value return came in at 0.</w:t>
      </w:r>
      <w:r w:rsidR="0062019A">
        <w:rPr>
          <w:bCs/>
          <w:sz w:val="24"/>
        </w:rPr>
        <w:t>63</w:t>
      </w:r>
      <w:r w:rsidR="007E648A">
        <w:rPr>
          <w:bCs/>
          <w:sz w:val="24"/>
        </w:rPr>
        <w:t>%.</w:t>
      </w:r>
      <w:r w:rsidR="0062019A">
        <w:rPr>
          <w:bCs/>
          <w:sz w:val="24"/>
        </w:rPr>
        <w:t xml:space="preserve"> Measured year to date, G-L 1 has provided </w:t>
      </w:r>
      <w:r w:rsidR="006417CC">
        <w:rPr>
          <w:bCs/>
          <w:sz w:val="24"/>
        </w:rPr>
        <w:t xml:space="preserve">7.04% total return. </w:t>
      </w:r>
    </w:p>
    <w:p w14:paraId="60BA5704" w14:textId="77777777" w:rsidR="00236166" w:rsidRDefault="00236166" w:rsidP="005B4CE1">
      <w:pPr>
        <w:rPr>
          <w:bCs/>
          <w:sz w:val="24"/>
        </w:rPr>
      </w:pPr>
    </w:p>
    <w:p w14:paraId="3D2E203B" w14:textId="75736486" w:rsidR="00953496" w:rsidRDefault="006A2AD9" w:rsidP="005B4CE1">
      <w:pPr>
        <w:rPr>
          <w:bCs/>
          <w:sz w:val="24"/>
        </w:rPr>
      </w:pPr>
      <w:r>
        <w:rPr>
          <w:bCs/>
          <w:sz w:val="24"/>
        </w:rPr>
        <w:t>It was another relatively quiet quarter</w:t>
      </w:r>
      <w:r w:rsidR="007B78B5">
        <w:rPr>
          <w:bCs/>
          <w:sz w:val="24"/>
        </w:rPr>
        <w:t xml:space="preserve"> on the credit spread front: </w:t>
      </w:r>
      <w:r w:rsidR="000E0ECA">
        <w:rPr>
          <w:bCs/>
          <w:sz w:val="24"/>
        </w:rPr>
        <w:t xml:space="preserve">the average </w:t>
      </w:r>
      <w:r w:rsidR="003B2093">
        <w:rPr>
          <w:bCs/>
          <w:sz w:val="24"/>
        </w:rPr>
        <w:t>spread</w:t>
      </w:r>
      <w:r w:rsidR="007629C9">
        <w:rPr>
          <w:bCs/>
          <w:sz w:val="24"/>
        </w:rPr>
        <w:t xml:space="preserve"> </w:t>
      </w:r>
      <w:r w:rsidR="002C4D1D">
        <w:rPr>
          <w:bCs/>
          <w:sz w:val="24"/>
        </w:rPr>
        <w:t xml:space="preserve">on priced transactions </w:t>
      </w:r>
      <w:r w:rsidR="0075721C">
        <w:rPr>
          <w:bCs/>
          <w:sz w:val="24"/>
        </w:rPr>
        <w:t>across</w:t>
      </w:r>
      <w:r w:rsidR="000E0ECA">
        <w:rPr>
          <w:bCs/>
          <w:sz w:val="24"/>
        </w:rPr>
        <w:t xml:space="preserve"> the four major sectors scarcely budged</w:t>
      </w:r>
      <w:r w:rsidR="00E43DBF">
        <w:rPr>
          <w:bCs/>
          <w:sz w:val="24"/>
        </w:rPr>
        <w:t xml:space="preserve"> </w:t>
      </w:r>
      <w:r w:rsidR="00A25F76">
        <w:rPr>
          <w:bCs/>
          <w:sz w:val="24"/>
        </w:rPr>
        <w:t>(see Chart 1)</w:t>
      </w:r>
      <w:r w:rsidR="007629C9">
        <w:rPr>
          <w:bCs/>
          <w:sz w:val="24"/>
        </w:rPr>
        <w:t>.</w:t>
      </w:r>
      <w:r w:rsidR="00165683">
        <w:rPr>
          <w:bCs/>
          <w:sz w:val="24"/>
        </w:rPr>
        <w:t xml:space="preserve"> </w:t>
      </w:r>
      <w:r w:rsidR="00DB560F">
        <w:rPr>
          <w:bCs/>
          <w:sz w:val="24"/>
        </w:rPr>
        <w:t>Continuing a trend that started in the second half of 2023, retail loan s</w:t>
      </w:r>
      <w:r w:rsidR="00ED2AAE">
        <w:rPr>
          <w:bCs/>
          <w:sz w:val="24"/>
        </w:rPr>
        <w:t xml:space="preserve">preads </w:t>
      </w:r>
      <w:r w:rsidR="00E24C42">
        <w:rPr>
          <w:bCs/>
          <w:sz w:val="24"/>
        </w:rPr>
        <w:t>registered another decrease</w:t>
      </w:r>
      <w:r w:rsidR="00890EF1">
        <w:rPr>
          <w:bCs/>
          <w:sz w:val="24"/>
        </w:rPr>
        <w:t>. Although they were down</w:t>
      </w:r>
      <w:r w:rsidR="006B3122">
        <w:rPr>
          <w:bCs/>
          <w:sz w:val="24"/>
        </w:rPr>
        <w:t xml:space="preserve"> </w:t>
      </w:r>
      <w:r w:rsidR="00A1348B">
        <w:rPr>
          <w:bCs/>
          <w:sz w:val="24"/>
        </w:rPr>
        <w:t>a scant 3 basis points (bp) this quarter</w:t>
      </w:r>
      <w:r w:rsidR="006B3122">
        <w:rPr>
          <w:bCs/>
          <w:sz w:val="24"/>
        </w:rPr>
        <w:t>, the cumulative spread decline since June 2023 has been 40 to 50 bp.</w:t>
      </w:r>
      <w:r w:rsidR="00F92C38">
        <w:rPr>
          <w:bCs/>
          <w:sz w:val="24"/>
        </w:rPr>
        <w:t xml:space="preserve"> </w:t>
      </w:r>
      <w:r w:rsidR="00097A77">
        <w:rPr>
          <w:bCs/>
          <w:sz w:val="24"/>
        </w:rPr>
        <w:t xml:space="preserve">Office lending </w:t>
      </w:r>
      <w:r w:rsidR="00CE623D">
        <w:rPr>
          <w:bCs/>
          <w:sz w:val="24"/>
        </w:rPr>
        <w:t xml:space="preserve">activity </w:t>
      </w:r>
      <w:r w:rsidR="00097A77">
        <w:rPr>
          <w:bCs/>
          <w:sz w:val="24"/>
        </w:rPr>
        <w:t>remained s</w:t>
      </w:r>
      <w:r w:rsidR="00CE623D">
        <w:rPr>
          <w:bCs/>
          <w:sz w:val="24"/>
        </w:rPr>
        <w:t>oft</w:t>
      </w:r>
      <w:r w:rsidR="00097A77">
        <w:rPr>
          <w:bCs/>
          <w:sz w:val="24"/>
        </w:rPr>
        <w:t>, and s</w:t>
      </w:r>
      <w:r w:rsidR="00937C9F">
        <w:rPr>
          <w:bCs/>
          <w:sz w:val="24"/>
        </w:rPr>
        <w:t xml:space="preserve">preads </w:t>
      </w:r>
      <w:r w:rsidR="00097A77">
        <w:rPr>
          <w:bCs/>
          <w:sz w:val="24"/>
        </w:rPr>
        <w:t>continu</w:t>
      </w:r>
      <w:r w:rsidR="00722BF8">
        <w:rPr>
          <w:bCs/>
          <w:sz w:val="24"/>
        </w:rPr>
        <w:t>ed to be high</w:t>
      </w:r>
      <w:r w:rsidR="00937C9F">
        <w:rPr>
          <w:bCs/>
          <w:sz w:val="24"/>
        </w:rPr>
        <w:t>.</w:t>
      </w:r>
      <w:r w:rsidR="0081774F">
        <w:rPr>
          <w:bCs/>
          <w:sz w:val="24"/>
        </w:rPr>
        <w:t xml:space="preserve"> </w:t>
      </w:r>
    </w:p>
    <w:p w14:paraId="326F875E" w14:textId="77777777" w:rsidR="002D7159" w:rsidRDefault="002D7159" w:rsidP="005B4CE1">
      <w:pPr>
        <w:rPr>
          <w:bCs/>
          <w:sz w:val="24"/>
        </w:rPr>
      </w:pPr>
    </w:p>
    <w:p w14:paraId="72CEC280" w14:textId="55D040D1" w:rsidR="00264527" w:rsidRDefault="00264527" w:rsidP="00264527">
      <w:pPr>
        <w:pStyle w:val="FootnoteText"/>
        <w:widowControl/>
        <w:rPr>
          <w:rFonts w:ascii="Arial" w:hAnsi="Arial"/>
        </w:rPr>
      </w:pPr>
      <w:r>
        <w:rPr>
          <w:rFonts w:ascii="Arial" w:hAnsi="Arial"/>
        </w:rPr>
        <w:lastRenderedPageBreak/>
        <w:t>Chart 1. Spreads over Treasuries for Ten-year Commercial Mortgages</w:t>
      </w:r>
    </w:p>
    <w:p w14:paraId="01089AEB" w14:textId="1D0E18F8" w:rsidR="00264527" w:rsidRDefault="00264527" w:rsidP="00264527">
      <w:pPr>
        <w:pStyle w:val="FootnoteText"/>
        <w:widowControl/>
        <w:rPr>
          <w:rFonts w:ascii="Arial" w:hAnsi="Arial"/>
        </w:rPr>
      </w:pPr>
      <w:r>
        <w:rPr>
          <w:rFonts w:ascii="Arial" w:hAnsi="Arial"/>
        </w:rPr>
        <w:t>In basis points, reflecting 30/360-day count convention</w:t>
      </w:r>
    </w:p>
    <w:p w14:paraId="50DB239F" w14:textId="2A66B840" w:rsidR="005E297C" w:rsidRDefault="00F02789" w:rsidP="00264527">
      <w:pPr>
        <w:pStyle w:val="FootnoteText"/>
        <w:widowControl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0AFCC3CD" wp14:editId="7F70FAE6">
            <wp:extent cx="5142865" cy="3496645"/>
            <wp:effectExtent l="0" t="0" r="635" b="0"/>
            <wp:docPr id="301608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306" cy="3507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18033C" w14:textId="3BB8D466" w:rsidR="008F4908" w:rsidRPr="008764F2" w:rsidRDefault="008F4908" w:rsidP="008F4908">
      <w:pPr>
        <w:rPr>
          <w:rFonts w:ascii="Arial" w:hAnsi="Arial"/>
          <w:sz w:val="18"/>
          <w:szCs w:val="18"/>
        </w:rPr>
      </w:pPr>
      <w:r w:rsidRPr="008764F2">
        <w:rPr>
          <w:rFonts w:ascii="Arial" w:hAnsi="Arial"/>
          <w:sz w:val="18"/>
          <w:szCs w:val="18"/>
        </w:rPr>
        <w:t>Source: Giliberto-Levy. Chart data are averages of office, apartment, retail and industrial property loans</w:t>
      </w:r>
      <w:r w:rsidR="00AE631F" w:rsidRPr="008764F2">
        <w:rPr>
          <w:rFonts w:ascii="Arial" w:hAnsi="Arial"/>
          <w:sz w:val="18"/>
          <w:szCs w:val="18"/>
        </w:rPr>
        <w:t xml:space="preserve"> at 60% to 65% LTV</w:t>
      </w:r>
      <w:r w:rsidR="001B621A" w:rsidRPr="008764F2">
        <w:rPr>
          <w:rFonts w:ascii="Arial" w:hAnsi="Arial"/>
          <w:sz w:val="18"/>
          <w:szCs w:val="18"/>
        </w:rPr>
        <w:t xml:space="preserve"> for a term of ten years.</w:t>
      </w:r>
    </w:p>
    <w:p w14:paraId="6282C5F8" w14:textId="77777777" w:rsidR="00315400" w:rsidRDefault="00315400" w:rsidP="00315400">
      <w:pPr>
        <w:rPr>
          <w:bCs/>
          <w:sz w:val="24"/>
        </w:rPr>
      </w:pPr>
    </w:p>
    <w:p w14:paraId="0DD2D028" w14:textId="6E832AAE" w:rsidR="00E8523F" w:rsidRDefault="00173DE2" w:rsidP="003048C6">
      <w:pPr>
        <w:rPr>
          <w:bCs/>
          <w:sz w:val="24"/>
        </w:rPr>
      </w:pPr>
      <w:r>
        <w:rPr>
          <w:bCs/>
          <w:sz w:val="24"/>
        </w:rPr>
        <w:t>With credit spread</w:t>
      </w:r>
      <w:r w:rsidR="00916582">
        <w:rPr>
          <w:bCs/>
          <w:sz w:val="24"/>
        </w:rPr>
        <w:t xml:space="preserve">s </w:t>
      </w:r>
      <w:r w:rsidR="0088337A">
        <w:rPr>
          <w:bCs/>
          <w:sz w:val="24"/>
        </w:rPr>
        <w:t xml:space="preserve">relatively stable, changes in </w:t>
      </w:r>
      <w:r w:rsidR="00CE7CA7">
        <w:rPr>
          <w:bCs/>
          <w:sz w:val="24"/>
        </w:rPr>
        <w:t>t</w:t>
      </w:r>
      <w:r w:rsidR="00404FFB">
        <w:rPr>
          <w:bCs/>
          <w:sz w:val="24"/>
        </w:rPr>
        <w:t xml:space="preserve">he U.S. Treasury yield curve </w:t>
      </w:r>
      <w:r w:rsidR="0088337A">
        <w:rPr>
          <w:bCs/>
          <w:sz w:val="24"/>
        </w:rPr>
        <w:t xml:space="preserve">drove most of the </w:t>
      </w:r>
      <w:r w:rsidR="00D46EDE">
        <w:rPr>
          <w:bCs/>
          <w:sz w:val="24"/>
        </w:rPr>
        <w:t xml:space="preserve">capital value return </w:t>
      </w:r>
      <w:r w:rsidR="00BE7756">
        <w:rPr>
          <w:bCs/>
          <w:sz w:val="24"/>
        </w:rPr>
        <w:t xml:space="preserve">posted </w:t>
      </w:r>
      <w:r w:rsidR="00D46EDE">
        <w:rPr>
          <w:bCs/>
          <w:sz w:val="24"/>
        </w:rPr>
        <w:t xml:space="preserve">in 3Q. </w:t>
      </w:r>
      <w:r w:rsidR="00DD64C7">
        <w:rPr>
          <w:bCs/>
          <w:sz w:val="24"/>
        </w:rPr>
        <w:t>Yields at all maturities showed declines</w:t>
      </w:r>
      <w:r w:rsidR="006E6D13">
        <w:rPr>
          <w:bCs/>
          <w:sz w:val="24"/>
        </w:rPr>
        <w:t>. The big action was at the short end</w:t>
      </w:r>
      <w:r w:rsidR="005D0828">
        <w:rPr>
          <w:bCs/>
          <w:sz w:val="24"/>
        </w:rPr>
        <w:t>, reflecting the influence of Federal Reserve</w:t>
      </w:r>
      <w:r w:rsidR="00677E9D">
        <w:rPr>
          <w:bCs/>
          <w:sz w:val="24"/>
        </w:rPr>
        <w:t xml:space="preserve"> policy on that segment of the curve. </w:t>
      </w:r>
      <w:r w:rsidR="00EC2710">
        <w:rPr>
          <w:bCs/>
          <w:sz w:val="24"/>
        </w:rPr>
        <w:t xml:space="preserve">Yields on Treasury issues with one year or less to maturity declined roughly 30 to 45 bp. </w:t>
      </w:r>
      <w:r w:rsidR="00DF330E">
        <w:rPr>
          <w:bCs/>
          <w:sz w:val="24"/>
        </w:rPr>
        <w:t>Beyond the one-year mark, yield</w:t>
      </w:r>
      <w:r w:rsidR="00A30439">
        <w:rPr>
          <w:bCs/>
          <w:sz w:val="24"/>
        </w:rPr>
        <w:t>s</w:t>
      </w:r>
      <w:r w:rsidR="00DF330E">
        <w:rPr>
          <w:bCs/>
          <w:sz w:val="24"/>
        </w:rPr>
        <w:t xml:space="preserve"> </w:t>
      </w:r>
      <w:r w:rsidR="00A30439">
        <w:rPr>
          <w:bCs/>
          <w:sz w:val="24"/>
        </w:rPr>
        <w:t>fell</w:t>
      </w:r>
      <w:r w:rsidR="00FF5CAA">
        <w:rPr>
          <w:bCs/>
          <w:sz w:val="24"/>
        </w:rPr>
        <w:t xml:space="preserve"> 5 to 10 bp.</w:t>
      </w:r>
    </w:p>
    <w:p w14:paraId="6641EDEC" w14:textId="77777777" w:rsidR="00E8523F" w:rsidRDefault="00E8523F" w:rsidP="003048C6">
      <w:pPr>
        <w:rPr>
          <w:bCs/>
          <w:sz w:val="24"/>
        </w:rPr>
      </w:pPr>
    </w:p>
    <w:p w14:paraId="257AE596" w14:textId="08FCC423" w:rsidR="00D65424" w:rsidRDefault="007D087C" w:rsidP="003D534D">
      <w:pPr>
        <w:rPr>
          <w:bCs/>
          <w:sz w:val="24"/>
        </w:rPr>
      </w:pPr>
      <w:r>
        <w:rPr>
          <w:bCs/>
          <w:sz w:val="24"/>
        </w:rPr>
        <w:t xml:space="preserve">As we noted last quarter, </w:t>
      </w:r>
      <w:r w:rsidR="00D660BE">
        <w:rPr>
          <w:bCs/>
          <w:sz w:val="24"/>
        </w:rPr>
        <w:t xml:space="preserve">yield curve effects explain much of the </w:t>
      </w:r>
      <w:r w:rsidR="00E245FD">
        <w:rPr>
          <w:bCs/>
          <w:sz w:val="24"/>
        </w:rPr>
        <w:t>seeming</w:t>
      </w:r>
      <w:r w:rsidR="006C1971">
        <w:rPr>
          <w:bCs/>
          <w:sz w:val="24"/>
        </w:rPr>
        <w:t>ly</w:t>
      </w:r>
      <w:r w:rsidR="00E245FD">
        <w:rPr>
          <w:bCs/>
          <w:sz w:val="24"/>
        </w:rPr>
        <w:t xml:space="preserve"> counter-intuitive </w:t>
      </w:r>
      <w:r w:rsidR="00D660BE">
        <w:rPr>
          <w:bCs/>
          <w:sz w:val="24"/>
        </w:rPr>
        <w:t xml:space="preserve">result </w:t>
      </w:r>
      <w:r w:rsidR="00150FD2">
        <w:rPr>
          <w:bCs/>
          <w:sz w:val="24"/>
        </w:rPr>
        <w:t xml:space="preserve">that showed </w:t>
      </w:r>
      <w:r w:rsidR="00D660BE">
        <w:rPr>
          <w:bCs/>
          <w:sz w:val="24"/>
        </w:rPr>
        <w:t xml:space="preserve">office posting the highest sector </w:t>
      </w:r>
      <w:r w:rsidR="00E245FD">
        <w:rPr>
          <w:bCs/>
          <w:sz w:val="24"/>
        </w:rPr>
        <w:t xml:space="preserve">total return. </w:t>
      </w:r>
    </w:p>
    <w:p w14:paraId="49316216" w14:textId="77777777" w:rsidR="00D72091" w:rsidRDefault="00D72091" w:rsidP="003048C6">
      <w:pPr>
        <w:rPr>
          <w:bCs/>
          <w:sz w:val="24"/>
        </w:rPr>
      </w:pPr>
    </w:p>
    <w:p w14:paraId="3F446C24" w14:textId="57E9238C" w:rsidR="003048C6" w:rsidRDefault="00F40F7F" w:rsidP="003048C6">
      <w:pPr>
        <w:rPr>
          <w:bCs/>
          <w:sz w:val="24"/>
        </w:rPr>
      </w:pPr>
      <w:r>
        <w:rPr>
          <w:bCs/>
          <w:sz w:val="24"/>
        </w:rPr>
        <w:t>I</w:t>
      </w:r>
      <w:r w:rsidR="00AD72AF">
        <w:rPr>
          <w:bCs/>
          <w:sz w:val="24"/>
        </w:rPr>
        <w:t xml:space="preserve">nvestment-grade </w:t>
      </w:r>
      <w:r w:rsidR="00B3646E">
        <w:rPr>
          <w:bCs/>
          <w:sz w:val="24"/>
        </w:rPr>
        <w:t xml:space="preserve">CMBS </w:t>
      </w:r>
      <w:r w:rsidR="006D2A2F">
        <w:rPr>
          <w:bCs/>
          <w:sz w:val="24"/>
        </w:rPr>
        <w:t xml:space="preserve">produced </w:t>
      </w:r>
      <w:r w:rsidR="00722BF8">
        <w:rPr>
          <w:bCs/>
          <w:sz w:val="24"/>
        </w:rPr>
        <w:t>1.</w:t>
      </w:r>
      <w:r w:rsidR="003401B4">
        <w:rPr>
          <w:bCs/>
          <w:sz w:val="24"/>
        </w:rPr>
        <w:t>75</w:t>
      </w:r>
      <w:r w:rsidR="004E56F6">
        <w:rPr>
          <w:bCs/>
          <w:sz w:val="24"/>
        </w:rPr>
        <w:t>%</w:t>
      </w:r>
      <w:r w:rsidR="00E70455">
        <w:rPr>
          <w:bCs/>
          <w:sz w:val="24"/>
        </w:rPr>
        <w:t xml:space="preserve"> </w:t>
      </w:r>
      <w:r w:rsidR="00B8091D">
        <w:rPr>
          <w:bCs/>
          <w:sz w:val="24"/>
        </w:rPr>
        <w:t>total return</w:t>
      </w:r>
      <w:r w:rsidR="00294E2F">
        <w:rPr>
          <w:bCs/>
          <w:sz w:val="24"/>
        </w:rPr>
        <w:t xml:space="preserve">, </w:t>
      </w:r>
      <w:r w:rsidR="00E33CE9">
        <w:rPr>
          <w:bCs/>
          <w:sz w:val="24"/>
        </w:rPr>
        <w:t>according to Bloomberg Index Services</w:t>
      </w:r>
      <w:r w:rsidR="00722BF8">
        <w:rPr>
          <w:bCs/>
          <w:sz w:val="24"/>
        </w:rPr>
        <w:t xml:space="preserve"> data for </w:t>
      </w:r>
      <w:r w:rsidR="003401B4">
        <w:rPr>
          <w:bCs/>
          <w:sz w:val="24"/>
        </w:rPr>
        <w:t>3</w:t>
      </w:r>
      <w:r w:rsidR="00722BF8">
        <w:rPr>
          <w:bCs/>
          <w:sz w:val="24"/>
        </w:rPr>
        <w:t>Q 2025.</w:t>
      </w:r>
      <w:r w:rsidR="003401B4">
        <w:rPr>
          <w:bCs/>
          <w:sz w:val="24"/>
        </w:rPr>
        <w:t xml:space="preserve"> </w:t>
      </w:r>
      <w:r w:rsidR="00CA3090">
        <w:rPr>
          <w:bCs/>
          <w:sz w:val="24"/>
        </w:rPr>
        <w:t xml:space="preserve">Intermediate-term </w:t>
      </w:r>
      <w:r w:rsidR="00B747B1">
        <w:rPr>
          <w:bCs/>
          <w:sz w:val="24"/>
        </w:rPr>
        <w:t xml:space="preserve">investment-grade </w:t>
      </w:r>
      <w:r w:rsidR="00CA3090">
        <w:rPr>
          <w:bCs/>
          <w:sz w:val="24"/>
        </w:rPr>
        <w:t>corporate bond</w:t>
      </w:r>
      <w:r w:rsidR="00C040AC">
        <w:rPr>
          <w:bCs/>
          <w:sz w:val="24"/>
        </w:rPr>
        <w:t xml:space="preserve">s returned </w:t>
      </w:r>
      <w:r w:rsidR="0061187E">
        <w:rPr>
          <w:bCs/>
          <w:sz w:val="24"/>
        </w:rPr>
        <w:t>1.98%.</w:t>
      </w:r>
    </w:p>
    <w:p w14:paraId="08244F4F" w14:textId="77777777" w:rsidR="000B7EDE" w:rsidRDefault="000B7EDE" w:rsidP="003048C6">
      <w:pPr>
        <w:rPr>
          <w:bCs/>
          <w:sz w:val="24"/>
        </w:rPr>
      </w:pPr>
    </w:p>
    <w:p w14:paraId="1A30BA7B" w14:textId="29D2B0CC" w:rsidR="00515F3A" w:rsidRDefault="009A25C6" w:rsidP="00C57C08">
      <w:pPr>
        <w:rPr>
          <w:sz w:val="24"/>
        </w:rPr>
      </w:pPr>
      <w:r>
        <w:rPr>
          <w:sz w:val="24"/>
        </w:rPr>
        <w:t>Please n</w:t>
      </w:r>
      <w:r w:rsidR="0004450D">
        <w:rPr>
          <w:sz w:val="24"/>
        </w:rPr>
        <w:t>ote</w:t>
      </w:r>
      <w:r>
        <w:rPr>
          <w:sz w:val="24"/>
        </w:rPr>
        <w:t xml:space="preserve"> that</w:t>
      </w:r>
      <w:r w:rsidR="0004450D">
        <w:rPr>
          <w:sz w:val="24"/>
        </w:rPr>
        <w:t xml:space="preserve"> </w:t>
      </w:r>
      <w:r w:rsidR="00E957D5">
        <w:rPr>
          <w:sz w:val="24"/>
        </w:rPr>
        <w:t>l</w:t>
      </w:r>
      <w:r w:rsidR="006870B8">
        <w:rPr>
          <w:sz w:val="24"/>
        </w:rPr>
        <w:t>ending volume</w:t>
      </w:r>
      <w:r w:rsidR="00F7194D">
        <w:rPr>
          <w:sz w:val="24"/>
        </w:rPr>
        <w:t xml:space="preserve"> </w:t>
      </w:r>
      <w:r w:rsidR="00526FC3">
        <w:rPr>
          <w:sz w:val="24"/>
        </w:rPr>
        <w:t>in the table below</w:t>
      </w:r>
      <w:r w:rsidR="00DB15EF">
        <w:rPr>
          <w:sz w:val="24"/>
        </w:rPr>
        <w:t xml:space="preserve"> is likely to be revised upward, possibly substantially.</w:t>
      </w:r>
      <w:r w:rsidR="00BD17C5">
        <w:rPr>
          <w:sz w:val="24"/>
        </w:rPr>
        <w:t xml:space="preserve"> In addition to late reporting</w:t>
      </w:r>
      <w:r>
        <w:rPr>
          <w:sz w:val="24"/>
        </w:rPr>
        <w:t xml:space="preserve"> that occurs every quarter</w:t>
      </w:r>
      <w:r w:rsidR="00BD17C5">
        <w:rPr>
          <w:sz w:val="24"/>
        </w:rPr>
        <w:t>, t</w:t>
      </w:r>
      <w:r w:rsidR="00007304">
        <w:rPr>
          <w:sz w:val="24"/>
        </w:rPr>
        <w:t xml:space="preserve">he Federal government shutdown affected GSE </w:t>
      </w:r>
      <w:r w:rsidR="00945B34">
        <w:rPr>
          <w:sz w:val="24"/>
        </w:rPr>
        <w:t>data availability</w:t>
      </w:r>
      <w:r w:rsidR="00BD17C5">
        <w:rPr>
          <w:sz w:val="24"/>
        </w:rPr>
        <w:t>.</w:t>
      </w:r>
    </w:p>
    <w:p w14:paraId="2802A867" w14:textId="77777777" w:rsidR="00CE330C" w:rsidRDefault="00CE330C" w:rsidP="00C57C08">
      <w:pPr>
        <w:rPr>
          <w:sz w:val="24"/>
        </w:rPr>
      </w:pPr>
    </w:p>
    <w:p w14:paraId="21F67443" w14:textId="0C096091" w:rsidR="0014236E" w:rsidRDefault="006C6B69">
      <w:pPr>
        <w:rPr>
          <w:i/>
          <w:sz w:val="24"/>
        </w:rPr>
      </w:pPr>
      <w:r>
        <w:rPr>
          <w:sz w:val="24"/>
        </w:rPr>
        <w:t>T</w:t>
      </w:r>
      <w:r w:rsidR="003772C5">
        <w:rPr>
          <w:sz w:val="24"/>
        </w:rPr>
        <w:t xml:space="preserve">he </w:t>
      </w:r>
      <w:r w:rsidR="00DE058B">
        <w:rPr>
          <w:sz w:val="24"/>
        </w:rPr>
        <w:t>3</w:t>
      </w:r>
      <w:r w:rsidR="003772C5">
        <w:rPr>
          <w:sz w:val="24"/>
        </w:rPr>
        <w:t>Q 20</w:t>
      </w:r>
      <w:r w:rsidR="00107251">
        <w:rPr>
          <w:sz w:val="24"/>
        </w:rPr>
        <w:t>2</w:t>
      </w:r>
      <w:r w:rsidR="00856CBE">
        <w:rPr>
          <w:sz w:val="24"/>
        </w:rPr>
        <w:t>5</w:t>
      </w:r>
      <w:r w:rsidR="003772C5">
        <w:rPr>
          <w:sz w:val="24"/>
        </w:rPr>
        <w:t xml:space="preserve"> </w:t>
      </w:r>
      <w:r w:rsidR="003772C5" w:rsidRPr="003772C5">
        <w:rPr>
          <w:i/>
          <w:sz w:val="24"/>
        </w:rPr>
        <w:t>Giliberto-Levy Monito</w:t>
      </w:r>
      <w:r w:rsidR="0014236E">
        <w:rPr>
          <w:i/>
          <w:sz w:val="24"/>
        </w:rPr>
        <w:t>r</w:t>
      </w:r>
      <w:r>
        <w:rPr>
          <w:i/>
          <w:sz w:val="24"/>
        </w:rPr>
        <w:t xml:space="preserve"> </w:t>
      </w:r>
      <w:r>
        <w:rPr>
          <w:iCs/>
          <w:sz w:val="24"/>
        </w:rPr>
        <w:t xml:space="preserve">will </w:t>
      </w:r>
      <w:r w:rsidR="0054786B">
        <w:rPr>
          <w:iCs/>
          <w:sz w:val="24"/>
        </w:rPr>
        <w:t>cover</w:t>
      </w:r>
      <w:r w:rsidR="005F0D19">
        <w:rPr>
          <w:iCs/>
          <w:sz w:val="24"/>
        </w:rPr>
        <w:t xml:space="preserve"> results and trends in detail.</w:t>
      </w:r>
      <w:r w:rsidR="0014236E">
        <w:rPr>
          <w:i/>
          <w:sz w:val="24"/>
        </w:rPr>
        <w:br w:type="page"/>
      </w:r>
    </w:p>
    <w:tbl>
      <w:tblPr>
        <w:tblW w:w="8140" w:type="dxa"/>
        <w:tblLook w:val="04A0" w:firstRow="1" w:lastRow="0" w:firstColumn="1" w:lastColumn="0" w:noHBand="0" w:noVBand="1"/>
      </w:tblPr>
      <w:tblGrid>
        <w:gridCol w:w="400"/>
        <w:gridCol w:w="3060"/>
        <w:gridCol w:w="1240"/>
        <w:gridCol w:w="280"/>
        <w:gridCol w:w="1240"/>
        <w:gridCol w:w="280"/>
        <w:gridCol w:w="1240"/>
        <w:gridCol w:w="400"/>
      </w:tblGrid>
      <w:tr w:rsidR="00120A64" w:rsidRPr="00120A64" w14:paraId="6A70B402" w14:textId="77777777" w:rsidTr="00120A64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CBA2B9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E7D01" w14:textId="77777777" w:rsidR="00120A64" w:rsidRPr="00120A64" w:rsidRDefault="00120A64" w:rsidP="00120A64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20A6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G-L 1 Summary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7B7C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42201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7806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5B17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6430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754F50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A64" w:rsidRPr="00120A64" w14:paraId="6F91D542" w14:textId="77777777" w:rsidTr="00120A64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B6ABFD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B4AA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4FE0F4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20A6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Most Recent Period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75FE7B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B088AD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20A6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Prior Period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784670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331E9C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20A6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Year Ago Comp. Period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2A447B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A64" w:rsidRPr="00120A64" w14:paraId="1AD102D7" w14:textId="77777777" w:rsidTr="00120A6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AF361E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0188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6FB6" w14:textId="77777777" w:rsidR="00120A64" w:rsidRPr="00120A64" w:rsidRDefault="00120A64" w:rsidP="00120A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0A64">
              <w:rPr>
                <w:rFonts w:ascii="Arial" w:hAnsi="Arial" w:cs="Arial"/>
                <w:b/>
                <w:bCs/>
                <w:color w:val="000000"/>
              </w:rPr>
              <w:t>3Q 2025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6087" w14:textId="77777777" w:rsidR="00120A64" w:rsidRPr="00120A64" w:rsidRDefault="00120A64" w:rsidP="00120A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D27D" w14:textId="77777777" w:rsidR="00120A64" w:rsidRPr="00120A64" w:rsidRDefault="00120A64" w:rsidP="00120A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0A64">
              <w:rPr>
                <w:rFonts w:ascii="Arial" w:hAnsi="Arial" w:cs="Arial"/>
                <w:b/>
                <w:bCs/>
                <w:color w:val="000000"/>
              </w:rPr>
              <w:t>2Q 2025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EF22" w14:textId="77777777" w:rsidR="00120A64" w:rsidRPr="00120A64" w:rsidRDefault="00120A64" w:rsidP="00120A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D081" w14:textId="77777777" w:rsidR="00120A64" w:rsidRPr="00120A64" w:rsidRDefault="00120A64" w:rsidP="00120A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0A64">
              <w:rPr>
                <w:rFonts w:ascii="Arial" w:hAnsi="Arial" w:cs="Arial"/>
                <w:b/>
                <w:bCs/>
                <w:color w:val="000000"/>
              </w:rPr>
              <w:t>3Q 2024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84C6F1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A64" w:rsidRPr="00120A64" w14:paraId="7B2B54CB" w14:textId="77777777" w:rsidTr="00120A6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66AC2C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80B6D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AF63D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95715A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2A8448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177ED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029AA9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F41DE2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A64" w:rsidRPr="00120A64" w14:paraId="00C3E327" w14:textId="77777777" w:rsidTr="00120A6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60ECF3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1432" w14:textId="77777777" w:rsidR="00120A64" w:rsidRPr="00120A64" w:rsidRDefault="00120A64" w:rsidP="00120A64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20A6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Index Results: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6ADE9" w14:textId="77777777" w:rsidR="00120A64" w:rsidRPr="00120A64" w:rsidRDefault="00120A64" w:rsidP="00120A64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A521" w14:textId="77777777" w:rsidR="00120A64" w:rsidRPr="00120A64" w:rsidRDefault="00120A64" w:rsidP="00120A64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DA286" w14:textId="77777777" w:rsidR="00120A64" w:rsidRPr="00120A64" w:rsidRDefault="00120A64" w:rsidP="00120A64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0F016" w14:textId="77777777" w:rsidR="00120A64" w:rsidRPr="00120A64" w:rsidRDefault="00120A64" w:rsidP="00120A64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23C7" w14:textId="77777777" w:rsidR="00120A64" w:rsidRPr="00120A64" w:rsidRDefault="00120A64" w:rsidP="00120A64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147470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A64" w:rsidRPr="00120A64" w14:paraId="4F2EE224" w14:textId="77777777" w:rsidTr="00120A6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EE094F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81A1B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4D4F" w14:textId="77777777" w:rsidR="00120A64" w:rsidRPr="00120A64" w:rsidRDefault="00120A64" w:rsidP="00120A64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89ED3" w14:textId="77777777" w:rsidR="00120A64" w:rsidRPr="00120A64" w:rsidRDefault="00120A64" w:rsidP="00120A64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D74C" w14:textId="77777777" w:rsidR="00120A64" w:rsidRPr="00120A64" w:rsidRDefault="00120A64" w:rsidP="00120A64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65DD" w14:textId="77777777" w:rsidR="00120A64" w:rsidRPr="00120A64" w:rsidRDefault="00120A64" w:rsidP="00120A64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98E4D" w14:textId="77777777" w:rsidR="00120A64" w:rsidRPr="00120A64" w:rsidRDefault="00120A64" w:rsidP="00120A64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24F099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A64" w:rsidRPr="00120A64" w14:paraId="2008D749" w14:textId="77777777" w:rsidTr="00120A6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A660A2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13BA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Total Return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771F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1.78%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D514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1A8F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1.87%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C5EE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0F72F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4.63%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D770A2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A64" w:rsidRPr="00120A64" w14:paraId="5F9B82BC" w14:textId="77777777" w:rsidTr="00120A6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37DCAC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5B19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Income Return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892CB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1.15%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43EE1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CFC01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1.15%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C8A09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1C50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1.16%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3306E0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A64" w:rsidRPr="00120A64" w14:paraId="3B9530F8" w14:textId="77777777" w:rsidTr="00120A6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F34B73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5CDB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Capital Value Return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34EB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0.63%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802D8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12C0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0.72%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3A60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A3A8F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3.47%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7556F2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A64" w:rsidRPr="00120A64" w14:paraId="0D431728" w14:textId="77777777" w:rsidTr="00120A6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8476A1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7E4D8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Credit Effect (bp; annualized)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EA98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E7E92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671B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24165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39E4F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9D07D9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A64" w:rsidRPr="00120A64" w14:paraId="0D5D019D" w14:textId="77777777" w:rsidTr="00120A6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DC0ECE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0D44B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D2AD2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09181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AEC2F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3BD9D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DF14C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7ED278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A64" w:rsidRPr="00120A64" w14:paraId="664AEDB2" w14:textId="77777777" w:rsidTr="00120A6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13AA78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8D8B" w14:textId="77777777" w:rsidR="00120A64" w:rsidRPr="00120A64" w:rsidRDefault="00120A64" w:rsidP="00120A64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20A6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Index-eligible Lending Activity </w:t>
            </w:r>
            <w:r w:rsidRPr="00120A64">
              <w:rPr>
                <w:rFonts w:ascii="Calibri" w:hAnsi="Calibri" w:cs="Calibri"/>
                <w:color w:val="000000"/>
                <w:sz w:val="24"/>
                <w:szCs w:val="24"/>
              </w:rPr>
              <w:t>[Note 1]</w:t>
            </w:r>
            <w:r w:rsidRPr="00120A6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E011" w14:textId="77777777" w:rsidR="00120A64" w:rsidRPr="00120A64" w:rsidRDefault="00120A64" w:rsidP="00120A64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CC75" w14:textId="77777777" w:rsidR="00120A64" w:rsidRPr="00120A64" w:rsidRDefault="00120A64" w:rsidP="00120A64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D8E01" w14:textId="77777777" w:rsidR="00120A64" w:rsidRPr="00120A64" w:rsidRDefault="00120A64" w:rsidP="00120A64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8C9D" w14:textId="77777777" w:rsidR="00120A64" w:rsidRPr="00120A64" w:rsidRDefault="00120A64" w:rsidP="00120A64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682B1D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A64" w:rsidRPr="00120A64" w14:paraId="7F00620D" w14:textId="77777777" w:rsidTr="00120A6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8DB0BC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20BCA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2903" w14:textId="77777777" w:rsidR="00120A64" w:rsidRPr="00120A64" w:rsidRDefault="00120A64" w:rsidP="00120A64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2FC1" w14:textId="77777777" w:rsidR="00120A64" w:rsidRPr="00120A64" w:rsidRDefault="00120A64" w:rsidP="00120A64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1ECE3" w14:textId="77777777" w:rsidR="00120A64" w:rsidRPr="00120A64" w:rsidRDefault="00120A64" w:rsidP="00120A64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977EA" w14:textId="77777777" w:rsidR="00120A64" w:rsidRPr="00120A64" w:rsidRDefault="00120A64" w:rsidP="00120A64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0F5F" w14:textId="77777777" w:rsidR="00120A64" w:rsidRPr="00120A64" w:rsidRDefault="00120A64" w:rsidP="00120A64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5C6E4E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A64" w:rsidRPr="00120A64" w14:paraId="56FF8B88" w14:textId="77777777" w:rsidTr="00120A6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BE8402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2129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Loan Volume ($ billions)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F2F7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DC19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49A47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5E8D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0902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9.5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457DFF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A64" w:rsidRPr="00120A64" w14:paraId="18A973B2" w14:textId="77777777" w:rsidTr="00120A6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98CFD4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AF51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Weighted Average: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76BDA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513B" w14:textId="77777777" w:rsidR="00120A64" w:rsidRPr="00120A64" w:rsidRDefault="00120A64" w:rsidP="00120A64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FF67" w14:textId="77777777" w:rsidR="00120A64" w:rsidRPr="00120A64" w:rsidRDefault="00120A64" w:rsidP="00120A64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EA62" w14:textId="77777777" w:rsidR="00120A64" w:rsidRPr="00120A64" w:rsidRDefault="00120A64" w:rsidP="00120A64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394E2" w14:textId="77777777" w:rsidR="00120A64" w:rsidRPr="00120A64" w:rsidRDefault="00120A64" w:rsidP="00120A64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136F81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A64" w:rsidRPr="00120A64" w14:paraId="1A132CAB" w14:textId="77777777" w:rsidTr="00120A6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C8203F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9EDA7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LTV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CE33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59.1%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4CA7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5925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60.6%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95F1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0C8E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61.3%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CD5A70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A64" w:rsidRPr="00120A64" w14:paraId="701B95D4" w14:textId="77777777" w:rsidTr="00120A6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A55584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880A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DSCR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AE71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1.71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F17A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B9A6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1.63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3F776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41C2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1.62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CC8BCB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A64" w:rsidRPr="00120A64" w14:paraId="5E166377" w14:textId="77777777" w:rsidTr="00120A6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4FD0DC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8906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Coupon Rate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83D2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5.77%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AE48E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F108D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5.83%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B987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54C0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5.68%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EC0206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A64" w:rsidRPr="00120A64" w14:paraId="305EC639" w14:textId="77777777" w:rsidTr="00120A6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F2AA6B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8AB6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Spread (basis points) [Note 2]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38AB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B5B6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ECCC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1451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48D6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EAF250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A64" w:rsidRPr="00120A64" w14:paraId="670E6339" w14:textId="77777777" w:rsidTr="00120A6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E74668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EB7B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Term to Maturity (years)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B683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8777C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BD38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D9C5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3EE5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77B95A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A64" w:rsidRPr="00120A64" w14:paraId="5C0F80B0" w14:textId="77777777" w:rsidTr="00120A6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015E05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0B744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Loan Size ($ millions)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7030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24.3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BC07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232B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28.3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2588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7E17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35.6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550E39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A64" w:rsidRPr="00120A64" w14:paraId="16223410" w14:textId="77777777" w:rsidTr="00120A6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C8D3ED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70BD5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DB0F6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4AAB40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8A6F0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94C95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BD2A8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9D71C4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A64" w:rsidRPr="00120A64" w14:paraId="361A5DF3" w14:textId="77777777" w:rsidTr="00120A6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3404B5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64C1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Notes: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0127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021F" w14:textId="77777777" w:rsidR="00120A64" w:rsidRPr="00120A64" w:rsidRDefault="00120A64" w:rsidP="00120A64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27A5" w14:textId="77777777" w:rsidR="00120A64" w:rsidRPr="00120A64" w:rsidRDefault="00120A64" w:rsidP="00120A64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7AA3F" w14:textId="77777777" w:rsidR="00120A64" w:rsidRPr="00120A64" w:rsidRDefault="00120A64" w:rsidP="00120A64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33C4" w14:textId="77777777" w:rsidR="00120A64" w:rsidRPr="00120A64" w:rsidRDefault="00120A64" w:rsidP="00120A64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6DA9DE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A64" w:rsidRPr="00120A64" w14:paraId="63197F74" w14:textId="77777777" w:rsidTr="00120A6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9304E0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F2ED7CC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1. Lending activity statistics are subject to revision as additional data are received.</w:t>
            </w:r>
          </w:p>
        </w:tc>
      </w:tr>
      <w:tr w:rsidR="00120A64" w:rsidRPr="00120A64" w14:paraId="0B946213" w14:textId="77777777" w:rsidTr="00120A6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3B76E1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84C8B99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2. Spread is measured with respect to comparable maturity U.S. Treasury yield.</w:t>
            </w:r>
          </w:p>
        </w:tc>
      </w:tr>
      <w:tr w:rsidR="00120A64" w:rsidRPr="00120A64" w14:paraId="3B30D5BE" w14:textId="77777777" w:rsidTr="00120A6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831F2F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3552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9688" w14:textId="77777777" w:rsidR="00120A64" w:rsidRPr="00120A64" w:rsidRDefault="00120A64" w:rsidP="00120A64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B01A" w14:textId="77777777" w:rsidR="00120A64" w:rsidRPr="00120A64" w:rsidRDefault="00120A64" w:rsidP="00120A64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C757" w14:textId="77777777" w:rsidR="00120A64" w:rsidRPr="00120A64" w:rsidRDefault="00120A64" w:rsidP="00120A64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0BAE" w14:textId="77777777" w:rsidR="00120A64" w:rsidRPr="00120A64" w:rsidRDefault="00120A64" w:rsidP="00120A64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D918" w14:textId="77777777" w:rsidR="00120A64" w:rsidRPr="00120A64" w:rsidRDefault="00120A64" w:rsidP="00120A64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CA411E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A64" w:rsidRPr="00120A64" w14:paraId="492F7AF6" w14:textId="77777777" w:rsidTr="00120A6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4BC8E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4267F5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</w:rPr>
            </w:pPr>
            <w:r w:rsidRPr="00120A64">
              <w:rPr>
                <w:rFonts w:ascii="Calibri" w:hAnsi="Calibri" w:cs="Calibri"/>
                <w:color w:val="000000"/>
              </w:rPr>
              <w:t>Source: Giliberto-Levy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AE9B6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4BE6F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AA7ED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915C0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43ABF" w14:textId="77777777" w:rsidR="00120A64" w:rsidRPr="00120A64" w:rsidRDefault="00120A64" w:rsidP="00120A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E7C9E" w14:textId="77777777" w:rsidR="00120A64" w:rsidRPr="00120A64" w:rsidRDefault="00120A64" w:rsidP="00120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A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A0DFEE6" w14:textId="77777777" w:rsidR="001011E5" w:rsidRDefault="001011E5" w:rsidP="00C57C08">
      <w:pPr>
        <w:rPr>
          <w:sz w:val="24"/>
        </w:rPr>
      </w:pPr>
    </w:p>
    <w:p w14:paraId="4461E362" w14:textId="77777777" w:rsidR="00961747" w:rsidRDefault="00961747" w:rsidP="00961747">
      <w:pPr>
        <w:rPr>
          <w:sz w:val="24"/>
        </w:rPr>
      </w:pPr>
    </w:p>
    <w:p w14:paraId="0E412D95" w14:textId="757E63D3" w:rsidR="00956AC4" w:rsidRDefault="00956AC4" w:rsidP="00961747">
      <w:pPr>
        <w:rPr>
          <w:sz w:val="24"/>
        </w:rPr>
      </w:pPr>
    </w:p>
    <w:p w14:paraId="0CC8866C" w14:textId="77777777" w:rsidR="00956AC4" w:rsidRDefault="00956AC4" w:rsidP="00961747">
      <w:pPr>
        <w:rPr>
          <w:sz w:val="24"/>
        </w:rPr>
      </w:pPr>
    </w:p>
    <w:sectPr w:rsidR="00956AC4"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DCB4" w14:textId="77777777" w:rsidR="003117FA" w:rsidRDefault="003117FA">
      <w:r>
        <w:separator/>
      </w:r>
    </w:p>
  </w:endnote>
  <w:endnote w:type="continuationSeparator" w:id="0">
    <w:p w14:paraId="3A60B1DF" w14:textId="77777777" w:rsidR="003117FA" w:rsidRDefault="0031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1766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34F41" w14:textId="3D2E12B6" w:rsidR="009357FE" w:rsidRDefault="009357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2C1985" w14:textId="77777777" w:rsidR="0036465A" w:rsidRDefault="00364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B4859" w14:textId="77777777" w:rsidR="003117FA" w:rsidRDefault="003117FA">
      <w:r>
        <w:separator/>
      </w:r>
    </w:p>
  </w:footnote>
  <w:footnote w:type="continuationSeparator" w:id="0">
    <w:p w14:paraId="7B580010" w14:textId="77777777" w:rsidR="003117FA" w:rsidRDefault="003117FA">
      <w:r>
        <w:continuationSeparator/>
      </w:r>
    </w:p>
  </w:footnote>
  <w:footnote w:id="1">
    <w:p w14:paraId="0037CF3F" w14:textId="77777777" w:rsidR="00EF68F5" w:rsidRDefault="00EF68F5" w:rsidP="00EF68F5">
      <w:pPr>
        <w:rPr>
          <w:sz w:val="24"/>
        </w:rPr>
      </w:pPr>
      <w:r>
        <w:rPr>
          <w:rStyle w:val="FootnoteReference"/>
        </w:rPr>
        <w:footnoteRef/>
      </w:r>
      <w:r>
        <w:t xml:space="preserve"> </w:t>
      </w:r>
      <w:r w:rsidRPr="00C57A0A">
        <w:t>The Index's components are fixed-rate commercial mortgage loans held on balance sheets of institutions such as life insurance companies and pension funds. Index returns are a market-value-weighted blend of office, apartment, retail, industrial, lodging, mixed-use and other miscellaneous property types. Index performance tracks senior loans only; it does not include construction loans, mezzanine and other subordinate instruments and bridge loans made by such institutions.</w:t>
      </w:r>
    </w:p>
    <w:p w14:paraId="78164946" w14:textId="77777777" w:rsidR="00EF68F5" w:rsidRDefault="00EF68F5" w:rsidP="00EF68F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866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0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ECC"/>
    <w:rsid w:val="00000642"/>
    <w:rsid w:val="00001F93"/>
    <w:rsid w:val="00002D67"/>
    <w:rsid w:val="0000354C"/>
    <w:rsid w:val="00005815"/>
    <w:rsid w:val="00007304"/>
    <w:rsid w:val="000078A6"/>
    <w:rsid w:val="000078BA"/>
    <w:rsid w:val="00007E4C"/>
    <w:rsid w:val="000100C1"/>
    <w:rsid w:val="000105A3"/>
    <w:rsid w:val="00010652"/>
    <w:rsid w:val="00011013"/>
    <w:rsid w:val="00011501"/>
    <w:rsid w:val="0001194D"/>
    <w:rsid w:val="000128FA"/>
    <w:rsid w:val="00012A0B"/>
    <w:rsid w:val="0001436C"/>
    <w:rsid w:val="00014832"/>
    <w:rsid w:val="0001499F"/>
    <w:rsid w:val="000158BF"/>
    <w:rsid w:val="00015ECB"/>
    <w:rsid w:val="000164D1"/>
    <w:rsid w:val="00017E17"/>
    <w:rsid w:val="0002119E"/>
    <w:rsid w:val="0002169E"/>
    <w:rsid w:val="00021E84"/>
    <w:rsid w:val="00022A55"/>
    <w:rsid w:val="00022FF5"/>
    <w:rsid w:val="00024952"/>
    <w:rsid w:val="000263DB"/>
    <w:rsid w:val="00026784"/>
    <w:rsid w:val="00026935"/>
    <w:rsid w:val="00026B60"/>
    <w:rsid w:val="00026D38"/>
    <w:rsid w:val="00027B06"/>
    <w:rsid w:val="000300DD"/>
    <w:rsid w:val="000310B5"/>
    <w:rsid w:val="00032794"/>
    <w:rsid w:val="00032C90"/>
    <w:rsid w:val="00033140"/>
    <w:rsid w:val="00034171"/>
    <w:rsid w:val="00035E60"/>
    <w:rsid w:val="000367BC"/>
    <w:rsid w:val="00036BD0"/>
    <w:rsid w:val="00036CA9"/>
    <w:rsid w:val="00037271"/>
    <w:rsid w:val="0003766F"/>
    <w:rsid w:val="00041081"/>
    <w:rsid w:val="00041E04"/>
    <w:rsid w:val="000421D8"/>
    <w:rsid w:val="00043334"/>
    <w:rsid w:val="0004394E"/>
    <w:rsid w:val="00043FAE"/>
    <w:rsid w:val="0004419B"/>
    <w:rsid w:val="0004450D"/>
    <w:rsid w:val="000446EB"/>
    <w:rsid w:val="00045AEE"/>
    <w:rsid w:val="00047C6C"/>
    <w:rsid w:val="000504DB"/>
    <w:rsid w:val="00050648"/>
    <w:rsid w:val="00051150"/>
    <w:rsid w:val="00051B5F"/>
    <w:rsid w:val="0005251D"/>
    <w:rsid w:val="000527E6"/>
    <w:rsid w:val="00052A4A"/>
    <w:rsid w:val="00052C7D"/>
    <w:rsid w:val="0005383A"/>
    <w:rsid w:val="00053A7B"/>
    <w:rsid w:val="00053DEE"/>
    <w:rsid w:val="00054797"/>
    <w:rsid w:val="00054ABD"/>
    <w:rsid w:val="00054E92"/>
    <w:rsid w:val="00054F9D"/>
    <w:rsid w:val="00055AC4"/>
    <w:rsid w:val="00055D12"/>
    <w:rsid w:val="00056155"/>
    <w:rsid w:val="00056685"/>
    <w:rsid w:val="00056E82"/>
    <w:rsid w:val="00060330"/>
    <w:rsid w:val="0006076F"/>
    <w:rsid w:val="00060ED1"/>
    <w:rsid w:val="00062731"/>
    <w:rsid w:val="00062B89"/>
    <w:rsid w:val="00063047"/>
    <w:rsid w:val="0006316A"/>
    <w:rsid w:val="00064833"/>
    <w:rsid w:val="00064846"/>
    <w:rsid w:val="00064D4E"/>
    <w:rsid w:val="00065215"/>
    <w:rsid w:val="0006553F"/>
    <w:rsid w:val="0006581B"/>
    <w:rsid w:val="00065957"/>
    <w:rsid w:val="00066289"/>
    <w:rsid w:val="00066F53"/>
    <w:rsid w:val="00067331"/>
    <w:rsid w:val="000678A3"/>
    <w:rsid w:val="00067EC1"/>
    <w:rsid w:val="00070663"/>
    <w:rsid w:val="00071E7B"/>
    <w:rsid w:val="00071EA6"/>
    <w:rsid w:val="00072309"/>
    <w:rsid w:val="000736A7"/>
    <w:rsid w:val="00074FFD"/>
    <w:rsid w:val="00075B3D"/>
    <w:rsid w:val="00076325"/>
    <w:rsid w:val="0007639A"/>
    <w:rsid w:val="00077801"/>
    <w:rsid w:val="00077F66"/>
    <w:rsid w:val="00080E84"/>
    <w:rsid w:val="00081A4E"/>
    <w:rsid w:val="00081D43"/>
    <w:rsid w:val="00082E75"/>
    <w:rsid w:val="00086660"/>
    <w:rsid w:val="00087321"/>
    <w:rsid w:val="000874D7"/>
    <w:rsid w:val="00087BAE"/>
    <w:rsid w:val="00090208"/>
    <w:rsid w:val="00090BBB"/>
    <w:rsid w:val="00091CB6"/>
    <w:rsid w:val="00091D5A"/>
    <w:rsid w:val="00092710"/>
    <w:rsid w:val="00092BBE"/>
    <w:rsid w:val="00093657"/>
    <w:rsid w:val="0009513D"/>
    <w:rsid w:val="0009521F"/>
    <w:rsid w:val="000952D3"/>
    <w:rsid w:val="0009590F"/>
    <w:rsid w:val="00095AE3"/>
    <w:rsid w:val="0009615D"/>
    <w:rsid w:val="00097015"/>
    <w:rsid w:val="00097A11"/>
    <w:rsid w:val="00097A77"/>
    <w:rsid w:val="000A0CF8"/>
    <w:rsid w:val="000A20A2"/>
    <w:rsid w:val="000A2AA4"/>
    <w:rsid w:val="000A2B00"/>
    <w:rsid w:val="000A3320"/>
    <w:rsid w:val="000A3F43"/>
    <w:rsid w:val="000A47DC"/>
    <w:rsid w:val="000A6BE5"/>
    <w:rsid w:val="000A7754"/>
    <w:rsid w:val="000A7A6C"/>
    <w:rsid w:val="000B01A3"/>
    <w:rsid w:val="000B0A61"/>
    <w:rsid w:val="000B0B2E"/>
    <w:rsid w:val="000B16D6"/>
    <w:rsid w:val="000B3237"/>
    <w:rsid w:val="000B5339"/>
    <w:rsid w:val="000B60C7"/>
    <w:rsid w:val="000B67C4"/>
    <w:rsid w:val="000B74FF"/>
    <w:rsid w:val="000B7C90"/>
    <w:rsid w:val="000B7EDE"/>
    <w:rsid w:val="000C0154"/>
    <w:rsid w:val="000C0EF7"/>
    <w:rsid w:val="000C292F"/>
    <w:rsid w:val="000C3A89"/>
    <w:rsid w:val="000C4183"/>
    <w:rsid w:val="000C46E5"/>
    <w:rsid w:val="000C5471"/>
    <w:rsid w:val="000C5D31"/>
    <w:rsid w:val="000C5DF1"/>
    <w:rsid w:val="000C6040"/>
    <w:rsid w:val="000C662B"/>
    <w:rsid w:val="000C6AD8"/>
    <w:rsid w:val="000C6DCD"/>
    <w:rsid w:val="000D021B"/>
    <w:rsid w:val="000D2043"/>
    <w:rsid w:val="000D36A2"/>
    <w:rsid w:val="000D3827"/>
    <w:rsid w:val="000D3B5D"/>
    <w:rsid w:val="000D49A1"/>
    <w:rsid w:val="000D5353"/>
    <w:rsid w:val="000D5857"/>
    <w:rsid w:val="000D6A02"/>
    <w:rsid w:val="000D6A38"/>
    <w:rsid w:val="000D6AE2"/>
    <w:rsid w:val="000D7CFB"/>
    <w:rsid w:val="000E097C"/>
    <w:rsid w:val="000E0ECA"/>
    <w:rsid w:val="000E1453"/>
    <w:rsid w:val="000E25B5"/>
    <w:rsid w:val="000E337D"/>
    <w:rsid w:val="000E3BDA"/>
    <w:rsid w:val="000E400F"/>
    <w:rsid w:val="000E48C4"/>
    <w:rsid w:val="000E4902"/>
    <w:rsid w:val="000E4C18"/>
    <w:rsid w:val="000E4D3A"/>
    <w:rsid w:val="000E6625"/>
    <w:rsid w:val="000E78C6"/>
    <w:rsid w:val="000E7A1A"/>
    <w:rsid w:val="000F0706"/>
    <w:rsid w:val="000F17C7"/>
    <w:rsid w:val="000F193A"/>
    <w:rsid w:val="000F321F"/>
    <w:rsid w:val="000F37BF"/>
    <w:rsid w:val="000F3E3A"/>
    <w:rsid w:val="000F4416"/>
    <w:rsid w:val="000F4A51"/>
    <w:rsid w:val="000F50A3"/>
    <w:rsid w:val="000F5C23"/>
    <w:rsid w:val="000F6265"/>
    <w:rsid w:val="000F640B"/>
    <w:rsid w:val="000F7900"/>
    <w:rsid w:val="0010005C"/>
    <w:rsid w:val="00100340"/>
    <w:rsid w:val="00100ADF"/>
    <w:rsid w:val="00100C9B"/>
    <w:rsid w:val="001011E5"/>
    <w:rsid w:val="00103894"/>
    <w:rsid w:val="001041CC"/>
    <w:rsid w:val="001044CC"/>
    <w:rsid w:val="00105CFE"/>
    <w:rsid w:val="00106578"/>
    <w:rsid w:val="00107251"/>
    <w:rsid w:val="00107538"/>
    <w:rsid w:val="00107A72"/>
    <w:rsid w:val="001101D8"/>
    <w:rsid w:val="00110558"/>
    <w:rsid w:val="00111953"/>
    <w:rsid w:val="00113039"/>
    <w:rsid w:val="00113286"/>
    <w:rsid w:val="00113F31"/>
    <w:rsid w:val="00114207"/>
    <w:rsid w:val="00115159"/>
    <w:rsid w:val="00115897"/>
    <w:rsid w:val="00116041"/>
    <w:rsid w:val="00116142"/>
    <w:rsid w:val="00116BD5"/>
    <w:rsid w:val="001170CE"/>
    <w:rsid w:val="0011796C"/>
    <w:rsid w:val="00117F49"/>
    <w:rsid w:val="00120697"/>
    <w:rsid w:val="00120701"/>
    <w:rsid w:val="00120A64"/>
    <w:rsid w:val="001217D5"/>
    <w:rsid w:val="00121A32"/>
    <w:rsid w:val="00122850"/>
    <w:rsid w:val="00123544"/>
    <w:rsid w:val="001242D1"/>
    <w:rsid w:val="00125AC3"/>
    <w:rsid w:val="00126242"/>
    <w:rsid w:val="00126FC8"/>
    <w:rsid w:val="00127774"/>
    <w:rsid w:val="00127861"/>
    <w:rsid w:val="00127E9B"/>
    <w:rsid w:val="0013057E"/>
    <w:rsid w:val="001305B4"/>
    <w:rsid w:val="0013128D"/>
    <w:rsid w:val="001312FC"/>
    <w:rsid w:val="001313F7"/>
    <w:rsid w:val="001327DE"/>
    <w:rsid w:val="00132EB4"/>
    <w:rsid w:val="0013377F"/>
    <w:rsid w:val="00135804"/>
    <w:rsid w:val="00135B15"/>
    <w:rsid w:val="0013681D"/>
    <w:rsid w:val="00137C7D"/>
    <w:rsid w:val="00137EA9"/>
    <w:rsid w:val="00140062"/>
    <w:rsid w:val="00140638"/>
    <w:rsid w:val="0014081F"/>
    <w:rsid w:val="00140D7B"/>
    <w:rsid w:val="00141074"/>
    <w:rsid w:val="001419D7"/>
    <w:rsid w:val="00141FBF"/>
    <w:rsid w:val="0014236E"/>
    <w:rsid w:val="001424FE"/>
    <w:rsid w:val="001425B8"/>
    <w:rsid w:val="00143222"/>
    <w:rsid w:val="001432E6"/>
    <w:rsid w:val="001437B7"/>
    <w:rsid w:val="00143924"/>
    <w:rsid w:val="001443CB"/>
    <w:rsid w:val="001444ED"/>
    <w:rsid w:val="00145D21"/>
    <w:rsid w:val="001469A7"/>
    <w:rsid w:val="0014733C"/>
    <w:rsid w:val="00150E17"/>
    <w:rsid w:val="00150FD2"/>
    <w:rsid w:val="001516D0"/>
    <w:rsid w:val="0015215A"/>
    <w:rsid w:val="0015330A"/>
    <w:rsid w:val="00154F65"/>
    <w:rsid w:val="00155EAB"/>
    <w:rsid w:val="001569C3"/>
    <w:rsid w:val="00157FC8"/>
    <w:rsid w:val="001606DD"/>
    <w:rsid w:val="00160EB2"/>
    <w:rsid w:val="00161BE2"/>
    <w:rsid w:val="0016283A"/>
    <w:rsid w:val="00162909"/>
    <w:rsid w:val="001631CC"/>
    <w:rsid w:val="00163952"/>
    <w:rsid w:val="001650EF"/>
    <w:rsid w:val="00165683"/>
    <w:rsid w:val="00165A05"/>
    <w:rsid w:val="001666C1"/>
    <w:rsid w:val="00166DDF"/>
    <w:rsid w:val="0016789F"/>
    <w:rsid w:val="0017052C"/>
    <w:rsid w:val="00171C65"/>
    <w:rsid w:val="00171D18"/>
    <w:rsid w:val="00172049"/>
    <w:rsid w:val="00172848"/>
    <w:rsid w:val="00172862"/>
    <w:rsid w:val="0017341B"/>
    <w:rsid w:val="001738E2"/>
    <w:rsid w:val="00173DE2"/>
    <w:rsid w:val="0017475D"/>
    <w:rsid w:val="00174D5D"/>
    <w:rsid w:val="00174F0F"/>
    <w:rsid w:val="001752F0"/>
    <w:rsid w:val="00175DF0"/>
    <w:rsid w:val="00177A89"/>
    <w:rsid w:val="00177BAF"/>
    <w:rsid w:val="00180B15"/>
    <w:rsid w:val="00181502"/>
    <w:rsid w:val="00183091"/>
    <w:rsid w:val="00183949"/>
    <w:rsid w:val="00183CBA"/>
    <w:rsid w:val="00183E64"/>
    <w:rsid w:val="00183F68"/>
    <w:rsid w:val="00184622"/>
    <w:rsid w:val="00184E01"/>
    <w:rsid w:val="0018578A"/>
    <w:rsid w:val="001875AB"/>
    <w:rsid w:val="00187AE6"/>
    <w:rsid w:val="00187B29"/>
    <w:rsid w:val="001912D4"/>
    <w:rsid w:val="00191729"/>
    <w:rsid w:val="0019209C"/>
    <w:rsid w:val="001929CA"/>
    <w:rsid w:val="00192E19"/>
    <w:rsid w:val="0019379F"/>
    <w:rsid w:val="001954DA"/>
    <w:rsid w:val="0019551E"/>
    <w:rsid w:val="00195F64"/>
    <w:rsid w:val="00196582"/>
    <w:rsid w:val="00197724"/>
    <w:rsid w:val="00197E37"/>
    <w:rsid w:val="001A06C1"/>
    <w:rsid w:val="001A1655"/>
    <w:rsid w:val="001A22CB"/>
    <w:rsid w:val="001A31BC"/>
    <w:rsid w:val="001A3281"/>
    <w:rsid w:val="001A366E"/>
    <w:rsid w:val="001A3C9B"/>
    <w:rsid w:val="001A4A58"/>
    <w:rsid w:val="001A4EA2"/>
    <w:rsid w:val="001A5BE6"/>
    <w:rsid w:val="001A7679"/>
    <w:rsid w:val="001A776D"/>
    <w:rsid w:val="001A7D1A"/>
    <w:rsid w:val="001B0062"/>
    <w:rsid w:val="001B00F1"/>
    <w:rsid w:val="001B0F1A"/>
    <w:rsid w:val="001B14D7"/>
    <w:rsid w:val="001B1B0B"/>
    <w:rsid w:val="001B1C2E"/>
    <w:rsid w:val="001B29E4"/>
    <w:rsid w:val="001B2BE8"/>
    <w:rsid w:val="001B2CAB"/>
    <w:rsid w:val="001B2D0C"/>
    <w:rsid w:val="001B54CD"/>
    <w:rsid w:val="001B570B"/>
    <w:rsid w:val="001B5DD7"/>
    <w:rsid w:val="001B621A"/>
    <w:rsid w:val="001B625A"/>
    <w:rsid w:val="001B62B9"/>
    <w:rsid w:val="001B7FD8"/>
    <w:rsid w:val="001C10CB"/>
    <w:rsid w:val="001C1599"/>
    <w:rsid w:val="001C189F"/>
    <w:rsid w:val="001C1B52"/>
    <w:rsid w:val="001C1B9E"/>
    <w:rsid w:val="001C3A27"/>
    <w:rsid w:val="001C402D"/>
    <w:rsid w:val="001C53E5"/>
    <w:rsid w:val="001C687E"/>
    <w:rsid w:val="001C69B2"/>
    <w:rsid w:val="001C724F"/>
    <w:rsid w:val="001C7BDF"/>
    <w:rsid w:val="001D06EB"/>
    <w:rsid w:val="001D0A59"/>
    <w:rsid w:val="001D0B30"/>
    <w:rsid w:val="001D0F0D"/>
    <w:rsid w:val="001D118C"/>
    <w:rsid w:val="001D2A8E"/>
    <w:rsid w:val="001D2AE1"/>
    <w:rsid w:val="001D38EC"/>
    <w:rsid w:val="001D393D"/>
    <w:rsid w:val="001D39C5"/>
    <w:rsid w:val="001D4958"/>
    <w:rsid w:val="001D4BD2"/>
    <w:rsid w:val="001D535D"/>
    <w:rsid w:val="001D5804"/>
    <w:rsid w:val="001D5A8D"/>
    <w:rsid w:val="001D5BFD"/>
    <w:rsid w:val="001E048B"/>
    <w:rsid w:val="001E0621"/>
    <w:rsid w:val="001E09F5"/>
    <w:rsid w:val="001E0E82"/>
    <w:rsid w:val="001E1534"/>
    <w:rsid w:val="001E26BA"/>
    <w:rsid w:val="001E2C38"/>
    <w:rsid w:val="001E328B"/>
    <w:rsid w:val="001E4653"/>
    <w:rsid w:val="001E4D23"/>
    <w:rsid w:val="001E4E2E"/>
    <w:rsid w:val="001E5037"/>
    <w:rsid w:val="001E72FE"/>
    <w:rsid w:val="001E7DB9"/>
    <w:rsid w:val="001F0034"/>
    <w:rsid w:val="001F0248"/>
    <w:rsid w:val="001F133A"/>
    <w:rsid w:val="001F1490"/>
    <w:rsid w:val="001F14A6"/>
    <w:rsid w:val="001F14BF"/>
    <w:rsid w:val="001F1AF3"/>
    <w:rsid w:val="001F2093"/>
    <w:rsid w:val="001F2D04"/>
    <w:rsid w:val="001F3A79"/>
    <w:rsid w:val="001F3FA9"/>
    <w:rsid w:val="001F40BD"/>
    <w:rsid w:val="001F437A"/>
    <w:rsid w:val="001F4606"/>
    <w:rsid w:val="001F4DCB"/>
    <w:rsid w:val="001F4E11"/>
    <w:rsid w:val="001F5BF0"/>
    <w:rsid w:val="001F6661"/>
    <w:rsid w:val="002045DD"/>
    <w:rsid w:val="0020493C"/>
    <w:rsid w:val="00204C36"/>
    <w:rsid w:val="002055F0"/>
    <w:rsid w:val="0020593C"/>
    <w:rsid w:val="002060E6"/>
    <w:rsid w:val="00206AD0"/>
    <w:rsid w:val="00207934"/>
    <w:rsid w:val="00207D29"/>
    <w:rsid w:val="0021123C"/>
    <w:rsid w:val="002116B8"/>
    <w:rsid w:val="00211C2C"/>
    <w:rsid w:val="002121C4"/>
    <w:rsid w:val="00212525"/>
    <w:rsid w:val="00213823"/>
    <w:rsid w:val="00214F55"/>
    <w:rsid w:val="00215500"/>
    <w:rsid w:val="00215AAF"/>
    <w:rsid w:val="0021625D"/>
    <w:rsid w:val="00220774"/>
    <w:rsid w:val="002224DB"/>
    <w:rsid w:val="00223D01"/>
    <w:rsid w:val="00224082"/>
    <w:rsid w:val="002244EA"/>
    <w:rsid w:val="002245FA"/>
    <w:rsid w:val="00224C50"/>
    <w:rsid w:val="00224D01"/>
    <w:rsid w:val="00224E0B"/>
    <w:rsid w:val="00227046"/>
    <w:rsid w:val="00230644"/>
    <w:rsid w:val="002312D9"/>
    <w:rsid w:val="002314A6"/>
    <w:rsid w:val="0023196F"/>
    <w:rsid w:val="00232C39"/>
    <w:rsid w:val="00233377"/>
    <w:rsid w:val="00234840"/>
    <w:rsid w:val="00235267"/>
    <w:rsid w:val="002352C0"/>
    <w:rsid w:val="002352D8"/>
    <w:rsid w:val="002356B1"/>
    <w:rsid w:val="00235E1D"/>
    <w:rsid w:val="00236166"/>
    <w:rsid w:val="00236851"/>
    <w:rsid w:val="00237216"/>
    <w:rsid w:val="002377BE"/>
    <w:rsid w:val="002401CD"/>
    <w:rsid w:val="002405A5"/>
    <w:rsid w:val="00241715"/>
    <w:rsid w:val="00241744"/>
    <w:rsid w:val="0024310A"/>
    <w:rsid w:val="0024434E"/>
    <w:rsid w:val="00244A9F"/>
    <w:rsid w:val="00245C4B"/>
    <w:rsid w:val="00246128"/>
    <w:rsid w:val="002464EF"/>
    <w:rsid w:val="00246D67"/>
    <w:rsid w:val="00246F85"/>
    <w:rsid w:val="00246FD4"/>
    <w:rsid w:val="0024719D"/>
    <w:rsid w:val="00250382"/>
    <w:rsid w:val="002507EC"/>
    <w:rsid w:val="002512D7"/>
    <w:rsid w:val="00251A9B"/>
    <w:rsid w:val="00251D2E"/>
    <w:rsid w:val="002521EF"/>
    <w:rsid w:val="00252367"/>
    <w:rsid w:val="002526E8"/>
    <w:rsid w:val="00252E01"/>
    <w:rsid w:val="00252E3C"/>
    <w:rsid w:val="0025324B"/>
    <w:rsid w:val="00253CCB"/>
    <w:rsid w:val="00254D39"/>
    <w:rsid w:val="00255D82"/>
    <w:rsid w:val="00256676"/>
    <w:rsid w:val="002575CE"/>
    <w:rsid w:val="002578B5"/>
    <w:rsid w:val="00257FEF"/>
    <w:rsid w:val="002602B0"/>
    <w:rsid w:val="0026055E"/>
    <w:rsid w:val="00261322"/>
    <w:rsid w:val="002613AB"/>
    <w:rsid w:val="0026321F"/>
    <w:rsid w:val="00263366"/>
    <w:rsid w:val="00264527"/>
    <w:rsid w:val="00264D8D"/>
    <w:rsid w:val="002651D8"/>
    <w:rsid w:val="00265C5B"/>
    <w:rsid w:val="002664CC"/>
    <w:rsid w:val="0026683F"/>
    <w:rsid w:val="00266AF5"/>
    <w:rsid w:val="0026721A"/>
    <w:rsid w:val="002673EF"/>
    <w:rsid w:val="0026785B"/>
    <w:rsid w:val="00267B6A"/>
    <w:rsid w:val="002700C8"/>
    <w:rsid w:val="00270E27"/>
    <w:rsid w:val="002710ED"/>
    <w:rsid w:val="0027313C"/>
    <w:rsid w:val="00273342"/>
    <w:rsid w:val="0027342F"/>
    <w:rsid w:val="002737DE"/>
    <w:rsid w:val="00273953"/>
    <w:rsid w:val="002751A2"/>
    <w:rsid w:val="002755CE"/>
    <w:rsid w:val="00276A14"/>
    <w:rsid w:val="00276DC1"/>
    <w:rsid w:val="00276EEB"/>
    <w:rsid w:val="0027762F"/>
    <w:rsid w:val="00277EC8"/>
    <w:rsid w:val="00280312"/>
    <w:rsid w:val="00280A5E"/>
    <w:rsid w:val="0028105E"/>
    <w:rsid w:val="00281F5B"/>
    <w:rsid w:val="002832A9"/>
    <w:rsid w:val="002835E8"/>
    <w:rsid w:val="00283655"/>
    <w:rsid w:val="00283C56"/>
    <w:rsid w:val="0028424C"/>
    <w:rsid w:val="00284CCF"/>
    <w:rsid w:val="002851DB"/>
    <w:rsid w:val="00285DFC"/>
    <w:rsid w:val="00286032"/>
    <w:rsid w:val="0028615E"/>
    <w:rsid w:val="0028688E"/>
    <w:rsid w:val="00286E72"/>
    <w:rsid w:val="00286F80"/>
    <w:rsid w:val="00287001"/>
    <w:rsid w:val="00287B11"/>
    <w:rsid w:val="002903F2"/>
    <w:rsid w:val="002909C5"/>
    <w:rsid w:val="002912E7"/>
    <w:rsid w:val="00291B57"/>
    <w:rsid w:val="002923E1"/>
    <w:rsid w:val="00292452"/>
    <w:rsid w:val="00293201"/>
    <w:rsid w:val="00293DA9"/>
    <w:rsid w:val="002947CD"/>
    <w:rsid w:val="00294E02"/>
    <w:rsid w:val="00294E2F"/>
    <w:rsid w:val="00294EB2"/>
    <w:rsid w:val="00295285"/>
    <w:rsid w:val="00295CB9"/>
    <w:rsid w:val="002962FC"/>
    <w:rsid w:val="0029641A"/>
    <w:rsid w:val="00297B04"/>
    <w:rsid w:val="00297E0F"/>
    <w:rsid w:val="002A02C9"/>
    <w:rsid w:val="002A04D1"/>
    <w:rsid w:val="002A1637"/>
    <w:rsid w:val="002A1ADB"/>
    <w:rsid w:val="002A2AA4"/>
    <w:rsid w:val="002A2ABE"/>
    <w:rsid w:val="002A2CF6"/>
    <w:rsid w:val="002A2F57"/>
    <w:rsid w:val="002A4049"/>
    <w:rsid w:val="002A45F5"/>
    <w:rsid w:val="002A4A00"/>
    <w:rsid w:val="002A4D4A"/>
    <w:rsid w:val="002B159B"/>
    <w:rsid w:val="002B1928"/>
    <w:rsid w:val="002B1957"/>
    <w:rsid w:val="002B19FB"/>
    <w:rsid w:val="002B1C82"/>
    <w:rsid w:val="002B2C07"/>
    <w:rsid w:val="002B2E97"/>
    <w:rsid w:val="002B351A"/>
    <w:rsid w:val="002B44B2"/>
    <w:rsid w:val="002B47A5"/>
    <w:rsid w:val="002B7C25"/>
    <w:rsid w:val="002B7CE1"/>
    <w:rsid w:val="002C04F3"/>
    <w:rsid w:val="002C0779"/>
    <w:rsid w:val="002C0AB9"/>
    <w:rsid w:val="002C1B12"/>
    <w:rsid w:val="002C25FC"/>
    <w:rsid w:val="002C2CCF"/>
    <w:rsid w:val="002C39A9"/>
    <w:rsid w:val="002C3BC0"/>
    <w:rsid w:val="002C4137"/>
    <w:rsid w:val="002C4A81"/>
    <w:rsid w:val="002C4D1D"/>
    <w:rsid w:val="002C5003"/>
    <w:rsid w:val="002C57A7"/>
    <w:rsid w:val="002C70D8"/>
    <w:rsid w:val="002C73B9"/>
    <w:rsid w:val="002C7786"/>
    <w:rsid w:val="002C77C6"/>
    <w:rsid w:val="002C7CDF"/>
    <w:rsid w:val="002C7F1B"/>
    <w:rsid w:val="002D1122"/>
    <w:rsid w:val="002D194C"/>
    <w:rsid w:val="002D2324"/>
    <w:rsid w:val="002D2B16"/>
    <w:rsid w:val="002D2CD5"/>
    <w:rsid w:val="002D4BF7"/>
    <w:rsid w:val="002D5404"/>
    <w:rsid w:val="002D5755"/>
    <w:rsid w:val="002D5F37"/>
    <w:rsid w:val="002D676E"/>
    <w:rsid w:val="002D6E04"/>
    <w:rsid w:val="002D7159"/>
    <w:rsid w:val="002E015D"/>
    <w:rsid w:val="002E07D0"/>
    <w:rsid w:val="002E0F3C"/>
    <w:rsid w:val="002E0F4B"/>
    <w:rsid w:val="002E1AE7"/>
    <w:rsid w:val="002E253F"/>
    <w:rsid w:val="002E288B"/>
    <w:rsid w:val="002E28AF"/>
    <w:rsid w:val="002E2FD9"/>
    <w:rsid w:val="002E346D"/>
    <w:rsid w:val="002E4425"/>
    <w:rsid w:val="002E4915"/>
    <w:rsid w:val="002E4EFC"/>
    <w:rsid w:val="002E54C8"/>
    <w:rsid w:val="002E7DE3"/>
    <w:rsid w:val="002F09AD"/>
    <w:rsid w:val="002F12B0"/>
    <w:rsid w:val="002F25CF"/>
    <w:rsid w:val="002F3554"/>
    <w:rsid w:val="002F3B09"/>
    <w:rsid w:val="002F404F"/>
    <w:rsid w:val="002F4851"/>
    <w:rsid w:val="0030007E"/>
    <w:rsid w:val="00300902"/>
    <w:rsid w:val="003019F8"/>
    <w:rsid w:val="00302925"/>
    <w:rsid w:val="0030351F"/>
    <w:rsid w:val="00304637"/>
    <w:rsid w:val="003048C6"/>
    <w:rsid w:val="00304A87"/>
    <w:rsid w:val="00304CF9"/>
    <w:rsid w:val="003065ED"/>
    <w:rsid w:val="00306A8D"/>
    <w:rsid w:val="00306C45"/>
    <w:rsid w:val="00306E60"/>
    <w:rsid w:val="00310E4B"/>
    <w:rsid w:val="0031105D"/>
    <w:rsid w:val="003117FA"/>
    <w:rsid w:val="00311AD4"/>
    <w:rsid w:val="00311D2F"/>
    <w:rsid w:val="00312A10"/>
    <w:rsid w:val="00312B52"/>
    <w:rsid w:val="00312E58"/>
    <w:rsid w:val="0031317C"/>
    <w:rsid w:val="0031345C"/>
    <w:rsid w:val="00315259"/>
    <w:rsid w:val="00315400"/>
    <w:rsid w:val="00315B5C"/>
    <w:rsid w:val="00315ED7"/>
    <w:rsid w:val="003160E1"/>
    <w:rsid w:val="00316CEF"/>
    <w:rsid w:val="003179DE"/>
    <w:rsid w:val="00320348"/>
    <w:rsid w:val="00320EDD"/>
    <w:rsid w:val="003218A8"/>
    <w:rsid w:val="003226E3"/>
    <w:rsid w:val="003232CC"/>
    <w:rsid w:val="00323434"/>
    <w:rsid w:val="003237EC"/>
    <w:rsid w:val="003239D6"/>
    <w:rsid w:val="0032703C"/>
    <w:rsid w:val="003274C8"/>
    <w:rsid w:val="0032788B"/>
    <w:rsid w:val="00327BD6"/>
    <w:rsid w:val="0033045B"/>
    <w:rsid w:val="00330CA6"/>
    <w:rsid w:val="00331110"/>
    <w:rsid w:val="00331B1D"/>
    <w:rsid w:val="00332F6E"/>
    <w:rsid w:val="0033332B"/>
    <w:rsid w:val="00334FE0"/>
    <w:rsid w:val="00336196"/>
    <w:rsid w:val="00336459"/>
    <w:rsid w:val="00336B08"/>
    <w:rsid w:val="00336B42"/>
    <w:rsid w:val="003371D8"/>
    <w:rsid w:val="003373EC"/>
    <w:rsid w:val="003400E3"/>
    <w:rsid w:val="003401B4"/>
    <w:rsid w:val="00340340"/>
    <w:rsid w:val="003427F3"/>
    <w:rsid w:val="00343FF8"/>
    <w:rsid w:val="00344568"/>
    <w:rsid w:val="00344A72"/>
    <w:rsid w:val="00344B8A"/>
    <w:rsid w:val="00345777"/>
    <w:rsid w:val="00346615"/>
    <w:rsid w:val="00347403"/>
    <w:rsid w:val="00347730"/>
    <w:rsid w:val="00351C19"/>
    <w:rsid w:val="00351D80"/>
    <w:rsid w:val="00351DBF"/>
    <w:rsid w:val="003530A0"/>
    <w:rsid w:val="00353DF5"/>
    <w:rsid w:val="00353FB8"/>
    <w:rsid w:val="003545AD"/>
    <w:rsid w:val="003547AE"/>
    <w:rsid w:val="00354FD5"/>
    <w:rsid w:val="0035513D"/>
    <w:rsid w:val="003554BF"/>
    <w:rsid w:val="00356C1F"/>
    <w:rsid w:val="00357A79"/>
    <w:rsid w:val="00360B94"/>
    <w:rsid w:val="00361001"/>
    <w:rsid w:val="00362D55"/>
    <w:rsid w:val="00364103"/>
    <w:rsid w:val="0036465A"/>
    <w:rsid w:val="00364785"/>
    <w:rsid w:val="00366759"/>
    <w:rsid w:val="00367085"/>
    <w:rsid w:val="0036717E"/>
    <w:rsid w:val="00367502"/>
    <w:rsid w:val="003702E6"/>
    <w:rsid w:val="003711CF"/>
    <w:rsid w:val="00371D2D"/>
    <w:rsid w:val="00372551"/>
    <w:rsid w:val="003728EF"/>
    <w:rsid w:val="00372BBE"/>
    <w:rsid w:val="003738D0"/>
    <w:rsid w:val="00374E55"/>
    <w:rsid w:val="00375B94"/>
    <w:rsid w:val="00376749"/>
    <w:rsid w:val="00376E9B"/>
    <w:rsid w:val="003770F1"/>
    <w:rsid w:val="003772C5"/>
    <w:rsid w:val="0037788C"/>
    <w:rsid w:val="00380877"/>
    <w:rsid w:val="00380F48"/>
    <w:rsid w:val="00380FDD"/>
    <w:rsid w:val="00381366"/>
    <w:rsid w:val="0038146B"/>
    <w:rsid w:val="00381C2A"/>
    <w:rsid w:val="00381DB7"/>
    <w:rsid w:val="003820D7"/>
    <w:rsid w:val="003830EF"/>
    <w:rsid w:val="003837BA"/>
    <w:rsid w:val="0038405E"/>
    <w:rsid w:val="00384F59"/>
    <w:rsid w:val="003858F5"/>
    <w:rsid w:val="0038611B"/>
    <w:rsid w:val="003877F4"/>
    <w:rsid w:val="00387F20"/>
    <w:rsid w:val="00390C3C"/>
    <w:rsid w:val="0039179B"/>
    <w:rsid w:val="00391D14"/>
    <w:rsid w:val="003949CF"/>
    <w:rsid w:val="00396E3C"/>
    <w:rsid w:val="00397040"/>
    <w:rsid w:val="003978D2"/>
    <w:rsid w:val="00397F2F"/>
    <w:rsid w:val="003A02FF"/>
    <w:rsid w:val="003A0CA4"/>
    <w:rsid w:val="003A0D83"/>
    <w:rsid w:val="003A1907"/>
    <w:rsid w:val="003A3488"/>
    <w:rsid w:val="003A37F8"/>
    <w:rsid w:val="003A3BA1"/>
    <w:rsid w:val="003A41D4"/>
    <w:rsid w:val="003A4FB0"/>
    <w:rsid w:val="003A726D"/>
    <w:rsid w:val="003B0237"/>
    <w:rsid w:val="003B0C9A"/>
    <w:rsid w:val="003B2093"/>
    <w:rsid w:val="003B2167"/>
    <w:rsid w:val="003B2B37"/>
    <w:rsid w:val="003B33F4"/>
    <w:rsid w:val="003B3C73"/>
    <w:rsid w:val="003B4028"/>
    <w:rsid w:val="003B463E"/>
    <w:rsid w:val="003B485D"/>
    <w:rsid w:val="003B525F"/>
    <w:rsid w:val="003B5493"/>
    <w:rsid w:val="003B54DB"/>
    <w:rsid w:val="003C0D77"/>
    <w:rsid w:val="003C1BDB"/>
    <w:rsid w:val="003C1E25"/>
    <w:rsid w:val="003C36C5"/>
    <w:rsid w:val="003C381D"/>
    <w:rsid w:val="003C384F"/>
    <w:rsid w:val="003C38F7"/>
    <w:rsid w:val="003C4349"/>
    <w:rsid w:val="003C453F"/>
    <w:rsid w:val="003C4B0B"/>
    <w:rsid w:val="003C58A8"/>
    <w:rsid w:val="003C5C44"/>
    <w:rsid w:val="003C66EA"/>
    <w:rsid w:val="003C75CE"/>
    <w:rsid w:val="003C77B0"/>
    <w:rsid w:val="003C7A50"/>
    <w:rsid w:val="003C7EE4"/>
    <w:rsid w:val="003D0257"/>
    <w:rsid w:val="003D06E0"/>
    <w:rsid w:val="003D182E"/>
    <w:rsid w:val="003D1E6E"/>
    <w:rsid w:val="003D211D"/>
    <w:rsid w:val="003D448B"/>
    <w:rsid w:val="003D4AC0"/>
    <w:rsid w:val="003D5274"/>
    <w:rsid w:val="003D534D"/>
    <w:rsid w:val="003D5A2C"/>
    <w:rsid w:val="003D632A"/>
    <w:rsid w:val="003D66EF"/>
    <w:rsid w:val="003E0C5A"/>
    <w:rsid w:val="003E0ED0"/>
    <w:rsid w:val="003E152C"/>
    <w:rsid w:val="003E2799"/>
    <w:rsid w:val="003E297E"/>
    <w:rsid w:val="003E5630"/>
    <w:rsid w:val="003E5790"/>
    <w:rsid w:val="003E59D4"/>
    <w:rsid w:val="003F004F"/>
    <w:rsid w:val="003F032E"/>
    <w:rsid w:val="003F071B"/>
    <w:rsid w:val="003F1C4E"/>
    <w:rsid w:val="003F1E0C"/>
    <w:rsid w:val="003F25FC"/>
    <w:rsid w:val="003F2791"/>
    <w:rsid w:val="003F3114"/>
    <w:rsid w:val="003F36E5"/>
    <w:rsid w:val="003F40B3"/>
    <w:rsid w:val="003F42E4"/>
    <w:rsid w:val="003F4402"/>
    <w:rsid w:val="003F4A04"/>
    <w:rsid w:val="003F4C66"/>
    <w:rsid w:val="003F5009"/>
    <w:rsid w:val="003F5A3D"/>
    <w:rsid w:val="003F5D88"/>
    <w:rsid w:val="003F5F1F"/>
    <w:rsid w:val="003F7D6B"/>
    <w:rsid w:val="00400784"/>
    <w:rsid w:val="0040082C"/>
    <w:rsid w:val="0040086D"/>
    <w:rsid w:val="004009A7"/>
    <w:rsid w:val="00400F96"/>
    <w:rsid w:val="0040127C"/>
    <w:rsid w:val="00401E5D"/>
    <w:rsid w:val="00402CD0"/>
    <w:rsid w:val="00403269"/>
    <w:rsid w:val="0040408D"/>
    <w:rsid w:val="00404C13"/>
    <w:rsid w:val="00404D90"/>
    <w:rsid w:val="00404FFB"/>
    <w:rsid w:val="004062C7"/>
    <w:rsid w:val="00406C27"/>
    <w:rsid w:val="00407F75"/>
    <w:rsid w:val="004107D0"/>
    <w:rsid w:val="00410C93"/>
    <w:rsid w:val="0041325D"/>
    <w:rsid w:val="00413797"/>
    <w:rsid w:val="0041390F"/>
    <w:rsid w:val="00413B4C"/>
    <w:rsid w:val="00413C5B"/>
    <w:rsid w:val="00414546"/>
    <w:rsid w:val="00415060"/>
    <w:rsid w:val="00415F15"/>
    <w:rsid w:val="004171D8"/>
    <w:rsid w:val="004173CF"/>
    <w:rsid w:val="0041787D"/>
    <w:rsid w:val="00417B1C"/>
    <w:rsid w:val="0042060D"/>
    <w:rsid w:val="0042183A"/>
    <w:rsid w:val="00423497"/>
    <w:rsid w:val="004234BE"/>
    <w:rsid w:val="00424AC1"/>
    <w:rsid w:val="00425F68"/>
    <w:rsid w:val="00426071"/>
    <w:rsid w:val="0042638A"/>
    <w:rsid w:val="0042757C"/>
    <w:rsid w:val="00430338"/>
    <w:rsid w:val="00430542"/>
    <w:rsid w:val="0043071E"/>
    <w:rsid w:val="00430BA8"/>
    <w:rsid w:val="00431700"/>
    <w:rsid w:val="00431BB8"/>
    <w:rsid w:val="0043203D"/>
    <w:rsid w:val="004322BA"/>
    <w:rsid w:val="004323C4"/>
    <w:rsid w:val="0043241E"/>
    <w:rsid w:val="00432CC8"/>
    <w:rsid w:val="004330F0"/>
    <w:rsid w:val="00433833"/>
    <w:rsid w:val="00433A34"/>
    <w:rsid w:val="0043414A"/>
    <w:rsid w:val="00434EFB"/>
    <w:rsid w:val="00435414"/>
    <w:rsid w:val="00435F32"/>
    <w:rsid w:val="004365E8"/>
    <w:rsid w:val="00436795"/>
    <w:rsid w:val="00436DFC"/>
    <w:rsid w:val="00437667"/>
    <w:rsid w:val="004406EC"/>
    <w:rsid w:val="00441B42"/>
    <w:rsid w:val="00443395"/>
    <w:rsid w:val="004449BB"/>
    <w:rsid w:val="00445877"/>
    <w:rsid w:val="004474F9"/>
    <w:rsid w:val="00450210"/>
    <w:rsid w:val="004513F7"/>
    <w:rsid w:val="00451939"/>
    <w:rsid w:val="00451E46"/>
    <w:rsid w:val="00451F1B"/>
    <w:rsid w:val="0045248B"/>
    <w:rsid w:val="0045272D"/>
    <w:rsid w:val="0045278E"/>
    <w:rsid w:val="00453262"/>
    <w:rsid w:val="00454D86"/>
    <w:rsid w:val="00454EC2"/>
    <w:rsid w:val="004552DB"/>
    <w:rsid w:val="004552F9"/>
    <w:rsid w:val="0045598E"/>
    <w:rsid w:val="00456000"/>
    <w:rsid w:val="004570DC"/>
    <w:rsid w:val="00457165"/>
    <w:rsid w:val="00457AFD"/>
    <w:rsid w:val="00457FB9"/>
    <w:rsid w:val="00461526"/>
    <w:rsid w:val="004624D7"/>
    <w:rsid w:val="00462ACC"/>
    <w:rsid w:val="00462E72"/>
    <w:rsid w:val="00463A04"/>
    <w:rsid w:val="0046561F"/>
    <w:rsid w:val="00465DCC"/>
    <w:rsid w:val="00467655"/>
    <w:rsid w:val="00467744"/>
    <w:rsid w:val="00470E3C"/>
    <w:rsid w:val="0047188F"/>
    <w:rsid w:val="00471EB5"/>
    <w:rsid w:val="004727E4"/>
    <w:rsid w:val="00473FE6"/>
    <w:rsid w:val="00474604"/>
    <w:rsid w:val="004746A9"/>
    <w:rsid w:val="00474DDF"/>
    <w:rsid w:val="00475322"/>
    <w:rsid w:val="0047764F"/>
    <w:rsid w:val="00477FF0"/>
    <w:rsid w:val="004800CE"/>
    <w:rsid w:val="0048051D"/>
    <w:rsid w:val="0048057E"/>
    <w:rsid w:val="004828DD"/>
    <w:rsid w:val="00483C22"/>
    <w:rsid w:val="00483D67"/>
    <w:rsid w:val="004845B6"/>
    <w:rsid w:val="004846F3"/>
    <w:rsid w:val="00485BAA"/>
    <w:rsid w:val="00486F9B"/>
    <w:rsid w:val="004879DB"/>
    <w:rsid w:val="0049099B"/>
    <w:rsid w:val="004911F6"/>
    <w:rsid w:val="004913AD"/>
    <w:rsid w:val="004915E9"/>
    <w:rsid w:val="00491F31"/>
    <w:rsid w:val="00491F72"/>
    <w:rsid w:val="0049216F"/>
    <w:rsid w:val="004936C8"/>
    <w:rsid w:val="004939C7"/>
    <w:rsid w:val="0049484E"/>
    <w:rsid w:val="00494E7B"/>
    <w:rsid w:val="00495ACF"/>
    <w:rsid w:val="0049714D"/>
    <w:rsid w:val="0049782E"/>
    <w:rsid w:val="00497ABD"/>
    <w:rsid w:val="004A0565"/>
    <w:rsid w:val="004A0878"/>
    <w:rsid w:val="004A26A6"/>
    <w:rsid w:val="004A3963"/>
    <w:rsid w:val="004A3985"/>
    <w:rsid w:val="004A3E77"/>
    <w:rsid w:val="004A3E91"/>
    <w:rsid w:val="004A414C"/>
    <w:rsid w:val="004A4D54"/>
    <w:rsid w:val="004A50EF"/>
    <w:rsid w:val="004A51C2"/>
    <w:rsid w:val="004A544E"/>
    <w:rsid w:val="004A5980"/>
    <w:rsid w:val="004A64F2"/>
    <w:rsid w:val="004A7013"/>
    <w:rsid w:val="004A7DE3"/>
    <w:rsid w:val="004B02D8"/>
    <w:rsid w:val="004B10C8"/>
    <w:rsid w:val="004B3386"/>
    <w:rsid w:val="004B4C5D"/>
    <w:rsid w:val="004B66C9"/>
    <w:rsid w:val="004B6923"/>
    <w:rsid w:val="004B7B1F"/>
    <w:rsid w:val="004C10F4"/>
    <w:rsid w:val="004C141D"/>
    <w:rsid w:val="004C197F"/>
    <w:rsid w:val="004C1F8F"/>
    <w:rsid w:val="004C251A"/>
    <w:rsid w:val="004C27F9"/>
    <w:rsid w:val="004C28C0"/>
    <w:rsid w:val="004C2B81"/>
    <w:rsid w:val="004C3267"/>
    <w:rsid w:val="004C3AE5"/>
    <w:rsid w:val="004C3DFA"/>
    <w:rsid w:val="004C425C"/>
    <w:rsid w:val="004C489E"/>
    <w:rsid w:val="004C5FC3"/>
    <w:rsid w:val="004C661D"/>
    <w:rsid w:val="004C67CE"/>
    <w:rsid w:val="004C6976"/>
    <w:rsid w:val="004C6EA5"/>
    <w:rsid w:val="004C7682"/>
    <w:rsid w:val="004C7DF5"/>
    <w:rsid w:val="004D0A7D"/>
    <w:rsid w:val="004D1633"/>
    <w:rsid w:val="004D1A53"/>
    <w:rsid w:val="004D1C11"/>
    <w:rsid w:val="004D2033"/>
    <w:rsid w:val="004D3020"/>
    <w:rsid w:val="004D3E35"/>
    <w:rsid w:val="004D462E"/>
    <w:rsid w:val="004D4BF1"/>
    <w:rsid w:val="004D561E"/>
    <w:rsid w:val="004D57D4"/>
    <w:rsid w:val="004D5A1F"/>
    <w:rsid w:val="004D5C29"/>
    <w:rsid w:val="004D61CD"/>
    <w:rsid w:val="004D6971"/>
    <w:rsid w:val="004D7466"/>
    <w:rsid w:val="004D7C66"/>
    <w:rsid w:val="004E070D"/>
    <w:rsid w:val="004E1057"/>
    <w:rsid w:val="004E11BA"/>
    <w:rsid w:val="004E2A5B"/>
    <w:rsid w:val="004E3190"/>
    <w:rsid w:val="004E31BE"/>
    <w:rsid w:val="004E334D"/>
    <w:rsid w:val="004E48EA"/>
    <w:rsid w:val="004E5047"/>
    <w:rsid w:val="004E54B7"/>
    <w:rsid w:val="004E56F6"/>
    <w:rsid w:val="004E58FF"/>
    <w:rsid w:val="004E5B82"/>
    <w:rsid w:val="004E5C1F"/>
    <w:rsid w:val="004E667D"/>
    <w:rsid w:val="004E6FF4"/>
    <w:rsid w:val="004E708E"/>
    <w:rsid w:val="004E72ED"/>
    <w:rsid w:val="004E7A07"/>
    <w:rsid w:val="004E7C20"/>
    <w:rsid w:val="004F0019"/>
    <w:rsid w:val="004F09C9"/>
    <w:rsid w:val="004F0AB1"/>
    <w:rsid w:val="004F1250"/>
    <w:rsid w:val="004F16B4"/>
    <w:rsid w:val="004F18C5"/>
    <w:rsid w:val="004F1EFE"/>
    <w:rsid w:val="004F29F6"/>
    <w:rsid w:val="004F36E9"/>
    <w:rsid w:val="004F383D"/>
    <w:rsid w:val="004F3A50"/>
    <w:rsid w:val="004F3E2A"/>
    <w:rsid w:val="004F3EBC"/>
    <w:rsid w:val="004F3FF6"/>
    <w:rsid w:val="004F46CC"/>
    <w:rsid w:val="004F4980"/>
    <w:rsid w:val="004F4C89"/>
    <w:rsid w:val="004F578B"/>
    <w:rsid w:val="004F5A78"/>
    <w:rsid w:val="004F5B3A"/>
    <w:rsid w:val="004F65F0"/>
    <w:rsid w:val="004F6EC4"/>
    <w:rsid w:val="004F7081"/>
    <w:rsid w:val="005008BD"/>
    <w:rsid w:val="00502DB7"/>
    <w:rsid w:val="005030D4"/>
    <w:rsid w:val="0050337B"/>
    <w:rsid w:val="0050388D"/>
    <w:rsid w:val="00503F17"/>
    <w:rsid w:val="00503F4C"/>
    <w:rsid w:val="00504079"/>
    <w:rsid w:val="00504ECE"/>
    <w:rsid w:val="00504F11"/>
    <w:rsid w:val="00505015"/>
    <w:rsid w:val="00505465"/>
    <w:rsid w:val="00505ACF"/>
    <w:rsid w:val="0051063D"/>
    <w:rsid w:val="00510961"/>
    <w:rsid w:val="00510ABC"/>
    <w:rsid w:val="00510FBB"/>
    <w:rsid w:val="0051104C"/>
    <w:rsid w:val="0051223A"/>
    <w:rsid w:val="00513E2F"/>
    <w:rsid w:val="00514845"/>
    <w:rsid w:val="00514CE4"/>
    <w:rsid w:val="00514F81"/>
    <w:rsid w:val="005153BB"/>
    <w:rsid w:val="00515652"/>
    <w:rsid w:val="00515F3A"/>
    <w:rsid w:val="00516CF7"/>
    <w:rsid w:val="0051706E"/>
    <w:rsid w:val="00517089"/>
    <w:rsid w:val="00517F73"/>
    <w:rsid w:val="0052046F"/>
    <w:rsid w:val="005216BF"/>
    <w:rsid w:val="005223BF"/>
    <w:rsid w:val="00523373"/>
    <w:rsid w:val="005239C3"/>
    <w:rsid w:val="00523BC4"/>
    <w:rsid w:val="005253F2"/>
    <w:rsid w:val="005255E4"/>
    <w:rsid w:val="00525BA7"/>
    <w:rsid w:val="00525BAF"/>
    <w:rsid w:val="00526207"/>
    <w:rsid w:val="005262C7"/>
    <w:rsid w:val="0052694C"/>
    <w:rsid w:val="00526FC3"/>
    <w:rsid w:val="005275B0"/>
    <w:rsid w:val="005278F0"/>
    <w:rsid w:val="0053089F"/>
    <w:rsid w:val="00530D60"/>
    <w:rsid w:val="005310A4"/>
    <w:rsid w:val="00531251"/>
    <w:rsid w:val="00531A0F"/>
    <w:rsid w:val="00531D68"/>
    <w:rsid w:val="00532D0E"/>
    <w:rsid w:val="005330BB"/>
    <w:rsid w:val="00533140"/>
    <w:rsid w:val="00533287"/>
    <w:rsid w:val="00533831"/>
    <w:rsid w:val="0053441A"/>
    <w:rsid w:val="00534C3B"/>
    <w:rsid w:val="00534DB3"/>
    <w:rsid w:val="0053518D"/>
    <w:rsid w:val="00535733"/>
    <w:rsid w:val="0054056D"/>
    <w:rsid w:val="00541867"/>
    <w:rsid w:val="0054298B"/>
    <w:rsid w:val="005439B4"/>
    <w:rsid w:val="00543BAF"/>
    <w:rsid w:val="00543CDB"/>
    <w:rsid w:val="005441F4"/>
    <w:rsid w:val="00544B67"/>
    <w:rsid w:val="0054524A"/>
    <w:rsid w:val="00545988"/>
    <w:rsid w:val="005467A6"/>
    <w:rsid w:val="0054688A"/>
    <w:rsid w:val="0054786B"/>
    <w:rsid w:val="00547D0B"/>
    <w:rsid w:val="00550560"/>
    <w:rsid w:val="00550A81"/>
    <w:rsid w:val="00551184"/>
    <w:rsid w:val="00551B06"/>
    <w:rsid w:val="00551E54"/>
    <w:rsid w:val="00552051"/>
    <w:rsid w:val="005521D5"/>
    <w:rsid w:val="005529C6"/>
    <w:rsid w:val="00553E99"/>
    <w:rsid w:val="00553EFA"/>
    <w:rsid w:val="005545BA"/>
    <w:rsid w:val="005550DD"/>
    <w:rsid w:val="00556886"/>
    <w:rsid w:val="00557784"/>
    <w:rsid w:val="00557B74"/>
    <w:rsid w:val="00560586"/>
    <w:rsid w:val="00560CDD"/>
    <w:rsid w:val="00560DA9"/>
    <w:rsid w:val="0056166E"/>
    <w:rsid w:val="00561E2A"/>
    <w:rsid w:val="00564816"/>
    <w:rsid w:val="00566247"/>
    <w:rsid w:val="00566A57"/>
    <w:rsid w:val="00567DF0"/>
    <w:rsid w:val="005705B5"/>
    <w:rsid w:val="00570E9A"/>
    <w:rsid w:val="00571277"/>
    <w:rsid w:val="005733C7"/>
    <w:rsid w:val="00573C0A"/>
    <w:rsid w:val="00573E91"/>
    <w:rsid w:val="005746BB"/>
    <w:rsid w:val="00574D35"/>
    <w:rsid w:val="0057519F"/>
    <w:rsid w:val="0057558D"/>
    <w:rsid w:val="0057571B"/>
    <w:rsid w:val="00575AC6"/>
    <w:rsid w:val="00576E35"/>
    <w:rsid w:val="0058013E"/>
    <w:rsid w:val="00580B18"/>
    <w:rsid w:val="00581376"/>
    <w:rsid w:val="00581727"/>
    <w:rsid w:val="00581BF8"/>
    <w:rsid w:val="00582A8F"/>
    <w:rsid w:val="00582AFB"/>
    <w:rsid w:val="00582F29"/>
    <w:rsid w:val="0058410A"/>
    <w:rsid w:val="00584E73"/>
    <w:rsid w:val="00586264"/>
    <w:rsid w:val="005866B5"/>
    <w:rsid w:val="005868C8"/>
    <w:rsid w:val="00586EA0"/>
    <w:rsid w:val="00587545"/>
    <w:rsid w:val="00590180"/>
    <w:rsid w:val="00590D06"/>
    <w:rsid w:val="00591BD5"/>
    <w:rsid w:val="0059382B"/>
    <w:rsid w:val="00594200"/>
    <w:rsid w:val="005945A1"/>
    <w:rsid w:val="005948CB"/>
    <w:rsid w:val="00594B8C"/>
    <w:rsid w:val="005952F1"/>
    <w:rsid w:val="005956A0"/>
    <w:rsid w:val="005A0AC4"/>
    <w:rsid w:val="005A0D32"/>
    <w:rsid w:val="005A0E93"/>
    <w:rsid w:val="005A1039"/>
    <w:rsid w:val="005A13D7"/>
    <w:rsid w:val="005A15A4"/>
    <w:rsid w:val="005A1A45"/>
    <w:rsid w:val="005A2B3F"/>
    <w:rsid w:val="005A3D9D"/>
    <w:rsid w:val="005A45F0"/>
    <w:rsid w:val="005A4AA8"/>
    <w:rsid w:val="005A5597"/>
    <w:rsid w:val="005A56A1"/>
    <w:rsid w:val="005A56CE"/>
    <w:rsid w:val="005A6533"/>
    <w:rsid w:val="005A6668"/>
    <w:rsid w:val="005A6B16"/>
    <w:rsid w:val="005A7609"/>
    <w:rsid w:val="005A7F3F"/>
    <w:rsid w:val="005B031F"/>
    <w:rsid w:val="005B176A"/>
    <w:rsid w:val="005B1A5D"/>
    <w:rsid w:val="005B1A9D"/>
    <w:rsid w:val="005B1E6E"/>
    <w:rsid w:val="005B203E"/>
    <w:rsid w:val="005B2C7F"/>
    <w:rsid w:val="005B3065"/>
    <w:rsid w:val="005B30C8"/>
    <w:rsid w:val="005B32D8"/>
    <w:rsid w:val="005B3775"/>
    <w:rsid w:val="005B38CC"/>
    <w:rsid w:val="005B460A"/>
    <w:rsid w:val="005B4CE1"/>
    <w:rsid w:val="005B5065"/>
    <w:rsid w:val="005B50C7"/>
    <w:rsid w:val="005B5119"/>
    <w:rsid w:val="005B5125"/>
    <w:rsid w:val="005B52B2"/>
    <w:rsid w:val="005B5534"/>
    <w:rsid w:val="005B5B58"/>
    <w:rsid w:val="005B61A9"/>
    <w:rsid w:val="005B652D"/>
    <w:rsid w:val="005B7CF2"/>
    <w:rsid w:val="005C09EC"/>
    <w:rsid w:val="005C0B30"/>
    <w:rsid w:val="005C22A1"/>
    <w:rsid w:val="005C259B"/>
    <w:rsid w:val="005C3895"/>
    <w:rsid w:val="005C3B42"/>
    <w:rsid w:val="005C3E65"/>
    <w:rsid w:val="005C3FA4"/>
    <w:rsid w:val="005C4860"/>
    <w:rsid w:val="005C4AA0"/>
    <w:rsid w:val="005C4B0F"/>
    <w:rsid w:val="005C4E1B"/>
    <w:rsid w:val="005C50CE"/>
    <w:rsid w:val="005C57F4"/>
    <w:rsid w:val="005C5D99"/>
    <w:rsid w:val="005C65DB"/>
    <w:rsid w:val="005C674C"/>
    <w:rsid w:val="005C6B13"/>
    <w:rsid w:val="005C6CB6"/>
    <w:rsid w:val="005C72BD"/>
    <w:rsid w:val="005C77DF"/>
    <w:rsid w:val="005C7F8B"/>
    <w:rsid w:val="005C7FF4"/>
    <w:rsid w:val="005D0828"/>
    <w:rsid w:val="005D1217"/>
    <w:rsid w:val="005D197B"/>
    <w:rsid w:val="005D2D8E"/>
    <w:rsid w:val="005D2DA9"/>
    <w:rsid w:val="005D2ECA"/>
    <w:rsid w:val="005D386D"/>
    <w:rsid w:val="005D3BEB"/>
    <w:rsid w:val="005D416C"/>
    <w:rsid w:val="005D4D58"/>
    <w:rsid w:val="005D53BD"/>
    <w:rsid w:val="005D5E07"/>
    <w:rsid w:val="005D6356"/>
    <w:rsid w:val="005D68B7"/>
    <w:rsid w:val="005D76BD"/>
    <w:rsid w:val="005E04A1"/>
    <w:rsid w:val="005E0E53"/>
    <w:rsid w:val="005E0ECD"/>
    <w:rsid w:val="005E1836"/>
    <w:rsid w:val="005E1EEA"/>
    <w:rsid w:val="005E2716"/>
    <w:rsid w:val="005E297C"/>
    <w:rsid w:val="005E2E8C"/>
    <w:rsid w:val="005E47AD"/>
    <w:rsid w:val="005E4A1D"/>
    <w:rsid w:val="005E4D1B"/>
    <w:rsid w:val="005E5A56"/>
    <w:rsid w:val="005E629A"/>
    <w:rsid w:val="005E6552"/>
    <w:rsid w:val="005E6D3B"/>
    <w:rsid w:val="005E709C"/>
    <w:rsid w:val="005E7250"/>
    <w:rsid w:val="005F0D19"/>
    <w:rsid w:val="005F1338"/>
    <w:rsid w:val="005F2A33"/>
    <w:rsid w:val="005F3E59"/>
    <w:rsid w:val="005F3F42"/>
    <w:rsid w:val="005F4240"/>
    <w:rsid w:val="005F5DE8"/>
    <w:rsid w:val="005F65D7"/>
    <w:rsid w:val="005F7682"/>
    <w:rsid w:val="005F7967"/>
    <w:rsid w:val="00600E29"/>
    <w:rsid w:val="0060100D"/>
    <w:rsid w:val="0060121B"/>
    <w:rsid w:val="0060121E"/>
    <w:rsid w:val="0060125E"/>
    <w:rsid w:val="00601568"/>
    <w:rsid w:val="00601ED8"/>
    <w:rsid w:val="006022AE"/>
    <w:rsid w:val="00602ED8"/>
    <w:rsid w:val="006031E0"/>
    <w:rsid w:val="0060449E"/>
    <w:rsid w:val="00604632"/>
    <w:rsid w:val="006052DB"/>
    <w:rsid w:val="00605879"/>
    <w:rsid w:val="00605920"/>
    <w:rsid w:val="00605923"/>
    <w:rsid w:val="006061FF"/>
    <w:rsid w:val="00606326"/>
    <w:rsid w:val="006070E5"/>
    <w:rsid w:val="006100F8"/>
    <w:rsid w:val="00610CEB"/>
    <w:rsid w:val="00610D84"/>
    <w:rsid w:val="0061187E"/>
    <w:rsid w:val="0061240C"/>
    <w:rsid w:val="0061245D"/>
    <w:rsid w:val="00613188"/>
    <w:rsid w:val="006149E5"/>
    <w:rsid w:val="006151EA"/>
    <w:rsid w:val="00616306"/>
    <w:rsid w:val="00617AA4"/>
    <w:rsid w:val="00620011"/>
    <w:rsid w:val="0062019A"/>
    <w:rsid w:val="00621B93"/>
    <w:rsid w:val="0062200C"/>
    <w:rsid w:val="00622250"/>
    <w:rsid w:val="00622B02"/>
    <w:rsid w:val="00622FC8"/>
    <w:rsid w:val="00623375"/>
    <w:rsid w:val="00623412"/>
    <w:rsid w:val="006235B2"/>
    <w:rsid w:val="0062450F"/>
    <w:rsid w:val="006245AB"/>
    <w:rsid w:val="00624688"/>
    <w:rsid w:val="0062481A"/>
    <w:rsid w:val="00625101"/>
    <w:rsid w:val="006262B8"/>
    <w:rsid w:val="00626571"/>
    <w:rsid w:val="00626D22"/>
    <w:rsid w:val="00627640"/>
    <w:rsid w:val="00630243"/>
    <w:rsid w:val="00630514"/>
    <w:rsid w:val="00630D96"/>
    <w:rsid w:val="00630DA6"/>
    <w:rsid w:val="0063123C"/>
    <w:rsid w:val="00631780"/>
    <w:rsid w:val="00631E35"/>
    <w:rsid w:val="00631F46"/>
    <w:rsid w:val="00632FBE"/>
    <w:rsid w:val="006330DB"/>
    <w:rsid w:val="00633375"/>
    <w:rsid w:val="006343E4"/>
    <w:rsid w:val="00634598"/>
    <w:rsid w:val="0063595A"/>
    <w:rsid w:val="00636329"/>
    <w:rsid w:val="00636350"/>
    <w:rsid w:val="00636684"/>
    <w:rsid w:val="00636937"/>
    <w:rsid w:val="00636C6A"/>
    <w:rsid w:val="00636F55"/>
    <w:rsid w:val="0063700B"/>
    <w:rsid w:val="006371A7"/>
    <w:rsid w:val="00637D15"/>
    <w:rsid w:val="00640C20"/>
    <w:rsid w:val="00640F61"/>
    <w:rsid w:val="006417C0"/>
    <w:rsid w:val="006417CC"/>
    <w:rsid w:val="00641A0D"/>
    <w:rsid w:val="0064421A"/>
    <w:rsid w:val="0064462B"/>
    <w:rsid w:val="00644A4A"/>
    <w:rsid w:val="00644D5A"/>
    <w:rsid w:val="00645116"/>
    <w:rsid w:val="006462BB"/>
    <w:rsid w:val="00647CE4"/>
    <w:rsid w:val="0065131D"/>
    <w:rsid w:val="00651D94"/>
    <w:rsid w:val="0065247B"/>
    <w:rsid w:val="006538C2"/>
    <w:rsid w:val="006548C1"/>
    <w:rsid w:val="006559C3"/>
    <w:rsid w:val="00656084"/>
    <w:rsid w:val="0065628D"/>
    <w:rsid w:val="00656CD4"/>
    <w:rsid w:val="00656D1A"/>
    <w:rsid w:val="0065703C"/>
    <w:rsid w:val="0066034A"/>
    <w:rsid w:val="006610B4"/>
    <w:rsid w:val="006623C1"/>
    <w:rsid w:val="00662C11"/>
    <w:rsid w:val="00662F55"/>
    <w:rsid w:val="00663794"/>
    <w:rsid w:val="006660FF"/>
    <w:rsid w:val="00666363"/>
    <w:rsid w:val="006668BC"/>
    <w:rsid w:val="00666BE7"/>
    <w:rsid w:val="006678F4"/>
    <w:rsid w:val="00667A40"/>
    <w:rsid w:val="00667ACC"/>
    <w:rsid w:val="00670C28"/>
    <w:rsid w:val="00670DC2"/>
    <w:rsid w:val="00671481"/>
    <w:rsid w:val="006719E2"/>
    <w:rsid w:val="00671C3B"/>
    <w:rsid w:val="00671C6C"/>
    <w:rsid w:val="00671CBF"/>
    <w:rsid w:val="00672597"/>
    <w:rsid w:val="00672E1A"/>
    <w:rsid w:val="006748CE"/>
    <w:rsid w:val="006760B4"/>
    <w:rsid w:val="00676207"/>
    <w:rsid w:val="00676345"/>
    <w:rsid w:val="00676AC7"/>
    <w:rsid w:val="00677014"/>
    <w:rsid w:val="006777EE"/>
    <w:rsid w:val="00677E9D"/>
    <w:rsid w:val="00677F14"/>
    <w:rsid w:val="00681C6A"/>
    <w:rsid w:val="00682614"/>
    <w:rsid w:val="00682792"/>
    <w:rsid w:val="00683630"/>
    <w:rsid w:val="00683764"/>
    <w:rsid w:val="00683A3C"/>
    <w:rsid w:val="0068474A"/>
    <w:rsid w:val="00684C64"/>
    <w:rsid w:val="00685C2F"/>
    <w:rsid w:val="00686206"/>
    <w:rsid w:val="006870B8"/>
    <w:rsid w:val="00687339"/>
    <w:rsid w:val="006879DD"/>
    <w:rsid w:val="006900F7"/>
    <w:rsid w:val="0069028D"/>
    <w:rsid w:val="00690516"/>
    <w:rsid w:val="00692587"/>
    <w:rsid w:val="00692691"/>
    <w:rsid w:val="00692916"/>
    <w:rsid w:val="00692EA3"/>
    <w:rsid w:val="00694805"/>
    <w:rsid w:val="00697BCF"/>
    <w:rsid w:val="00697ED6"/>
    <w:rsid w:val="006A1902"/>
    <w:rsid w:val="006A1DB7"/>
    <w:rsid w:val="006A1E88"/>
    <w:rsid w:val="006A2AD9"/>
    <w:rsid w:val="006A2E07"/>
    <w:rsid w:val="006A2F6D"/>
    <w:rsid w:val="006A318B"/>
    <w:rsid w:val="006A33F7"/>
    <w:rsid w:val="006A40A8"/>
    <w:rsid w:val="006A40FB"/>
    <w:rsid w:val="006A4420"/>
    <w:rsid w:val="006A4522"/>
    <w:rsid w:val="006A5E70"/>
    <w:rsid w:val="006A65D3"/>
    <w:rsid w:val="006A6D66"/>
    <w:rsid w:val="006A6F1F"/>
    <w:rsid w:val="006A786E"/>
    <w:rsid w:val="006A78AA"/>
    <w:rsid w:val="006B01B5"/>
    <w:rsid w:val="006B02DB"/>
    <w:rsid w:val="006B1106"/>
    <w:rsid w:val="006B1DB2"/>
    <w:rsid w:val="006B29D8"/>
    <w:rsid w:val="006B2E12"/>
    <w:rsid w:val="006B3122"/>
    <w:rsid w:val="006B3753"/>
    <w:rsid w:val="006B3920"/>
    <w:rsid w:val="006B50A7"/>
    <w:rsid w:val="006B5144"/>
    <w:rsid w:val="006B6115"/>
    <w:rsid w:val="006B72FD"/>
    <w:rsid w:val="006C0A79"/>
    <w:rsid w:val="006C0B56"/>
    <w:rsid w:val="006C0B6B"/>
    <w:rsid w:val="006C1971"/>
    <w:rsid w:val="006C19D2"/>
    <w:rsid w:val="006C2079"/>
    <w:rsid w:val="006C2CD0"/>
    <w:rsid w:val="006C2FE7"/>
    <w:rsid w:val="006C3A09"/>
    <w:rsid w:val="006C3F64"/>
    <w:rsid w:val="006C406B"/>
    <w:rsid w:val="006C4C7A"/>
    <w:rsid w:val="006C4CE0"/>
    <w:rsid w:val="006C5538"/>
    <w:rsid w:val="006C6B69"/>
    <w:rsid w:val="006C7783"/>
    <w:rsid w:val="006C7953"/>
    <w:rsid w:val="006D02E2"/>
    <w:rsid w:val="006D071A"/>
    <w:rsid w:val="006D0A24"/>
    <w:rsid w:val="006D1ED5"/>
    <w:rsid w:val="006D1F92"/>
    <w:rsid w:val="006D22E2"/>
    <w:rsid w:val="006D27CC"/>
    <w:rsid w:val="006D2A2F"/>
    <w:rsid w:val="006D3125"/>
    <w:rsid w:val="006D3A3E"/>
    <w:rsid w:val="006D3B35"/>
    <w:rsid w:val="006D3DB8"/>
    <w:rsid w:val="006D3FC8"/>
    <w:rsid w:val="006D48E2"/>
    <w:rsid w:val="006D4A6B"/>
    <w:rsid w:val="006D5361"/>
    <w:rsid w:val="006D54E5"/>
    <w:rsid w:val="006D5EB2"/>
    <w:rsid w:val="006D6B66"/>
    <w:rsid w:val="006D6F89"/>
    <w:rsid w:val="006D75FA"/>
    <w:rsid w:val="006D78F5"/>
    <w:rsid w:val="006D7A82"/>
    <w:rsid w:val="006D7CCF"/>
    <w:rsid w:val="006E0729"/>
    <w:rsid w:val="006E2004"/>
    <w:rsid w:val="006E2468"/>
    <w:rsid w:val="006E2B77"/>
    <w:rsid w:val="006E311D"/>
    <w:rsid w:val="006E3554"/>
    <w:rsid w:val="006E3780"/>
    <w:rsid w:val="006E39B6"/>
    <w:rsid w:val="006E3F35"/>
    <w:rsid w:val="006E4282"/>
    <w:rsid w:val="006E50F7"/>
    <w:rsid w:val="006E525E"/>
    <w:rsid w:val="006E67B6"/>
    <w:rsid w:val="006E6D13"/>
    <w:rsid w:val="006E704B"/>
    <w:rsid w:val="006E73B2"/>
    <w:rsid w:val="006F1200"/>
    <w:rsid w:val="006F1F52"/>
    <w:rsid w:val="006F26B0"/>
    <w:rsid w:val="006F5A91"/>
    <w:rsid w:val="006F5C27"/>
    <w:rsid w:val="006F5C8B"/>
    <w:rsid w:val="006F5D7F"/>
    <w:rsid w:val="006F6F34"/>
    <w:rsid w:val="0070020C"/>
    <w:rsid w:val="007007E5"/>
    <w:rsid w:val="00700913"/>
    <w:rsid w:val="0070157A"/>
    <w:rsid w:val="00701C6A"/>
    <w:rsid w:val="007026A5"/>
    <w:rsid w:val="007027C6"/>
    <w:rsid w:val="00702B7E"/>
    <w:rsid w:val="00702DD6"/>
    <w:rsid w:val="007037BB"/>
    <w:rsid w:val="00703B0A"/>
    <w:rsid w:val="00704091"/>
    <w:rsid w:val="00704D93"/>
    <w:rsid w:val="00706BD0"/>
    <w:rsid w:val="00707B36"/>
    <w:rsid w:val="00711132"/>
    <w:rsid w:val="00711211"/>
    <w:rsid w:val="0071128E"/>
    <w:rsid w:val="007129D6"/>
    <w:rsid w:val="00712E65"/>
    <w:rsid w:val="00712FE7"/>
    <w:rsid w:val="00713256"/>
    <w:rsid w:val="00713A59"/>
    <w:rsid w:val="00714582"/>
    <w:rsid w:val="007151FA"/>
    <w:rsid w:val="00715A02"/>
    <w:rsid w:val="007163A7"/>
    <w:rsid w:val="0071654E"/>
    <w:rsid w:val="00716778"/>
    <w:rsid w:val="00716905"/>
    <w:rsid w:val="00716D12"/>
    <w:rsid w:val="00721814"/>
    <w:rsid w:val="00721B8B"/>
    <w:rsid w:val="00722BF8"/>
    <w:rsid w:val="0072356F"/>
    <w:rsid w:val="00725A3F"/>
    <w:rsid w:val="00726C5F"/>
    <w:rsid w:val="00726DB6"/>
    <w:rsid w:val="00727A61"/>
    <w:rsid w:val="00731364"/>
    <w:rsid w:val="00731794"/>
    <w:rsid w:val="00731969"/>
    <w:rsid w:val="00732933"/>
    <w:rsid w:val="00732C7F"/>
    <w:rsid w:val="00733A20"/>
    <w:rsid w:val="0073402E"/>
    <w:rsid w:val="007342F2"/>
    <w:rsid w:val="00734407"/>
    <w:rsid w:val="007353C3"/>
    <w:rsid w:val="0073543B"/>
    <w:rsid w:val="00736B57"/>
    <w:rsid w:val="00736FA4"/>
    <w:rsid w:val="0073792F"/>
    <w:rsid w:val="00740161"/>
    <w:rsid w:val="00740A9D"/>
    <w:rsid w:val="00740E73"/>
    <w:rsid w:val="00741493"/>
    <w:rsid w:val="007414CA"/>
    <w:rsid w:val="00741863"/>
    <w:rsid w:val="0074214A"/>
    <w:rsid w:val="00742277"/>
    <w:rsid w:val="007429F3"/>
    <w:rsid w:val="00743B8D"/>
    <w:rsid w:val="0074495D"/>
    <w:rsid w:val="00744CD2"/>
    <w:rsid w:val="00745A85"/>
    <w:rsid w:val="0074623A"/>
    <w:rsid w:val="007478C7"/>
    <w:rsid w:val="00747D15"/>
    <w:rsid w:val="007504CF"/>
    <w:rsid w:val="0075056A"/>
    <w:rsid w:val="00751021"/>
    <w:rsid w:val="00752AC3"/>
    <w:rsid w:val="007533B3"/>
    <w:rsid w:val="007537A9"/>
    <w:rsid w:val="00753D31"/>
    <w:rsid w:val="0075493D"/>
    <w:rsid w:val="00754B9C"/>
    <w:rsid w:val="00755809"/>
    <w:rsid w:val="00756C54"/>
    <w:rsid w:val="00756D8B"/>
    <w:rsid w:val="007571EF"/>
    <w:rsid w:val="0075721C"/>
    <w:rsid w:val="0076046D"/>
    <w:rsid w:val="00760BCB"/>
    <w:rsid w:val="00760ECB"/>
    <w:rsid w:val="00761C8C"/>
    <w:rsid w:val="007621DC"/>
    <w:rsid w:val="0076258C"/>
    <w:rsid w:val="007629C9"/>
    <w:rsid w:val="00762A27"/>
    <w:rsid w:val="00762A4B"/>
    <w:rsid w:val="00762FC9"/>
    <w:rsid w:val="00763636"/>
    <w:rsid w:val="00766541"/>
    <w:rsid w:val="00766685"/>
    <w:rsid w:val="00766769"/>
    <w:rsid w:val="00766CF4"/>
    <w:rsid w:val="00767248"/>
    <w:rsid w:val="00767DC6"/>
    <w:rsid w:val="007708A6"/>
    <w:rsid w:val="00770BAF"/>
    <w:rsid w:val="00770BDF"/>
    <w:rsid w:val="0077449C"/>
    <w:rsid w:val="007754D9"/>
    <w:rsid w:val="0077651F"/>
    <w:rsid w:val="00777EB3"/>
    <w:rsid w:val="00780720"/>
    <w:rsid w:val="00780F7E"/>
    <w:rsid w:val="00784202"/>
    <w:rsid w:val="0078537C"/>
    <w:rsid w:val="0078585F"/>
    <w:rsid w:val="007865A1"/>
    <w:rsid w:val="007869C5"/>
    <w:rsid w:val="00786E3D"/>
    <w:rsid w:val="00787236"/>
    <w:rsid w:val="00787BC2"/>
    <w:rsid w:val="00790B58"/>
    <w:rsid w:val="00791A0B"/>
    <w:rsid w:val="007920C9"/>
    <w:rsid w:val="007920E1"/>
    <w:rsid w:val="007921C3"/>
    <w:rsid w:val="00793A12"/>
    <w:rsid w:val="00793B50"/>
    <w:rsid w:val="00793BD4"/>
    <w:rsid w:val="007942C7"/>
    <w:rsid w:val="00794CDC"/>
    <w:rsid w:val="00794E64"/>
    <w:rsid w:val="00795402"/>
    <w:rsid w:val="0079581A"/>
    <w:rsid w:val="00795CB9"/>
    <w:rsid w:val="00796411"/>
    <w:rsid w:val="007968C8"/>
    <w:rsid w:val="007A0141"/>
    <w:rsid w:val="007A1A9E"/>
    <w:rsid w:val="007A1ABD"/>
    <w:rsid w:val="007A237B"/>
    <w:rsid w:val="007A2F42"/>
    <w:rsid w:val="007A3598"/>
    <w:rsid w:val="007A3607"/>
    <w:rsid w:val="007A36F4"/>
    <w:rsid w:val="007A3959"/>
    <w:rsid w:val="007A4EB4"/>
    <w:rsid w:val="007A5371"/>
    <w:rsid w:val="007A54A4"/>
    <w:rsid w:val="007A5979"/>
    <w:rsid w:val="007A59EE"/>
    <w:rsid w:val="007A59F6"/>
    <w:rsid w:val="007A6170"/>
    <w:rsid w:val="007A669D"/>
    <w:rsid w:val="007A6BB2"/>
    <w:rsid w:val="007A70D8"/>
    <w:rsid w:val="007A7A2A"/>
    <w:rsid w:val="007A7C8B"/>
    <w:rsid w:val="007B0529"/>
    <w:rsid w:val="007B0707"/>
    <w:rsid w:val="007B0C1C"/>
    <w:rsid w:val="007B1352"/>
    <w:rsid w:val="007B1880"/>
    <w:rsid w:val="007B20BC"/>
    <w:rsid w:val="007B222A"/>
    <w:rsid w:val="007B3713"/>
    <w:rsid w:val="007B3C64"/>
    <w:rsid w:val="007B50B8"/>
    <w:rsid w:val="007B516D"/>
    <w:rsid w:val="007B55BE"/>
    <w:rsid w:val="007B782C"/>
    <w:rsid w:val="007B78B5"/>
    <w:rsid w:val="007C0A66"/>
    <w:rsid w:val="007C0B26"/>
    <w:rsid w:val="007C0F32"/>
    <w:rsid w:val="007C29CF"/>
    <w:rsid w:val="007C2A4F"/>
    <w:rsid w:val="007C2A9B"/>
    <w:rsid w:val="007C2C4D"/>
    <w:rsid w:val="007C336C"/>
    <w:rsid w:val="007C3600"/>
    <w:rsid w:val="007C46DA"/>
    <w:rsid w:val="007C4750"/>
    <w:rsid w:val="007C4DA8"/>
    <w:rsid w:val="007C5741"/>
    <w:rsid w:val="007C582C"/>
    <w:rsid w:val="007C5919"/>
    <w:rsid w:val="007C70F2"/>
    <w:rsid w:val="007C76BA"/>
    <w:rsid w:val="007C77D3"/>
    <w:rsid w:val="007C7DF1"/>
    <w:rsid w:val="007D04E7"/>
    <w:rsid w:val="007D087C"/>
    <w:rsid w:val="007D141E"/>
    <w:rsid w:val="007D2337"/>
    <w:rsid w:val="007D3896"/>
    <w:rsid w:val="007D46C2"/>
    <w:rsid w:val="007D63F6"/>
    <w:rsid w:val="007D681A"/>
    <w:rsid w:val="007D6E3A"/>
    <w:rsid w:val="007D7536"/>
    <w:rsid w:val="007D7EA0"/>
    <w:rsid w:val="007E088D"/>
    <w:rsid w:val="007E09EF"/>
    <w:rsid w:val="007E0CB0"/>
    <w:rsid w:val="007E0CE4"/>
    <w:rsid w:val="007E1107"/>
    <w:rsid w:val="007E1470"/>
    <w:rsid w:val="007E2C7B"/>
    <w:rsid w:val="007E39DE"/>
    <w:rsid w:val="007E3EBD"/>
    <w:rsid w:val="007E41FE"/>
    <w:rsid w:val="007E4656"/>
    <w:rsid w:val="007E4FD0"/>
    <w:rsid w:val="007E593A"/>
    <w:rsid w:val="007E648A"/>
    <w:rsid w:val="007E6FE6"/>
    <w:rsid w:val="007E74A9"/>
    <w:rsid w:val="007E788E"/>
    <w:rsid w:val="007E7E8F"/>
    <w:rsid w:val="007E7FE5"/>
    <w:rsid w:val="007F09C7"/>
    <w:rsid w:val="007F1E03"/>
    <w:rsid w:val="007F2156"/>
    <w:rsid w:val="007F2185"/>
    <w:rsid w:val="007F27AB"/>
    <w:rsid w:val="007F297C"/>
    <w:rsid w:val="007F2D94"/>
    <w:rsid w:val="007F4DFB"/>
    <w:rsid w:val="007F5A36"/>
    <w:rsid w:val="007F6201"/>
    <w:rsid w:val="007F6D68"/>
    <w:rsid w:val="00800849"/>
    <w:rsid w:val="00801566"/>
    <w:rsid w:val="00802E1E"/>
    <w:rsid w:val="0080357C"/>
    <w:rsid w:val="00803B9E"/>
    <w:rsid w:val="00803D63"/>
    <w:rsid w:val="00804BCD"/>
    <w:rsid w:val="00804C03"/>
    <w:rsid w:val="00807347"/>
    <w:rsid w:val="008078D6"/>
    <w:rsid w:val="00807F77"/>
    <w:rsid w:val="0081002F"/>
    <w:rsid w:val="008110BB"/>
    <w:rsid w:val="008119AF"/>
    <w:rsid w:val="0081232C"/>
    <w:rsid w:val="00813571"/>
    <w:rsid w:val="0081361D"/>
    <w:rsid w:val="00814761"/>
    <w:rsid w:val="0081498A"/>
    <w:rsid w:val="00814A97"/>
    <w:rsid w:val="00814D08"/>
    <w:rsid w:val="00815336"/>
    <w:rsid w:val="00815AFD"/>
    <w:rsid w:val="00815D00"/>
    <w:rsid w:val="008171C1"/>
    <w:rsid w:val="00817510"/>
    <w:rsid w:val="0081774F"/>
    <w:rsid w:val="008177B8"/>
    <w:rsid w:val="00820246"/>
    <w:rsid w:val="00821269"/>
    <w:rsid w:val="008216F7"/>
    <w:rsid w:val="008222BF"/>
    <w:rsid w:val="00822A36"/>
    <w:rsid w:val="00822CA4"/>
    <w:rsid w:val="00822FF4"/>
    <w:rsid w:val="00825187"/>
    <w:rsid w:val="00825198"/>
    <w:rsid w:val="00825794"/>
    <w:rsid w:val="00825B5A"/>
    <w:rsid w:val="0082631D"/>
    <w:rsid w:val="00826AA7"/>
    <w:rsid w:val="00826FBE"/>
    <w:rsid w:val="008271C3"/>
    <w:rsid w:val="00827B34"/>
    <w:rsid w:val="00830370"/>
    <w:rsid w:val="00831735"/>
    <w:rsid w:val="00831A6C"/>
    <w:rsid w:val="00832366"/>
    <w:rsid w:val="00833AAF"/>
    <w:rsid w:val="00834A22"/>
    <w:rsid w:val="00840B39"/>
    <w:rsid w:val="00841844"/>
    <w:rsid w:val="00841E71"/>
    <w:rsid w:val="008422B5"/>
    <w:rsid w:val="008426C1"/>
    <w:rsid w:val="00842E2A"/>
    <w:rsid w:val="00844468"/>
    <w:rsid w:val="00844613"/>
    <w:rsid w:val="008451E0"/>
    <w:rsid w:val="0084527B"/>
    <w:rsid w:val="008452EB"/>
    <w:rsid w:val="00845664"/>
    <w:rsid w:val="00845A64"/>
    <w:rsid w:val="00845FEB"/>
    <w:rsid w:val="00846169"/>
    <w:rsid w:val="00846B4C"/>
    <w:rsid w:val="00846CBC"/>
    <w:rsid w:val="00847466"/>
    <w:rsid w:val="008515D8"/>
    <w:rsid w:val="0085161E"/>
    <w:rsid w:val="00852AB5"/>
    <w:rsid w:val="00853CBE"/>
    <w:rsid w:val="00853D3E"/>
    <w:rsid w:val="0085423D"/>
    <w:rsid w:val="0085466E"/>
    <w:rsid w:val="0085474F"/>
    <w:rsid w:val="00854ADB"/>
    <w:rsid w:val="00855461"/>
    <w:rsid w:val="00855C76"/>
    <w:rsid w:val="00856403"/>
    <w:rsid w:val="0085644F"/>
    <w:rsid w:val="00856BB9"/>
    <w:rsid w:val="00856BD5"/>
    <w:rsid w:val="00856CBE"/>
    <w:rsid w:val="00856F45"/>
    <w:rsid w:val="00857BB5"/>
    <w:rsid w:val="008606FB"/>
    <w:rsid w:val="00861066"/>
    <w:rsid w:val="00861769"/>
    <w:rsid w:val="00861A80"/>
    <w:rsid w:val="00862D88"/>
    <w:rsid w:val="00863783"/>
    <w:rsid w:val="00863F81"/>
    <w:rsid w:val="0086422C"/>
    <w:rsid w:val="00864CEC"/>
    <w:rsid w:val="00864CFA"/>
    <w:rsid w:val="00865E52"/>
    <w:rsid w:val="0086765F"/>
    <w:rsid w:val="00867E26"/>
    <w:rsid w:val="00870DE3"/>
    <w:rsid w:val="00871180"/>
    <w:rsid w:val="00872ECD"/>
    <w:rsid w:val="00873D29"/>
    <w:rsid w:val="00873EAE"/>
    <w:rsid w:val="00874431"/>
    <w:rsid w:val="00875352"/>
    <w:rsid w:val="00875465"/>
    <w:rsid w:val="00875857"/>
    <w:rsid w:val="0087622E"/>
    <w:rsid w:val="008764F2"/>
    <w:rsid w:val="0087665B"/>
    <w:rsid w:val="00876FE1"/>
    <w:rsid w:val="0087738E"/>
    <w:rsid w:val="008776CC"/>
    <w:rsid w:val="00877B9C"/>
    <w:rsid w:val="00880988"/>
    <w:rsid w:val="00880E85"/>
    <w:rsid w:val="00881E01"/>
    <w:rsid w:val="00882A7B"/>
    <w:rsid w:val="00883063"/>
    <w:rsid w:val="0088337A"/>
    <w:rsid w:val="0088351D"/>
    <w:rsid w:val="0088407E"/>
    <w:rsid w:val="008854E9"/>
    <w:rsid w:val="0088564A"/>
    <w:rsid w:val="00886172"/>
    <w:rsid w:val="00886B34"/>
    <w:rsid w:val="00886EB6"/>
    <w:rsid w:val="0088700A"/>
    <w:rsid w:val="008876C2"/>
    <w:rsid w:val="00887776"/>
    <w:rsid w:val="00887F85"/>
    <w:rsid w:val="0089054B"/>
    <w:rsid w:val="00890EF1"/>
    <w:rsid w:val="008918A6"/>
    <w:rsid w:val="00891C2B"/>
    <w:rsid w:val="00892EA3"/>
    <w:rsid w:val="0089404A"/>
    <w:rsid w:val="00894207"/>
    <w:rsid w:val="008958C3"/>
    <w:rsid w:val="00896AEB"/>
    <w:rsid w:val="00896CD0"/>
    <w:rsid w:val="008A01F6"/>
    <w:rsid w:val="008A035F"/>
    <w:rsid w:val="008A0641"/>
    <w:rsid w:val="008A067C"/>
    <w:rsid w:val="008A13A3"/>
    <w:rsid w:val="008A28D8"/>
    <w:rsid w:val="008A4358"/>
    <w:rsid w:val="008A4E7D"/>
    <w:rsid w:val="008A571E"/>
    <w:rsid w:val="008A59C5"/>
    <w:rsid w:val="008A5D8E"/>
    <w:rsid w:val="008B14F0"/>
    <w:rsid w:val="008B18DE"/>
    <w:rsid w:val="008B1FB0"/>
    <w:rsid w:val="008B2A75"/>
    <w:rsid w:val="008B2BA1"/>
    <w:rsid w:val="008B40F1"/>
    <w:rsid w:val="008B431F"/>
    <w:rsid w:val="008B58CE"/>
    <w:rsid w:val="008B5DBB"/>
    <w:rsid w:val="008B6425"/>
    <w:rsid w:val="008B72AB"/>
    <w:rsid w:val="008B7437"/>
    <w:rsid w:val="008C29A3"/>
    <w:rsid w:val="008C2EFC"/>
    <w:rsid w:val="008C3A5C"/>
    <w:rsid w:val="008C441D"/>
    <w:rsid w:val="008C4AFA"/>
    <w:rsid w:val="008C4F64"/>
    <w:rsid w:val="008C5D4D"/>
    <w:rsid w:val="008C6EF4"/>
    <w:rsid w:val="008C7429"/>
    <w:rsid w:val="008C782C"/>
    <w:rsid w:val="008D023D"/>
    <w:rsid w:val="008D0C5E"/>
    <w:rsid w:val="008D25E7"/>
    <w:rsid w:val="008D278E"/>
    <w:rsid w:val="008D3665"/>
    <w:rsid w:val="008D3E3E"/>
    <w:rsid w:val="008D632E"/>
    <w:rsid w:val="008D6627"/>
    <w:rsid w:val="008D73F9"/>
    <w:rsid w:val="008E0BAB"/>
    <w:rsid w:val="008E31DA"/>
    <w:rsid w:val="008E39C7"/>
    <w:rsid w:val="008E3EB0"/>
    <w:rsid w:val="008E5666"/>
    <w:rsid w:val="008E5F93"/>
    <w:rsid w:val="008E6C8F"/>
    <w:rsid w:val="008E6DA8"/>
    <w:rsid w:val="008E6FA4"/>
    <w:rsid w:val="008E76C9"/>
    <w:rsid w:val="008E7A3E"/>
    <w:rsid w:val="008F087A"/>
    <w:rsid w:val="008F0A4E"/>
    <w:rsid w:val="008F1BD4"/>
    <w:rsid w:val="008F1E85"/>
    <w:rsid w:val="008F20F2"/>
    <w:rsid w:val="008F308A"/>
    <w:rsid w:val="008F4908"/>
    <w:rsid w:val="008F4D88"/>
    <w:rsid w:val="008F5FBB"/>
    <w:rsid w:val="008F5FBE"/>
    <w:rsid w:val="008F68CD"/>
    <w:rsid w:val="008F6EE4"/>
    <w:rsid w:val="008F70B3"/>
    <w:rsid w:val="008F741C"/>
    <w:rsid w:val="008F79E8"/>
    <w:rsid w:val="00900421"/>
    <w:rsid w:val="0090095B"/>
    <w:rsid w:val="00900C1D"/>
    <w:rsid w:val="00901236"/>
    <w:rsid w:val="00901440"/>
    <w:rsid w:val="00901462"/>
    <w:rsid w:val="0090177F"/>
    <w:rsid w:val="00901791"/>
    <w:rsid w:val="00901C18"/>
    <w:rsid w:val="00901CE0"/>
    <w:rsid w:val="009025B1"/>
    <w:rsid w:val="009030B1"/>
    <w:rsid w:val="009031D4"/>
    <w:rsid w:val="009032E7"/>
    <w:rsid w:val="00903B8D"/>
    <w:rsid w:val="00903BD1"/>
    <w:rsid w:val="00904D67"/>
    <w:rsid w:val="00906033"/>
    <w:rsid w:val="00906553"/>
    <w:rsid w:val="00906584"/>
    <w:rsid w:val="0090673A"/>
    <w:rsid w:val="00906CAC"/>
    <w:rsid w:val="00907840"/>
    <w:rsid w:val="00910014"/>
    <w:rsid w:val="00910638"/>
    <w:rsid w:val="00910D85"/>
    <w:rsid w:val="00911480"/>
    <w:rsid w:val="00912886"/>
    <w:rsid w:val="00912BC2"/>
    <w:rsid w:val="0091317F"/>
    <w:rsid w:val="009144D8"/>
    <w:rsid w:val="00915568"/>
    <w:rsid w:val="009156E2"/>
    <w:rsid w:val="00915A9A"/>
    <w:rsid w:val="00915D35"/>
    <w:rsid w:val="00916582"/>
    <w:rsid w:val="009170F2"/>
    <w:rsid w:val="009173DE"/>
    <w:rsid w:val="00917B9F"/>
    <w:rsid w:val="00917BA9"/>
    <w:rsid w:val="009202A9"/>
    <w:rsid w:val="00921459"/>
    <w:rsid w:val="009227B0"/>
    <w:rsid w:val="00922974"/>
    <w:rsid w:val="00922D12"/>
    <w:rsid w:val="009232C2"/>
    <w:rsid w:val="00923C16"/>
    <w:rsid w:val="00923D25"/>
    <w:rsid w:val="009247EC"/>
    <w:rsid w:val="0092514E"/>
    <w:rsid w:val="00925225"/>
    <w:rsid w:val="00925620"/>
    <w:rsid w:val="009273F6"/>
    <w:rsid w:val="009275C7"/>
    <w:rsid w:val="00927CA7"/>
    <w:rsid w:val="00931F76"/>
    <w:rsid w:val="0093261B"/>
    <w:rsid w:val="00932637"/>
    <w:rsid w:val="00932CE8"/>
    <w:rsid w:val="00933C96"/>
    <w:rsid w:val="009344F4"/>
    <w:rsid w:val="00934F78"/>
    <w:rsid w:val="009357A8"/>
    <w:rsid w:val="009357FE"/>
    <w:rsid w:val="0093646E"/>
    <w:rsid w:val="00936E9B"/>
    <w:rsid w:val="00937C9F"/>
    <w:rsid w:val="00937E4B"/>
    <w:rsid w:val="00940325"/>
    <w:rsid w:val="00940A8D"/>
    <w:rsid w:val="009424AD"/>
    <w:rsid w:val="00943A5B"/>
    <w:rsid w:val="00944155"/>
    <w:rsid w:val="0094471C"/>
    <w:rsid w:val="00945AB1"/>
    <w:rsid w:val="00945B34"/>
    <w:rsid w:val="00946673"/>
    <w:rsid w:val="00946793"/>
    <w:rsid w:val="00946E79"/>
    <w:rsid w:val="009471C6"/>
    <w:rsid w:val="00947FAF"/>
    <w:rsid w:val="00950C98"/>
    <w:rsid w:val="00951063"/>
    <w:rsid w:val="009511BE"/>
    <w:rsid w:val="00951451"/>
    <w:rsid w:val="00951FDB"/>
    <w:rsid w:val="00952182"/>
    <w:rsid w:val="00952793"/>
    <w:rsid w:val="00952834"/>
    <w:rsid w:val="0095312E"/>
    <w:rsid w:val="00953496"/>
    <w:rsid w:val="00953707"/>
    <w:rsid w:val="00953770"/>
    <w:rsid w:val="00954056"/>
    <w:rsid w:val="00955BEA"/>
    <w:rsid w:val="009569AF"/>
    <w:rsid w:val="00956AC4"/>
    <w:rsid w:val="00957461"/>
    <w:rsid w:val="00957780"/>
    <w:rsid w:val="00957B98"/>
    <w:rsid w:val="00957D28"/>
    <w:rsid w:val="00957E0D"/>
    <w:rsid w:val="0096058D"/>
    <w:rsid w:val="00961194"/>
    <w:rsid w:val="00961747"/>
    <w:rsid w:val="009620C6"/>
    <w:rsid w:val="0096226C"/>
    <w:rsid w:val="00962348"/>
    <w:rsid w:val="0096276F"/>
    <w:rsid w:val="00962B0C"/>
    <w:rsid w:val="00962FD7"/>
    <w:rsid w:val="0096345B"/>
    <w:rsid w:val="00965268"/>
    <w:rsid w:val="009657C2"/>
    <w:rsid w:val="00966400"/>
    <w:rsid w:val="009671D8"/>
    <w:rsid w:val="00967234"/>
    <w:rsid w:val="0096767F"/>
    <w:rsid w:val="00967D9E"/>
    <w:rsid w:val="00967DDE"/>
    <w:rsid w:val="00967E75"/>
    <w:rsid w:val="00970DB3"/>
    <w:rsid w:val="00970F9A"/>
    <w:rsid w:val="009711FE"/>
    <w:rsid w:val="009713F5"/>
    <w:rsid w:val="00971460"/>
    <w:rsid w:val="00972B03"/>
    <w:rsid w:val="00972D63"/>
    <w:rsid w:val="009753EE"/>
    <w:rsid w:val="00975907"/>
    <w:rsid w:val="00976772"/>
    <w:rsid w:val="00976B98"/>
    <w:rsid w:val="00977852"/>
    <w:rsid w:val="009779D3"/>
    <w:rsid w:val="00977D9D"/>
    <w:rsid w:val="0098037D"/>
    <w:rsid w:val="009809A6"/>
    <w:rsid w:val="009811A3"/>
    <w:rsid w:val="009821A2"/>
    <w:rsid w:val="00982F04"/>
    <w:rsid w:val="00983ECC"/>
    <w:rsid w:val="0098413A"/>
    <w:rsid w:val="0098440F"/>
    <w:rsid w:val="00984EA2"/>
    <w:rsid w:val="009866C2"/>
    <w:rsid w:val="00986A5B"/>
    <w:rsid w:val="00986D62"/>
    <w:rsid w:val="009870D6"/>
    <w:rsid w:val="00987877"/>
    <w:rsid w:val="0099201F"/>
    <w:rsid w:val="00992601"/>
    <w:rsid w:val="00993738"/>
    <w:rsid w:val="009938F2"/>
    <w:rsid w:val="00994461"/>
    <w:rsid w:val="009945A7"/>
    <w:rsid w:val="00994EE6"/>
    <w:rsid w:val="009950CD"/>
    <w:rsid w:val="00995687"/>
    <w:rsid w:val="00995ACC"/>
    <w:rsid w:val="0099643F"/>
    <w:rsid w:val="00996678"/>
    <w:rsid w:val="00996866"/>
    <w:rsid w:val="00996F8A"/>
    <w:rsid w:val="00996FF9"/>
    <w:rsid w:val="00997791"/>
    <w:rsid w:val="0099788B"/>
    <w:rsid w:val="009A0080"/>
    <w:rsid w:val="009A0710"/>
    <w:rsid w:val="009A1BFE"/>
    <w:rsid w:val="009A24D1"/>
    <w:rsid w:val="009A25C6"/>
    <w:rsid w:val="009A2AE9"/>
    <w:rsid w:val="009A2BA4"/>
    <w:rsid w:val="009A2C3E"/>
    <w:rsid w:val="009A2FC5"/>
    <w:rsid w:val="009A32F7"/>
    <w:rsid w:val="009A3423"/>
    <w:rsid w:val="009A3B1D"/>
    <w:rsid w:val="009A3E18"/>
    <w:rsid w:val="009A5812"/>
    <w:rsid w:val="009A58CE"/>
    <w:rsid w:val="009A62F3"/>
    <w:rsid w:val="009A6B00"/>
    <w:rsid w:val="009A75B6"/>
    <w:rsid w:val="009A7646"/>
    <w:rsid w:val="009A7B0C"/>
    <w:rsid w:val="009B0206"/>
    <w:rsid w:val="009B0601"/>
    <w:rsid w:val="009B2158"/>
    <w:rsid w:val="009B249C"/>
    <w:rsid w:val="009B2889"/>
    <w:rsid w:val="009B34AE"/>
    <w:rsid w:val="009B3BAF"/>
    <w:rsid w:val="009B4030"/>
    <w:rsid w:val="009B40F5"/>
    <w:rsid w:val="009B41EA"/>
    <w:rsid w:val="009B4C54"/>
    <w:rsid w:val="009B4CCA"/>
    <w:rsid w:val="009B68AD"/>
    <w:rsid w:val="009B7638"/>
    <w:rsid w:val="009B7729"/>
    <w:rsid w:val="009B79B0"/>
    <w:rsid w:val="009C0056"/>
    <w:rsid w:val="009C0F36"/>
    <w:rsid w:val="009C14C1"/>
    <w:rsid w:val="009C1AA6"/>
    <w:rsid w:val="009C20E4"/>
    <w:rsid w:val="009C3760"/>
    <w:rsid w:val="009C6EB9"/>
    <w:rsid w:val="009C77B2"/>
    <w:rsid w:val="009D0B19"/>
    <w:rsid w:val="009D0C14"/>
    <w:rsid w:val="009D0DA0"/>
    <w:rsid w:val="009D177A"/>
    <w:rsid w:val="009D2781"/>
    <w:rsid w:val="009D3056"/>
    <w:rsid w:val="009D3F2A"/>
    <w:rsid w:val="009D49D9"/>
    <w:rsid w:val="009D5605"/>
    <w:rsid w:val="009D593A"/>
    <w:rsid w:val="009D62B8"/>
    <w:rsid w:val="009D6AA5"/>
    <w:rsid w:val="009D6BCA"/>
    <w:rsid w:val="009D79A7"/>
    <w:rsid w:val="009E025D"/>
    <w:rsid w:val="009E25EB"/>
    <w:rsid w:val="009E2E91"/>
    <w:rsid w:val="009E3129"/>
    <w:rsid w:val="009E31BF"/>
    <w:rsid w:val="009E341C"/>
    <w:rsid w:val="009E366D"/>
    <w:rsid w:val="009E400D"/>
    <w:rsid w:val="009E5296"/>
    <w:rsid w:val="009E592C"/>
    <w:rsid w:val="009E641F"/>
    <w:rsid w:val="009E732A"/>
    <w:rsid w:val="009E7A39"/>
    <w:rsid w:val="009E7CBD"/>
    <w:rsid w:val="009F0672"/>
    <w:rsid w:val="009F228B"/>
    <w:rsid w:val="009F2568"/>
    <w:rsid w:val="009F2983"/>
    <w:rsid w:val="009F2E8E"/>
    <w:rsid w:val="009F2F9D"/>
    <w:rsid w:val="009F3192"/>
    <w:rsid w:val="009F32C8"/>
    <w:rsid w:val="009F3C2C"/>
    <w:rsid w:val="009F4839"/>
    <w:rsid w:val="009F4D89"/>
    <w:rsid w:val="009F5108"/>
    <w:rsid w:val="009F5A55"/>
    <w:rsid w:val="009F6EC7"/>
    <w:rsid w:val="00A0043E"/>
    <w:rsid w:val="00A0079F"/>
    <w:rsid w:val="00A03FD4"/>
    <w:rsid w:val="00A04769"/>
    <w:rsid w:val="00A051DC"/>
    <w:rsid w:val="00A05379"/>
    <w:rsid w:val="00A056EC"/>
    <w:rsid w:val="00A05733"/>
    <w:rsid w:val="00A05754"/>
    <w:rsid w:val="00A061C2"/>
    <w:rsid w:val="00A0720E"/>
    <w:rsid w:val="00A0769C"/>
    <w:rsid w:val="00A0785B"/>
    <w:rsid w:val="00A10124"/>
    <w:rsid w:val="00A1061F"/>
    <w:rsid w:val="00A11549"/>
    <w:rsid w:val="00A116C3"/>
    <w:rsid w:val="00A122E1"/>
    <w:rsid w:val="00A129EC"/>
    <w:rsid w:val="00A12CED"/>
    <w:rsid w:val="00A12D0D"/>
    <w:rsid w:val="00A1348B"/>
    <w:rsid w:val="00A13F6D"/>
    <w:rsid w:val="00A14171"/>
    <w:rsid w:val="00A155DB"/>
    <w:rsid w:val="00A1608A"/>
    <w:rsid w:val="00A16984"/>
    <w:rsid w:val="00A17536"/>
    <w:rsid w:val="00A17590"/>
    <w:rsid w:val="00A2091C"/>
    <w:rsid w:val="00A209B1"/>
    <w:rsid w:val="00A20C51"/>
    <w:rsid w:val="00A211A2"/>
    <w:rsid w:val="00A2128E"/>
    <w:rsid w:val="00A21B32"/>
    <w:rsid w:val="00A21C95"/>
    <w:rsid w:val="00A2458D"/>
    <w:rsid w:val="00A24C36"/>
    <w:rsid w:val="00A2538A"/>
    <w:rsid w:val="00A25855"/>
    <w:rsid w:val="00A25F76"/>
    <w:rsid w:val="00A263DF"/>
    <w:rsid w:val="00A269D6"/>
    <w:rsid w:val="00A26DA5"/>
    <w:rsid w:val="00A26FAB"/>
    <w:rsid w:val="00A278AA"/>
    <w:rsid w:val="00A303F0"/>
    <w:rsid w:val="00A30439"/>
    <w:rsid w:val="00A30910"/>
    <w:rsid w:val="00A30CBD"/>
    <w:rsid w:val="00A31351"/>
    <w:rsid w:val="00A31C2C"/>
    <w:rsid w:val="00A31DF9"/>
    <w:rsid w:val="00A33888"/>
    <w:rsid w:val="00A34190"/>
    <w:rsid w:val="00A3479C"/>
    <w:rsid w:val="00A34AE1"/>
    <w:rsid w:val="00A35344"/>
    <w:rsid w:val="00A35930"/>
    <w:rsid w:val="00A36678"/>
    <w:rsid w:val="00A366C8"/>
    <w:rsid w:val="00A3670F"/>
    <w:rsid w:val="00A367F5"/>
    <w:rsid w:val="00A36F62"/>
    <w:rsid w:val="00A375E2"/>
    <w:rsid w:val="00A401BB"/>
    <w:rsid w:val="00A404E4"/>
    <w:rsid w:val="00A4132E"/>
    <w:rsid w:val="00A41E12"/>
    <w:rsid w:val="00A41FDE"/>
    <w:rsid w:val="00A42598"/>
    <w:rsid w:val="00A42E8A"/>
    <w:rsid w:val="00A4304C"/>
    <w:rsid w:val="00A43581"/>
    <w:rsid w:val="00A446BD"/>
    <w:rsid w:val="00A44786"/>
    <w:rsid w:val="00A458AC"/>
    <w:rsid w:val="00A45DF9"/>
    <w:rsid w:val="00A46067"/>
    <w:rsid w:val="00A50531"/>
    <w:rsid w:val="00A51A83"/>
    <w:rsid w:val="00A51F79"/>
    <w:rsid w:val="00A5247A"/>
    <w:rsid w:val="00A544A4"/>
    <w:rsid w:val="00A54572"/>
    <w:rsid w:val="00A54F09"/>
    <w:rsid w:val="00A55169"/>
    <w:rsid w:val="00A556E3"/>
    <w:rsid w:val="00A56286"/>
    <w:rsid w:val="00A56891"/>
    <w:rsid w:val="00A578CD"/>
    <w:rsid w:val="00A60F41"/>
    <w:rsid w:val="00A616C7"/>
    <w:rsid w:val="00A61E91"/>
    <w:rsid w:val="00A62008"/>
    <w:rsid w:val="00A626CB"/>
    <w:rsid w:val="00A629AC"/>
    <w:rsid w:val="00A62BDC"/>
    <w:rsid w:val="00A62CC5"/>
    <w:rsid w:val="00A639C3"/>
    <w:rsid w:val="00A66B3F"/>
    <w:rsid w:val="00A67107"/>
    <w:rsid w:val="00A70229"/>
    <w:rsid w:val="00A70DF9"/>
    <w:rsid w:val="00A710EF"/>
    <w:rsid w:val="00A7185C"/>
    <w:rsid w:val="00A719A8"/>
    <w:rsid w:val="00A71D4C"/>
    <w:rsid w:val="00A7240A"/>
    <w:rsid w:val="00A72C5F"/>
    <w:rsid w:val="00A739A4"/>
    <w:rsid w:val="00A741E5"/>
    <w:rsid w:val="00A74920"/>
    <w:rsid w:val="00A74BDA"/>
    <w:rsid w:val="00A75444"/>
    <w:rsid w:val="00A75A4A"/>
    <w:rsid w:val="00A75F26"/>
    <w:rsid w:val="00A771BF"/>
    <w:rsid w:val="00A77866"/>
    <w:rsid w:val="00A77D19"/>
    <w:rsid w:val="00A805EA"/>
    <w:rsid w:val="00A80CA4"/>
    <w:rsid w:val="00A81717"/>
    <w:rsid w:val="00A820D2"/>
    <w:rsid w:val="00A82285"/>
    <w:rsid w:val="00A83E31"/>
    <w:rsid w:val="00A84068"/>
    <w:rsid w:val="00A8430F"/>
    <w:rsid w:val="00A84D9E"/>
    <w:rsid w:val="00A85636"/>
    <w:rsid w:val="00A864A2"/>
    <w:rsid w:val="00A864B4"/>
    <w:rsid w:val="00A868DE"/>
    <w:rsid w:val="00A86F4C"/>
    <w:rsid w:val="00A9001B"/>
    <w:rsid w:val="00A9006B"/>
    <w:rsid w:val="00A905AA"/>
    <w:rsid w:val="00A9076D"/>
    <w:rsid w:val="00A911AE"/>
    <w:rsid w:val="00A94AC3"/>
    <w:rsid w:val="00A94EF5"/>
    <w:rsid w:val="00A952D5"/>
    <w:rsid w:val="00A96141"/>
    <w:rsid w:val="00A97053"/>
    <w:rsid w:val="00A971EA"/>
    <w:rsid w:val="00AA04C1"/>
    <w:rsid w:val="00AA04FD"/>
    <w:rsid w:val="00AA07FB"/>
    <w:rsid w:val="00AA0BC1"/>
    <w:rsid w:val="00AA0BE9"/>
    <w:rsid w:val="00AA14BC"/>
    <w:rsid w:val="00AA17E3"/>
    <w:rsid w:val="00AA1883"/>
    <w:rsid w:val="00AA23D3"/>
    <w:rsid w:val="00AA36E7"/>
    <w:rsid w:val="00AA4661"/>
    <w:rsid w:val="00AA47D8"/>
    <w:rsid w:val="00AA49BD"/>
    <w:rsid w:val="00AA4EF8"/>
    <w:rsid w:val="00AA5608"/>
    <w:rsid w:val="00AA58F8"/>
    <w:rsid w:val="00AA6E64"/>
    <w:rsid w:val="00AA7537"/>
    <w:rsid w:val="00AB03A8"/>
    <w:rsid w:val="00AB080A"/>
    <w:rsid w:val="00AB1CBF"/>
    <w:rsid w:val="00AB2315"/>
    <w:rsid w:val="00AB29FF"/>
    <w:rsid w:val="00AB4934"/>
    <w:rsid w:val="00AB4BC5"/>
    <w:rsid w:val="00AB5642"/>
    <w:rsid w:val="00AB581C"/>
    <w:rsid w:val="00AB585A"/>
    <w:rsid w:val="00AB61FC"/>
    <w:rsid w:val="00AB6211"/>
    <w:rsid w:val="00AB626E"/>
    <w:rsid w:val="00AB6586"/>
    <w:rsid w:val="00AB7313"/>
    <w:rsid w:val="00AB7602"/>
    <w:rsid w:val="00AB77C0"/>
    <w:rsid w:val="00AC010A"/>
    <w:rsid w:val="00AC0A57"/>
    <w:rsid w:val="00AC1BD3"/>
    <w:rsid w:val="00AC1D99"/>
    <w:rsid w:val="00AC20CC"/>
    <w:rsid w:val="00AC255D"/>
    <w:rsid w:val="00AC265E"/>
    <w:rsid w:val="00AC26BD"/>
    <w:rsid w:val="00AC3325"/>
    <w:rsid w:val="00AC560E"/>
    <w:rsid w:val="00AC73FD"/>
    <w:rsid w:val="00AC7D3B"/>
    <w:rsid w:val="00AD01A8"/>
    <w:rsid w:val="00AD01ED"/>
    <w:rsid w:val="00AD0608"/>
    <w:rsid w:val="00AD07F5"/>
    <w:rsid w:val="00AD0A96"/>
    <w:rsid w:val="00AD17A2"/>
    <w:rsid w:val="00AD1935"/>
    <w:rsid w:val="00AD2B89"/>
    <w:rsid w:val="00AD309C"/>
    <w:rsid w:val="00AD333B"/>
    <w:rsid w:val="00AD34DB"/>
    <w:rsid w:val="00AD3D64"/>
    <w:rsid w:val="00AD3DE0"/>
    <w:rsid w:val="00AD3F1B"/>
    <w:rsid w:val="00AD4070"/>
    <w:rsid w:val="00AD431E"/>
    <w:rsid w:val="00AD435D"/>
    <w:rsid w:val="00AD68BA"/>
    <w:rsid w:val="00AD6C4B"/>
    <w:rsid w:val="00AD72AF"/>
    <w:rsid w:val="00AD7880"/>
    <w:rsid w:val="00AD795D"/>
    <w:rsid w:val="00AD7D7A"/>
    <w:rsid w:val="00AE106A"/>
    <w:rsid w:val="00AE2B68"/>
    <w:rsid w:val="00AE351F"/>
    <w:rsid w:val="00AE3869"/>
    <w:rsid w:val="00AE39A6"/>
    <w:rsid w:val="00AE3F32"/>
    <w:rsid w:val="00AE44BC"/>
    <w:rsid w:val="00AE470F"/>
    <w:rsid w:val="00AE4C1A"/>
    <w:rsid w:val="00AE59CA"/>
    <w:rsid w:val="00AE62CE"/>
    <w:rsid w:val="00AE631F"/>
    <w:rsid w:val="00AE6C15"/>
    <w:rsid w:val="00AF0E56"/>
    <w:rsid w:val="00AF196C"/>
    <w:rsid w:val="00AF2E05"/>
    <w:rsid w:val="00AF3075"/>
    <w:rsid w:val="00AF42E2"/>
    <w:rsid w:val="00AF5015"/>
    <w:rsid w:val="00AF5193"/>
    <w:rsid w:val="00AF7675"/>
    <w:rsid w:val="00B00B4F"/>
    <w:rsid w:val="00B01BD1"/>
    <w:rsid w:val="00B0250D"/>
    <w:rsid w:val="00B03912"/>
    <w:rsid w:val="00B041AE"/>
    <w:rsid w:val="00B0430C"/>
    <w:rsid w:val="00B04A47"/>
    <w:rsid w:val="00B056D2"/>
    <w:rsid w:val="00B068B9"/>
    <w:rsid w:val="00B072D3"/>
    <w:rsid w:val="00B07E8F"/>
    <w:rsid w:val="00B07E90"/>
    <w:rsid w:val="00B10225"/>
    <w:rsid w:val="00B118E8"/>
    <w:rsid w:val="00B11E51"/>
    <w:rsid w:val="00B12F8A"/>
    <w:rsid w:val="00B13386"/>
    <w:rsid w:val="00B134D7"/>
    <w:rsid w:val="00B13901"/>
    <w:rsid w:val="00B14CDC"/>
    <w:rsid w:val="00B16F56"/>
    <w:rsid w:val="00B203AC"/>
    <w:rsid w:val="00B20415"/>
    <w:rsid w:val="00B20C12"/>
    <w:rsid w:val="00B22EE9"/>
    <w:rsid w:val="00B231EE"/>
    <w:rsid w:val="00B23296"/>
    <w:rsid w:val="00B23395"/>
    <w:rsid w:val="00B247B5"/>
    <w:rsid w:val="00B248E5"/>
    <w:rsid w:val="00B252F1"/>
    <w:rsid w:val="00B25CD8"/>
    <w:rsid w:val="00B2708C"/>
    <w:rsid w:val="00B27137"/>
    <w:rsid w:val="00B277FF"/>
    <w:rsid w:val="00B31176"/>
    <w:rsid w:val="00B31A0C"/>
    <w:rsid w:val="00B325E5"/>
    <w:rsid w:val="00B32CEA"/>
    <w:rsid w:val="00B32E47"/>
    <w:rsid w:val="00B3325A"/>
    <w:rsid w:val="00B3364F"/>
    <w:rsid w:val="00B33979"/>
    <w:rsid w:val="00B33C15"/>
    <w:rsid w:val="00B34250"/>
    <w:rsid w:val="00B352D6"/>
    <w:rsid w:val="00B35425"/>
    <w:rsid w:val="00B360CA"/>
    <w:rsid w:val="00B3627B"/>
    <w:rsid w:val="00B362FF"/>
    <w:rsid w:val="00B3646E"/>
    <w:rsid w:val="00B37913"/>
    <w:rsid w:val="00B37E7C"/>
    <w:rsid w:val="00B37EE8"/>
    <w:rsid w:val="00B37F38"/>
    <w:rsid w:val="00B40037"/>
    <w:rsid w:val="00B4027E"/>
    <w:rsid w:val="00B40D0C"/>
    <w:rsid w:val="00B4141E"/>
    <w:rsid w:val="00B41FEF"/>
    <w:rsid w:val="00B43158"/>
    <w:rsid w:val="00B43534"/>
    <w:rsid w:val="00B436EF"/>
    <w:rsid w:val="00B43D8B"/>
    <w:rsid w:val="00B43E63"/>
    <w:rsid w:val="00B44220"/>
    <w:rsid w:val="00B444DE"/>
    <w:rsid w:val="00B45078"/>
    <w:rsid w:val="00B45384"/>
    <w:rsid w:val="00B4549C"/>
    <w:rsid w:val="00B45878"/>
    <w:rsid w:val="00B47469"/>
    <w:rsid w:val="00B47B0B"/>
    <w:rsid w:val="00B503FD"/>
    <w:rsid w:val="00B50FDA"/>
    <w:rsid w:val="00B515C3"/>
    <w:rsid w:val="00B51AAB"/>
    <w:rsid w:val="00B51CB6"/>
    <w:rsid w:val="00B52BAA"/>
    <w:rsid w:val="00B533D3"/>
    <w:rsid w:val="00B53CF6"/>
    <w:rsid w:val="00B54E5A"/>
    <w:rsid w:val="00B559B1"/>
    <w:rsid w:val="00B55E4A"/>
    <w:rsid w:val="00B55F61"/>
    <w:rsid w:val="00B571F1"/>
    <w:rsid w:val="00B57767"/>
    <w:rsid w:val="00B57BE3"/>
    <w:rsid w:val="00B60BD5"/>
    <w:rsid w:val="00B62449"/>
    <w:rsid w:val="00B62C58"/>
    <w:rsid w:val="00B62EF9"/>
    <w:rsid w:val="00B64E7E"/>
    <w:rsid w:val="00B657C2"/>
    <w:rsid w:val="00B65EA9"/>
    <w:rsid w:val="00B66B0F"/>
    <w:rsid w:val="00B67420"/>
    <w:rsid w:val="00B6743C"/>
    <w:rsid w:val="00B7039D"/>
    <w:rsid w:val="00B707B6"/>
    <w:rsid w:val="00B73192"/>
    <w:rsid w:val="00B7373F"/>
    <w:rsid w:val="00B73994"/>
    <w:rsid w:val="00B7399B"/>
    <w:rsid w:val="00B73D27"/>
    <w:rsid w:val="00B74124"/>
    <w:rsid w:val="00B74378"/>
    <w:rsid w:val="00B745A4"/>
    <w:rsid w:val="00B747B1"/>
    <w:rsid w:val="00B755CF"/>
    <w:rsid w:val="00B75857"/>
    <w:rsid w:val="00B7591E"/>
    <w:rsid w:val="00B75971"/>
    <w:rsid w:val="00B75B16"/>
    <w:rsid w:val="00B75FAC"/>
    <w:rsid w:val="00B7632F"/>
    <w:rsid w:val="00B7779D"/>
    <w:rsid w:val="00B77C85"/>
    <w:rsid w:val="00B80749"/>
    <w:rsid w:val="00B8091D"/>
    <w:rsid w:val="00B81A6A"/>
    <w:rsid w:val="00B81E43"/>
    <w:rsid w:val="00B82C82"/>
    <w:rsid w:val="00B834CE"/>
    <w:rsid w:val="00B857AF"/>
    <w:rsid w:val="00B85FC0"/>
    <w:rsid w:val="00B86931"/>
    <w:rsid w:val="00B9089D"/>
    <w:rsid w:val="00B90B3E"/>
    <w:rsid w:val="00B90C0E"/>
    <w:rsid w:val="00B92805"/>
    <w:rsid w:val="00B93023"/>
    <w:rsid w:val="00B93077"/>
    <w:rsid w:val="00B93297"/>
    <w:rsid w:val="00B93C93"/>
    <w:rsid w:val="00B94411"/>
    <w:rsid w:val="00B95224"/>
    <w:rsid w:val="00B966C2"/>
    <w:rsid w:val="00B96752"/>
    <w:rsid w:val="00B96F25"/>
    <w:rsid w:val="00B97BDD"/>
    <w:rsid w:val="00BA0874"/>
    <w:rsid w:val="00BA1A7D"/>
    <w:rsid w:val="00BA20ED"/>
    <w:rsid w:val="00BA2B3A"/>
    <w:rsid w:val="00BA2F40"/>
    <w:rsid w:val="00BA3528"/>
    <w:rsid w:val="00BA3AD7"/>
    <w:rsid w:val="00BA44AF"/>
    <w:rsid w:val="00BA5752"/>
    <w:rsid w:val="00BA6D44"/>
    <w:rsid w:val="00BA7500"/>
    <w:rsid w:val="00BB0E39"/>
    <w:rsid w:val="00BB12E6"/>
    <w:rsid w:val="00BB1800"/>
    <w:rsid w:val="00BB2399"/>
    <w:rsid w:val="00BB23C4"/>
    <w:rsid w:val="00BB359A"/>
    <w:rsid w:val="00BB362B"/>
    <w:rsid w:val="00BB4D22"/>
    <w:rsid w:val="00BB5357"/>
    <w:rsid w:val="00BB5A55"/>
    <w:rsid w:val="00BB63FB"/>
    <w:rsid w:val="00BB65E9"/>
    <w:rsid w:val="00BB682A"/>
    <w:rsid w:val="00BB68EC"/>
    <w:rsid w:val="00BB734A"/>
    <w:rsid w:val="00BB7EF8"/>
    <w:rsid w:val="00BC0AE1"/>
    <w:rsid w:val="00BC1C53"/>
    <w:rsid w:val="00BC3516"/>
    <w:rsid w:val="00BC3DC0"/>
    <w:rsid w:val="00BC4465"/>
    <w:rsid w:val="00BC4D2E"/>
    <w:rsid w:val="00BC4F4E"/>
    <w:rsid w:val="00BC5596"/>
    <w:rsid w:val="00BC5C65"/>
    <w:rsid w:val="00BC6A7D"/>
    <w:rsid w:val="00BC76A5"/>
    <w:rsid w:val="00BC7E1D"/>
    <w:rsid w:val="00BD0F7B"/>
    <w:rsid w:val="00BD17C5"/>
    <w:rsid w:val="00BD19D0"/>
    <w:rsid w:val="00BD2A22"/>
    <w:rsid w:val="00BD2C8F"/>
    <w:rsid w:val="00BD326A"/>
    <w:rsid w:val="00BD343F"/>
    <w:rsid w:val="00BD4FEE"/>
    <w:rsid w:val="00BD536E"/>
    <w:rsid w:val="00BD5403"/>
    <w:rsid w:val="00BD5D80"/>
    <w:rsid w:val="00BD63F9"/>
    <w:rsid w:val="00BD64E6"/>
    <w:rsid w:val="00BD6D2E"/>
    <w:rsid w:val="00BD7412"/>
    <w:rsid w:val="00BD7E75"/>
    <w:rsid w:val="00BD7F73"/>
    <w:rsid w:val="00BE03E6"/>
    <w:rsid w:val="00BE0E3B"/>
    <w:rsid w:val="00BE120E"/>
    <w:rsid w:val="00BE13BA"/>
    <w:rsid w:val="00BE1441"/>
    <w:rsid w:val="00BE17AB"/>
    <w:rsid w:val="00BE426A"/>
    <w:rsid w:val="00BE508B"/>
    <w:rsid w:val="00BE585E"/>
    <w:rsid w:val="00BE5CD2"/>
    <w:rsid w:val="00BE6420"/>
    <w:rsid w:val="00BE65EC"/>
    <w:rsid w:val="00BE6E8B"/>
    <w:rsid w:val="00BE6F11"/>
    <w:rsid w:val="00BE6FBA"/>
    <w:rsid w:val="00BE7756"/>
    <w:rsid w:val="00BE7F55"/>
    <w:rsid w:val="00BF2566"/>
    <w:rsid w:val="00BF2FE5"/>
    <w:rsid w:val="00BF3769"/>
    <w:rsid w:val="00BF409A"/>
    <w:rsid w:val="00BF4222"/>
    <w:rsid w:val="00BF43A0"/>
    <w:rsid w:val="00BF471B"/>
    <w:rsid w:val="00BF5450"/>
    <w:rsid w:val="00BF696A"/>
    <w:rsid w:val="00BF6F9A"/>
    <w:rsid w:val="00C008F5"/>
    <w:rsid w:val="00C01AAF"/>
    <w:rsid w:val="00C02282"/>
    <w:rsid w:val="00C03AE3"/>
    <w:rsid w:val="00C040AC"/>
    <w:rsid w:val="00C048A2"/>
    <w:rsid w:val="00C04AA1"/>
    <w:rsid w:val="00C04AEF"/>
    <w:rsid w:val="00C051CC"/>
    <w:rsid w:val="00C05320"/>
    <w:rsid w:val="00C05D67"/>
    <w:rsid w:val="00C10B92"/>
    <w:rsid w:val="00C12098"/>
    <w:rsid w:val="00C134CF"/>
    <w:rsid w:val="00C1365A"/>
    <w:rsid w:val="00C138F2"/>
    <w:rsid w:val="00C13A82"/>
    <w:rsid w:val="00C150A9"/>
    <w:rsid w:val="00C15268"/>
    <w:rsid w:val="00C1783E"/>
    <w:rsid w:val="00C2068B"/>
    <w:rsid w:val="00C20740"/>
    <w:rsid w:val="00C21316"/>
    <w:rsid w:val="00C21399"/>
    <w:rsid w:val="00C216FD"/>
    <w:rsid w:val="00C222BA"/>
    <w:rsid w:val="00C224D9"/>
    <w:rsid w:val="00C23422"/>
    <w:rsid w:val="00C2451F"/>
    <w:rsid w:val="00C24F49"/>
    <w:rsid w:val="00C2584F"/>
    <w:rsid w:val="00C25E27"/>
    <w:rsid w:val="00C25F6F"/>
    <w:rsid w:val="00C26060"/>
    <w:rsid w:val="00C26791"/>
    <w:rsid w:val="00C26D9B"/>
    <w:rsid w:val="00C30FCE"/>
    <w:rsid w:val="00C320CD"/>
    <w:rsid w:val="00C322F3"/>
    <w:rsid w:val="00C32840"/>
    <w:rsid w:val="00C331D9"/>
    <w:rsid w:val="00C33FDE"/>
    <w:rsid w:val="00C3420E"/>
    <w:rsid w:val="00C35421"/>
    <w:rsid w:val="00C3565C"/>
    <w:rsid w:val="00C356B6"/>
    <w:rsid w:val="00C366AA"/>
    <w:rsid w:val="00C36EF6"/>
    <w:rsid w:val="00C37AC6"/>
    <w:rsid w:val="00C40ADC"/>
    <w:rsid w:val="00C4161F"/>
    <w:rsid w:val="00C41E74"/>
    <w:rsid w:val="00C4278C"/>
    <w:rsid w:val="00C429F8"/>
    <w:rsid w:val="00C42BC8"/>
    <w:rsid w:val="00C43AD3"/>
    <w:rsid w:val="00C4458C"/>
    <w:rsid w:val="00C45352"/>
    <w:rsid w:val="00C45CCC"/>
    <w:rsid w:val="00C46694"/>
    <w:rsid w:val="00C46FEE"/>
    <w:rsid w:val="00C507ED"/>
    <w:rsid w:val="00C50D66"/>
    <w:rsid w:val="00C51CD0"/>
    <w:rsid w:val="00C5221B"/>
    <w:rsid w:val="00C52480"/>
    <w:rsid w:val="00C52550"/>
    <w:rsid w:val="00C52719"/>
    <w:rsid w:val="00C52CFB"/>
    <w:rsid w:val="00C532C8"/>
    <w:rsid w:val="00C53B0D"/>
    <w:rsid w:val="00C54614"/>
    <w:rsid w:val="00C5465E"/>
    <w:rsid w:val="00C5468C"/>
    <w:rsid w:val="00C5482B"/>
    <w:rsid w:val="00C57A0A"/>
    <w:rsid w:val="00C57B40"/>
    <w:rsid w:val="00C57C08"/>
    <w:rsid w:val="00C57CB0"/>
    <w:rsid w:val="00C60F26"/>
    <w:rsid w:val="00C61580"/>
    <w:rsid w:val="00C61FB9"/>
    <w:rsid w:val="00C6292D"/>
    <w:rsid w:val="00C62C85"/>
    <w:rsid w:val="00C6334B"/>
    <w:rsid w:val="00C63FEB"/>
    <w:rsid w:val="00C64F85"/>
    <w:rsid w:val="00C6657F"/>
    <w:rsid w:val="00C66B25"/>
    <w:rsid w:val="00C66F23"/>
    <w:rsid w:val="00C672D7"/>
    <w:rsid w:val="00C673BD"/>
    <w:rsid w:val="00C70031"/>
    <w:rsid w:val="00C70119"/>
    <w:rsid w:val="00C706A3"/>
    <w:rsid w:val="00C708D6"/>
    <w:rsid w:val="00C711F9"/>
    <w:rsid w:val="00C7194C"/>
    <w:rsid w:val="00C71FFB"/>
    <w:rsid w:val="00C7210D"/>
    <w:rsid w:val="00C72304"/>
    <w:rsid w:val="00C726EA"/>
    <w:rsid w:val="00C727C7"/>
    <w:rsid w:val="00C73105"/>
    <w:rsid w:val="00C73BC4"/>
    <w:rsid w:val="00C73DB0"/>
    <w:rsid w:val="00C73EF4"/>
    <w:rsid w:val="00C75C69"/>
    <w:rsid w:val="00C75CC2"/>
    <w:rsid w:val="00C76246"/>
    <w:rsid w:val="00C7701C"/>
    <w:rsid w:val="00C77CA5"/>
    <w:rsid w:val="00C77F70"/>
    <w:rsid w:val="00C77F75"/>
    <w:rsid w:val="00C81D5E"/>
    <w:rsid w:val="00C82AE7"/>
    <w:rsid w:val="00C83256"/>
    <w:rsid w:val="00C838C8"/>
    <w:rsid w:val="00C846A5"/>
    <w:rsid w:val="00C84A01"/>
    <w:rsid w:val="00C85473"/>
    <w:rsid w:val="00C85DB1"/>
    <w:rsid w:val="00C87311"/>
    <w:rsid w:val="00C873B2"/>
    <w:rsid w:val="00C876CA"/>
    <w:rsid w:val="00C879E8"/>
    <w:rsid w:val="00C87A8B"/>
    <w:rsid w:val="00C87EB9"/>
    <w:rsid w:val="00C9106A"/>
    <w:rsid w:val="00C91B51"/>
    <w:rsid w:val="00C91CC6"/>
    <w:rsid w:val="00C92026"/>
    <w:rsid w:val="00C936A7"/>
    <w:rsid w:val="00C94E94"/>
    <w:rsid w:val="00C950AD"/>
    <w:rsid w:val="00C95F05"/>
    <w:rsid w:val="00C96570"/>
    <w:rsid w:val="00C97513"/>
    <w:rsid w:val="00CA0957"/>
    <w:rsid w:val="00CA13DA"/>
    <w:rsid w:val="00CA1B2A"/>
    <w:rsid w:val="00CA1CE2"/>
    <w:rsid w:val="00CA2094"/>
    <w:rsid w:val="00CA23FF"/>
    <w:rsid w:val="00CA28CF"/>
    <w:rsid w:val="00CA2E1D"/>
    <w:rsid w:val="00CA3090"/>
    <w:rsid w:val="00CA3198"/>
    <w:rsid w:val="00CA38CE"/>
    <w:rsid w:val="00CA3D9A"/>
    <w:rsid w:val="00CA4227"/>
    <w:rsid w:val="00CA545D"/>
    <w:rsid w:val="00CA5BC5"/>
    <w:rsid w:val="00CA5ED9"/>
    <w:rsid w:val="00CA6581"/>
    <w:rsid w:val="00CA7F59"/>
    <w:rsid w:val="00CB037A"/>
    <w:rsid w:val="00CB03B1"/>
    <w:rsid w:val="00CB1860"/>
    <w:rsid w:val="00CB1C95"/>
    <w:rsid w:val="00CB2139"/>
    <w:rsid w:val="00CB57EB"/>
    <w:rsid w:val="00CB6304"/>
    <w:rsid w:val="00CB651D"/>
    <w:rsid w:val="00CB74AA"/>
    <w:rsid w:val="00CB763C"/>
    <w:rsid w:val="00CB7BA2"/>
    <w:rsid w:val="00CB7C37"/>
    <w:rsid w:val="00CC0A3C"/>
    <w:rsid w:val="00CC0F31"/>
    <w:rsid w:val="00CC12B5"/>
    <w:rsid w:val="00CC15D4"/>
    <w:rsid w:val="00CC2BD5"/>
    <w:rsid w:val="00CC3BD3"/>
    <w:rsid w:val="00CC4619"/>
    <w:rsid w:val="00CC4C45"/>
    <w:rsid w:val="00CC6606"/>
    <w:rsid w:val="00CC72D0"/>
    <w:rsid w:val="00CC7643"/>
    <w:rsid w:val="00CC7964"/>
    <w:rsid w:val="00CD0B42"/>
    <w:rsid w:val="00CD1203"/>
    <w:rsid w:val="00CD137B"/>
    <w:rsid w:val="00CD312D"/>
    <w:rsid w:val="00CD376B"/>
    <w:rsid w:val="00CD3F33"/>
    <w:rsid w:val="00CD4025"/>
    <w:rsid w:val="00CD47AD"/>
    <w:rsid w:val="00CD542F"/>
    <w:rsid w:val="00CD561C"/>
    <w:rsid w:val="00CD60D4"/>
    <w:rsid w:val="00CD691D"/>
    <w:rsid w:val="00CD6987"/>
    <w:rsid w:val="00CD713F"/>
    <w:rsid w:val="00CE0156"/>
    <w:rsid w:val="00CE17C3"/>
    <w:rsid w:val="00CE1A86"/>
    <w:rsid w:val="00CE20E8"/>
    <w:rsid w:val="00CE23CE"/>
    <w:rsid w:val="00CE25BC"/>
    <w:rsid w:val="00CE2763"/>
    <w:rsid w:val="00CE330C"/>
    <w:rsid w:val="00CE3D18"/>
    <w:rsid w:val="00CE3F27"/>
    <w:rsid w:val="00CE404E"/>
    <w:rsid w:val="00CE470A"/>
    <w:rsid w:val="00CE4965"/>
    <w:rsid w:val="00CE5E5D"/>
    <w:rsid w:val="00CE623D"/>
    <w:rsid w:val="00CE642F"/>
    <w:rsid w:val="00CE68D3"/>
    <w:rsid w:val="00CE7CA7"/>
    <w:rsid w:val="00CE7CE2"/>
    <w:rsid w:val="00CF0563"/>
    <w:rsid w:val="00CF1495"/>
    <w:rsid w:val="00CF1C40"/>
    <w:rsid w:val="00CF21EE"/>
    <w:rsid w:val="00CF2257"/>
    <w:rsid w:val="00CF24CA"/>
    <w:rsid w:val="00CF2516"/>
    <w:rsid w:val="00CF295F"/>
    <w:rsid w:val="00CF2A54"/>
    <w:rsid w:val="00CF2C79"/>
    <w:rsid w:val="00CF325C"/>
    <w:rsid w:val="00CF3B36"/>
    <w:rsid w:val="00CF484E"/>
    <w:rsid w:val="00CF490F"/>
    <w:rsid w:val="00CF4D33"/>
    <w:rsid w:val="00CF53F9"/>
    <w:rsid w:val="00CF6EAF"/>
    <w:rsid w:val="00CF7068"/>
    <w:rsid w:val="00CF7902"/>
    <w:rsid w:val="00CF7E50"/>
    <w:rsid w:val="00D00415"/>
    <w:rsid w:val="00D00EE6"/>
    <w:rsid w:val="00D02555"/>
    <w:rsid w:val="00D02B2B"/>
    <w:rsid w:val="00D0301F"/>
    <w:rsid w:val="00D03DB3"/>
    <w:rsid w:val="00D04921"/>
    <w:rsid w:val="00D051E1"/>
    <w:rsid w:val="00D0588F"/>
    <w:rsid w:val="00D0591E"/>
    <w:rsid w:val="00D060B6"/>
    <w:rsid w:val="00D07A4F"/>
    <w:rsid w:val="00D10A21"/>
    <w:rsid w:val="00D10C3A"/>
    <w:rsid w:val="00D118C7"/>
    <w:rsid w:val="00D11DCC"/>
    <w:rsid w:val="00D125C6"/>
    <w:rsid w:val="00D12D20"/>
    <w:rsid w:val="00D13C8B"/>
    <w:rsid w:val="00D16099"/>
    <w:rsid w:val="00D17960"/>
    <w:rsid w:val="00D17F87"/>
    <w:rsid w:val="00D2014F"/>
    <w:rsid w:val="00D20242"/>
    <w:rsid w:val="00D20FFE"/>
    <w:rsid w:val="00D210D7"/>
    <w:rsid w:val="00D21BB4"/>
    <w:rsid w:val="00D2385A"/>
    <w:rsid w:val="00D239C4"/>
    <w:rsid w:val="00D23C16"/>
    <w:rsid w:val="00D23EC5"/>
    <w:rsid w:val="00D2400E"/>
    <w:rsid w:val="00D2437C"/>
    <w:rsid w:val="00D24A86"/>
    <w:rsid w:val="00D26066"/>
    <w:rsid w:val="00D266B2"/>
    <w:rsid w:val="00D26BE2"/>
    <w:rsid w:val="00D312AB"/>
    <w:rsid w:val="00D3343D"/>
    <w:rsid w:val="00D33931"/>
    <w:rsid w:val="00D33BA3"/>
    <w:rsid w:val="00D343D2"/>
    <w:rsid w:val="00D34A62"/>
    <w:rsid w:val="00D355F1"/>
    <w:rsid w:val="00D35A02"/>
    <w:rsid w:val="00D35E05"/>
    <w:rsid w:val="00D36079"/>
    <w:rsid w:val="00D3772B"/>
    <w:rsid w:val="00D37CFC"/>
    <w:rsid w:val="00D40066"/>
    <w:rsid w:val="00D42BA3"/>
    <w:rsid w:val="00D43647"/>
    <w:rsid w:val="00D44601"/>
    <w:rsid w:val="00D44C36"/>
    <w:rsid w:val="00D44EEA"/>
    <w:rsid w:val="00D457D0"/>
    <w:rsid w:val="00D45986"/>
    <w:rsid w:val="00D46DF7"/>
    <w:rsid w:val="00D46EDE"/>
    <w:rsid w:val="00D47735"/>
    <w:rsid w:val="00D478D3"/>
    <w:rsid w:val="00D47A10"/>
    <w:rsid w:val="00D50AF8"/>
    <w:rsid w:val="00D51134"/>
    <w:rsid w:val="00D5372D"/>
    <w:rsid w:val="00D53FDB"/>
    <w:rsid w:val="00D540D9"/>
    <w:rsid w:val="00D54226"/>
    <w:rsid w:val="00D54B3D"/>
    <w:rsid w:val="00D54EE0"/>
    <w:rsid w:val="00D553AB"/>
    <w:rsid w:val="00D55A23"/>
    <w:rsid w:val="00D55FAE"/>
    <w:rsid w:val="00D6004D"/>
    <w:rsid w:val="00D600CF"/>
    <w:rsid w:val="00D60747"/>
    <w:rsid w:val="00D60844"/>
    <w:rsid w:val="00D60A91"/>
    <w:rsid w:val="00D61639"/>
    <w:rsid w:val="00D63A59"/>
    <w:rsid w:val="00D63B8A"/>
    <w:rsid w:val="00D64FAC"/>
    <w:rsid w:val="00D653C6"/>
    <w:rsid w:val="00D65424"/>
    <w:rsid w:val="00D654B2"/>
    <w:rsid w:val="00D65515"/>
    <w:rsid w:val="00D6552E"/>
    <w:rsid w:val="00D65AD6"/>
    <w:rsid w:val="00D65E64"/>
    <w:rsid w:val="00D660BE"/>
    <w:rsid w:val="00D662AD"/>
    <w:rsid w:val="00D6698A"/>
    <w:rsid w:val="00D7111B"/>
    <w:rsid w:val="00D71139"/>
    <w:rsid w:val="00D71E5E"/>
    <w:rsid w:val="00D72091"/>
    <w:rsid w:val="00D72F25"/>
    <w:rsid w:val="00D73F15"/>
    <w:rsid w:val="00D75749"/>
    <w:rsid w:val="00D75A69"/>
    <w:rsid w:val="00D75FC1"/>
    <w:rsid w:val="00D76681"/>
    <w:rsid w:val="00D7677C"/>
    <w:rsid w:val="00D769ED"/>
    <w:rsid w:val="00D77032"/>
    <w:rsid w:val="00D770A9"/>
    <w:rsid w:val="00D77408"/>
    <w:rsid w:val="00D80587"/>
    <w:rsid w:val="00D821E9"/>
    <w:rsid w:val="00D82581"/>
    <w:rsid w:val="00D850BD"/>
    <w:rsid w:val="00D86974"/>
    <w:rsid w:val="00D86B08"/>
    <w:rsid w:val="00D878C7"/>
    <w:rsid w:val="00D87CA1"/>
    <w:rsid w:val="00D901A4"/>
    <w:rsid w:val="00D9196B"/>
    <w:rsid w:val="00D921C2"/>
    <w:rsid w:val="00D925ED"/>
    <w:rsid w:val="00D92966"/>
    <w:rsid w:val="00D92CB1"/>
    <w:rsid w:val="00D9309B"/>
    <w:rsid w:val="00D9399B"/>
    <w:rsid w:val="00D94E1C"/>
    <w:rsid w:val="00D94F27"/>
    <w:rsid w:val="00D952E6"/>
    <w:rsid w:val="00D95C6C"/>
    <w:rsid w:val="00D96F70"/>
    <w:rsid w:val="00D97CE2"/>
    <w:rsid w:val="00DA0242"/>
    <w:rsid w:val="00DA062B"/>
    <w:rsid w:val="00DA1210"/>
    <w:rsid w:val="00DA3690"/>
    <w:rsid w:val="00DA391C"/>
    <w:rsid w:val="00DA3F89"/>
    <w:rsid w:val="00DA409C"/>
    <w:rsid w:val="00DA412B"/>
    <w:rsid w:val="00DA49A8"/>
    <w:rsid w:val="00DA5083"/>
    <w:rsid w:val="00DA5B5C"/>
    <w:rsid w:val="00DA5D43"/>
    <w:rsid w:val="00DA6626"/>
    <w:rsid w:val="00DA6732"/>
    <w:rsid w:val="00DA72C2"/>
    <w:rsid w:val="00DA72CA"/>
    <w:rsid w:val="00DB00D6"/>
    <w:rsid w:val="00DB02C0"/>
    <w:rsid w:val="00DB031A"/>
    <w:rsid w:val="00DB15EF"/>
    <w:rsid w:val="00DB1B95"/>
    <w:rsid w:val="00DB1DA7"/>
    <w:rsid w:val="00DB2215"/>
    <w:rsid w:val="00DB330E"/>
    <w:rsid w:val="00DB3B83"/>
    <w:rsid w:val="00DB4394"/>
    <w:rsid w:val="00DB462F"/>
    <w:rsid w:val="00DB4679"/>
    <w:rsid w:val="00DB4724"/>
    <w:rsid w:val="00DB560F"/>
    <w:rsid w:val="00DB5633"/>
    <w:rsid w:val="00DB671F"/>
    <w:rsid w:val="00DB70D3"/>
    <w:rsid w:val="00DC1190"/>
    <w:rsid w:val="00DC1DF8"/>
    <w:rsid w:val="00DC2171"/>
    <w:rsid w:val="00DC26D0"/>
    <w:rsid w:val="00DC35DE"/>
    <w:rsid w:val="00DC375D"/>
    <w:rsid w:val="00DC4A23"/>
    <w:rsid w:val="00DC4AF7"/>
    <w:rsid w:val="00DC5C7A"/>
    <w:rsid w:val="00DC5C89"/>
    <w:rsid w:val="00DC62EC"/>
    <w:rsid w:val="00DC723B"/>
    <w:rsid w:val="00DC75BC"/>
    <w:rsid w:val="00DC7BDF"/>
    <w:rsid w:val="00DD012E"/>
    <w:rsid w:val="00DD0E98"/>
    <w:rsid w:val="00DD1B57"/>
    <w:rsid w:val="00DD26C8"/>
    <w:rsid w:val="00DD47E7"/>
    <w:rsid w:val="00DD533C"/>
    <w:rsid w:val="00DD55AA"/>
    <w:rsid w:val="00DD5786"/>
    <w:rsid w:val="00DD5878"/>
    <w:rsid w:val="00DD6240"/>
    <w:rsid w:val="00DD64C7"/>
    <w:rsid w:val="00DD6904"/>
    <w:rsid w:val="00DD6C9D"/>
    <w:rsid w:val="00DD746D"/>
    <w:rsid w:val="00DD7B5C"/>
    <w:rsid w:val="00DD7CD5"/>
    <w:rsid w:val="00DE0445"/>
    <w:rsid w:val="00DE058B"/>
    <w:rsid w:val="00DE0B20"/>
    <w:rsid w:val="00DE0C46"/>
    <w:rsid w:val="00DE1757"/>
    <w:rsid w:val="00DE272E"/>
    <w:rsid w:val="00DE2CD3"/>
    <w:rsid w:val="00DE3AAA"/>
    <w:rsid w:val="00DE3BCB"/>
    <w:rsid w:val="00DE3C7B"/>
    <w:rsid w:val="00DE432A"/>
    <w:rsid w:val="00DE5668"/>
    <w:rsid w:val="00DE608E"/>
    <w:rsid w:val="00DE68AE"/>
    <w:rsid w:val="00DE6D3B"/>
    <w:rsid w:val="00DE7279"/>
    <w:rsid w:val="00DF0204"/>
    <w:rsid w:val="00DF1432"/>
    <w:rsid w:val="00DF1EAD"/>
    <w:rsid w:val="00DF330E"/>
    <w:rsid w:val="00DF3B2D"/>
    <w:rsid w:val="00DF3D67"/>
    <w:rsid w:val="00DF4764"/>
    <w:rsid w:val="00DF4C91"/>
    <w:rsid w:val="00DF52EA"/>
    <w:rsid w:val="00DF57F5"/>
    <w:rsid w:val="00DF680E"/>
    <w:rsid w:val="00DF6A25"/>
    <w:rsid w:val="00DF6C2E"/>
    <w:rsid w:val="00DF6EEA"/>
    <w:rsid w:val="00DF6FD9"/>
    <w:rsid w:val="00DF7408"/>
    <w:rsid w:val="00DF799A"/>
    <w:rsid w:val="00DF7A92"/>
    <w:rsid w:val="00E000B1"/>
    <w:rsid w:val="00E00822"/>
    <w:rsid w:val="00E01658"/>
    <w:rsid w:val="00E02328"/>
    <w:rsid w:val="00E023F5"/>
    <w:rsid w:val="00E02979"/>
    <w:rsid w:val="00E02BB4"/>
    <w:rsid w:val="00E037B7"/>
    <w:rsid w:val="00E03A53"/>
    <w:rsid w:val="00E04176"/>
    <w:rsid w:val="00E05530"/>
    <w:rsid w:val="00E05EFA"/>
    <w:rsid w:val="00E07927"/>
    <w:rsid w:val="00E101AF"/>
    <w:rsid w:val="00E102FA"/>
    <w:rsid w:val="00E107D9"/>
    <w:rsid w:val="00E11528"/>
    <w:rsid w:val="00E1237E"/>
    <w:rsid w:val="00E1241E"/>
    <w:rsid w:val="00E1302A"/>
    <w:rsid w:val="00E131A0"/>
    <w:rsid w:val="00E158AC"/>
    <w:rsid w:val="00E17C70"/>
    <w:rsid w:val="00E2251C"/>
    <w:rsid w:val="00E22C20"/>
    <w:rsid w:val="00E245FD"/>
    <w:rsid w:val="00E24944"/>
    <w:rsid w:val="00E24C42"/>
    <w:rsid w:val="00E2502D"/>
    <w:rsid w:val="00E30CDB"/>
    <w:rsid w:val="00E3207A"/>
    <w:rsid w:val="00E32601"/>
    <w:rsid w:val="00E329F8"/>
    <w:rsid w:val="00E32BB2"/>
    <w:rsid w:val="00E33CE9"/>
    <w:rsid w:val="00E3460D"/>
    <w:rsid w:val="00E348C8"/>
    <w:rsid w:val="00E34917"/>
    <w:rsid w:val="00E34983"/>
    <w:rsid w:val="00E34DCE"/>
    <w:rsid w:val="00E35287"/>
    <w:rsid w:val="00E35354"/>
    <w:rsid w:val="00E3610E"/>
    <w:rsid w:val="00E362A4"/>
    <w:rsid w:val="00E36EC4"/>
    <w:rsid w:val="00E37034"/>
    <w:rsid w:val="00E3745D"/>
    <w:rsid w:val="00E378E5"/>
    <w:rsid w:val="00E37AAA"/>
    <w:rsid w:val="00E37E5F"/>
    <w:rsid w:val="00E40531"/>
    <w:rsid w:val="00E41109"/>
    <w:rsid w:val="00E4128F"/>
    <w:rsid w:val="00E41AD0"/>
    <w:rsid w:val="00E41AE3"/>
    <w:rsid w:val="00E41D77"/>
    <w:rsid w:val="00E41EA5"/>
    <w:rsid w:val="00E42C0C"/>
    <w:rsid w:val="00E42D18"/>
    <w:rsid w:val="00E43DBF"/>
    <w:rsid w:val="00E455FF"/>
    <w:rsid w:val="00E4645F"/>
    <w:rsid w:val="00E4679B"/>
    <w:rsid w:val="00E46F10"/>
    <w:rsid w:val="00E47198"/>
    <w:rsid w:val="00E472DF"/>
    <w:rsid w:val="00E517E5"/>
    <w:rsid w:val="00E51C3A"/>
    <w:rsid w:val="00E52B05"/>
    <w:rsid w:val="00E52D7D"/>
    <w:rsid w:val="00E539EE"/>
    <w:rsid w:val="00E54F0A"/>
    <w:rsid w:val="00E54F38"/>
    <w:rsid w:val="00E55129"/>
    <w:rsid w:val="00E56935"/>
    <w:rsid w:val="00E56D65"/>
    <w:rsid w:val="00E57593"/>
    <w:rsid w:val="00E57A00"/>
    <w:rsid w:val="00E604BF"/>
    <w:rsid w:val="00E61D3E"/>
    <w:rsid w:val="00E61E92"/>
    <w:rsid w:val="00E62080"/>
    <w:rsid w:val="00E62484"/>
    <w:rsid w:val="00E62B50"/>
    <w:rsid w:val="00E62F15"/>
    <w:rsid w:val="00E632CE"/>
    <w:rsid w:val="00E63B3A"/>
    <w:rsid w:val="00E63CDE"/>
    <w:rsid w:val="00E63D23"/>
    <w:rsid w:val="00E6471E"/>
    <w:rsid w:val="00E647F3"/>
    <w:rsid w:val="00E65047"/>
    <w:rsid w:val="00E65AB0"/>
    <w:rsid w:val="00E66A4B"/>
    <w:rsid w:val="00E675E4"/>
    <w:rsid w:val="00E67C17"/>
    <w:rsid w:val="00E67D23"/>
    <w:rsid w:val="00E70455"/>
    <w:rsid w:val="00E7053E"/>
    <w:rsid w:val="00E7076F"/>
    <w:rsid w:val="00E710E2"/>
    <w:rsid w:val="00E71239"/>
    <w:rsid w:val="00E71B45"/>
    <w:rsid w:val="00E71C69"/>
    <w:rsid w:val="00E71C7B"/>
    <w:rsid w:val="00E742D9"/>
    <w:rsid w:val="00E7460A"/>
    <w:rsid w:val="00E746E1"/>
    <w:rsid w:val="00E74DCD"/>
    <w:rsid w:val="00E74DE7"/>
    <w:rsid w:val="00E74F55"/>
    <w:rsid w:val="00E7543A"/>
    <w:rsid w:val="00E76D39"/>
    <w:rsid w:val="00E76E50"/>
    <w:rsid w:val="00E77170"/>
    <w:rsid w:val="00E77A61"/>
    <w:rsid w:val="00E77C4B"/>
    <w:rsid w:val="00E800AE"/>
    <w:rsid w:val="00E8025A"/>
    <w:rsid w:val="00E80768"/>
    <w:rsid w:val="00E8099A"/>
    <w:rsid w:val="00E80A56"/>
    <w:rsid w:val="00E813AA"/>
    <w:rsid w:val="00E82F2F"/>
    <w:rsid w:val="00E83708"/>
    <w:rsid w:val="00E842B9"/>
    <w:rsid w:val="00E84D81"/>
    <w:rsid w:val="00E8523F"/>
    <w:rsid w:val="00E86168"/>
    <w:rsid w:val="00E86A20"/>
    <w:rsid w:val="00E86E38"/>
    <w:rsid w:val="00E87549"/>
    <w:rsid w:val="00E87655"/>
    <w:rsid w:val="00E87B13"/>
    <w:rsid w:val="00E87BA1"/>
    <w:rsid w:val="00E87EC7"/>
    <w:rsid w:val="00E901C4"/>
    <w:rsid w:val="00E90784"/>
    <w:rsid w:val="00E90855"/>
    <w:rsid w:val="00E90CCD"/>
    <w:rsid w:val="00E91476"/>
    <w:rsid w:val="00E9178A"/>
    <w:rsid w:val="00E918F2"/>
    <w:rsid w:val="00E92486"/>
    <w:rsid w:val="00E92869"/>
    <w:rsid w:val="00E93DDB"/>
    <w:rsid w:val="00E94290"/>
    <w:rsid w:val="00E94EC6"/>
    <w:rsid w:val="00E957D5"/>
    <w:rsid w:val="00E96042"/>
    <w:rsid w:val="00E96B97"/>
    <w:rsid w:val="00E9769D"/>
    <w:rsid w:val="00E97DCF"/>
    <w:rsid w:val="00E97E5A"/>
    <w:rsid w:val="00EA0DAC"/>
    <w:rsid w:val="00EA11D2"/>
    <w:rsid w:val="00EA1246"/>
    <w:rsid w:val="00EA3681"/>
    <w:rsid w:val="00EA39AC"/>
    <w:rsid w:val="00EA3C55"/>
    <w:rsid w:val="00EA4980"/>
    <w:rsid w:val="00EA5C59"/>
    <w:rsid w:val="00EA6B33"/>
    <w:rsid w:val="00EA71F9"/>
    <w:rsid w:val="00EA7361"/>
    <w:rsid w:val="00EA7722"/>
    <w:rsid w:val="00EB0290"/>
    <w:rsid w:val="00EB0CAC"/>
    <w:rsid w:val="00EB1545"/>
    <w:rsid w:val="00EB1BA5"/>
    <w:rsid w:val="00EB2680"/>
    <w:rsid w:val="00EB2749"/>
    <w:rsid w:val="00EB33A3"/>
    <w:rsid w:val="00EB486F"/>
    <w:rsid w:val="00EB5C43"/>
    <w:rsid w:val="00EB5C87"/>
    <w:rsid w:val="00EB5D33"/>
    <w:rsid w:val="00EB5E79"/>
    <w:rsid w:val="00EB606E"/>
    <w:rsid w:val="00EB6935"/>
    <w:rsid w:val="00EB766C"/>
    <w:rsid w:val="00EB7679"/>
    <w:rsid w:val="00EB789C"/>
    <w:rsid w:val="00EB7EDF"/>
    <w:rsid w:val="00EC00BB"/>
    <w:rsid w:val="00EC02FC"/>
    <w:rsid w:val="00EC0686"/>
    <w:rsid w:val="00EC0B12"/>
    <w:rsid w:val="00EC25D9"/>
    <w:rsid w:val="00EC2710"/>
    <w:rsid w:val="00EC349D"/>
    <w:rsid w:val="00EC3570"/>
    <w:rsid w:val="00EC3C1E"/>
    <w:rsid w:val="00EC4047"/>
    <w:rsid w:val="00EC48D7"/>
    <w:rsid w:val="00EC4DE7"/>
    <w:rsid w:val="00EC4E0E"/>
    <w:rsid w:val="00EC4E2A"/>
    <w:rsid w:val="00EC51BD"/>
    <w:rsid w:val="00EC5310"/>
    <w:rsid w:val="00EC6511"/>
    <w:rsid w:val="00EC6CCB"/>
    <w:rsid w:val="00EC7B4A"/>
    <w:rsid w:val="00ED01B7"/>
    <w:rsid w:val="00ED0665"/>
    <w:rsid w:val="00ED1225"/>
    <w:rsid w:val="00ED1B33"/>
    <w:rsid w:val="00ED1B92"/>
    <w:rsid w:val="00ED22F3"/>
    <w:rsid w:val="00ED2AAE"/>
    <w:rsid w:val="00ED2D96"/>
    <w:rsid w:val="00ED31D8"/>
    <w:rsid w:val="00ED3BC9"/>
    <w:rsid w:val="00ED41AA"/>
    <w:rsid w:val="00ED425D"/>
    <w:rsid w:val="00ED478F"/>
    <w:rsid w:val="00ED47CC"/>
    <w:rsid w:val="00ED60A9"/>
    <w:rsid w:val="00EE019D"/>
    <w:rsid w:val="00EE17B2"/>
    <w:rsid w:val="00EE1AFA"/>
    <w:rsid w:val="00EE2476"/>
    <w:rsid w:val="00EE28E2"/>
    <w:rsid w:val="00EE2BB2"/>
    <w:rsid w:val="00EE335D"/>
    <w:rsid w:val="00EE4086"/>
    <w:rsid w:val="00EE4DEF"/>
    <w:rsid w:val="00EE68D5"/>
    <w:rsid w:val="00EE6C7E"/>
    <w:rsid w:val="00EE7710"/>
    <w:rsid w:val="00EE7B34"/>
    <w:rsid w:val="00EF08A6"/>
    <w:rsid w:val="00EF15BF"/>
    <w:rsid w:val="00EF1E70"/>
    <w:rsid w:val="00EF2FFC"/>
    <w:rsid w:val="00EF41CE"/>
    <w:rsid w:val="00EF43F6"/>
    <w:rsid w:val="00EF4A8C"/>
    <w:rsid w:val="00EF4DC9"/>
    <w:rsid w:val="00EF50A9"/>
    <w:rsid w:val="00EF6152"/>
    <w:rsid w:val="00EF6859"/>
    <w:rsid w:val="00EF68F5"/>
    <w:rsid w:val="00EF7191"/>
    <w:rsid w:val="00F00FA0"/>
    <w:rsid w:val="00F012ED"/>
    <w:rsid w:val="00F014D6"/>
    <w:rsid w:val="00F01BA5"/>
    <w:rsid w:val="00F01C31"/>
    <w:rsid w:val="00F022AC"/>
    <w:rsid w:val="00F02789"/>
    <w:rsid w:val="00F050DA"/>
    <w:rsid w:val="00F065EC"/>
    <w:rsid w:val="00F07285"/>
    <w:rsid w:val="00F115EB"/>
    <w:rsid w:val="00F11C0D"/>
    <w:rsid w:val="00F130B8"/>
    <w:rsid w:val="00F132DF"/>
    <w:rsid w:val="00F1360A"/>
    <w:rsid w:val="00F139BE"/>
    <w:rsid w:val="00F13BCA"/>
    <w:rsid w:val="00F13F6F"/>
    <w:rsid w:val="00F141E7"/>
    <w:rsid w:val="00F14BF9"/>
    <w:rsid w:val="00F16295"/>
    <w:rsid w:val="00F163C6"/>
    <w:rsid w:val="00F20249"/>
    <w:rsid w:val="00F2079B"/>
    <w:rsid w:val="00F20C02"/>
    <w:rsid w:val="00F20CBD"/>
    <w:rsid w:val="00F213C5"/>
    <w:rsid w:val="00F21F89"/>
    <w:rsid w:val="00F22548"/>
    <w:rsid w:val="00F22A79"/>
    <w:rsid w:val="00F22C7C"/>
    <w:rsid w:val="00F23C83"/>
    <w:rsid w:val="00F23E2A"/>
    <w:rsid w:val="00F24DE0"/>
    <w:rsid w:val="00F25ECA"/>
    <w:rsid w:val="00F264AE"/>
    <w:rsid w:val="00F2653B"/>
    <w:rsid w:val="00F26D17"/>
    <w:rsid w:val="00F270B1"/>
    <w:rsid w:val="00F31A3E"/>
    <w:rsid w:val="00F31AEB"/>
    <w:rsid w:val="00F31BD0"/>
    <w:rsid w:val="00F32A99"/>
    <w:rsid w:val="00F32E8D"/>
    <w:rsid w:val="00F331E4"/>
    <w:rsid w:val="00F33A4F"/>
    <w:rsid w:val="00F34360"/>
    <w:rsid w:val="00F344E6"/>
    <w:rsid w:val="00F3526B"/>
    <w:rsid w:val="00F35511"/>
    <w:rsid w:val="00F35585"/>
    <w:rsid w:val="00F35594"/>
    <w:rsid w:val="00F35768"/>
    <w:rsid w:val="00F35A8F"/>
    <w:rsid w:val="00F373CA"/>
    <w:rsid w:val="00F37EAF"/>
    <w:rsid w:val="00F40D2C"/>
    <w:rsid w:val="00F40F7F"/>
    <w:rsid w:val="00F41272"/>
    <w:rsid w:val="00F41A2D"/>
    <w:rsid w:val="00F420A6"/>
    <w:rsid w:val="00F423F8"/>
    <w:rsid w:val="00F432A0"/>
    <w:rsid w:val="00F43B8A"/>
    <w:rsid w:val="00F45114"/>
    <w:rsid w:val="00F4513B"/>
    <w:rsid w:val="00F460D9"/>
    <w:rsid w:val="00F46194"/>
    <w:rsid w:val="00F47A9D"/>
    <w:rsid w:val="00F47F1C"/>
    <w:rsid w:val="00F47FF6"/>
    <w:rsid w:val="00F506B3"/>
    <w:rsid w:val="00F5076F"/>
    <w:rsid w:val="00F50AB6"/>
    <w:rsid w:val="00F50C89"/>
    <w:rsid w:val="00F50D4A"/>
    <w:rsid w:val="00F50F65"/>
    <w:rsid w:val="00F50FFC"/>
    <w:rsid w:val="00F5198A"/>
    <w:rsid w:val="00F51BC0"/>
    <w:rsid w:val="00F52277"/>
    <w:rsid w:val="00F5315A"/>
    <w:rsid w:val="00F53985"/>
    <w:rsid w:val="00F54411"/>
    <w:rsid w:val="00F550D2"/>
    <w:rsid w:val="00F55C84"/>
    <w:rsid w:val="00F57D13"/>
    <w:rsid w:val="00F60F0E"/>
    <w:rsid w:val="00F61BEF"/>
    <w:rsid w:val="00F6261B"/>
    <w:rsid w:val="00F6297C"/>
    <w:rsid w:val="00F62CAC"/>
    <w:rsid w:val="00F62D27"/>
    <w:rsid w:val="00F641A8"/>
    <w:rsid w:val="00F65356"/>
    <w:rsid w:val="00F663C1"/>
    <w:rsid w:val="00F66739"/>
    <w:rsid w:val="00F67A74"/>
    <w:rsid w:val="00F7021F"/>
    <w:rsid w:val="00F70AB2"/>
    <w:rsid w:val="00F70B00"/>
    <w:rsid w:val="00F70BC6"/>
    <w:rsid w:val="00F70E0F"/>
    <w:rsid w:val="00F7135D"/>
    <w:rsid w:val="00F7194D"/>
    <w:rsid w:val="00F729AB"/>
    <w:rsid w:val="00F72A63"/>
    <w:rsid w:val="00F72EC7"/>
    <w:rsid w:val="00F732F6"/>
    <w:rsid w:val="00F73F31"/>
    <w:rsid w:val="00F74124"/>
    <w:rsid w:val="00F7477A"/>
    <w:rsid w:val="00F74BFA"/>
    <w:rsid w:val="00F763FA"/>
    <w:rsid w:val="00F766D1"/>
    <w:rsid w:val="00F77380"/>
    <w:rsid w:val="00F81199"/>
    <w:rsid w:val="00F82026"/>
    <w:rsid w:val="00F8304E"/>
    <w:rsid w:val="00F830FF"/>
    <w:rsid w:val="00F83AA3"/>
    <w:rsid w:val="00F840D4"/>
    <w:rsid w:val="00F84D41"/>
    <w:rsid w:val="00F852E3"/>
    <w:rsid w:val="00F85E38"/>
    <w:rsid w:val="00F87451"/>
    <w:rsid w:val="00F874EE"/>
    <w:rsid w:val="00F87654"/>
    <w:rsid w:val="00F87885"/>
    <w:rsid w:val="00F87AAE"/>
    <w:rsid w:val="00F90772"/>
    <w:rsid w:val="00F90A70"/>
    <w:rsid w:val="00F90D31"/>
    <w:rsid w:val="00F9143F"/>
    <w:rsid w:val="00F916A7"/>
    <w:rsid w:val="00F91DC6"/>
    <w:rsid w:val="00F91DEE"/>
    <w:rsid w:val="00F92C38"/>
    <w:rsid w:val="00F92E37"/>
    <w:rsid w:val="00F93015"/>
    <w:rsid w:val="00F935AB"/>
    <w:rsid w:val="00F93A6D"/>
    <w:rsid w:val="00F95578"/>
    <w:rsid w:val="00F957A1"/>
    <w:rsid w:val="00F965F7"/>
    <w:rsid w:val="00F96B76"/>
    <w:rsid w:val="00FA03CE"/>
    <w:rsid w:val="00FA04D2"/>
    <w:rsid w:val="00FA0A04"/>
    <w:rsid w:val="00FA0B57"/>
    <w:rsid w:val="00FA0BA4"/>
    <w:rsid w:val="00FA18F6"/>
    <w:rsid w:val="00FA1A01"/>
    <w:rsid w:val="00FA3237"/>
    <w:rsid w:val="00FA324B"/>
    <w:rsid w:val="00FA3E17"/>
    <w:rsid w:val="00FA4E13"/>
    <w:rsid w:val="00FA5325"/>
    <w:rsid w:val="00FA63FF"/>
    <w:rsid w:val="00FA6D2B"/>
    <w:rsid w:val="00FB008A"/>
    <w:rsid w:val="00FB138E"/>
    <w:rsid w:val="00FB167A"/>
    <w:rsid w:val="00FB19EF"/>
    <w:rsid w:val="00FB1A22"/>
    <w:rsid w:val="00FB1AF4"/>
    <w:rsid w:val="00FB1D51"/>
    <w:rsid w:val="00FB1DB8"/>
    <w:rsid w:val="00FB262E"/>
    <w:rsid w:val="00FB2B1D"/>
    <w:rsid w:val="00FB3391"/>
    <w:rsid w:val="00FB3976"/>
    <w:rsid w:val="00FB4360"/>
    <w:rsid w:val="00FB5E97"/>
    <w:rsid w:val="00FB6D24"/>
    <w:rsid w:val="00FB70F3"/>
    <w:rsid w:val="00FC0119"/>
    <w:rsid w:val="00FC168D"/>
    <w:rsid w:val="00FC17C4"/>
    <w:rsid w:val="00FC2D6E"/>
    <w:rsid w:val="00FC3408"/>
    <w:rsid w:val="00FC4ECA"/>
    <w:rsid w:val="00FC52C7"/>
    <w:rsid w:val="00FC60AA"/>
    <w:rsid w:val="00FC6595"/>
    <w:rsid w:val="00FC77E7"/>
    <w:rsid w:val="00FC7948"/>
    <w:rsid w:val="00FC7C63"/>
    <w:rsid w:val="00FD0259"/>
    <w:rsid w:val="00FD1177"/>
    <w:rsid w:val="00FD1BA6"/>
    <w:rsid w:val="00FD262A"/>
    <w:rsid w:val="00FD32D7"/>
    <w:rsid w:val="00FD3672"/>
    <w:rsid w:val="00FD3740"/>
    <w:rsid w:val="00FD379A"/>
    <w:rsid w:val="00FD4374"/>
    <w:rsid w:val="00FD5342"/>
    <w:rsid w:val="00FD5742"/>
    <w:rsid w:val="00FD58A1"/>
    <w:rsid w:val="00FD5CF6"/>
    <w:rsid w:val="00FD6C7B"/>
    <w:rsid w:val="00FD74CB"/>
    <w:rsid w:val="00FD79EE"/>
    <w:rsid w:val="00FD7B5F"/>
    <w:rsid w:val="00FD7FA2"/>
    <w:rsid w:val="00FE0E1F"/>
    <w:rsid w:val="00FE0EF6"/>
    <w:rsid w:val="00FE2AC8"/>
    <w:rsid w:val="00FE4541"/>
    <w:rsid w:val="00FE4944"/>
    <w:rsid w:val="00FE4CBC"/>
    <w:rsid w:val="00FE4DE6"/>
    <w:rsid w:val="00FE582B"/>
    <w:rsid w:val="00FE5B8D"/>
    <w:rsid w:val="00FE6C13"/>
    <w:rsid w:val="00FE6E0D"/>
    <w:rsid w:val="00FE7C32"/>
    <w:rsid w:val="00FF05CA"/>
    <w:rsid w:val="00FF0A78"/>
    <w:rsid w:val="00FF1BEC"/>
    <w:rsid w:val="00FF2A45"/>
    <w:rsid w:val="00FF30FA"/>
    <w:rsid w:val="00FF3615"/>
    <w:rsid w:val="00FF3FDB"/>
    <w:rsid w:val="00FF507D"/>
    <w:rsid w:val="00FF5132"/>
    <w:rsid w:val="00FF5462"/>
    <w:rsid w:val="00FF5995"/>
    <w:rsid w:val="00FF5CAA"/>
    <w:rsid w:val="00FF63E5"/>
    <w:rsid w:val="00FF6EF9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2C195A"/>
  <w15:chartTrackingRefBased/>
  <w15:docId w15:val="{4A42ED08-6682-48E9-BB1B-44399668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Pr>
      <w:sz w:val="20"/>
      <w:vertAlign w:val="superscript"/>
    </w:rPr>
  </w:style>
  <w:style w:type="paragraph" w:styleId="FootnoteText">
    <w:name w:val="footnote text"/>
    <w:basedOn w:val="Normal"/>
    <w:link w:val="FootnoteTextChar"/>
    <w:pPr>
      <w:widowControl w:val="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</w:rPr>
  </w:style>
  <w:style w:type="paragraph" w:styleId="BodyText2">
    <w:name w:val="Body Text 2"/>
    <w:basedOn w:val="Normal"/>
    <w:semiHidden/>
    <w:rPr>
      <w:sz w:val="24"/>
    </w:rPr>
  </w:style>
  <w:style w:type="paragraph" w:styleId="ListParagraph">
    <w:name w:val="List Paragraph"/>
    <w:basedOn w:val="Normal"/>
    <w:uiPriority w:val="34"/>
    <w:qFormat/>
    <w:rsid w:val="00C45CC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57A0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7A0A"/>
  </w:style>
  <w:style w:type="character" w:styleId="EndnoteReference">
    <w:name w:val="endnote reference"/>
    <w:basedOn w:val="DefaultParagraphFont"/>
    <w:uiPriority w:val="99"/>
    <w:semiHidden/>
    <w:unhideWhenUsed/>
    <w:rsid w:val="00C57A0A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3F42E4"/>
  </w:style>
  <w:style w:type="paragraph" w:styleId="BalloonText">
    <w:name w:val="Balloon Text"/>
    <w:basedOn w:val="Normal"/>
    <w:link w:val="BalloonTextChar"/>
    <w:uiPriority w:val="99"/>
    <w:semiHidden/>
    <w:unhideWhenUsed/>
    <w:rsid w:val="00E56D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D65"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315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95580B468F346A4C463B2EA7BEAA1" ma:contentTypeVersion="19" ma:contentTypeDescription="Create a new document." ma:contentTypeScope="" ma:versionID="f927fff265c5f172172d2ffc1790e436">
  <xsd:schema xmlns:xsd="http://www.w3.org/2001/XMLSchema" xmlns:xs="http://www.w3.org/2001/XMLSchema" xmlns:p="http://schemas.microsoft.com/office/2006/metadata/properties" xmlns:ns2="38d1cc01-ac6f-41c2-9aa5-887b22cd2b02" xmlns:ns3="260f0ded-529c-47ef-9161-d699068475d3" targetNamespace="http://schemas.microsoft.com/office/2006/metadata/properties" ma:root="true" ma:fieldsID="ca8dd1ffeb7fd64ee392599b7380c686" ns2:_="" ns3:_="">
    <xsd:import namespace="38d1cc01-ac6f-41c2-9aa5-887b22cd2b02"/>
    <xsd:import namespace="260f0ded-529c-47ef-9161-d69906847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cc01-ac6f-41c2-9aa5-887b22cd2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bb9fbf-0e89-45b0-a3cf-cdefa6d17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f0ded-529c-47ef-9161-d69906847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e4c1a1-25f6-4c82-a6c5-d390927796a4}" ma:internalName="TaxCatchAll" ma:showField="CatchAllData" ma:web="260f0ded-529c-47ef-9161-d69906847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0f0ded-529c-47ef-9161-d699068475d3" xsi:nil="true"/>
    <lcf76f155ced4ddcb4097134ff3c332f xmlns="38d1cc01-ac6f-41c2-9aa5-887b22cd2b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2897CE-6EB9-4846-B94B-783CE4222E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EB2F8A-BBEF-41E2-832B-D5A7B33A607C}"/>
</file>

<file path=customXml/itemProps3.xml><?xml version="1.0" encoding="utf-8"?>
<ds:datastoreItem xmlns:ds="http://schemas.openxmlformats.org/officeDocument/2006/customXml" ds:itemID="{AE91AD40-3427-41F2-9FCC-A72F13EF360A}"/>
</file>

<file path=customXml/itemProps4.xml><?xml version="1.0" encoding="utf-8"?>
<ds:datastoreItem xmlns:ds="http://schemas.openxmlformats.org/officeDocument/2006/customXml" ds:itemID="{A12BFFB7-EA97-4E37-98BB-56668B8C64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575</Words>
  <Characters>3156</Characters>
  <Application>Microsoft Office Word</Application>
  <DocSecurity>0</DocSecurity>
  <Lines>394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Quarter 2002 Quick Take</vt:lpstr>
    </vt:vector>
  </TitlesOfParts>
  <Company>Dell Computer Corporation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Quarter 2002 Quick Take</dc:title>
  <dc:subject/>
  <dc:creator>S. Michael Giliberto</dc:creator>
  <cp:keywords/>
  <dc:description/>
  <cp:lastModifiedBy>Michael Giliberto</cp:lastModifiedBy>
  <cp:revision>67</cp:revision>
  <dcterms:created xsi:type="dcterms:W3CDTF">2025-10-29T11:30:00Z</dcterms:created>
  <dcterms:modified xsi:type="dcterms:W3CDTF">2025-10-29T12:21:00Z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0x01010022495580B468F346A4C463B2EA7BEAA1</vt:lpwstr>
  </property>
</Properties>
</file>