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09" w:rsidRPr="00720A09" w:rsidRDefault="001055AB" w:rsidP="001055AB">
      <w:pPr>
        <w:jc w:val="center"/>
      </w:pPr>
      <w:r>
        <w:rPr>
          <w:noProof/>
        </w:rPr>
        <w:drawing>
          <wp:inline distT="0" distB="0" distL="0" distR="0" wp14:anchorId="122A2141">
            <wp:extent cx="1375575" cy="74272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39" cy="756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5AB" w:rsidRPr="00473DB6" w:rsidRDefault="00807ACC" w:rsidP="001055AB">
      <w:pPr>
        <w:jc w:val="center"/>
        <w:rPr>
          <w:b/>
        </w:rPr>
      </w:pPr>
      <w:r>
        <w:rPr>
          <w:b/>
        </w:rPr>
        <w:t>June 30</w:t>
      </w:r>
      <w:r w:rsidR="001055AB" w:rsidRPr="00473DB6">
        <w:rPr>
          <w:b/>
        </w:rPr>
        <w:t>, 2025</w:t>
      </w:r>
    </w:p>
    <w:p w:rsidR="00473DB6" w:rsidRPr="00473DB6" w:rsidRDefault="00473DB6" w:rsidP="00473DB6">
      <w:p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proofErr w:type="spellStart"/>
      <w:r w:rsidRP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Microunits</w:t>
      </w:r>
      <w:proofErr w:type="spellEnd"/>
      <w:r w:rsidRP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 for Recovery Residences: Procurement or Construction of </w:t>
      </w:r>
      <w:proofErr w:type="spellStart"/>
      <w:r w:rsidRP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Microunits</w:t>
      </w:r>
      <w:proofErr w:type="spellEnd"/>
      <w:r w:rsidRP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, Site Development, and Placement of </w:t>
      </w:r>
      <w:proofErr w:type="spellStart"/>
      <w:r w:rsidRP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Microunits</w:t>
      </w:r>
      <w:proofErr w:type="spellEnd"/>
    </w:p>
    <w:p w:rsidR="00807ACC" w:rsidRPr="00807ACC" w:rsidRDefault="00807ACC" w:rsidP="00473DB6">
      <w:pPr>
        <w:spacing w:line="254" w:lineRule="auto"/>
        <w:rPr>
          <w:rFonts w:ascii="Arial" w:hAnsi="Arial" w:cs="Arial"/>
          <w:b/>
          <w:bCs/>
          <w:color w:val="1D5072"/>
          <w:sz w:val="16"/>
          <w:szCs w:val="16"/>
          <w:shd w:val="clear" w:color="auto" w:fill="FFFFFF"/>
        </w:rPr>
      </w:pPr>
    </w:p>
    <w:p w:rsidR="00473DB6" w:rsidRPr="00473DB6" w:rsidRDefault="00807ACC" w:rsidP="00473DB6">
      <w:p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Addendum #2</w:t>
      </w:r>
      <w:r w:rsid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:</w:t>
      </w:r>
    </w:p>
    <w:p w:rsidR="00473DB6" w:rsidRPr="00807ACC" w:rsidRDefault="00473DB6" w:rsidP="00473DB6">
      <w:pPr>
        <w:spacing w:line="254" w:lineRule="auto"/>
        <w:rPr>
          <w:rFonts w:ascii="Arial" w:hAnsi="Arial" w:cs="Arial"/>
          <w:b/>
          <w:bCs/>
          <w:color w:val="1D5072"/>
          <w:sz w:val="16"/>
          <w:szCs w:val="16"/>
          <w:shd w:val="clear" w:color="auto" w:fill="FFFFFF"/>
        </w:rPr>
      </w:pPr>
    </w:p>
    <w:p w:rsidR="00807ACC" w:rsidRDefault="00473DB6" w:rsidP="00473DB6">
      <w:p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 w:rsidRP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The purpose of this addendum is to</w:t>
      </w:r>
      <w:r w:rsidR="00807ACC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:</w:t>
      </w:r>
    </w:p>
    <w:p w:rsidR="00807ACC" w:rsidRDefault="00807ACC" w:rsidP="00807ACC">
      <w:pPr>
        <w:pStyle w:val="ListParagraph"/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473DB6" w:rsidRDefault="00807ACC" w:rsidP="00807ACC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Increase micro unit single occupancy dimensions to 80-120 sq. feet:  (See Appendix A, 1.1 </w:t>
      </w:r>
      <w:r w:rsidR="00473DB6" w:rsidRPr="00807ACC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of the RFP). </w:t>
      </w:r>
    </w:p>
    <w:p w:rsidR="00AF3E26" w:rsidRDefault="00AF3E26" w:rsidP="00807ACC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Clarify Appendix A, Section 1: Second sentence under Design Quality</w:t>
      </w:r>
      <w:r w:rsidR="0059649F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, Features and Parameters now reads: “Building standards should incorporate factors such as energy efficiency, </w:t>
      </w:r>
      <w:r w:rsidR="0059649F" w:rsidRPr="0059649F">
        <w:rPr>
          <w:rFonts w:ascii="Arial" w:hAnsi="Arial" w:cs="Arial"/>
          <w:b/>
          <w:bCs/>
          <w:i/>
          <w:color w:val="1D5072"/>
          <w:sz w:val="32"/>
          <w:szCs w:val="32"/>
          <w:shd w:val="clear" w:color="auto" w:fill="FFFFFF"/>
        </w:rPr>
        <w:t>ventilation</w:t>
      </w:r>
      <w:r w:rsidR="0059649F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, snow load, wind and other weather elements.”</w:t>
      </w:r>
    </w:p>
    <w:p w:rsidR="00807ACC" w:rsidRDefault="00807ACC" w:rsidP="00807ACC">
      <w:pPr>
        <w:pStyle w:val="ListParagraph"/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807ACC" w:rsidRDefault="00807ACC" w:rsidP="00807ACC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Add the following sentence to Appendix </w:t>
      </w:r>
      <w:proofErr w:type="gramStart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A</w:t>
      </w:r>
      <w:proofErr w:type="gramEnd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 1.9 of the RFP: “These structures shall be exempt from Building Permits only as defined in Anchorage Municipal Code 23.12.104.16; please refer to MOA Development Department Handout AG.31 for additional information (included)”.</w:t>
      </w:r>
    </w:p>
    <w:p w:rsidR="00807ACC" w:rsidRPr="00807ACC" w:rsidRDefault="00807ACC" w:rsidP="00807ACC">
      <w:pPr>
        <w:pStyle w:val="ListParagraph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807ACC" w:rsidRDefault="00807ACC" w:rsidP="00807ACC">
      <w:pPr>
        <w:pStyle w:val="ListParagraph"/>
        <w:numPr>
          <w:ilvl w:val="1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This code addresses the foundation exemption process for “shelter units” which can be utilized for this project.</w:t>
      </w:r>
    </w:p>
    <w:p w:rsidR="00807ACC" w:rsidRDefault="00807ACC" w:rsidP="00807ACC">
      <w:pPr>
        <w:pStyle w:val="ListParagraph"/>
        <w:spacing w:line="254" w:lineRule="auto"/>
        <w:ind w:left="1440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807ACC" w:rsidRDefault="00807ACC" w:rsidP="00807ACC">
      <w:pPr>
        <w:pStyle w:val="ListParagraph"/>
        <w:numPr>
          <w:ilvl w:val="0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lastRenderedPageBreak/>
        <w:t xml:space="preserve"> Clarify Appendix A, 2.1, 2.2, 2.3:</w:t>
      </w:r>
    </w:p>
    <w:p w:rsidR="00807ACC" w:rsidRDefault="00807ACC" w:rsidP="00807ACC">
      <w:pPr>
        <w:pStyle w:val="ListParagraph"/>
        <w:numPr>
          <w:ilvl w:val="1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Appendix </w:t>
      </w:r>
      <w:proofErr w:type="gramStart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A</w:t>
      </w:r>
      <w:proofErr w:type="gramEnd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 2.1 was previous mislabeled as 2.10. This sub point (now 2.1) calls for an exterior common space for the community, with a minimum of 400 sq. ft. To clarify, if a structure is developed to support this goal, there is a limit of 400 sq. ft. There is no limit for this goal if it’s an outdoor area with no structural improvements (temporary or otherwise).</w:t>
      </w:r>
    </w:p>
    <w:p w:rsidR="00807ACC" w:rsidRDefault="00807ACC" w:rsidP="00807ACC">
      <w:pPr>
        <w:pStyle w:val="ListParagraph"/>
        <w:spacing w:line="254" w:lineRule="auto"/>
        <w:ind w:left="1440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807ACC" w:rsidRDefault="00807ACC" w:rsidP="00807ACC">
      <w:pPr>
        <w:pStyle w:val="ListParagraph"/>
        <w:numPr>
          <w:ilvl w:val="1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 Appendix </w:t>
      </w:r>
      <w:proofErr w:type="gramStart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A</w:t>
      </w:r>
      <w:proofErr w:type="gramEnd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 2.2 was previously mislabeled as 2.1. This sub point (now 2.2) calls for two (2) office spaces of 200 sq. </w:t>
      </w:r>
      <w:proofErr w:type="spellStart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ft</w:t>
      </w:r>
      <w:proofErr w:type="spellEnd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 each. These can be one structure if needed (2 units housed within 400 sq. </w:t>
      </w:r>
      <w:proofErr w:type="spellStart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ft</w:t>
      </w:r>
      <w:proofErr w:type="spellEnd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 total). </w:t>
      </w:r>
    </w:p>
    <w:p w:rsidR="00807ACC" w:rsidRPr="00807ACC" w:rsidRDefault="00807ACC" w:rsidP="00807ACC">
      <w:pPr>
        <w:pStyle w:val="ListParagraph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807ACC" w:rsidRDefault="00807ACC" w:rsidP="00807ACC">
      <w:pPr>
        <w:pStyle w:val="ListParagraph"/>
        <w:numPr>
          <w:ilvl w:val="1"/>
          <w:numId w:val="6"/>
        </w:num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Appendix 2.3 was previously mislabeled as 2.2. This sub point (now 2.3) calls for one (1) interior common space area to serve the community </w:t>
      </w:r>
      <w:r w:rsidR="0059649F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 xml:space="preserve">of 400 </w:t>
      </w:r>
      <w:bookmarkStart w:id="0" w:name="_GoBack"/>
      <w:bookmarkEnd w:id="0"/>
      <w:r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sq. ft. This can be one or two structures, whichever is more suitable for your project</w:t>
      </w:r>
    </w:p>
    <w:p w:rsidR="00807ACC" w:rsidRPr="00807ACC" w:rsidRDefault="00807ACC" w:rsidP="00807ACC">
      <w:pPr>
        <w:pStyle w:val="ListParagraph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473DB6" w:rsidRPr="00473DB6" w:rsidRDefault="00473DB6" w:rsidP="00473DB6">
      <w:pPr>
        <w:spacing w:line="254" w:lineRule="auto"/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</w:pPr>
    </w:p>
    <w:p w:rsidR="00473DB6" w:rsidRPr="00473DB6" w:rsidRDefault="00473DB6" w:rsidP="00473DB6">
      <w:pPr>
        <w:spacing w:line="254" w:lineRule="auto"/>
        <w:jc w:val="center"/>
        <w:rPr>
          <w:rFonts w:ascii="Calibri" w:hAnsi="Calibri" w:cs="Calibri"/>
          <w:sz w:val="32"/>
          <w:szCs w:val="32"/>
        </w:rPr>
      </w:pPr>
      <w:r w:rsidRPr="00473DB6">
        <w:rPr>
          <w:rFonts w:ascii="Arial" w:hAnsi="Arial" w:cs="Arial"/>
          <w:b/>
          <w:bCs/>
          <w:color w:val="1D5072"/>
          <w:sz w:val="32"/>
          <w:szCs w:val="32"/>
          <w:shd w:val="clear" w:color="auto" w:fill="FFFFFF"/>
        </w:rPr>
        <w:t>###</w:t>
      </w:r>
    </w:p>
    <w:p w:rsidR="00473DB6" w:rsidRPr="00473DB6" w:rsidRDefault="00473DB6" w:rsidP="00473DB6">
      <w:pPr>
        <w:rPr>
          <w:sz w:val="32"/>
          <w:szCs w:val="32"/>
        </w:rPr>
      </w:pPr>
    </w:p>
    <w:p w:rsidR="009844F8" w:rsidRPr="00473DB6" w:rsidRDefault="009844F8">
      <w:pPr>
        <w:rPr>
          <w:sz w:val="32"/>
          <w:szCs w:val="32"/>
        </w:rPr>
      </w:pPr>
    </w:p>
    <w:sectPr w:rsidR="009844F8" w:rsidRPr="0047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2472"/>
    <w:multiLevelType w:val="hybridMultilevel"/>
    <w:tmpl w:val="AB18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CAA"/>
    <w:multiLevelType w:val="hybridMultilevel"/>
    <w:tmpl w:val="7F08B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1209"/>
    <w:multiLevelType w:val="hybridMultilevel"/>
    <w:tmpl w:val="230E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E0179"/>
    <w:multiLevelType w:val="hybridMultilevel"/>
    <w:tmpl w:val="75EA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90B79"/>
    <w:multiLevelType w:val="hybridMultilevel"/>
    <w:tmpl w:val="87D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B5D19"/>
    <w:multiLevelType w:val="hybridMultilevel"/>
    <w:tmpl w:val="974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09"/>
    <w:rsid w:val="0007369A"/>
    <w:rsid w:val="000C10BA"/>
    <w:rsid w:val="00103991"/>
    <w:rsid w:val="001055AB"/>
    <w:rsid w:val="00374765"/>
    <w:rsid w:val="00473DB6"/>
    <w:rsid w:val="0059649F"/>
    <w:rsid w:val="00606354"/>
    <w:rsid w:val="00720A09"/>
    <w:rsid w:val="00807ACC"/>
    <w:rsid w:val="008A7BAA"/>
    <w:rsid w:val="009844F8"/>
    <w:rsid w:val="00AF3E26"/>
    <w:rsid w:val="00BC7AF8"/>
    <w:rsid w:val="00CD156E"/>
    <w:rsid w:val="00D20A60"/>
    <w:rsid w:val="00F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A0E3"/>
  <w15:chartTrackingRefBased/>
  <w15:docId w15:val="{6E28420D-E4BD-420B-A72A-35CB13AE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A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51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Stovall</dc:creator>
  <cp:keywords/>
  <dc:description/>
  <cp:lastModifiedBy>John Woodbury</cp:lastModifiedBy>
  <cp:revision>4</cp:revision>
  <cp:lastPrinted>2025-06-30T22:46:00Z</cp:lastPrinted>
  <dcterms:created xsi:type="dcterms:W3CDTF">2025-06-25T18:38:00Z</dcterms:created>
  <dcterms:modified xsi:type="dcterms:W3CDTF">2025-06-30T23:55:00Z</dcterms:modified>
</cp:coreProperties>
</file>