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73009" w14:paraId="329AA98B" w14:textId="77777777" w:rsidTr="00073009">
        <w:tc>
          <w:tcPr>
            <w:tcW w:w="9016" w:type="dxa"/>
          </w:tcPr>
          <w:p w14:paraId="27E90CBE" w14:textId="402C58AA" w:rsidR="00073009" w:rsidRPr="001D3D82" w:rsidRDefault="00073009" w:rsidP="00BD7DB3">
            <w:pPr>
              <w:tabs>
                <w:tab w:val="center" w:pos="4513"/>
                <w:tab w:val="right" w:pos="9026"/>
              </w:tabs>
              <w:rPr>
                <w:rFonts w:eastAsia="Times New Roman"/>
                <w:b/>
                <w:bCs/>
                <w:color w:val="002060"/>
                <w:lang w:val="en-US"/>
              </w:rPr>
            </w:pPr>
          </w:p>
        </w:tc>
      </w:tr>
      <w:tr w:rsidR="00073009" w14:paraId="6651FC0C" w14:textId="77777777" w:rsidTr="00073009">
        <w:tc>
          <w:tcPr>
            <w:tcW w:w="9016" w:type="dxa"/>
          </w:tcPr>
          <w:p w14:paraId="72670F23" w14:textId="27884A67" w:rsidR="00073009" w:rsidRDefault="00CB783A" w:rsidP="00BD7DB3">
            <w:pPr>
              <w:tabs>
                <w:tab w:val="center" w:pos="4513"/>
                <w:tab w:val="right" w:pos="9026"/>
              </w:tabs>
              <w:jc w:val="center"/>
              <w:rPr>
                <w:rFonts w:asciiTheme="minorHAnsi" w:eastAsia="Times New Roman" w:hAnsiTheme="minorHAnsi" w:cstheme="minorHAnsi"/>
                <w:b/>
                <w:bCs/>
                <w:color w:val="002060"/>
                <w:sz w:val="36"/>
                <w:szCs w:val="36"/>
                <w:lang w:val="en-US"/>
              </w:rPr>
            </w:pPr>
            <w:r>
              <w:rPr>
                <w:noProof/>
              </w:rPr>
              <w:drawing>
                <wp:inline distT="0" distB="0" distL="0" distR="0" wp14:anchorId="329B14EE" wp14:editId="4876BE58">
                  <wp:extent cx="1760220" cy="1760220"/>
                  <wp:effectExtent l="0" t="0" r="0" b="0"/>
                  <wp:docPr id="745324765"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border&#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76BCA327" w14:textId="77777777" w:rsidR="00073009" w:rsidRPr="001D3D82" w:rsidRDefault="00073009" w:rsidP="00BD7DB3">
            <w:pPr>
              <w:tabs>
                <w:tab w:val="center" w:pos="4513"/>
                <w:tab w:val="right" w:pos="9026"/>
              </w:tabs>
              <w:jc w:val="center"/>
              <w:rPr>
                <w:rFonts w:asciiTheme="minorHAnsi" w:eastAsia="Times New Roman" w:hAnsiTheme="minorHAnsi" w:cstheme="minorHAnsi"/>
                <w:b/>
                <w:bCs/>
                <w:color w:val="002060"/>
                <w:sz w:val="36"/>
                <w:szCs w:val="36"/>
                <w:lang w:val="en-US"/>
              </w:rPr>
            </w:pPr>
          </w:p>
          <w:p w14:paraId="3DCC0FAC" w14:textId="7340FD86" w:rsidR="00073009" w:rsidRDefault="00BE63A2" w:rsidP="00BE63A2">
            <w:pPr>
              <w:tabs>
                <w:tab w:val="center" w:pos="4513"/>
                <w:tab w:val="right" w:pos="9026"/>
              </w:tabs>
              <w:jc w:val="center"/>
              <w:rPr>
                <w:rFonts w:asciiTheme="minorHAnsi" w:eastAsia="Times New Roman" w:hAnsiTheme="minorHAnsi" w:cstheme="minorHAnsi"/>
                <w:b/>
                <w:bCs/>
                <w:color w:val="002060"/>
                <w:sz w:val="48"/>
                <w:szCs w:val="36"/>
                <w:lang w:val="en-US"/>
              </w:rPr>
            </w:pPr>
            <w:r w:rsidRPr="00BE63A2">
              <w:rPr>
                <w:rFonts w:asciiTheme="minorHAnsi" w:eastAsia="Times New Roman" w:hAnsiTheme="minorHAnsi" w:cstheme="minorHAnsi"/>
                <w:b/>
                <w:bCs/>
                <w:color w:val="002060"/>
                <w:sz w:val="48"/>
                <w:szCs w:val="36"/>
                <w:lang w:val="en-US"/>
              </w:rPr>
              <w:t>Confidential Reporting</w:t>
            </w:r>
            <w:r w:rsidR="00CB783A">
              <w:rPr>
                <w:rFonts w:asciiTheme="minorHAnsi" w:eastAsia="Times New Roman" w:hAnsiTheme="minorHAnsi" w:cstheme="minorHAnsi"/>
                <w:b/>
                <w:bCs/>
                <w:color w:val="002060"/>
                <w:sz w:val="48"/>
                <w:szCs w:val="36"/>
                <w:lang w:val="en-US"/>
              </w:rPr>
              <w:t xml:space="preserve"> (Whistleblowing)</w:t>
            </w:r>
            <w:r>
              <w:rPr>
                <w:rFonts w:asciiTheme="minorHAnsi" w:eastAsia="Times New Roman" w:hAnsiTheme="minorHAnsi" w:cstheme="minorHAnsi"/>
                <w:b/>
                <w:bCs/>
                <w:color w:val="002060"/>
                <w:sz w:val="48"/>
                <w:szCs w:val="36"/>
                <w:lang w:val="en-US"/>
              </w:rPr>
              <w:t xml:space="preserve"> </w:t>
            </w:r>
            <w:r w:rsidRPr="00BE63A2">
              <w:rPr>
                <w:rFonts w:asciiTheme="minorHAnsi" w:eastAsia="Times New Roman" w:hAnsiTheme="minorHAnsi" w:cstheme="minorHAnsi"/>
                <w:b/>
                <w:bCs/>
                <w:color w:val="002060"/>
                <w:sz w:val="48"/>
                <w:szCs w:val="36"/>
                <w:lang w:val="en-US"/>
              </w:rPr>
              <w:t>Policy</w:t>
            </w:r>
          </w:p>
          <w:p w14:paraId="588200BD" w14:textId="4147E195" w:rsidR="00BE63A2" w:rsidRPr="006151DD" w:rsidRDefault="00BE63A2" w:rsidP="00BE63A2">
            <w:pPr>
              <w:tabs>
                <w:tab w:val="center" w:pos="4513"/>
                <w:tab w:val="right" w:pos="9026"/>
              </w:tabs>
              <w:jc w:val="center"/>
              <w:rPr>
                <w:rFonts w:asciiTheme="minorHAnsi" w:eastAsia="Times New Roman" w:hAnsiTheme="minorHAnsi" w:cstheme="minorHAnsi"/>
                <w:b/>
                <w:bCs/>
                <w:color w:val="002060"/>
                <w:sz w:val="48"/>
                <w:szCs w:val="36"/>
                <w:lang w:val="en-US"/>
              </w:rPr>
            </w:pPr>
          </w:p>
          <w:p w14:paraId="0E6348E6" w14:textId="77777777" w:rsidR="00073009" w:rsidRDefault="00073009" w:rsidP="00BD7DB3">
            <w:pPr>
              <w:tabs>
                <w:tab w:val="center" w:pos="4513"/>
                <w:tab w:val="right" w:pos="9026"/>
              </w:tabs>
              <w:jc w:val="center"/>
              <w:rPr>
                <w:rFonts w:asciiTheme="minorHAnsi" w:eastAsia="Times New Roman" w:hAnsiTheme="minorHAnsi" w:cstheme="minorHAnsi"/>
                <w:b/>
                <w:bCs/>
                <w:color w:val="002060"/>
                <w:sz w:val="36"/>
                <w:szCs w:val="36"/>
                <w:lang w:val="en-US"/>
              </w:rPr>
            </w:pPr>
          </w:p>
          <w:p w14:paraId="4F4BC1EF" w14:textId="38D40E19" w:rsidR="00073009" w:rsidRPr="001D3D82" w:rsidRDefault="000F6A07" w:rsidP="00BD7DB3">
            <w:pPr>
              <w:tabs>
                <w:tab w:val="center" w:pos="4513"/>
                <w:tab w:val="right" w:pos="9026"/>
              </w:tabs>
              <w:jc w:val="center"/>
              <w:rPr>
                <w:rFonts w:asciiTheme="minorHAnsi" w:eastAsia="Times New Roman" w:hAnsiTheme="minorHAnsi" w:cstheme="minorHAnsi"/>
                <w:b/>
                <w:bCs/>
                <w:color w:val="002060"/>
                <w:sz w:val="32"/>
                <w:szCs w:val="36"/>
                <w:lang w:val="en-US"/>
              </w:rPr>
            </w:pPr>
            <w:r>
              <w:rPr>
                <w:rFonts w:asciiTheme="minorHAnsi" w:eastAsia="Times New Roman" w:hAnsiTheme="minorHAnsi" w:cstheme="minorHAnsi"/>
                <w:b/>
                <w:bCs/>
                <w:color w:val="002060"/>
                <w:sz w:val="32"/>
                <w:szCs w:val="36"/>
                <w:lang w:val="en-US"/>
              </w:rPr>
              <w:t xml:space="preserve">January 2026 </w:t>
            </w:r>
          </w:p>
          <w:p w14:paraId="285BD6F3" w14:textId="77777777" w:rsidR="00073009" w:rsidRPr="001D3D82" w:rsidRDefault="00073009" w:rsidP="00BD7DB3">
            <w:pPr>
              <w:tabs>
                <w:tab w:val="center" w:pos="4513"/>
                <w:tab w:val="right" w:pos="9026"/>
              </w:tabs>
              <w:jc w:val="center"/>
              <w:rPr>
                <w:rFonts w:eastAsia="Times New Roman"/>
                <w:b/>
                <w:bCs/>
                <w:color w:val="002060"/>
                <w:lang w:val="en-US"/>
              </w:rPr>
            </w:pPr>
          </w:p>
        </w:tc>
      </w:tr>
    </w:tbl>
    <w:p w14:paraId="723F350B" w14:textId="77777777" w:rsidR="00073009" w:rsidRDefault="00073009" w:rsidP="00073009">
      <w:pPr>
        <w:tabs>
          <w:tab w:val="center" w:pos="4513"/>
          <w:tab w:val="right" w:pos="9026"/>
        </w:tabs>
        <w:rPr>
          <w:b/>
          <w:bCs/>
          <w:caps/>
          <w:u w:val="single"/>
          <w:lang w:val="en-US"/>
        </w:rPr>
      </w:pPr>
    </w:p>
    <w:p w14:paraId="7DE2DB48" w14:textId="77777777" w:rsidR="00073009" w:rsidRDefault="00073009" w:rsidP="00073009">
      <w:pPr>
        <w:rPr>
          <w:rFonts w:asciiTheme="minorHAnsi" w:eastAsia="Century Gothic" w:hAnsiTheme="minorHAnsi" w:cstheme="minorHAnsi"/>
          <w:b/>
          <w:lang w:bidi="en-US"/>
        </w:rPr>
      </w:pPr>
      <w:r>
        <w:rPr>
          <w:rFonts w:asciiTheme="minorHAnsi" w:eastAsia="Century Gothic" w:hAnsiTheme="minorHAnsi" w:cstheme="minorHAnsi"/>
          <w:b/>
          <w:lang w:bidi="en-US"/>
        </w:rPr>
        <w:br w:type="page"/>
      </w:r>
    </w:p>
    <w:p w14:paraId="030355C4" w14:textId="77777777" w:rsidR="00225386" w:rsidRPr="00406F3F" w:rsidRDefault="00225386" w:rsidP="00225386"/>
    <w:tbl>
      <w:tblPr>
        <w:tblStyle w:val="TableGrid"/>
        <w:tblW w:w="0" w:type="auto"/>
        <w:tblLook w:val="04A0" w:firstRow="1" w:lastRow="0" w:firstColumn="1" w:lastColumn="0" w:noHBand="0" w:noVBand="1"/>
      </w:tblPr>
      <w:tblGrid>
        <w:gridCol w:w="4508"/>
        <w:gridCol w:w="4508"/>
      </w:tblGrid>
      <w:tr w:rsidR="00073009" w:rsidRPr="00B43A2C" w14:paraId="49D9518F" w14:textId="77777777" w:rsidTr="00BD7DB3">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31FDF661" w14:textId="77777777" w:rsidR="00073009" w:rsidRPr="00B43A2C" w:rsidRDefault="00073009" w:rsidP="00BD7DB3">
            <w:pPr>
              <w:tabs>
                <w:tab w:val="left" w:pos="6108"/>
              </w:tabs>
              <w:rPr>
                <w:rFonts w:asciiTheme="minorHAnsi" w:eastAsia="Century Gothic" w:hAnsiTheme="minorHAnsi" w:cstheme="minorHAnsi"/>
                <w:b/>
                <w:lang w:bidi="en-US"/>
              </w:rPr>
            </w:pPr>
            <w:bookmarkStart w:id="0" w:name="_Toc163298867"/>
            <w:bookmarkStart w:id="1" w:name="_Toc169946384"/>
            <w:bookmarkStart w:id="2" w:name="_Toc180471572"/>
            <w:r w:rsidRPr="00B43A2C">
              <w:rPr>
                <w:rFonts w:asciiTheme="minorHAnsi" w:eastAsia="Century Gothic" w:hAnsiTheme="minorHAnsi" w:cstheme="minorHAnsi"/>
                <w:b/>
                <w:lang w:bidi="en-US"/>
              </w:rPr>
              <w:t>Document Author</w:t>
            </w:r>
          </w:p>
        </w:tc>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76E1A73A"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1593EBFA" w14:textId="77777777" w:rsidTr="00BD7DB3">
        <w:tc>
          <w:tcPr>
            <w:tcW w:w="4508" w:type="dxa"/>
            <w:tcBorders>
              <w:top w:val="single" w:sz="4" w:space="0" w:color="auto"/>
              <w:left w:val="single" w:sz="4" w:space="0" w:color="auto"/>
              <w:bottom w:val="single" w:sz="4" w:space="0" w:color="auto"/>
              <w:right w:val="single" w:sz="4" w:space="0" w:color="auto"/>
            </w:tcBorders>
          </w:tcPr>
          <w:p w14:paraId="311AAD99" w14:textId="1D9172F6" w:rsidR="00073009" w:rsidRPr="00B43A2C" w:rsidRDefault="000F6A07" w:rsidP="00BD7DB3">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Andrea Petty</w:t>
            </w:r>
          </w:p>
        </w:tc>
        <w:tc>
          <w:tcPr>
            <w:tcW w:w="4508" w:type="dxa"/>
            <w:tcBorders>
              <w:top w:val="single" w:sz="4" w:space="0" w:color="auto"/>
              <w:left w:val="single" w:sz="4" w:space="0" w:color="auto"/>
              <w:bottom w:val="single" w:sz="4" w:space="0" w:color="auto"/>
              <w:right w:val="single" w:sz="4" w:space="0" w:color="auto"/>
            </w:tcBorders>
          </w:tcPr>
          <w:p w14:paraId="67828778" w14:textId="3A5B3A3F" w:rsidR="00073009" w:rsidRPr="00B43A2C" w:rsidRDefault="000F6A07" w:rsidP="00BD7DB3">
            <w:pPr>
              <w:tabs>
                <w:tab w:val="left" w:pos="6108"/>
              </w:tabs>
              <w:rPr>
                <w:rFonts w:asciiTheme="minorHAnsi" w:eastAsia="Century Gothic" w:hAnsiTheme="minorHAnsi" w:cstheme="minorHAnsi"/>
                <w:b/>
                <w:lang w:bidi="en-US"/>
              </w:rPr>
            </w:pPr>
            <w:r w:rsidRPr="000F6A07">
              <w:rPr>
                <w:rFonts w:asciiTheme="minorHAnsi" w:eastAsia="Century Gothic" w:hAnsiTheme="minorHAnsi" w:cstheme="minorHAnsi"/>
                <w:b/>
                <w:lang w:bidi="en-US"/>
              </w:rPr>
              <w:t>Chief Executive - OPCC</w:t>
            </w:r>
          </w:p>
        </w:tc>
      </w:tr>
    </w:tbl>
    <w:p w14:paraId="66D08014" w14:textId="77777777" w:rsidR="00073009" w:rsidRDefault="00073009" w:rsidP="00073009"/>
    <w:tbl>
      <w:tblPr>
        <w:tblStyle w:val="TableGrid"/>
        <w:tblW w:w="0" w:type="auto"/>
        <w:tblLook w:val="04A0" w:firstRow="1" w:lastRow="0" w:firstColumn="1" w:lastColumn="0" w:noHBand="0" w:noVBand="1"/>
      </w:tblPr>
      <w:tblGrid>
        <w:gridCol w:w="4508"/>
        <w:gridCol w:w="4508"/>
      </w:tblGrid>
      <w:tr w:rsidR="00073009" w:rsidRPr="00B43A2C" w14:paraId="677CC124" w14:textId="77777777" w:rsidTr="00BD7DB3">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CE6A30"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Owner</w:t>
            </w:r>
          </w:p>
        </w:tc>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CC94FE"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5588478F"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380A7F6F" w14:textId="46721910" w:rsidR="00073009" w:rsidRPr="00B43A2C" w:rsidRDefault="000F6A07" w:rsidP="00BD7DB3">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 xml:space="preserve">Andrea Petty </w:t>
            </w:r>
          </w:p>
        </w:tc>
        <w:tc>
          <w:tcPr>
            <w:tcW w:w="4508" w:type="dxa"/>
            <w:tcBorders>
              <w:top w:val="single" w:sz="4" w:space="0" w:color="auto"/>
              <w:left w:val="single" w:sz="4" w:space="0" w:color="auto"/>
              <w:bottom w:val="single" w:sz="4" w:space="0" w:color="auto"/>
              <w:right w:val="single" w:sz="4" w:space="0" w:color="auto"/>
            </w:tcBorders>
            <w:hideMark/>
          </w:tcPr>
          <w:p w14:paraId="05C79ABF" w14:textId="519012B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Chief Executive - OPCC</w:t>
            </w:r>
          </w:p>
        </w:tc>
      </w:tr>
    </w:tbl>
    <w:p w14:paraId="682E1F4D" w14:textId="77777777" w:rsidR="00073009" w:rsidRPr="00B43A2C" w:rsidRDefault="00073009" w:rsidP="00073009">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4508"/>
        <w:gridCol w:w="4508"/>
      </w:tblGrid>
      <w:tr w:rsidR="00073009" w:rsidRPr="00B43A2C" w14:paraId="0C858338" w14:textId="77777777" w:rsidTr="00BD7DB3">
        <w:tc>
          <w:tcPr>
            <w:tcW w:w="901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C73AB75"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Control</w:t>
            </w:r>
          </w:p>
        </w:tc>
      </w:tr>
      <w:tr w:rsidR="00073009" w:rsidRPr="00B43A2C" w14:paraId="6FD15789"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7907BB67"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 xml:space="preserve">Document approved by </w:t>
            </w:r>
          </w:p>
        </w:tc>
        <w:tc>
          <w:tcPr>
            <w:tcW w:w="4508" w:type="dxa"/>
            <w:tcBorders>
              <w:top w:val="single" w:sz="4" w:space="0" w:color="auto"/>
              <w:left w:val="single" w:sz="4" w:space="0" w:color="auto"/>
              <w:bottom w:val="single" w:sz="4" w:space="0" w:color="auto"/>
              <w:right w:val="single" w:sz="4" w:space="0" w:color="auto"/>
            </w:tcBorders>
          </w:tcPr>
          <w:p w14:paraId="38AD6A3C"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3C514DD9"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4D181782"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Date document approved</w:t>
            </w:r>
          </w:p>
        </w:tc>
        <w:tc>
          <w:tcPr>
            <w:tcW w:w="4508" w:type="dxa"/>
            <w:tcBorders>
              <w:top w:val="single" w:sz="4" w:space="0" w:color="auto"/>
              <w:left w:val="single" w:sz="4" w:space="0" w:color="auto"/>
              <w:bottom w:val="single" w:sz="4" w:space="0" w:color="auto"/>
              <w:right w:val="single" w:sz="4" w:space="0" w:color="auto"/>
            </w:tcBorders>
          </w:tcPr>
          <w:p w14:paraId="304AB011"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3CC4E394"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16245739"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Decision Record</w:t>
            </w:r>
          </w:p>
        </w:tc>
        <w:tc>
          <w:tcPr>
            <w:tcW w:w="4508" w:type="dxa"/>
            <w:tcBorders>
              <w:top w:val="single" w:sz="4" w:space="0" w:color="auto"/>
              <w:left w:val="single" w:sz="4" w:space="0" w:color="auto"/>
              <w:bottom w:val="single" w:sz="4" w:space="0" w:color="auto"/>
              <w:right w:val="single" w:sz="4" w:space="0" w:color="auto"/>
            </w:tcBorders>
          </w:tcPr>
          <w:p w14:paraId="0B32F3F0"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1DE5DDCE"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685B70BE" w14:textId="1D17D7DE"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Date circulated to OD</w:t>
            </w:r>
            <w:r w:rsidR="00410409">
              <w:rPr>
                <w:rFonts w:asciiTheme="minorHAnsi" w:eastAsia="Century Gothic" w:hAnsiTheme="minorHAnsi" w:cstheme="minorHAnsi"/>
                <w:b/>
                <w:lang w:bidi="en-US"/>
              </w:rPr>
              <w:t>PCC</w:t>
            </w:r>
            <w:r w:rsidRPr="00B43A2C">
              <w:rPr>
                <w:rFonts w:asciiTheme="minorHAnsi" w:eastAsia="Century Gothic" w:hAnsiTheme="minorHAnsi" w:cstheme="minorHAnsi"/>
                <w:b/>
                <w:lang w:bidi="en-US"/>
              </w:rPr>
              <w:t xml:space="preserve"> Team</w:t>
            </w:r>
          </w:p>
        </w:tc>
        <w:tc>
          <w:tcPr>
            <w:tcW w:w="4508" w:type="dxa"/>
            <w:tcBorders>
              <w:top w:val="single" w:sz="4" w:space="0" w:color="auto"/>
              <w:left w:val="single" w:sz="4" w:space="0" w:color="auto"/>
              <w:bottom w:val="single" w:sz="4" w:space="0" w:color="auto"/>
              <w:right w:val="single" w:sz="4" w:space="0" w:color="auto"/>
            </w:tcBorders>
          </w:tcPr>
          <w:p w14:paraId="170109E9"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417DA4CF"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167AD71E"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Formal Publication Date</w:t>
            </w:r>
          </w:p>
        </w:tc>
        <w:tc>
          <w:tcPr>
            <w:tcW w:w="4508" w:type="dxa"/>
            <w:tcBorders>
              <w:top w:val="single" w:sz="4" w:space="0" w:color="auto"/>
              <w:left w:val="single" w:sz="4" w:space="0" w:color="auto"/>
              <w:bottom w:val="single" w:sz="4" w:space="0" w:color="auto"/>
              <w:right w:val="single" w:sz="4" w:space="0" w:color="auto"/>
            </w:tcBorders>
          </w:tcPr>
          <w:p w14:paraId="019B64FB" w14:textId="77777777" w:rsidR="00073009" w:rsidRPr="00B43A2C" w:rsidRDefault="00073009" w:rsidP="00BD7DB3">
            <w:pPr>
              <w:tabs>
                <w:tab w:val="left" w:pos="6108"/>
              </w:tabs>
              <w:rPr>
                <w:rFonts w:asciiTheme="minorHAnsi" w:eastAsia="Century Gothic" w:hAnsiTheme="minorHAnsi" w:cstheme="minorHAnsi"/>
                <w:b/>
                <w:lang w:bidi="en-US"/>
              </w:rPr>
            </w:pPr>
          </w:p>
        </w:tc>
      </w:tr>
      <w:tr w:rsidR="00073009" w:rsidRPr="00B43A2C" w14:paraId="71E0E784" w14:textId="77777777" w:rsidTr="00BD7DB3">
        <w:tc>
          <w:tcPr>
            <w:tcW w:w="4508" w:type="dxa"/>
            <w:tcBorders>
              <w:top w:val="single" w:sz="4" w:space="0" w:color="auto"/>
              <w:left w:val="single" w:sz="4" w:space="0" w:color="auto"/>
              <w:bottom w:val="single" w:sz="4" w:space="0" w:color="auto"/>
              <w:right w:val="single" w:sz="4" w:space="0" w:color="auto"/>
            </w:tcBorders>
            <w:hideMark/>
          </w:tcPr>
          <w:p w14:paraId="0C2878D0"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Review date &amp; who to review</w:t>
            </w:r>
          </w:p>
        </w:tc>
        <w:tc>
          <w:tcPr>
            <w:tcW w:w="4508" w:type="dxa"/>
            <w:tcBorders>
              <w:top w:val="single" w:sz="4" w:space="0" w:color="auto"/>
              <w:left w:val="single" w:sz="4" w:space="0" w:color="auto"/>
              <w:bottom w:val="single" w:sz="4" w:space="0" w:color="auto"/>
              <w:right w:val="single" w:sz="4" w:space="0" w:color="auto"/>
            </w:tcBorders>
          </w:tcPr>
          <w:p w14:paraId="07AF79D0" w14:textId="7E08A95B" w:rsidR="00073009" w:rsidRPr="00B43A2C" w:rsidRDefault="000F6A07" w:rsidP="00BD7DB3">
            <w:pPr>
              <w:tabs>
                <w:tab w:val="left" w:pos="6108"/>
              </w:tabs>
              <w:rPr>
                <w:rFonts w:asciiTheme="minorHAnsi" w:eastAsia="Century Gothic" w:hAnsiTheme="minorHAnsi" w:cstheme="minorHAnsi"/>
                <w:b/>
                <w:lang w:bidi="en-US"/>
              </w:rPr>
            </w:pPr>
            <w:r>
              <w:rPr>
                <w:rFonts w:asciiTheme="minorHAnsi" w:eastAsia="Century Gothic" w:hAnsiTheme="minorHAnsi" w:cstheme="minorHAnsi"/>
                <w:b/>
                <w:lang w:bidi="en-US"/>
              </w:rPr>
              <w:t>January 2026 AP</w:t>
            </w:r>
          </w:p>
        </w:tc>
      </w:tr>
    </w:tbl>
    <w:p w14:paraId="5C1EB3AE" w14:textId="77777777" w:rsidR="00073009" w:rsidRPr="00B43A2C" w:rsidRDefault="00073009" w:rsidP="00073009">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9016"/>
      </w:tblGrid>
      <w:tr w:rsidR="00073009" w:rsidRPr="00B43A2C" w14:paraId="4AFE6441" w14:textId="77777777" w:rsidTr="00BD7DB3">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DFF673"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Document Location</w:t>
            </w:r>
          </w:p>
        </w:tc>
      </w:tr>
      <w:tr w:rsidR="00073009" w:rsidRPr="00B43A2C" w14:paraId="1D782E58" w14:textId="77777777" w:rsidTr="00BD7DB3">
        <w:tc>
          <w:tcPr>
            <w:tcW w:w="9016" w:type="dxa"/>
            <w:tcBorders>
              <w:top w:val="single" w:sz="4" w:space="0" w:color="auto"/>
              <w:left w:val="single" w:sz="4" w:space="0" w:color="auto"/>
              <w:bottom w:val="single" w:sz="4" w:space="0" w:color="auto"/>
              <w:right w:val="single" w:sz="4" w:space="0" w:color="auto"/>
            </w:tcBorders>
            <w:hideMark/>
          </w:tcPr>
          <w:p w14:paraId="1C590096" w14:textId="1F2AC6CE" w:rsidR="00073009" w:rsidRPr="00B43A2C" w:rsidRDefault="00073009" w:rsidP="00BD7DB3">
            <w:pPr>
              <w:tabs>
                <w:tab w:val="left" w:pos="6108"/>
              </w:tabs>
              <w:rPr>
                <w:rFonts w:asciiTheme="minorHAnsi" w:eastAsia="Century Gothic" w:hAnsiTheme="minorHAnsi" w:cstheme="minorHAnsi"/>
                <w:b/>
                <w:lang w:bidi="en-US"/>
              </w:rPr>
            </w:pPr>
          </w:p>
        </w:tc>
      </w:tr>
    </w:tbl>
    <w:p w14:paraId="2696B41F" w14:textId="1F4B047A" w:rsidR="00073009" w:rsidRPr="00B43A2C" w:rsidRDefault="00073009" w:rsidP="00073009">
      <w:pPr>
        <w:tabs>
          <w:tab w:val="left" w:pos="6108"/>
        </w:tabs>
        <w:rPr>
          <w:rFonts w:asciiTheme="minorHAnsi" w:eastAsia="Century Gothic" w:hAnsiTheme="minorHAnsi" w:cstheme="minorHAnsi"/>
          <w:b/>
          <w:lang w:bidi="en-US"/>
        </w:rPr>
      </w:pPr>
    </w:p>
    <w:tbl>
      <w:tblPr>
        <w:tblStyle w:val="TableGrid"/>
        <w:tblW w:w="0" w:type="auto"/>
        <w:tblLook w:val="04A0" w:firstRow="1" w:lastRow="0" w:firstColumn="1" w:lastColumn="0" w:noHBand="0" w:noVBand="1"/>
      </w:tblPr>
      <w:tblGrid>
        <w:gridCol w:w="1696"/>
        <w:gridCol w:w="1560"/>
        <w:gridCol w:w="2693"/>
        <w:gridCol w:w="3067"/>
      </w:tblGrid>
      <w:tr w:rsidR="00073009" w:rsidRPr="00B43A2C" w14:paraId="61557275" w14:textId="77777777" w:rsidTr="00BD7DB3">
        <w:tc>
          <w:tcPr>
            <w:tcW w:w="901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E88CE0B"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Version History</w:t>
            </w:r>
          </w:p>
        </w:tc>
      </w:tr>
      <w:tr w:rsidR="00073009" w:rsidRPr="00B43A2C" w14:paraId="611241C0" w14:textId="77777777" w:rsidTr="00BD7DB3">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14D317"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Version No.</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F2D201"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Version Date</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6F3022"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Requester of change</w:t>
            </w:r>
          </w:p>
        </w:tc>
        <w:tc>
          <w:tcPr>
            <w:tcW w:w="30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62B92" w14:textId="77777777" w:rsidR="00073009" w:rsidRPr="00B43A2C" w:rsidRDefault="00073009" w:rsidP="00BD7DB3">
            <w:pPr>
              <w:tabs>
                <w:tab w:val="left" w:pos="6108"/>
              </w:tabs>
              <w:rPr>
                <w:rFonts w:asciiTheme="minorHAnsi" w:eastAsia="Century Gothic" w:hAnsiTheme="minorHAnsi" w:cstheme="minorHAnsi"/>
                <w:b/>
                <w:lang w:bidi="en-US"/>
              </w:rPr>
            </w:pPr>
            <w:r w:rsidRPr="00B43A2C">
              <w:rPr>
                <w:rFonts w:asciiTheme="minorHAnsi" w:eastAsia="Century Gothic" w:hAnsiTheme="minorHAnsi" w:cstheme="minorHAnsi"/>
                <w:b/>
                <w:lang w:bidi="en-US"/>
              </w:rPr>
              <w:t>Summary of change (s)</w:t>
            </w:r>
          </w:p>
        </w:tc>
      </w:tr>
      <w:tr w:rsidR="00073009" w:rsidRPr="00B43A2C" w14:paraId="5CA83E6E" w14:textId="77777777" w:rsidTr="00BD7DB3">
        <w:tc>
          <w:tcPr>
            <w:tcW w:w="1696" w:type="dxa"/>
            <w:tcBorders>
              <w:top w:val="single" w:sz="4" w:space="0" w:color="auto"/>
              <w:left w:val="single" w:sz="4" w:space="0" w:color="auto"/>
              <w:bottom w:val="single" w:sz="4" w:space="0" w:color="auto"/>
              <w:right w:val="single" w:sz="4" w:space="0" w:color="auto"/>
            </w:tcBorders>
            <w:hideMark/>
          </w:tcPr>
          <w:p w14:paraId="1471480E" w14:textId="77777777" w:rsidR="00073009" w:rsidRPr="007E0F19" w:rsidRDefault="00073009" w:rsidP="00BD7DB3">
            <w:pPr>
              <w:rPr>
                <w:rFonts w:ascii="Calibri" w:hAnsi="Calibri"/>
                <w:b/>
              </w:rPr>
            </w:pPr>
            <w:r w:rsidRPr="007E0F19">
              <w:rPr>
                <w:rFonts w:ascii="Calibri" w:hAnsi="Calibri"/>
                <w:b/>
              </w:rPr>
              <w:t>V 1.0</w:t>
            </w:r>
          </w:p>
        </w:tc>
        <w:tc>
          <w:tcPr>
            <w:tcW w:w="1560" w:type="dxa"/>
            <w:tcBorders>
              <w:top w:val="single" w:sz="4" w:space="0" w:color="auto"/>
              <w:left w:val="single" w:sz="4" w:space="0" w:color="auto"/>
              <w:bottom w:val="single" w:sz="4" w:space="0" w:color="auto"/>
              <w:right w:val="single" w:sz="4" w:space="0" w:color="auto"/>
            </w:tcBorders>
            <w:hideMark/>
          </w:tcPr>
          <w:p w14:paraId="58E60ABD" w14:textId="77777777" w:rsidR="00073009" w:rsidRPr="007E0F19" w:rsidRDefault="00520EAF" w:rsidP="006767D4">
            <w:pPr>
              <w:rPr>
                <w:rFonts w:ascii="Calibri" w:hAnsi="Calibri"/>
                <w:b/>
              </w:rPr>
            </w:pPr>
            <w:r>
              <w:rPr>
                <w:rFonts w:ascii="Calibri" w:hAnsi="Calibri"/>
                <w:b/>
              </w:rPr>
              <w:t>Jul 2015</w:t>
            </w:r>
          </w:p>
        </w:tc>
        <w:tc>
          <w:tcPr>
            <w:tcW w:w="2693" w:type="dxa"/>
            <w:tcBorders>
              <w:top w:val="single" w:sz="4" w:space="0" w:color="auto"/>
              <w:left w:val="single" w:sz="4" w:space="0" w:color="auto"/>
              <w:bottom w:val="single" w:sz="4" w:space="0" w:color="auto"/>
              <w:right w:val="single" w:sz="4" w:space="0" w:color="auto"/>
            </w:tcBorders>
            <w:hideMark/>
          </w:tcPr>
          <w:p w14:paraId="0C36E3B5" w14:textId="77777777" w:rsidR="00073009" w:rsidRPr="007E0F19" w:rsidRDefault="00073009" w:rsidP="00BD7DB3">
            <w:pPr>
              <w:rPr>
                <w:rFonts w:ascii="Calibri" w:hAnsi="Calibri"/>
                <w:b/>
              </w:rPr>
            </w:pPr>
            <w:r>
              <w:rPr>
                <w:rFonts w:ascii="Calibri" w:hAnsi="Calibri"/>
                <w:b/>
              </w:rPr>
              <w:t>Initial draft</w:t>
            </w:r>
          </w:p>
        </w:tc>
        <w:tc>
          <w:tcPr>
            <w:tcW w:w="3067" w:type="dxa"/>
            <w:tcBorders>
              <w:top w:val="single" w:sz="4" w:space="0" w:color="auto"/>
              <w:left w:val="single" w:sz="4" w:space="0" w:color="auto"/>
              <w:bottom w:val="single" w:sz="4" w:space="0" w:color="auto"/>
              <w:right w:val="single" w:sz="4" w:space="0" w:color="auto"/>
            </w:tcBorders>
            <w:hideMark/>
          </w:tcPr>
          <w:p w14:paraId="30CA5193" w14:textId="77777777" w:rsidR="00073009" w:rsidRPr="007E0F19" w:rsidRDefault="00073009" w:rsidP="00BD7DB3">
            <w:pPr>
              <w:rPr>
                <w:rFonts w:ascii="Calibri" w:hAnsi="Calibri"/>
                <w:b/>
              </w:rPr>
            </w:pPr>
            <w:r>
              <w:rPr>
                <w:rFonts w:ascii="Calibri" w:hAnsi="Calibri"/>
                <w:b/>
              </w:rPr>
              <w:t>Initial draft</w:t>
            </w:r>
          </w:p>
        </w:tc>
      </w:tr>
      <w:tr w:rsidR="00073009" w:rsidRPr="00B43A2C" w14:paraId="7E7CC724" w14:textId="77777777" w:rsidTr="00BD7DB3">
        <w:tc>
          <w:tcPr>
            <w:tcW w:w="1696" w:type="dxa"/>
            <w:tcBorders>
              <w:top w:val="single" w:sz="4" w:space="0" w:color="auto"/>
              <w:left w:val="single" w:sz="4" w:space="0" w:color="auto"/>
              <w:bottom w:val="single" w:sz="4" w:space="0" w:color="auto"/>
              <w:right w:val="single" w:sz="4" w:space="0" w:color="auto"/>
            </w:tcBorders>
            <w:hideMark/>
          </w:tcPr>
          <w:p w14:paraId="3D6FED7C" w14:textId="77777777" w:rsidR="00073009" w:rsidRPr="007E0F19" w:rsidRDefault="00073009" w:rsidP="003F18A7">
            <w:pPr>
              <w:rPr>
                <w:rFonts w:ascii="Calibri" w:hAnsi="Calibri"/>
                <w:b/>
              </w:rPr>
            </w:pPr>
            <w:r>
              <w:rPr>
                <w:rFonts w:ascii="Calibri" w:hAnsi="Calibri"/>
                <w:b/>
              </w:rPr>
              <w:t xml:space="preserve">V </w:t>
            </w:r>
            <w:r w:rsidR="003F18A7">
              <w:rPr>
                <w:rFonts w:ascii="Calibri" w:hAnsi="Calibri"/>
                <w:b/>
              </w:rPr>
              <w:t>2</w:t>
            </w:r>
            <w:r>
              <w:rPr>
                <w:rFonts w:ascii="Calibri" w:hAnsi="Calibri"/>
                <w:b/>
              </w:rPr>
              <w:t>.0</w:t>
            </w:r>
          </w:p>
        </w:tc>
        <w:tc>
          <w:tcPr>
            <w:tcW w:w="1560" w:type="dxa"/>
            <w:tcBorders>
              <w:top w:val="single" w:sz="4" w:space="0" w:color="auto"/>
              <w:left w:val="single" w:sz="4" w:space="0" w:color="auto"/>
              <w:bottom w:val="single" w:sz="4" w:space="0" w:color="auto"/>
              <w:right w:val="single" w:sz="4" w:space="0" w:color="auto"/>
            </w:tcBorders>
          </w:tcPr>
          <w:p w14:paraId="09F67AA1" w14:textId="77777777" w:rsidR="00073009" w:rsidRPr="007E0F19" w:rsidRDefault="00520EAF" w:rsidP="006767D4">
            <w:pPr>
              <w:rPr>
                <w:rFonts w:ascii="Calibri" w:hAnsi="Calibri"/>
                <w:b/>
              </w:rPr>
            </w:pPr>
            <w:r>
              <w:rPr>
                <w:rFonts w:ascii="Calibri" w:hAnsi="Calibri"/>
                <w:b/>
              </w:rPr>
              <w:t>Oct 2019</w:t>
            </w:r>
          </w:p>
        </w:tc>
        <w:tc>
          <w:tcPr>
            <w:tcW w:w="2693" w:type="dxa"/>
            <w:tcBorders>
              <w:top w:val="single" w:sz="4" w:space="0" w:color="auto"/>
              <w:left w:val="single" w:sz="4" w:space="0" w:color="auto"/>
              <w:bottom w:val="single" w:sz="4" w:space="0" w:color="auto"/>
              <w:right w:val="single" w:sz="4" w:space="0" w:color="auto"/>
            </w:tcBorders>
          </w:tcPr>
          <w:p w14:paraId="4FCB1807" w14:textId="28C03E47" w:rsidR="00073009" w:rsidRPr="007E0F19" w:rsidRDefault="00410409" w:rsidP="00BD7DB3">
            <w:pPr>
              <w:rPr>
                <w:rFonts w:ascii="Calibri" w:hAnsi="Calibri"/>
                <w:b/>
              </w:rPr>
            </w:pPr>
            <w:r>
              <w:rPr>
                <w:rFonts w:ascii="Calibri" w:hAnsi="Calibri"/>
                <w:b/>
              </w:rPr>
              <w:t>CEO</w:t>
            </w:r>
          </w:p>
        </w:tc>
        <w:tc>
          <w:tcPr>
            <w:tcW w:w="3067" w:type="dxa"/>
            <w:tcBorders>
              <w:top w:val="single" w:sz="4" w:space="0" w:color="auto"/>
              <w:left w:val="single" w:sz="4" w:space="0" w:color="auto"/>
              <w:bottom w:val="single" w:sz="4" w:space="0" w:color="auto"/>
              <w:right w:val="single" w:sz="4" w:space="0" w:color="auto"/>
            </w:tcBorders>
          </w:tcPr>
          <w:p w14:paraId="3D659E75" w14:textId="2CF1CFE0" w:rsidR="00073009" w:rsidRPr="007E0F19" w:rsidRDefault="00410409" w:rsidP="00BD7DB3">
            <w:pPr>
              <w:rPr>
                <w:rFonts w:ascii="Calibri" w:hAnsi="Calibri"/>
                <w:b/>
              </w:rPr>
            </w:pPr>
            <w:r>
              <w:rPr>
                <w:rFonts w:ascii="Calibri" w:hAnsi="Calibri"/>
                <w:b/>
              </w:rPr>
              <w:t>Policy Update</w:t>
            </w:r>
          </w:p>
        </w:tc>
      </w:tr>
      <w:tr w:rsidR="00073009" w:rsidRPr="00B43A2C" w14:paraId="1E068061" w14:textId="77777777" w:rsidTr="00BD7DB3">
        <w:tc>
          <w:tcPr>
            <w:tcW w:w="1696" w:type="dxa"/>
            <w:tcBorders>
              <w:top w:val="single" w:sz="4" w:space="0" w:color="auto"/>
              <w:left w:val="single" w:sz="4" w:space="0" w:color="auto"/>
              <w:bottom w:val="single" w:sz="4" w:space="0" w:color="auto"/>
              <w:right w:val="single" w:sz="4" w:space="0" w:color="auto"/>
            </w:tcBorders>
          </w:tcPr>
          <w:p w14:paraId="13F0ABB6" w14:textId="5AF90F99" w:rsidR="00073009" w:rsidRDefault="00410409" w:rsidP="00BD7DB3">
            <w:pPr>
              <w:rPr>
                <w:rFonts w:ascii="Calibri" w:hAnsi="Calibri"/>
                <w:b/>
              </w:rPr>
            </w:pPr>
            <w:r>
              <w:rPr>
                <w:rFonts w:ascii="Calibri" w:hAnsi="Calibri"/>
                <w:b/>
              </w:rPr>
              <w:t>V3.0</w:t>
            </w:r>
          </w:p>
        </w:tc>
        <w:tc>
          <w:tcPr>
            <w:tcW w:w="1560" w:type="dxa"/>
            <w:tcBorders>
              <w:top w:val="single" w:sz="4" w:space="0" w:color="auto"/>
              <w:left w:val="single" w:sz="4" w:space="0" w:color="auto"/>
              <w:bottom w:val="single" w:sz="4" w:space="0" w:color="auto"/>
              <w:right w:val="single" w:sz="4" w:space="0" w:color="auto"/>
            </w:tcBorders>
          </w:tcPr>
          <w:p w14:paraId="12F833DF" w14:textId="5DD97EBC" w:rsidR="00073009" w:rsidRPr="007E0F19" w:rsidRDefault="00410409" w:rsidP="00BD7DB3">
            <w:pPr>
              <w:rPr>
                <w:rFonts w:ascii="Calibri" w:hAnsi="Calibri"/>
                <w:b/>
              </w:rPr>
            </w:pPr>
            <w:r>
              <w:rPr>
                <w:rFonts w:ascii="Calibri" w:hAnsi="Calibri"/>
                <w:b/>
              </w:rPr>
              <w:t>Sept 2021</w:t>
            </w:r>
          </w:p>
        </w:tc>
        <w:tc>
          <w:tcPr>
            <w:tcW w:w="2693" w:type="dxa"/>
            <w:tcBorders>
              <w:top w:val="single" w:sz="4" w:space="0" w:color="auto"/>
              <w:left w:val="single" w:sz="4" w:space="0" w:color="auto"/>
              <w:bottom w:val="single" w:sz="4" w:space="0" w:color="auto"/>
              <w:right w:val="single" w:sz="4" w:space="0" w:color="auto"/>
            </w:tcBorders>
          </w:tcPr>
          <w:p w14:paraId="56EAA1D1" w14:textId="0CD02D00" w:rsidR="00073009" w:rsidRPr="007E0F19" w:rsidRDefault="00410409" w:rsidP="00BD7DB3">
            <w:pPr>
              <w:rPr>
                <w:rFonts w:ascii="Calibri" w:hAnsi="Calibri"/>
                <w:b/>
              </w:rPr>
            </w:pPr>
            <w:r>
              <w:rPr>
                <w:rFonts w:ascii="Calibri" w:hAnsi="Calibri"/>
                <w:b/>
              </w:rPr>
              <w:t>Head of Gov &amp; Finance</w:t>
            </w:r>
          </w:p>
        </w:tc>
        <w:tc>
          <w:tcPr>
            <w:tcW w:w="3067" w:type="dxa"/>
            <w:tcBorders>
              <w:top w:val="single" w:sz="4" w:space="0" w:color="auto"/>
              <w:left w:val="single" w:sz="4" w:space="0" w:color="auto"/>
              <w:bottom w:val="single" w:sz="4" w:space="0" w:color="auto"/>
              <w:right w:val="single" w:sz="4" w:space="0" w:color="auto"/>
            </w:tcBorders>
          </w:tcPr>
          <w:p w14:paraId="024EA46C" w14:textId="16FEBEBB" w:rsidR="00073009" w:rsidRPr="007E0F19" w:rsidRDefault="00410409" w:rsidP="00BD7DB3">
            <w:pPr>
              <w:rPr>
                <w:rFonts w:ascii="Calibri" w:hAnsi="Calibri"/>
                <w:b/>
              </w:rPr>
            </w:pPr>
            <w:r>
              <w:rPr>
                <w:rFonts w:ascii="Calibri" w:hAnsi="Calibri"/>
                <w:b/>
              </w:rPr>
              <w:t>PCC Title and Logo Change</w:t>
            </w:r>
          </w:p>
        </w:tc>
      </w:tr>
      <w:tr w:rsidR="000F6A07" w:rsidRPr="00B43A2C" w14:paraId="223C5E88" w14:textId="77777777" w:rsidTr="00BD7DB3">
        <w:tc>
          <w:tcPr>
            <w:tcW w:w="1696" w:type="dxa"/>
            <w:tcBorders>
              <w:top w:val="single" w:sz="4" w:space="0" w:color="auto"/>
              <w:left w:val="single" w:sz="4" w:space="0" w:color="auto"/>
              <w:bottom w:val="single" w:sz="4" w:space="0" w:color="auto"/>
              <w:right w:val="single" w:sz="4" w:space="0" w:color="auto"/>
            </w:tcBorders>
          </w:tcPr>
          <w:p w14:paraId="77065A15" w14:textId="22F4F883" w:rsidR="000F6A07" w:rsidRDefault="000F6A07" w:rsidP="00BD7DB3">
            <w:pPr>
              <w:rPr>
                <w:rFonts w:ascii="Calibri" w:hAnsi="Calibri"/>
                <w:b/>
              </w:rPr>
            </w:pPr>
            <w:r>
              <w:rPr>
                <w:rFonts w:ascii="Calibri" w:hAnsi="Calibri"/>
                <w:b/>
              </w:rPr>
              <w:t>V 4.0</w:t>
            </w:r>
          </w:p>
        </w:tc>
        <w:tc>
          <w:tcPr>
            <w:tcW w:w="1560" w:type="dxa"/>
            <w:tcBorders>
              <w:top w:val="single" w:sz="4" w:space="0" w:color="auto"/>
              <w:left w:val="single" w:sz="4" w:space="0" w:color="auto"/>
              <w:bottom w:val="single" w:sz="4" w:space="0" w:color="auto"/>
              <w:right w:val="single" w:sz="4" w:space="0" w:color="auto"/>
            </w:tcBorders>
          </w:tcPr>
          <w:p w14:paraId="49BAC9BF" w14:textId="7BC1876A" w:rsidR="000F6A07" w:rsidRDefault="000F6A07" w:rsidP="00BD7DB3">
            <w:pPr>
              <w:rPr>
                <w:rFonts w:ascii="Calibri" w:hAnsi="Calibri"/>
                <w:b/>
              </w:rPr>
            </w:pPr>
            <w:r>
              <w:rPr>
                <w:rFonts w:ascii="Calibri" w:hAnsi="Calibri"/>
                <w:b/>
              </w:rPr>
              <w:t>Jan 2026</w:t>
            </w:r>
          </w:p>
        </w:tc>
        <w:tc>
          <w:tcPr>
            <w:tcW w:w="2693" w:type="dxa"/>
            <w:tcBorders>
              <w:top w:val="single" w:sz="4" w:space="0" w:color="auto"/>
              <w:left w:val="single" w:sz="4" w:space="0" w:color="auto"/>
              <w:bottom w:val="single" w:sz="4" w:space="0" w:color="auto"/>
              <w:right w:val="single" w:sz="4" w:space="0" w:color="auto"/>
            </w:tcBorders>
          </w:tcPr>
          <w:p w14:paraId="1DDA7071" w14:textId="3DDD539B" w:rsidR="000F6A07" w:rsidRDefault="000F6A07" w:rsidP="00BD7DB3">
            <w:pPr>
              <w:rPr>
                <w:rFonts w:ascii="Calibri" w:hAnsi="Calibri"/>
                <w:b/>
              </w:rPr>
            </w:pPr>
            <w:r>
              <w:rPr>
                <w:rFonts w:ascii="Calibri" w:hAnsi="Calibri"/>
                <w:b/>
              </w:rPr>
              <w:t>CEO</w:t>
            </w:r>
          </w:p>
        </w:tc>
        <w:tc>
          <w:tcPr>
            <w:tcW w:w="3067" w:type="dxa"/>
            <w:tcBorders>
              <w:top w:val="single" w:sz="4" w:space="0" w:color="auto"/>
              <w:left w:val="single" w:sz="4" w:space="0" w:color="auto"/>
              <w:bottom w:val="single" w:sz="4" w:space="0" w:color="auto"/>
              <w:right w:val="single" w:sz="4" w:space="0" w:color="auto"/>
            </w:tcBorders>
          </w:tcPr>
          <w:p w14:paraId="60186089" w14:textId="5703BA0D" w:rsidR="000F6A07" w:rsidRDefault="000F6A07" w:rsidP="00BD7DB3">
            <w:pPr>
              <w:rPr>
                <w:rFonts w:ascii="Calibri" w:hAnsi="Calibri"/>
                <w:b/>
              </w:rPr>
            </w:pPr>
            <w:r>
              <w:rPr>
                <w:rFonts w:ascii="Calibri" w:hAnsi="Calibri"/>
                <w:b/>
              </w:rPr>
              <w:t xml:space="preserve">Review </w:t>
            </w:r>
          </w:p>
        </w:tc>
      </w:tr>
      <w:bookmarkEnd w:id="0"/>
      <w:bookmarkEnd w:id="1"/>
      <w:bookmarkEnd w:id="2"/>
    </w:tbl>
    <w:p w14:paraId="7A77C51B" w14:textId="77777777" w:rsidR="00AB76A2" w:rsidRDefault="00AB76A2" w:rsidP="00C1443D">
      <w:pPr>
        <w:jc w:val="both"/>
        <w:rPr>
          <w:rFonts w:ascii="Calibri" w:hAnsi="Calibri" w:cs="Calibri"/>
          <w:b/>
          <w:bCs/>
          <w:sz w:val="32"/>
        </w:rPr>
      </w:pPr>
    </w:p>
    <w:p w14:paraId="4F8D18BD" w14:textId="77777777" w:rsidR="00CB783A" w:rsidRDefault="00CB783A" w:rsidP="00C1443D">
      <w:pPr>
        <w:jc w:val="both"/>
        <w:rPr>
          <w:rFonts w:ascii="Calibri" w:hAnsi="Calibri" w:cs="Calibri"/>
          <w:b/>
          <w:bCs/>
          <w:sz w:val="32"/>
        </w:rPr>
      </w:pPr>
    </w:p>
    <w:p w14:paraId="1D3F7E22" w14:textId="77777777" w:rsidR="00CB783A" w:rsidRDefault="00CB783A" w:rsidP="00C1443D">
      <w:pPr>
        <w:jc w:val="both"/>
        <w:rPr>
          <w:rFonts w:ascii="Calibri" w:hAnsi="Calibri" w:cs="Calibri"/>
          <w:b/>
          <w:bCs/>
          <w:sz w:val="32"/>
        </w:rPr>
      </w:pPr>
    </w:p>
    <w:p w14:paraId="17FE15A0" w14:textId="77777777" w:rsidR="00CB783A" w:rsidRDefault="00CB783A" w:rsidP="00C1443D">
      <w:pPr>
        <w:jc w:val="both"/>
        <w:rPr>
          <w:rFonts w:ascii="Calibri" w:hAnsi="Calibri" w:cs="Calibri"/>
          <w:b/>
          <w:bCs/>
          <w:sz w:val="32"/>
        </w:rPr>
      </w:pPr>
    </w:p>
    <w:p w14:paraId="1F589C36" w14:textId="77777777" w:rsidR="00CB783A" w:rsidRDefault="00CB783A" w:rsidP="00C1443D">
      <w:pPr>
        <w:jc w:val="both"/>
        <w:rPr>
          <w:rFonts w:ascii="Calibri" w:hAnsi="Calibri" w:cs="Calibri"/>
          <w:b/>
          <w:bCs/>
          <w:sz w:val="32"/>
        </w:rPr>
      </w:pPr>
    </w:p>
    <w:p w14:paraId="22C4F96E" w14:textId="77777777" w:rsidR="00CB783A" w:rsidRDefault="00CB783A" w:rsidP="00C1443D">
      <w:pPr>
        <w:jc w:val="both"/>
        <w:rPr>
          <w:rFonts w:ascii="Calibri" w:hAnsi="Calibri" w:cs="Calibri"/>
          <w:b/>
          <w:bCs/>
          <w:sz w:val="32"/>
        </w:rPr>
      </w:pPr>
    </w:p>
    <w:p w14:paraId="26EDB7E3" w14:textId="77777777" w:rsidR="00CB783A" w:rsidRDefault="00CB783A" w:rsidP="00C1443D">
      <w:pPr>
        <w:jc w:val="both"/>
        <w:rPr>
          <w:rFonts w:ascii="Calibri" w:hAnsi="Calibri" w:cs="Calibri"/>
          <w:b/>
          <w:bCs/>
          <w:sz w:val="32"/>
        </w:rPr>
      </w:pPr>
    </w:p>
    <w:p w14:paraId="73E8F6C5" w14:textId="77777777" w:rsidR="00CB783A" w:rsidRDefault="00CB783A" w:rsidP="00C1443D">
      <w:pPr>
        <w:jc w:val="both"/>
        <w:rPr>
          <w:rFonts w:ascii="Calibri" w:hAnsi="Calibri" w:cs="Calibri"/>
          <w:b/>
          <w:bCs/>
          <w:sz w:val="32"/>
        </w:rPr>
      </w:pPr>
    </w:p>
    <w:p w14:paraId="5445D274" w14:textId="77777777" w:rsidR="00CB783A" w:rsidRDefault="00CB783A" w:rsidP="00C1443D">
      <w:pPr>
        <w:jc w:val="both"/>
        <w:rPr>
          <w:rFonts w:ascii="Calibri" w:hAnsi="Calibri" w:cs="Calibri"/>
          <w:b/>
          <w:bCs/>
          <w:sz w:val="32"/>
        </w:rPr>
      </w:pPr>
    </w:p>
    <w:p w14:paraId="2DC0B4EC" w14:textId="77777777" w:rsidR="00CB783A" w:rsidRDefault="00CB783A" w:rsidP="00C1443D">
      <w:pPr>
        <w:jc w:val="both"/>
        <w:rPr>
          <w:rFonts w:ascii="Calibri" w:hAnsi="Calibri" w:cs="Calibri"/>
          <w:b/>
          <w:bCs/>
          <w:sz w:val="32"/>
        </w:rPr>
      </w:pPr>
    </w:p>
    <w:p w14:paraId="748A1C72" w14:textId="77777777" w:rsidR="00CB783A" w:rsidRDefault="00CB783A" w:rsidP="00C1443D">
      <w:pPr>
        <w:jc w:val="both"/>
        <w:rPr>
          <w:rFonts w:ascii="Calibri" w:hAnsi="Calibri" w:cs="Calibri"/>
          <w:b/>
          <w:bCs/>
          <w:sz w:val="32"/>
        </w:rPr>
      </w:pPr>
    </w:p>
    <w:p w14:paraId="44135DE9" w14:textId="77777777" w:rsidR="00CB783A" w:rsidRDefault="00CB783A" w:rsidP="00C1443D">
      <w:pPr>
        <w:jc w:val="both"/>
        <w:rPr>
          <w:rFonts w:ascii="Calibri" w:hAnsi="Calibri" w:cs="Calibri"/>
          <w:b/>
          <w:bCs/>
          <w:sz w:val="32"/>
        </w:rPr>
      </w:pPr>
    </w:p>
    <w:p w14:paraId="771CC90D" w14:textId="77777777" w:rsidR="00CB783A" w:rsidRDefault="00CB783A" w:rsidP="00C1443D">
      <w:pPr>
        <w:jc w:val="both"/>
        <w:rPr>
          <w:rFonts w:ascii="Calibri" w:hAnsi="Calibri" w:cs="Calibri"/>
          <w:b/>
          <w:bCs/>
          <w:sz w:val="32"/>
        </w:rPr>
      </w:pPr>
    </w:p>
    <w:p w14:paraId="193A5611" w14:textId="77777777" w:rsidR="00CB783A" w:rsidRDefault="00CB783A" w:rsidP="00C1443D">
      <w:pPr>
        <w:jc w:val="both"/>
        <w:rPr>
          <w:rFonts w:ascii="Calibri" w:hAnsi="Calibri" w:cs="Calibri"/>
          <w:b/>
          <w:bCs/>
          <w:sz w:val="32"/>
        </w:rPr>
      </w:pPr>
    </w:p>
    <w:p w14:paraId="46B89C6F" w14:textId="77777777" w:rsidR="00CB783A" w:rsidRDefault="00CB783A" w:rsidP="00C1443D">
      <w:pPr>
        <w:jc w:val="both"/>
        <w:rPr>
          <w:rFonts w:ascii="Calibri" w:hAnsi="Calibri" w:cs="Calibri"/>
          <w:b/>
          <w:bCs/>
          <w:sz w:val="32"/>
        </w:rPr>
      </w:pPr>
    </w:p>
    <w:p w14:paraId="31E35B35" w14:textId="77777777" w:rsidR="00CB783A" w:rsidRPr="00CB783A" w:rsidRDefault="00CB783A" w:rsidP="00CB783A">
      <w:pPr>
        <w:spacing w:before="100" w:beforeAutospacing="1" w:after="100" w:afterAutospacing="1" w:line="300" w:lineRule="atLeast"/>
        <w:outlineLvl w:val="0"/>
        <w:rPr>
          <w:rFonts w:ascii="Segoe UI" w:hAnsi="Segoe UI" w:cs="Segoe UI"/>
          <w:b/>
          <w:bCs/>
          <w:kern w:val="36"/>
          <w:sz w:val="48"/>
          <w:szCs w:val="48"/>
          <w:lang w:eastAsia="en-GB"/>
        </w:rPr>
      </w:pPr>
      <w:bookmarkStart w:id="3" w:name="_Toc331424196"/>
      <w:bookmarkStart w:id="4" w:name="_Toc331424197"/>
      <w:bookmarkStart w:id="5" w:name="_Toc331424198"/>
      <w:bookmarkStart w:id="6" w:name="_Toc331424199"/>
      <w:bookmarkStart w:id="7" w:name="_Toc331424201"/>
      <w:bookmarkStart w:id="8" w:name="_Toc331424202"/>
      <w:bookmarkStart w:id="9" w:name="_Toc331424204"/>
      <w:bookmarkStart w:id="10" w:name="_Toc331424208"/>
      <w:bookmarkStart w:id="11" w:name="_Toc331424209"/>
      <w:bookmarkStart w:id="12" w:name="_Toc331424210"/>
      <w:bookmarkStart w:id="13" w:name="_Toc331424211"/>
      <w:bookmarkStart w:id="14" w:name="_Toc331424212"/>
      <w:bookmarkStart w:id="15" w:name="_Toc331424214"/>
      <w:bookmarkStart w:id="16" w:name="_Toc331424215"/>
      <w:bookmarkStart w:id="17" w:name="_Toc331424216"/>
      <w:bookmarkStart w:id="18" w:name="_Toc331424218"/>
      <w:bookmarkStart w:id="19" w:name="_Toc331424219"/>
      <w:bookmarkStart w:id="20" w:name="_Toc331424220"/>
      <w:bookmarkStart w:id="21" w:name="_Toc331424221"/>
      <w:bookmarkStart w:id="22" w:name="_Toc331424222"/>
      <w:bookmarkStart w:id="23" w:name="_Toc331424223"/>
      <w:bookmarkStart w:id="24" w:name="_Toc331424224"/>
      <w:bookmarkStart w:id="25" w:name="_Toc331424225"/>
      <w:bookmarkStart w:id="26" w:name="_Toc331424226"/>
      <w:bookmarkStart w:id="27" w:name="_Toc331424227"/>
      <w:bookmarkStart w:id="28" w:name="_Toc331424228"/>
      <w:bookmarkStart w:id="29" w:name="_Toc331424229"/>
      <w:bookmarkStart w:id="30" w:name="_Toc331424230"/>
      <w:bookmarkStart w:id="31" w:name="_Toc331424231"/>
      <w:bookmarkStart w:id="32" w:name="_Toc331424232"/>
      <w:bookmarkStart w:id="33" w:name="_Toc331424233"/>
      <w:bookmarkStart w:id="34" w:name="_Toc331424234"/>
      <w:bookmarkStart w:id="35" w:name="_Toc331424235"/>
      <w:bookmarkStart w:id="36" w:name="_Toc331424236"/>
      <w:bookmarkStart w:id="37" w:name="_Toc331424237"/>
      <w:bookmarkStart w:id="38" w:name="_Toc331424238"/>
      <w:bookmarkStart w:id="39" w:name="_Toc331424241"/>
      <w:bookmarkStart w:id="40" w:name="_Toc331424243"/>
      <w:bookmarkStart w:id="41" w:name="_Toc331424245"/>
      <w:bookmarkStart w:id="42" w:name="_Toc331424246"/>
      <w:bookmarkStart w:id="43" w:name="_Toc331424272"/>
      <w:bookmarkStart w:id="44" w:name="_Toc331424273"/>
      <w:bookmarkStart w:id="45" w:name="_Toc331424274"/>
      <w:bookmarkStart w:id="46" w:name="_Toc331424275"/>
      <w:bookmarkStart w:id="47" w:name="_Toc331424315"/>
      <w:bookmarkStart w:id="48" w:name="_Toc331424316"/>
      <w:bookmarkStart w:id="49" w:name="_Toc331424318"/>
      <w:bookmarkStart w:id="50" w:name="_Toc331424320"/>
      <w:bookmarkStart w:id="51" w:name="_Toc331424321"/>
      <w:bookmarkStart w:id="52" w:name="_Toc331424322"/>
      <w:bookmarkStart w:id="53" w:name="_Toc331424323"/>
      <w:bookmarkStart w:id="54" w:name="_Toc331424324"/>
      <w:bookmarkStart w:id="55" w:name="_Toc331424325"/>
      <w:bookmarkStart w:id="56" w:name="_Toc331424326"/>
      <w:bookmarkStart w:id="57" w:name="_Toc331424327"/>
      <w:bookmarkStart w:id="58" w:name="_Toc331424328"/>
      <w:bookmarkStart w:id="59" w:name="_Toc331424329"/>
      <w:bookmarkStart w:id="60" w:name="_Toc331424330"/>
      <w:bookmarkStart w:id="61" w:name="_Toc331424331"/>
      <w:bookmarkStart w:id="62" w:name="_Toc331424332"/>
      <w:bookmarkStart w:id="63" w:name="_Toc331424333"/>
      <w:bookmarkStart w:id="64" w:name="_Toc331424334"/>
      <w:bookmarkStart w:id="65" w:name="_Toc331424335"/>
      <w:bookmarkStart w:id="66" w:name="_Toc331424336"/>
      <w:bookmarkStart w:id="67" w:name="_Toc331424337"/>
      <w:bookmarkStart w:id="68" w:name="_Toc331424338"/>
      <w:bookmarkStart w:id="69" w:name="_Toc331424339"/>
      <w:bookmarkStart w:id="70" w:name="_Toc331424340"/>
      <w:bookmarkStart w:id="71" w:name="_Toc331424341"/>
      <w:bookmarkStart w:id="72" w:name="_Toc331424342"/>
      <w:bookmarkStart w:id="73" w:name="_Toc331424343"/>
      <w:bookmarkStart w:id="74" w:name="_Toc331424344"/>
      <w:bookmarkStart w:id="75" w:name="_Toc331424345"/>
      <w:bookmarkStart w:id="76" w:name="_Toc331424346"/>
      <w:bookmarkStart w:id="77" w:name="_Toc331424347"/>
      <w:bookmarkStart w:id="78" w:name="_Toc331424349"/>
      <w:bookmarkStart w:id="79" w:name="_Toc331424350"/>
      <w:bookmarkStart w:id="80" w:name="_Toc331424351"/>
      <w:bookmarkStart w:id="81" w:name="_Toc331424352"/>
      <w:bookmarkStart w:id="82" w:name="_Toc331424354"/>
      <w:bookmarkStart w:id="83" w:name="_Toc331424355"/>
      <w:bookmarkStart w:id="84" w:name="_Toc331424356"/>
      <w:bookmarkStart w:id="85" w:name="_Toc331424357"/>
      <w:bookmarkStart w:id="86" w:name="_Toc331424358"/>
      <w:bookmarkStart w:id="87" w:name="_Toc331424359"/>
      <w:bookmarkStart w:id="88" w:name="_Toc331424360"/>
      <w:bookmarkStart w:id="89" w:name="_Toc331424361"/>
      <w:bookmarkStart w:id="90" w:name="_Toc331424362"/>
      <w:bookmarkStart w:id="91" w:name="_Toc331424363"/>
      <w:bookmarkStart w:id="92" w:name="_Toc331424364"/>
      <w:bookmarkStart w:id="93" w:name="_Toc331424366"/>
      <w:bookmarkStart w:id="94" w:name="_Toc331424367"/>
      <w:bookmarkStart w:id="95" w:name="_Toc331424368"/>
      <w:bookmarkStart w:id="96" w:name="_Toc331424369"/>
      <w:bookmarkStart w:id="97" w:name="_Toc331424379"/>
      <w:bookmarkStart w:id="98" w:name="_Toc331424385"/>
      <w:bookmarkStart w:id="99" w:name="_Toc331424386"/>
      <w:bookmarkStart w:id="100" w:name="_Toc331424387"/>
      <w:bookmarkStart w:id="101" w:name="_Toc331424389"/>
      <w:bookmarkStart w:id="102" w:name="_Toc331424390"/>
      <w:bookmarkStart w:id="103" w:name="_Toc331424392"/>
      <w:bookmarkStart w:id="104" w:name="_Toc331424393"/>
      <w:bookmarkStart w:id="105" w:name="_Toc331424396"/>
      <w:bookmarkStart w:id="106" w:name="_Toc331424398"/>
      <w:bookmarkStart w:id="107" w:name="_Toc331424400"/>
      <w:bookmarkStart w:id="108" w:name="_Toc331424401"/>
      <w:bookmarkStart w:id="109" w:name="_Toc331424405"/>
      <w:bookmarkStart w:id="110" w:name="_Toc331424406"/>
      <w:bookmarkStart w:id="111" w:name="_Toc331424407"/>
      <w:bookmarkStart w:id="112" w:name="_Toc331424408"/>
      <w:bookmarkStart w:id="113" w:name="_Toc331424409"/>
      <w:bookmarkStart w:id="114" w:name="_Toc331424410"/>
      <w:bookmarkStart w:id="115" w:name="_Toc331424411"/>
      <w:bookmarkStart w:id="116" w:name="_Toc331424412"/>
      <w:bookmarkStart w:id="117" w:name="_Toc331424413"/>
      <w:bookmarkStart w:id="118" w:name="_Toc331424414"/>
      <w:bookmarkStart w:id="119" w:name="_Toc331424415"/>
      <w:bookmarkStart w:id="120" w:name="_Toc331424416"/>
      <w:bookmarkStart w:id="121" w:name="_Toc331424417"/>
      <w:bookmarkStart w:id="122" w:name="_Toc331424418"/>
      <w:bookmarkStart w:id="123" w:name="_Toc331424419"/>
      <w:bookmarkStart w:id="124" w:name="_Toc331424420"/>
      <w:bookmarkStart w:id="125" w:name="_Toc331424421"/>
      <w:bookmarkStart w:id="126" w:name="_Toc331424422"/>
      <w:bookmarkStart w:id="127" w:name="_Toc331424423"/>
      <w:bookmarkStart w:id="128" w:name="_Toc331424424"/>
      <w:bookmarkStart w:id="129" w:name="_Toc331424425"/>
      <w:bookmarkStart w:id="130" w:name="_Toc331424426"/>
      <w:bookmarkStart w:id="131" w:name="_Toc331424427"/>
      <w:bookmarkStart w:id="132" w:name="_Toc331424428"/>
      <w:bookmarkStart w:id="133" w:name="_Toc331424429"/>
      <w:bookmarkStart w:id="134" w:name="_Toc331424430"/>
      <w:bookmarkStart w:id="135" w:name="_Toc331424431"/>
      <w:bookmarkStart w:id="136" w:name="_Toc331424432"/>
      <w:bookmarkStart w:id="137" w:name="_Toc331424434"/>
      <w:bookmarkStart w:id="138" w:name="_Toc331424436"/>
      <w:bookmarkStart w:id="139" w:name="_Toc331424437"/>
      <w:bookmarkStart w:id="140" w:name="_Toc331424476"/>
      <w:bookmarkStart w:id="141" w:name="_Toc331424479"/>
      <w:bookmarkStart w:id="142" w:name="_Toc331424480"/>
      <w:bookmarkStart w:id="143" w:name="_Toc331424481"/>
      <w:bookmarkStart w:id="144" w:name="_Toc331424482"/>
      <w:bookmarkStart w:id="145" w:name="_Toc331424483"/>
      <w:bookmarkStart w:id="146" w:name="_Toc331424484"/>
      <w:bookmarkStart w:id="147" w:name="_Toc331424485"/>
      <w:bookmarkStart w:id="148" w:name="_Toc331424507"/>
      <w:bookmarkStart w:id="149" w:name="_Toc331424508"/>
      <w:bookmarkStart w:id="150" w:name="_Toc331424510"/>
      <w:bookmarkStart w:id="151" w:name="_Toc331424512"/>
      <w:bookmarkStart w:id="152" w:name="_Toc331424519"/>
      <w:bookmarkStart w:id="153" w:name="_Toc331424521"/>
      <w:bookmarkStart w:id="154" w:name="_Toc331424523"/>
      <w:bookmarkStart w:id="155" w:name="_Toc331424525"/>
      <w:bookmarkStart w:id="156" w:name="_Toc331424526"/>
      <w:bookmarkStart w:id="157" w:name="_Toc331424530"/>
      <w:bookmarkStart w:id="158" w:name="_Toc331424531"/>
      <w:bookmarkStart w:id="159" w:name="_Toc331424533"/>
      <w:bookmarkStart w:id="160" w:name="_Toc331424534"/>
      <w:bookmarkStart w:id="161" w:name="_Toc331424535"/>
      <w:bookmarkStart w:id="162" w:name="_Toc331424536"/>
      <w:bookmarkStart w:id="163" w:name="_Toc331424537"/>
      <w:bookmarkStart w:id="164" w:name="_Toc331424538"/>
      <w:bookmarkStart w:id="165" w:name="_Toc331424541"/>
      <w:bookmarkStart w:id="166" w:name="_Toc331424544"/>
      <w:bookmarkStart w:id="167" w:name="_Toc331424545"/>
      <w:bookmarkStart w:id="168" w:name="_Toc331424546"/>
      <w:bookmarkStart w:id="169" w:name="_Toc331424547"/>
      <w:bookmarkStart w:id="170" w:name="_Toc331424548"/>
      <w:bookmarkStart w:id="171" w:name="_Toc331424549"/>
      <w:bookmarkStart w:id="172" w:name="_Toc331424551"/>
      <w:bookmarkStart w:id="173" w:name="_Toc331424553"/>
      <w:bookmarkStart w:id="174" w:name="_Toc331424555"/>
      <w:bookmarkStart w:id="175" w:name="_Toc331424557"/>
      <w:bookmarkStart w:id="176" w:name="_Toc331424559"/>
      <w:bookmarkStart w:id="177" w:name="_Toc331424561"/>
      <w:bookmarkStart w:id="178" w:name="_Toc331424563"/>
      <w:bookmarkStart w:id="179" w:name="_Toc331424565"/>
      <w:bookmarkStart w:id="180" w:name="_Toc331424567"/>
      <w:bookmarkStart w:id="181" w:name="_Toc331424568"/>
      <w:bookmarkStart w:id="182" w:name="_Toc331424569"/>
      <w:bookmarkStart w:id="183" w:name="_Toc331424570"/>
      <w:bookmarkStart w:id="184" w:name="_Toc331424571"/>
      <w:bookmarkStart w:id="185" w:name="_Toc331424572"/>
      <w:bookmarkStart w:id="186" w:name="_Toc331424573"/>
      <w:bookmarkStart w:id="187" w:name="_Toc331424574"/>
      <w:bookmarkStart w:id="188" w:name="_Toc331424575"/>
      <w:bookmarkStart w:id="189" w:name="_Toc331424576"/>
      <w:bookmarkStart w:id="190" w:name="_Toc331424577"/>
      <w:bookmarkStart w:id="191" w:name="_Toc331424578"/>
      <w:bookmarkStart w:id="192" w:name="_Toc331424579"/>
      <w:bookmarkStart w:id="193" w:name="_Toc331424580"/>
      <w:bookmarkStart w:id="194" w:name="_Toc331424583"/>
      <w:bookmarkStart w:id="195" w:name="_Toc331424584"/>
      <w:bookmarkStart w:id="196" w:name="_Toc331424585"/>
      <w:bookmarkStart w:id="197" w:name="_Toc331424587"/>
      <w:bookmarkStart w:id="198" w:name="_Toc331424588"/>
      <w:bookmarkStart w:id="199" w:name="_Toc331424589"/>
      <w:bookmarkStart w:id="200" w:name="_Toc331424590"/>
      <w:bookmarkStart w:id="201" w:name="_Toc331424591"/>
      <w:bookmarkStart w:id="202" w:name="_Toc331424592"/>
      <w:bookmarkStart w:id="203" w:name="_Toc331424593"/>
      <w:bookmarkStart w:id="204" w:name="_Toc331424594"/>
      <w:bookmarkStart w:id="205" w:name="_Toc331424595"/>
      <w:bookmarkStart w:id="206" w:name="_Toc331424596"/>
      <w:bookmarkStart w:id="207" w:name="_Toc331424598"/>
      <w:bookmarkStart w:id="208" w:name="_Toc331424600"/>
      <w:bookmarkStart w:id="209" w:name="_Toc331424601"/>
      <w:bookmarkStart w:id="210" w:name="_Toc331424602"/>
      <w:bookmarkStart w:id="211" w:name="_Toc331424610"/>
      <w:bookmarkStart w:id="212" w:name="_Toc331424611"/>
      <w:bookmarkStart w:id="213" w:name="_Toc331424612"/>
      <w:bookmarkStart w:id="214" w:name="_Toc331424614"/>
      <w:bookmarkStart w:id="215" w:name="_Toc331424618"/>
      <w:bookmarkStart w:id="216" w:name="_Toc331424619"/>
      <w:bookmarkStart w:id="217" w:name="_Toc331424620"/>
      <w:bookmarkStart w:id="218" w:name="_Toc331424621"/>
      <w:bookmarkStart w:id="219" w:name="_Toc331424622"/>
      <w:bookmarkStart w:id="220" w:name="_Toc331424623"/>
      <w:bookmarkStart w:id="221" w:name="_Toc331424624"/>
      <w:bookmarkStart w:id="222" w:name="_Toc331424625"/>
      <w:bookmarkStart w:id="223" w:name="_Toc331424626"/>
      <w:bookmarkStart w:id="224" w:name="_Toc331424628"/>
      <w:bookmarkStart w:id="225" w:name="_Toc331424629"/>
      <w:bookmarkStart w:id="226" w:name="_Toc331424630"/>
      <w:bookmarkStart w:id="227" w:name="_Toc331424632"/>
      <w:bookmarkStart w:id="228" w:name="_Toc331424633"/>
      <w:bookmarkStart w:id="229" w:name="_Toc331424635"/>
      <w:bookmarkStart w:id="230" w:name="_Toc331424636"/>
      <w:bookmarkStart w:id="231" w:name="_Toc331424638"/>
      <w:bookmarkStart w:id="232" w:name="_Toc331424639"/>
      <w:bookmarkStart w:id="233" w:name="_Toc331424640"/>
      <w:bookmarkStart w:id="234" w:name="_Toc331424641"/>
      <w:bookmarkStart w:id="235" w:name="_Toc331424642"/>
      <w:bookmarkStart w:id="236" w:name="_Toc331424643"/>
      <w:bookmarkStart w:id="237" w:name="_Toc331424644"/>
      <w:bookmarkStart w:id="238" w:name="_Toc331424645"/>
      <w:bookmarkStart w:id="239" w:name="_Toc331424646"/>
      <w:bookmarkStart w:id="240" w:name="_Toc331424647"/>
      <w:bookmarkStart w:id="241" w:name="_Toc331424649"/>
      <w:bookmarkStart w:id="242" w:name="_Toc331424650"/>
      <w:bookmarkStart w:id="243" w:name="_Toc331424652"/>
      <w:bookmarkStart w:id="244" w:name="_Toc331424653"/>
      <w:bookmarkStart w:id="245" w:name="_Toc331424654"/>
      <w:bookmarkStart w:id="246" w:name="_Toc331424656"/>
      <w:bookmarkStart w:id="247" w:name="_Toc331424657"/>
      <w:bookmarkStart w:id="248" w:name="_Toc331424658"/>
      <w:bookmarkStart w:id="249" w:name="_Toc331424660"/>
      <w:bookmarkStart w:id="250" w:name="_Toc331424661"/>
      <w:bookmarkStart w:id="251" w:name="_Toc331424662"/>
      <w:bookmarkStart w:id="252" w:name="_Toc331424663"/>
      <w:bookmarkStart w:id="253" w:name="_Toc331424664"/>
      <w:bookmarkStart w:id="254" w:name="_Toc331424666"/>
      <w:bookmarkStart w:id="255" w:name="_Toc331424667"/>
      <w:bookmarkStart w:id="256" w:name="_Toc331424668"/>
      <w:bookmarkStart w:id="257" w:name="_Toc331424705"/>
      <w:bookmarkStart w:id="258" w:name="_Toc331424750"/>
      <w:bookmarkStart w:id="259" w:name="_Toc331424775"/>
      <w:bookmarkStart w:id="260" w:name="_Toc331424800"/>
      <w:bookmarkStart w:id="261" w:name="_Toc331424820"/>
      <w:bookmarkStart w:id="262" w:name="_Toc331424842"/>
      <w:bookmarkStart w:id="263" w:name="_Toc331424858"/>
      <w:bookmarkStart w:id="264" w:name="_Toc331424866"/>
      <w:bookmarkStart w:id="265" w:name="_Toc334625951"/>
      <w:bookmarkStart w:id="266" w:name="_Toc17444496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CB783A">
        <w:rPr>
          <w:rFonts w:ascii="Segoe UI" w:hAnsi="Segoe UI" w:cs="Segoe UI"/>
          <w:b/>
          <w:bCs/>
          <w:kern w:val="36"/>
          <w:sz w:val="48"/>
          <w:szCs w:val="48"/>
          <w:lang w:eastAsia="en-GB"/>
        </w:rPr>
        <w:lastRenderedPageBreak/>
        <w:t>Confidential Reporting (Whistleblowing) Policy</w:t>
      </w:r>
    </w:p>
    <w:p w14:paraId="7A2ECA48"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b/>
          <w:bCs/>
          <w:sz w:val="21"/>
          <w:szCs w:val="21"/>
          <w:lang w:eastAsia="en-GB"/>
        </w:rPr>
        <w:t>Office of the Police and Crime Commissioner</w:t>
      </w:r>
    </w:p>
    <w:p w14:paraId="701317AD"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1. Purpose</w:t>
      </w:r>
    </w:p>
    <w:p w14:paraId="27803ADD"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The Office of the Police and Crime Commissioner (OPCC) is committed to the highest standards of openness, integrity and accountability. This policy provides a clear framework for individuals to raise concerns about wrongdoing, malpractice or unethical behaviour in a safe and confidential manner.</w:t>
      </w:r>
    </w:p>
    <w:p w14:paraId="7D5F033A"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The policy supports a culture in which staff and others feel confident to speak up, knowing that concerns will be taken seriously, investigated appropriately, and that they will be protected from victimisation or detriment.</w:t>
      </w:r>
    </w:p>
    <w:p w14:paraId="410BCB32"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2. Scope</w:t>
      </w:r>
    </w:p>
    <w:p w14:paraId="7C7F1234"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This policy applies to:</w:t>
      </w:r>
    </w:p>
    <w:p w14:paraId="31EA5B50" w14:textId="77777777" w:rsidR="00CB783A" w:rsidRPr="00CB783A" w:rsidRDefault="00CB783A" w:rsidP="00CB783A">
      <w:pPr>
        <w:numPr>
          <w:ilvl w:val="0"/>
          <w:numId w:val="6"/>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All OPCC employees, including permanent, temporary, casual, agency staff and secondees</w:t>
      </w:r>
    </w:p>
    <w:p w14:paraId="06BDE0CF" w14:textId="77777777" w:rsidR="00CB783A" w:rsidRPr="00CB783A" w:rsidRDefault="00CB783A" w:rsidP="00CB783A">
      <w:pPr>
        <w:numPr>
          <w:ilvl w:val="0"/>
          <w:numId w:val="6"/>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Volunteers, authorised work experience placements and political or specialist advisers</w:t>
      </w:r>
    </w:p>
    <w:p w14:paraId="3D662962" w14:textId="77777777" w:rsidR="00CB783A" w:rsidRPr="00CB783A" w:rsidRDefault="00CB783A" w:rsidP="00CB783A">
      <w:pPr>
        <w:numPr>
          <w:ilvl w:val="0"/>
          <w:numId w:val="6"/>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Contractors, suppliers and others providing services to the OPCC, whether on OPCC premises or elsewhere</w:t>
      </w:r>
    </w:p>
    <w:p w14:paraId="134E79AF"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This policy has been discussed with recognised Trade Unions and the OPCC Executive and has their support.</w:t>
      </w:r>
    </w:p>
    <w:p w14:paraId="449EE353"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3. What is Confidential Reporting?</w:t>
      </w:r>
    </w:p>
    <w:p w14:paraId="1E83BC33"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Confidential reporting (sometimes referred to as whistleblowing) is the disclosure of information which an individual reasonably believes shows wrongdoing or improper conduct within the OPCC.</w:t>
      </w:r>
    </w:p>
    <w:p w14:paraId="3ED7AA39"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Employees are often the first to identify potential concerns but may be reluctant to raise them. This policy exists to ensure that concerns can be raised internally, confidentially and without fear of reprisal.</w:t>
      </w:r>
    </w:p>
    <w:p w14:paraId="72AA214C"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4. Our Commitment</w:t>
      </w:r>
    </w:p>
    <w:p w14:paraId="03CC6397"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The OPCC:</w:t>
      </w:r>
    </w:p>
    <w:p w14:paraId="53153873" w14:textId="77777777" w:rsidR="00CB783A" w:rsidRPr="00CB783A" w:rsidRDefault="00CB783A" w:rsidP="00CB783A">
      <w:pPr>
        <w:numPr>
          <w:ilvl w:val="0"/>
          <w:numId w:val="7"/>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lastRenderedPageBreak/>
        <w:t>Encourages individuals to raise concerns at the earliest opportunity</w:t>
      </w:r>
    </w:p>
    <w:p w14:paraId="70236E23" w14:textId="77777777" w:rsidR="00CB783A" w:rsidRPr="00CB783A" w:rsidRDefault="00CB783A" w:rsidP="00CB783A">
      <w:pPr>
        <w:numPr>
          <w:ilvl w:val="0"/>
          <w:numId w:val="7"/>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Will treat all disclosures seriously and investigate them proportionately</w:t>
      </w:r>
    </w:p>
    <w:p w14:paraId="1A45372B" w14:textId="77777777" w:rsidR="00CB783A" w:rsidRPr="00CB783A" w:rsidRDefault="00CB783A" w:rsidP="00CB783A">
      <w:pPr>
        <w:numPr>
          <w:ilvl w:val="0"/>
          <w:numId w:val="7"/>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Will protect those who raise concerns in good faith from victimisation or harassment</w:t>
      </w:r>
    </w:p>
    <w:p w14:paraId="6C62293C" w14:textId="77777777" w:rsidR="00CB783A" w:rsidRPr="00CB783A" w:rsidRDefault="00CB783A" w:rsidP="00CB783A">
      <w:pPr>
        <w:numPr>
          <w:ilvl w:val="0"/>
          <w:numId w:val="7"/>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Will ensure compliance with the Public Interest Disclosure Act 1998</w:t>
      </w:r>
    </w:p>
    <w:p w14:paraId="0CD4E0FB"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5. Aims of the Policy</w:t>
      </w:r>
    </w:p>
    <w:p w14:paraId="5DC7AC2A"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The aims of this policy are to:</w:t>
      </w:r>
    </w:p>
    <w:p w14:paraId="50249CD3" w14:textId="77777777" w:rsidR="00CB783A" w:rsidRPr="00CB783A" w:rsidRDefault="00CB783A" w:rsidP="00CB783A">
      <w:pPr>
        <w:numPr>
          <w:ilvl w:val="0"/>
          <w:numId w:val="8"/>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Encourage confidence in raising concerns about wrongdoing or poor practice</w:t>
      </w:r>
    </w:p>
    <w:p w14:paraId="27A13521" w14:textId="77777777" w:rsidR="00CB783A" w:rsidRPr="00CB783A" w:rsidRDefault="00CB783A" w:rsidP="00CB783A">
      <w:pPr>
        <w:numPr>
          <w:ilvl w:val="0"/>
          <w:numId w:val="8"/>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Provide clear routes for raising concerns confidentially</w:t>
      </w:r>
    </w:p>
    <w:p w14:paraId="6E7FEABC" w14:textId="77777777" w:rsidR="00CB783A" w:rsidRPr="00CB783A" w:rsidRDefault="00CB783A" w:rsidP="00CB783A">
      <w:pPr>
        <w:numPr>
          <w:ilvl w:val="0"/>
          <w:numId w:val="8"/>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Ensure concerns are acknowledged, investigated and responded to appropriately</w:t>
      </w:r>
    </w:p>
    <w:p w14:paraId="3C5D0D88" w14:textId="77777777" w:rsidR="00CB783A" w:rsidRPr="00CB783A" w:rsidRDefault="00CB783A" w:rsidP="00CB783A">
      <w:pPr>
        <w:numPr>
          <w:ilvl w:val="0"/>
          <w:numId w:val="8"/>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Reassure individuals that they will be protected from detriment where concerns are raised in good faith</w:t>
      </w:r>
    </w:p>
    <w:p w14:paraId="58DCEF26"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6. Matters Covered by This Policy</w:t>
      </w:r>
    </w:p>
    <w:p w14:paraId="2ECF6F5B"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This policy applies to concerns relating to:</w:t>
      </w:r>
    </w:p>
    <w:p w14:paraId="66EFB4C6"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Criminal offences or breaches of the law</w:t>
      </w:r>
    </w:p>
    <w:p w14:paraId="14F6EB0C"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Failure to comply with legal or regulatory obligations</w:t>
      </w:r>
    </w:p>
    <w:p w14:paraId="5FA3DA0A"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Miscarriages of justice</w:t>
      </w:r>
    </w:p>
    <w:p w14:paraId="2BF091B1"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Health and safety risks to staff, the public or others</w:t>
      </w:r>
    </w:p>
    <w:p w14:paraId="471207E5"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Environmental damage</w:t>
      </w:r>
    </w:p>
    <w:p w14:paraId="19C5B8CE"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Misuse or unauthorised use of public funds</w:t>
      </w:r>
    </w:p>
    <w:p w14:paraId="514F7DCB"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Fraud, bribery or corruption</w:t>
      </w:r>
    </w:p>
    <w:p w14:paraId="7199AF1B"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Abuse or safeguarding concerns</w:t>
      </w:r>
    </w:p>
    <w:p w14:paraId="2FDFA143" w14:textId="77777777" w:rsidR="00CB783A" w:rsidRPr="00CB783A" w:rsidRDefault="00CB783A" w:rsidP="00CB783A">
      <w:pPr>
        <w:numPr>
          <w:ilvl w:val="0"/>
          <w:numId w:val="9"/>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Serious unethical, unprofessional or improper conduct</w:t>
      </w:r>
    </w:p>
    <w:p w14:paraId="313A43F5"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 xml:space="preserve">This policy does </w:t>
      </w:r>
      <w:r w:rsidRPr="00CB783A">
        <w:rPr>
          <w:rFonts w:ascii="Segoe UI" w:hAnsi="Segoe UI" w:cs="Segoe UI"/>
          <w:b/>
          <w:bCs/>
          <w:sz w:val="21"/>
          <w:szCs w:val="21"/>
          <w:lang w:eastAsia="en-GB"/>
        </w:rPr>
        <w:t>not</w:t>
      </w:r>
      <w:r w:rsidRPr="00CB783A">
        <w:rPr>
          <w:rFonts w:ascii="Segoe UI" w:hAnsi="Segoe UI" w:cs="Segoe UI"/>
          <w:sz w:val="21"/>
          <w:szCs w:val="21"/>
          <w:lang w:eastAsia="en-GB"/>
        </w:rPr>
        <w:t xml:space="preserve"> apply to:</w:t>
      </w:r>
    </w:p>
    <w:p w14:paraId="234DE5D2" w14:textId="77777777" w:rsidR="00CB783A" w:rsidRPr="00CB783A" w:rsidRDefault="00CB783A" w:rsidP="00CB783A">
      <w:pPr>
        <w:numPr>
          <w:ilvl w:val="0"/>
          <w:numId w:val="10"/>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Personal employment grievances (which should be raised under the Grievance Policy)</w:t>
      </w:r>
    </w:p>
    <w:p w14:paraId="7E767EA1" w14:textId="77777777" w:rsidR="00CB783A" w:rsidRPr="00CB783A" w:rsidRDefault="00CB783A" w:rsidP="00CB783A">
      <w:pPr>
        <w:numPr>
          <w:ilvl w:val="0"/>
          <w:numId w:val="10"/>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Complaints from members of the public (which should be raised via the complaints process)</w:t>
      </w:r>
    </w:p>
    <w:p w14:paraId="22E4E26C"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7. Safeguards and Protection</w:t>
      </w:r>
    </w:p>
    <w:p w14:paraId="41CF0D7F"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The OPCC will not tolerate any form of harassment, victimisation or retaliation against anyone who raises a concern in good faith.</w:t>
      </w:r>
    </w:p>
    <w:p w14:paraId="3F4586D2"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Managers have a duty of care to:</w:t>
      </w:r>
    </w:p>
    <w:p w14:paraId="6951FD47" w14:textId="77777777" w:rsidR="00CB783A" w:rsidRPr="00CB783A" w:rsidRDefault="00CB783A" w:rsidP="00CB783A">
      <w:pPr>
        <w:numPr>
          <w:ilvl w:val="0"/>
          <w:numId w:val="11"/>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Provide appropriate support and reassurance</w:t>
      </w:r>
    </w:p>
    <w:p w14:paraId="096E8894" w14:textId="77777777" w:rsidR="00CB783A" w:rsidRPr="00CB783A" w:rsidRDefault="00CB783A" w:rsidP="00CB783A">
      <w:pPr>
        <w:numPr>
          <w:ilvl w:val="0"/>
          <w:numId w:val="11"/>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Prevent and address any victimisation or detriment</w:t>
      </w:r>
    </w:p>
    <w:p w14:paraId="707A4BF0" w14:textId="77777777" w:rsidR="00CB783A" w:rsidRPr="00CB783A" w:rsidRDefault="00CB783A" w:rsidP="00CB783A">
      <w:pPr>
        <w:numPr>
          <w:ilvl w:val="0"/>
          <w:numId w:val="11"/>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Take robust action where victimisation occurs</w:t>
      </w:r>
    </w:p>
    <w:p w14:paraId="1EC01C8B" w14:textId="77777777" w:rsidR="00CB783A" w:rsidRPr="00CB783A" w:rsidRDefault="00CB783A" w:rsidP="00CB783A">
      <w:pPr>
        <w:numPr>
          <w:ilvl w:val="0"/>
          <w:numId w:val="11"/>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lastRenderedPageBreak/>
        <w:t>Promote a culture where staff feel safe to speak up</w:t>
      </w:r>
    </w:p>
    <w:p w14:paraId="4B13B8C4"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8. Confidentiality and Anonymity</w:t>
      </w:r>
    </w:p>
    <w:p w14:paraId="4EA420DA"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All concerns will be handled sensitively and, where possible, confidentially. The OPCC will make every effort not to disclose the identity of the individual raising a concern unless required to do so by law or where disclosure is essential to the investigation.</w:t>
      </w:r>
    </w:p>
    <w:p w14:paraId="098D2962"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While anonymous disclosures will be considered, individuals are encouraged to provide their name wherever possible to enable effective investigation and feedback.</w:t>
      </w:r>
    </w:p>
    <w:p w14:paraId="07795472"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To be protected under this policy, disclosures must be made:</w:t>
      </w:r>
    </w:p>
    <w:p w14:paraId="54A94399" w14:textId="77777777" w:rsidR="00CB783A" w:rsidRPr="00CB783A" w:rsidRDefault="00CB783A" w:rsidP="00CB783A">
      <w:pPr>
        <w:numPr>
          <w:ilvl w:val="0"/>
          <w:numId w:val="12"/>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In good faith</w:t>
      </w:r>
    </w:p>
    <w:p w14:paraId="7C932888" w14:textId="77777777" w:rsidR="00CB783A" w:rsidRPr="00CB783A" w:rsidRDefault="00CB783A" w:rsidP="00CB783A">
      <w:pPr>
        <w:numPr>
          <w:ilvl w:val="0"/>
          <w:numId w:val="12"/>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With a reasonable belief that the information is substantially true</w:t>
      </w:r>
    </w:p>
    <w:p w14:paraId="3486F573" w14:textId="77777777" w:rsidR="00CB783A" w:rsidRPr="00CB783A" w:rsidRDefault="00CB783A" w:rsidP="00CB783A">
      <w:pPr>
        <w:numPr>
          <w:ilvl w:val="0"/>
          <w:numId w:val="12"/>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Without malicious intent or personal gain</w:t>
      </w:r>
    </w:p>
    <w:p w14:paraId="388302FC"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9. How to Raise a Concern</w:t>
      </w:r>
    </w:p>
    <w:p w14:paraId="15165EF5"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Concerns may be raised through any of the following routes:</w:t>
      </w:r>
    </w:p>
    <w:p w14:paraId="16459594" w14:textId="77777777" w:rsidR="00CB783A" w:rsidRPr="00CB783A" w:rsidRDefault="00CB783A" w:rsidP="00CB783A">
      <w:pPr>
        <w:numPr>
          <w:ilvl w:val="0"/>
          <w:numId w:val="13"/>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Line manager or senior manager</w:t>
      </w:r>
    </w:p>
    <w:p w14:paraId="06880791" w14:textId="77777777" w:rsidR="00CB783A" w:rsidRPr="00CB783A" w:rsidRDefault="00CB783A" w:rsidP="00CB783A">
      <w:pPr>
        <w:numPr>
          <w:ilvl w:val="0"/>
          <w:numId w:val="13"/>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Trade Union representative</w:t>
      </w:r>
    </w:p>
    <w:p w14:paraId="2B96ED04" w14:textId="77777777" w:rsidR="00CB783A" w:rsidRPr="00CB783A" w:rsidRDefault="00CB783A" w:rsidP="00CB783A">
      <w:pPr>
        <w:numPr>
          <w:ilvl w:val="0"/>
          <w:numId w:val="13"/>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Chief Executive (Monitoring Officer)</w:t>
      </w:r>
    </w:p>
    <w:p w14:paraId="580F73CA" w14:textId="77777777" w:rsidR="00CB783A" w:rsidRPr="00CB783A" w:rsidRDefault="00CB783A" w:rsidP="00CB783A">
      <w:pPr>
        <w:numPr>
          <w:ilvl w:val="0"/>
          <w:numId w:val="13"/>
        </w:num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Chief Finance Officer</w:t>
      </w:r>
    </w:p>
    <w:p w14:paraId="63D9F535"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Where the concern relates to the Chief Executive or Chief Finance Officer, it should be raised directly with the Police and Crime Commissioner or Deputy PCC (if appointed).</w:t>
      </w:r>
    </w:p>
    <w:p w14:paraId="3BA0D084"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Concerns may be raised verbally or in writing. All disclosures will be acknowledged and appropriate action taken.</w:t>
      </w:r>
    </w:p>
    <w:p w14:paraId="236C1EC3"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10. Investigation and Reporting</w:t>
      </w:r>
    </w:p>
    <w:p w14:paraId="05E4EB45"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Appropriate action will be taken to investigate concerns, which may include the appointment of an Investigating Officer. A confidential report outlining the concern and initial actions taken will be submitted to the Chief Executive.</w:t>
      </w:r>
    </w:p>
    <w:p w14:paraId="3A227408"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If a disclosure is found to have been made frivolously, maliciously or for personal gain, disciplinary or misconduct action may be considered.</w:t>
      </w:r>
    </w:p>
    <w:p w14:paraId="56CA3910" w14:textId="77777777" w:rsidR="00CB783A" w:rsidRPr="00CB783A" w:rsidRDefault="00CB783A" w:rsidP="00CB783A">
      <w:pPr>
        <w:spacing w:before="100" w:beforeAutospacing="1" w:after="100" w:afterAutospacing="1" w:line="300" w:lineRule="atLeast"/>
        <w:outlineLvl w:val="1"/>
        <w:rPr>
          <w:rFonts w:ascii="Segoe UI" w:hAnsi="Segoe UI" w:cs="Segoe UI"/>
          <w:b/>
          <w:bCs/>
          <w:sz w:val="36"/>
          <w:szCs w:val="36"/>
          <w:lang w:eastAsia="en-GB"/>
        </w:rPr>
      </w:pPr>
      <w:r w:rsidRPr="00CB783A">
        <w:rPr>
          <w:rFonts w:ascii="Segoe UI" w:hAnsi="Segoe UI" w:cs="Segoe UI"/>
          <w:b/>
          <w:bCs/>
          <w:sz w:val="36"/>
          <w:szCs w:val="36"/>
          <w:lang w:eastAsia="en-GB"/>
        </w:rPr>
        <w:t>11. Legal Framework</w:t>
      </w:r>
    </w:p>
    <w:p w14:paraId="26FBF2B5" w14:textId="77777777" w:rsidR="00CB783A" w:rsidRPr="00CB783A" w:rsidRDefault="00CB783A" w:rsidP="00CB783A">
      <w:pPr>
        <w:spacing w:before="100" w:beforeAutospacing="1" w:after="100" w:afterAutospacing="1" w:line="300" w:lineRule="atLeast"/>
        <w:rPr>
          <w:rFonts w:ascii="Segoe UI" w:hAnsi="Segoe UI" w:cs="Segoe UI"/>
          <w:sz w:val="21"/>
          <w:szCs w:val="21"/>
          <w:lang w:eastAsia="en-GB"/>
        </w:rPr>
      </w:pPr>
      <w:r w:rsidRPr="00CB783A">
        <w:rPr>
          <w:rFonts w:ascii="Segoe UI" w:hAnsi="Segoe UI" w:cs="Segoe UI"/>
          <w:sz w:val="21"/>
          <w:szCs w:val="21"/>
          <w:lang w:eastAsia="en-GB"/>
        </w:rPr>
        <w:t xml:space="preserve">This policy operates in accordance with the </w:t>
      </w:r>
      <w:r w:rsidRPr="00CB783A">
        <w:rPr>
          <w:rFonts w:ascii="Segoe UI" w:hAnsi="Segoe UI" w:cs="Segoe UI"/>
          <w:b/>
          <w:bCs/>
          <w:sz w:val="21"/>
          <w:szCs w:val="21"/>
          <w:lang w:eastAsia="en-GB"/>
        </w:rPr>
        <w:t>Public Interest Disclosure Act 1998</w:t>
      </w:r>
      <w:r w:rsidRPr="00CB783A">
        <w:rPr>
          <w:rFonts w:ascii="Segoe UI" w:hAnsi="Segoe UI" w:cs="Segoe UI"/>
          <w:sz w:val="21"/>
          <w:szCs w:val="21"/>
          <w:lang w:eastAsia="en-GB"/>
        </w:rPr>
        <w:t xml:space="preserve">, which provides legal protection for workers who make qualifying disclosures in the public interest. Individuals </w:t>
      </w:r>
      <w:r w:rsidRPr="00CB783A">
        <w:rPr>
          <w:rFonts w:ascii="Segoe UI" w:hAnsi="Segoe UI" w:cs="Segoe UI"/>
          <w:sz w:val="21"/>
          <w:szCs w:val="21"/>
          <w:lang w:eastAsia="en-GB"/>
        </w:rPr>
        <w:lastRenderedPageBreak/>
        <w:t xml:space="preserve">who suffer detriment </w:t>
      </w:r>
      <w:proofErr w:type="gramStart"/>
      <w:r w:rsidRPr="00CB783A">
        <w:rPr>
          <w:rFonts w:ascii="Segoe UI" w:hAnsi="Segoe UI" w:cs="Segoe UI"/>
          <w:sz w:val="21"/>
          <w:szCs w:val="21"/>
          <w:lang w:eastAsia="en-GB"/>
        </w:rPr>
        <w:t>as a result of</w:t>
      </w:r>
      <w:proofErr w:type="gramEnd"/>
      <w:r w:rsidRPr="00CB783A">
        <w:rPr>
          <w:rFonts w:ascii="Segoe UI" w:hAnsi="Segoe UI" w:cs="Segoe UI"/>
          <w:sz w:val="21"/>
          <w:szCs w:val="21"/>
          <w:lang w:eastAsia="en-GB"/>
        </w:rPr>
        <w:t xml:space="preserve"> raising a protected disclosure may have the right to pursue a claim through an Employment Tribunal.</w:t>
      </w:r>
    </w:p>
    <w:p w14:paraId="5FD192AB" w14:textId="4AC59A37" w:rsidR="00C1443D" w:rsidRDefault="00C1443D">
      <w:pPr>
        <w:rPr>
          <w:rFonts w:asciiTheme="minorHAnsi" w:hAnsiTheme="minorHAnsi" w:cstheme="minorHAnsi"/>
          <w:b/>
          <w:bCs/>
          <w:sz w:val="28"/>
        </w:rPr>
      </w:pPr>
    </w:p>
    <w:bookmarkEnd w:id="265"/>
    <w:bookmarkEnd w:id="266"/>
    <w:sectPr w:rsidR="00C1443D" w:rsidSect="00C144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C63E" w14:textId="77777777" w:rsidR="0026779C" w:rsidRDefault="0026779C">
      <w:r>
        <w:separator/>
      </w:r>
    </w:p>
  </w:endnote>
  <w:endnote w:type="continuationSeparator" w:id="0">
    <w:p w14:paraId="6F6C8064" w14:textId="77777777" w:rsidR="0026779C" w:rsidRDefault="0026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C325" w14:textId="77777777" w:rsidR="00410409" w:rsidRDefault="00410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9317" w14:textId="77777777" w:rsidR="00F13281" w:rsidRPr="00D62A40" w:rsidRDefault="00F13281">
    <w:pPr>
      <w:pStyle w:val="Footer"/>
      <w:rPr>
        <w:sz w:val="16"/>
        <w:szCs w:val="16"/>
      </w:rPr>
    </w:pPr>
    <w:r>
      <w:rPr>
        <w:sz w:val="16"/>
        <w:szCs w:val="16"/>
      </w:rPr>
      <w:tab/>
    </w: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EC39" w14:textId="77777777" w:rsidR="00410409" w:rsidRDefault="0041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37C0" w14:textId="77777777" w:rsidR="0026779C" w:rsidRDefault="0026779C">
      <w:r>
        <w:separator/>
      </w:r>
    </w:p>
  </w:footnote>
  <w:footnote w:type="continuationSeparator" w:id="0">
    <w:p w14:paraId="06036ED2" w14:textId="77777777" w:rsidR="0026779C" w:rsidRDefault="0026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03D6" w14:textId="77777777" w:rsidR="00410409" w:rsidRDefault="00410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3E1F" w14:textId="77777777" w:rsidR="00410409" w:rsidRDefault="00410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0AAD" w14:textId="77777777" w:rsidR="00410409" w:rsidRDefault="0041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BCB958"/>
    <w:lvl w:ilvl="0">
      <w:start w:val="1"/>
      <w:numFmt w:val="bullet"/>
      <w:pStyle w:val="ListBullet2"/>
      <w:lvlText w:val=""/>
      <w:lvlJc w:val="left"/>
      <w:pPr>
        <w:tabs>
          <w:tab w:val="num" w:pos="2160"/>
        </w:tabs>
        <w:ind w:left="2160" w:hanging="360"/>
      </w:pPr>
      <w:rPr>
        <w:rFonts w:ascii="Webdings" w:hAnsi="Webdings" w:hint="default"/>
        <w:color w:val="CC99FF"/>
      </w:rPr>
    </w:lvl>
  </w:abstractNum>
  <w:abstractNum w:abstractNumId="1" w15:restartNumberingAfterBreak="0">
    <w:nsid w:val="13E159E4"/>
    <w:multiLevelType w:val="multilevel"/>
    <w:tmpl w:val="8C7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D4722"/>
    <w:multiLevelType w:val="multilevel"/>
    <w:tmpl w:val="3BA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79C2"/>
    <w:multiLevelType w:val="multilevel"/>
    <w:tmpl w:val="B3B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52CA6"/>
    <w:multiLevelType w:val="multilevel"/>
    <w:tmpl w:val="13C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1211E"/>
    <w:multiLevelType w:val="hybridMultilevel"/>
    <w:tmpl w:val="75221E4A"/>
    <w:lvl w:ilvl="0" w:tplc="E4E813F2">
      <w:start w:val="1"/>
      <w:numFmt w:val="lowerLetter"/>
      <w:pStyle w:val="List2"/>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3E7D7F"/>
    <w:multiLevelType w:val="multilevel"/>
    <w:tmpl w:val="750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D19EA"/>
    <w:multiLevelType w:val="hybridMultilevel"/>
    <w:tmpl w:val="C40EDBC4"/>
    <w:lvl w:ilvl="0" w:tplc="4DE003C0">
      <w:start w:val="1"/>
      <w:numFmt w:val="decimal"/>
      <w:pStyle w:val="List"/>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AE383A"/>
    <w:multiLevelType w:val="hybridMultilevel"/>
    <w:tmpl w:val="751C0D94"/>
    <w:lvl w:ilvl="0" w:tplc="E4229AB8">
      <w:start w:val="1"/>
      <w:numFmt w:val="lowerRoman"/>
      <w:pStyle w:val="List3"/>
      <w:lvlText w:val="%1."/>
      <w:lvlJc w:val="left"/>
      <w:pPr>
        <w:tabs>
          <w:tab w:val="num" w:pos="360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886417"/>
    <w:multiLevelType w:val="multilevel"/>
    <w:tmpl w:val="44AA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A3B37"/>
    <w:multiLevelType w:val="multilevel"/>
    <w:tmpl w:val="EE9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265CA"/>
    <w:multiLevelType w:val="hybridMultilevel"/>
    <w:tmpl w:val="90F6BBA4"/>
    <w:lvl w:ilvl="0" w:tplc="97868C76">
      <w:start w:val="1"/>
      <w:numFmt w:val="bullet"/>
      <w:pStyle w:val="ListBullet"/>
      <w:lvlText w:val=""/>
      <w:lvlJc w:val="left"/>
      <w:pPr>
        <w:tabs>
          <w:tab w:val="num" w:pos="2520"/>
        </w:tabs>
        <w:ind w:left="2520" w:hanging="360"/>
      </w:pPr>
      <w:rPr>
        <w:rFonts w:ascii="Wingdings" w:hAnsi="Wingdings"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33D18"/>
    <w:multiLevelType w:val="multilevel"/>
    <w:tmpl w:val="1342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75732">
    <w:abstractNumId w:val="0"/>
  </w:num>
  <w:num w:numId="2" w16cid:durableId="1729719479">
    <w:abstractNumId w:val="7"/>
  </w:num>
  <w:num w:numId="3" w16cid:durableId="977763229">
    <w:abstractNumId w:val="5"/>
  </w:num>
  <w:num w:numId="4" w16cid:durableId="70466386">
    <w:abstractNumId w:val="8"/>
  </w:num>
  <w:num w:numId="5" w16cid:durableId="452135919">
    <w:abstractNumId w:val="11"/>
  </w:num>
  <w:num w:numId="6" w16cid:durableId="1547061305">
    <w:abstractNumId w:val="3"/>
  </w:num>
  <w:num w:numId="7" w16cid:durableId="1275163792">
    <w:abstractNumId w:val="12"/>
  </w:num>
  <w:num w:numId="8" w16cid:durableId="697044263">
    <w:abstractNumId w:val="1"/>
  </w:num>
  <w:num w:numId="9" w16cid:durableId="1463615766">
    <w:abstractNumId w:val="6"/>
  </w:num>
  <w:num w:numId="10" w16cid:durableId="1465657823">
    <w:abstractNumId w:val="10"/>
  </w:num>
  <w:num w:numId="11" w16cid:durableId="406420235">
    <w:abstractNumId w:val="2"/>
  </w:num>
  <w:num w:numId="12" w16cid:durableId="1562518275">
    <w:abstractNumId w:val="4"/>
  </w:num>
  <w:num w:numId="13" w16cid:durableId="76310932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1505">
      <o:colormru v:ext="edit" colors="#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6"/>
    <w:rsid w:val="000015B0"/>
    <w:rsid w:val="0005488E"/>
    <w:rsid w:val="00062DAA"/>
    <w:rsid w:val="00073009"/>
    <w:rsid w:val="00080D39"/>
    <w:rsid w:val="000830F1"/>
    <w:rsid w:val="000A76D8"/>
    <w:rsid w:val="000D14F0"/>
    <w:rsid w:val="000D1526"/>
    <w:rsid w:val="000E279B"/>
    <w:rsid w:val="000F6A07"/>
    <w:rsid w:val="001102AD"/>
    <w:rsid w:val="00113500"/>
    <w:rsid w:val="00114F57"/>
    <w:rsid w:val="00124C77"/>
    <w:rsid w:val="001A2844"/>
    <w:rsid w:val="001A582A"/>
    <w:rsid w:val="001A6BF5"/>
    <w:rsid w:val="001B4698"/>
    <w:rsid w:val="001C6B28"/>
    <w:rsid w:val="00225386"/>
    <w:rsid w:val="00233381"/>
    <w:rsid w:val="00235625"/>
    <w:rsid w:val="00257C9E"/>
    <w:rsid w:val="002610B1"/>
    <w:rsid w:val="002669CF"/>
    <w:rsid w:val="0026779C"/>
    <w:rsid w:val="0028668E"/>
    <w:rsid w:val="002A5690"/>
    <w:rsid w:val="002C0329"/>
    <w:rsid w:val="002E0F80"/>
    <w:rsid w:val="002E2185"/>
    <w:rsid w:val="00310E26"/>
    <w:rsid w:val="00317D1D"/>
    <w:rsid w:val="00346367"/>
    <w:rsid w:val="003469AF"/>
    <w:rsid w:val="00377FD1"/>
    <w:rsid w:val="003809BF"/>
    <w:rsid w:val="003F18A7"/>
    <w:rsid w:val="004068DD"/>
    <w:rsid w:val="00410409"/>
    <w:rsid w:val="00413772"/>
    <w:rsid w:val="00415EA1"/>
    <w:rsid w:val="00417C49"/>
    <w:rsid w:val="004227F1"/>
    <w:rsid w:val="004512AA"/>
    <w:rsid w:val="00453410"/>
    <w:rsid w:val="004B74C7"/>
    <w:rsid w:val="00513A90"/>
    <w:rsid w:val="005140B2"/>
    <w:rsid w:val="00520EAF"/>
    <w:rsid w:val="0055029C"/>
    <w:rsid w:val="005556C1"/>
    <w:rsid w:val="005D7227"/>
    <w:rsid w:val="006151DD"/>
    <w:rsid w:val="006737F0"/>
    <w:rsid w:val="006767D4"/>
    <w:rsid w:val="0069355A"/>
    <w:rsid w:val="006D56B7"/>
    <w:rsid w:val="006F2459"/>
    <w:rsid w:val="0073323F"/>
    <w:rsid w:val="00734DF9"/>
    <w:rsid w:val="00734E7D"/>
    <w:rsid w:val="00762B0A"/>
    <w:rsid w:val="00782CAA"/>
    <w:rsid w:val="0079245D"/>
    <w:rsid w:val="007A116B"/>
    <w:rsid w:val="007A27DE"/>
    <w:rsid w:val="007A7388"/>
    <w:rsid w:val="007C3698"/>
    <w:rsid w:val="00807DB1"/>
    <w:rsid w:val="00807EB1"/>
    <w:rsid w:val="00835A54"/>
    <w:rsid w:val="00855D7B"/>
    <w:rsid w:val="008C5E26"/>
    <w:rsid w:val="008F2563"/>
    <w:rsid w:val="008F3861"/>
    <w:rsid w:val="00902FFF"/>
    <w:rsid w:val="00907C2F"/>
    <w:rsid w:val="00923175"/>
    <w:rsid w:val="00926EBB"/>
    <w:rsid w:val="00932E4E"/>
    <w:rsid w:val="009430CB"/>
    <w:rsid w:val="00964C9E"/>
    <w:rsid w:val="009831C4"/>
    <w:rsid w:val="009842E1"/>
    <w:rsid w:val="009F103D"/>
    <w:rsid w:val="009F27E0"/>
    <w:rsid w:val="00A0154D"/>
    <w:rsid w:val="00A15FFD"/>
    <w:rsid w:val="00A21D97"/>
    <w:rsid w:val="00A43284"/>
    <w:rsid w:val="00A51254"/>
    <w:rsid w:val="00A53B2B"/>
    <w:rsid w:val="00AB76A2"/>
    <w:rsid w:val="00AE374D"/>
    <w:rsid w:val="00AE61C7"/>
    <w:rsid w:val="00AF0E69"/>
    <w:rsid w:val="00B014DF"/>
    <w:rsid w:val="00B155CC"/>
    <w:rsid w:val="00B41E35"/>
    <w:rsid w:val="00B67F12"/>
    <w:rsid w:val="00B76038"/>
    <w:rsid w:val="00B9157B"/>
    <w:rsid w:val="00B93837"/>
    <w:rsid w:val="00BE63A2"/>
    <w:rsid w:val="00C1443D"/>
    <w:rsid w:val="00C14E17"/>
    <w:rsid w:val="00C22CDE"/>
    <w:rsid w:val="00C40916"/>
    <w:rsid w:val="00C42766"/>
    <w:rsid w:val="00C47453"/>
    <w:rsid w:val="00C63250"/>
    <w:rsid w:val="00C734AC"/>
    <w:rsid w:val="00C903E0"/>
    <w:rsid w:val="00C91061"/>
    <w:rsid w:val="00CA5585"/>
    <w:rsid w:val="00CB783A"/>
    <w:rsid w:val="00CF4941"/>
    <w:rsid w:val="00CF5D9E"/>
    <w:rsid w:val="00D03AC8"/>
    <w:rsid w:val="00D26AEC"/>
    <w:rsid w:val="00D31D46"/>
    <w:rsid w:val="00D35FCC"/>
    <w:rsid w:val="00D53A65"/>
    <w:rsid w:val="00D7322F"/>
    <w:rsid w:val="00D73464"/>
    <w:rsid w:val="00D83C72"/>
    <w:rsid w:val="00DB1479"/>
    <w:rsid w:val="00DB33A4"/>
    <w:rsid w:val="00DB5C1A"/>
    <w:rsid w:val="00DC14C7"/>
    <w:rsid w:val="00DC41AB"/>
    <w:rsid w:val="00DE0455"/>
    <w:rsid w:val="00E046C1"/>
    <w:rsid w:val="00E50E6A"/>
    <w:rsid w:val="00E63D19"/>
    <w:rsid w:val="00E94B76"/>
    <w:rsid w:val="00EC48B8"/>
    <w:rsid w:val="00EE07AC"/>
    <w:rsid w:val="00F13281"/>
    <w:rsid w:val="00F21BC2"/>
    <w:rsid w:val="00F47C47"/>
    <w:rsid w:val="00F64FA1"/>
    <w:rsid w:val="00F67D55"/>
    <w:rsid w:val="00F7285E"/>
    <w:rsid w:val="00F97992"/>
    <w:rsid w:val="00FC2065"/>
    <w:rsid w:val="00FD0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009"/>
    </o:shapedefaults>
    <o:shapelayout v:ext="edit">
      <o:idmap v:ext="edit" data="1"/>
    </o:shapelayout>
  </w:shapeDefaults>
  <w:decimalSymbol w:val="."/>
  <w:listSeparator w:val=","/>
  <w14:docId w14:val="5ED4002A"/>
  <w15:chartTrackingRefBased/>
  <w15:docId w15:val="{A66F6FD9-71A4-4F89-BC30-57A3EAC7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FCC"/>
    <w:rPr>
      <w:rFonts w:ascii="Arial" w:hAnsi="Arial"/>
      <w:sz w:val="24"/>
      <w:szCs w:val="24"/>
      <w:lang w:eastAsia="en-US"/>
    </w:rPr>
  </w:style>
  <w:style w:type="paragraph" w:styleId="Heading1">
    <w:name w:val="heading 1"/>
    <w:basedOn w:val="Normal"/>
    <w:next w:val="Normal"/>
    <w:qFormat/>
    <w:rsid w:val="00D35FCC"/>
    <w:pPr>
      <w:keepNext/>
      <w:spacing w:after="240"/>
      <w:outlineLvl w:val="0"/>
    </w:pPr>
    <w:rPr>
      <w:b/>
      <w:bCs/>
      <w:sz w:val="32"/>
    </w:rPr>
  </w:style>
  <w:style w:type="paragraph" w:styleId="Heading2">
    <w:name w:val="heading 2"/>
    <w:basedOn w:val="Normal"/>
    <w:next w:val="Normal"/>
    <w:qFormat/>
    <w:rsid w:val="00D35FCC"/>
    <w:pPr>
      <w:keepNext/>
      <w:spacing w:before="240" w:after="240"/>
      <w:outlineLvl w:val="1"/>
    </w:pPr>
    <w:rPr>
      <w:rFonts w:cs="Arial"/>
      <w:b/>
      <w:bCs/>
      <w:iCs/>
      <w:sz w:val="28"/>
      <w:szCs w:val="28"/>
    </w:rPr>
  </w:style>
  <w:style w:type="paragraph" w:styleId="Heading3">
    <w:name w:val="heading 3"/>
    <w:basedOn w:val="Normal"/>
    <w:next w:val="Normal"/>
    <w:qFormat/>
    <w:rsid w:val="00D35FCC"/>
    <w:pPr>
      <w:keepNext/>
      <w:spacing w:after="240"/>
      <w:ind w:left="2520"/>
      <w:outlineLvl w:val="2"/>
    </w:pPr>
    <w:rPr>
      <w:rFonts w:cs="Tahoma"/>
      <w:b/>
      <w:bCs/>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D35FCC"/>
    <w:pPr>
      <w:keepNext/>
      <w:outlineLvl w:val="3"/>
    </w:pPr>
    <w:rPr>
      <w:b/>
      <w:bCs/>
      <w:szCs w:val="28"/>
    </w:rPr>
  </w:style>
  <w:style w:type="paragraph" w:styleId="Heading5">
    <w:name w:val="heading 5"/>
    <w:basedOn w:val="Normal"/>
    <w:next w:val="Normal"/>
    <w:qFormat/>
    <w:rsid w:val="00D35FCC"/>
    <w:pPr>
      <w:keepNext/>
      <w:outlineLvl w:val="4"/>
    </w:pPr>
  </w:style>
  <w:style w:type="paragraph" w:styleId="Heading6">
    <w:name w:val="heading 6"/>
    <w:basedOn w:val="Normal"/>
    <w:next w:val="Normal"/>
    <w:qFormat/>
    <w:rsid w:val="00D35FCC"/>
    <w:pPr>
      <w:keepNext/>
      <w:outlineLvl w:val="5"/>
    </w:pPr>
    <w:rPr>
      <w:rFonts w:cs="Arial"/>
      <w:color w:val="9966FF"/>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FCC"/>
    <w:pPr>
      <w:tabs>
        <w:tab w:val="center" w:pos="4153"/>
        <w:tab w:val="right" w:pos="8306"/>
      </w:tabs>
    </w:pPr>
  </w:style>
  <w:style w:type="paragraph" w:styleId="Title">
    <w:name w:val="Title"/>
    <w:basedOn w:val="Normal"/>
    <w:qFormat/>
    <w:rsid w:val="00D35FCC"/>
    <w:pPr>
      <w:outlineLvl w:val="0"/>
    </w:pPr>
    <w:rPr>
      <w:rFonts w:cs="Arial"/>
      <w:b/>
      <w:bCs/>
      <w:color w:val="9966FF"/>
      <w:sz w:val="60"/>
      <w:szCs w:val="32"/>
      <w14:shadow w14:blurRad="50800" w14:dist="38100" w14:dir="2700000" w14:sx="100000" w14:sy="100000" w14:kx="0" w14:ky="0" w14:algn="tl">
        <w14:srgbClr w14:val="000000">
          <w14:alpha w14:val="60000"/>
        </w14:srgbClr>
      </w14:shadow>
    </w:rPr>
  </w:style>
  <w:style w:type="paragraph" w:styleId="BodyText">
    <w:name w:val="Body Text"/>
    <w:basedOn w:val="Normal"/>
    <w:autoRedefine/>
    <w:rsid w:val="00D35FCC"/>
    <w:pPr>
      <w:spacing w:after="240"/>
      <w:ind w:left="1440"/>
      <w:jc w:val="both"/>
    </w:pPr>
    <w:rPr>
      <w:rFonts w:cs="Arial"/>
    </w:rPr>
  </w:style>
  <w:style w:type="paragraph" w:styleId="Footer">
    <w:name w:val="footer"/>
    <w:basedOn w:val="Normal"/>
    <w:link w:val="FooterChar"/>
    <w:uiPriority w:val="99"/>
    <w:rsid w:val="00D35FCC"/>
    <w:pPr>
      <w:tabs>
        <w:tab w:val="center" w:pos="4153"/>
        <w:tab w:val="right" w:pos="8306"/>
      </w:tabs>
    </w:pPr>
    <w:rPr>
      <w:lang w:val="x-none"/>
    </w:rPr>
  </w:style>
  <w:style w:type="character" w:styleId="PageNumber">
    <w:name w:val="page number"/>
    <w:basedOn w:val="DefaultParagraphFont"/>
    <w:rsid w:val="00D35FCC"/>
  </w:style>
  <w:style w:type="character" w:styleId="Hyperlink">
    <w:name w:val="Hyperlink"/>
    <w:rsid w:val="00D35FCC"/>
    <w:rPr>
      <w:color w:val="0000FF"/>
      <w:u w:val="single"/>
    </w:rPr>
  </w:style>
  <w:style w:type="character" w:customStyle="1" w:styleId="HighlightedVariable">
    <w:name w:val="Highlighted Variable"/>
    <w:rsid w:val="00D35FCC"/>
    <w:rPr>
      <w:sz w:val="52"/>
    </w:rPr>
  </w:style>
  <w:style w:type="paragraph" w:styleId="TOC1">
    <w:name w:val="toc 1"/>
    <w:basedOn w:val="Normal"/>
    <w:next w:val="Normal"/>
    <w:autoRedefine/>
    <w:semiHidden/>
    <w:rsid w:val="00D35FCC"/>
    <w:pPr>
      <w:spacing w:after="240"/>
    </w:pPr>
    <w:rPr>
      <w:rFonts w:cs="Arial"/>
      <w:b/>
      <w:noProof/>
      <w:sz w:val="32"/>
    </w:rPr>
  </w:style>
  <w:style w:type="paragraph" w:styleId="TOC2">
    <w:name w:val="toc 2"/>
    <w:basedOn w:val="Normal"/>
    <w:next w:val="Normal"/>
    <w:autoRedefine/>
    <w:semiHidden/>
    <w:rsid w:val="00D35FCC"/>
    <w:pPr>
      <w:spacing w:before="120" w:after="120"/>
      <w:ind w:left="360"/>
    </w:pPr>
    <w:rPr>
      <w:b/>
      <w:noProof/>
      <w:sz w:val="28"/>
    </w:rPr>
  </w:style>
  <w:style w:type="paragraph" w:styleId="TOC3">
    <w:name w:val="toc 3"/>
    <w:basedOn w:val="Normal"/>
    <w:next w:val="Normal"/>
    <w:autoRedefine/>
    <w:semiHidden/>
    <w:rsid w:val="00D35FCC"/>
    <w:pPr>
      <w:ind w:left="720"/>
    </w:pPr>
    <w:rPr>
      <w:noProof/>
    </w:rPr>
  </w:style>
  <w:style w:type="paragraph" w:styleId="TOC4">
    <w:name w:val="toc 4"/>
    <w:basedOn w:val="Normal"/>
    <w:next w:val="Normal"/>
    <w:autoRedefine/>
    <w:semiHidden/>
    <w:rsid w:val="00D35FCC"/>
    <w:pPr>
      <w:ind w:left="720"/>
    </w:pPr>
  </w:style>
  <w:style w:type="paragraph" w:styleId="TOC5">
    <w:name w:val="toc 5"/>
    <w:basedOn w:val="Normal"/>
    <w:next w:val="Normal"/>
    <w:autoRedefine/>
    <w:semiHidden/>
    <w:rsid w:val="00D35FCC"/>
    <w:pPr>
      <w:ind w:left="960"/>
    </w:pPr>
  </w:style>
  <w:style w:type="paragraph" w:styleId="TOC6">
    <w:name w:val="toc 6"/>
    <w:basedOn w:val="Normal"/>
    <w:next w:val="Normal"/>
    <w:autoRedefine/>
    <w:semiHidden/>
    <w:rsid w:val="00D35FCC"/>
    <w:pPr>
      <w:ind w:left="1200"/>
    </w:pPr>
  </w:style>
  <w:style w:type="paragraph" w:styleId="TOC7">
    <w:name w:val="toc 7"/>
    <w:basedOn w:val="Normal"/>
    <w:next w:val="Normal"/>
    <w:autoRedefine/>
    <w:semiHidden/>
    <w:rsid w:val="00D35FCC"/>
    <w:pPr>
      <w:ind w:left="1440"/>
    </w:pPr>
  </w:style>
  <w:style w:type="paragraph" w:styleId="TOC8">
    <w:name w:val="toc 8"/>
    <w:basedOn w:val="Normal"/>
    <w:next w:val="Normal"/>
    <w:autoRedefine/>
    <w:semiHidden/>
    <w:rsid w:val="00D35FCC"/>
    <w:pPr>
      <w:ind w:left="1680"/>
    </w:pPr>
  </w:style>
  <w:style w:type="paragraph" w:styleId="TOC9">
    <w:name w:val="toc 9"/>
    <w:basedOn w:val="Normal"/>
    <w:next w:val="Normal"/>
    <w:autoRedefine/>
    <w:semiHidden/>
    <w:rsid w:val="00D35FCC"/>
    <w:pPr>
      <w:ind w:left="1920"/>
    </w:pPr>
  </w:style>
  <w:style w:type="character" w:styleId="Emphasis">
    <w:name w:val="Emphasis"/>
    <w:qFormat/>
    <w:rsid w:val="007A116B"/>
    <w:rPr>
      <w:i/>
      <w:iCs/>
    </w:rPr>
  </w:style>
  <w:style w:type="paragraph" w:customStyle="1" w:styleId="BlockLine">
    <w:name w:val="Block Line"/>
    <w:basedOn w:val="Normal"/>
    <w:next w:val="Normal"/>
    <w:rsid w:val="00D35FCC"/>
    <w:pPr>
      <w:pBdr>
        <w:top w:val="single" w:sz="6" w:space="1" w:color="auto"/>
        <w:between w:val="single" w:sz="6" w:space="1" w:color="auto"/>
      </w:pBdr>
      <w:spacing w:before="240"/>
      <w:ind w:left="1700"/>
    </w:pPr>
    <w:rPr>
      <w:szCs w:val="20"/>
      <w:lang w:val="en-US"/>
    </w:rPr>
  </w:style>
  <w:style w:type="paragraph" w:customStyle="1" w:styleId="TableText">
    <w:name w:val="Table Text"/>
    <w:basedOn w:val="Normal"/>
    <w:rsid w:val="00D35FCC"/>
    <w:rPr>
      <w:rFonts w:cs="Arial"/>
      <w:sz w:val="20"/>
      <w:szCs w:val="20"/>
    </w:rPr>
  </w:style>
  <w:style w:type="paragraph" w:customStyle="1" w:styleId="TableHeaderText">
    <w:name w:val="Table Header Text"/>
    <w:basedOn w:val="TableText"/>
    <w:rsid w:val="00D35FCC"/>
    <w:rPr>
      <w:b/>
    </w:rPr>
  </w:style>
  <w:style w:type="paragraph" w:styleId="FootnoteText">
    <w:name w:val="footnote text"/>
    <w:basedOn w:val="Normal"/>
    <w:link w:val="FootnoteTextChar"/>
    <w:rsid w:val="00C14E17"/>
    <w:pPr>
      <w:jc w:val="both"/>
    </w:pPr>
    <w:rPr>
      <w:sz w:val="20"/>
      <w:szCs w:val="20"/>
      <w:lang w:val="x-none"/>
    </w:rPr>
  </w:style>
  <w:style w:type="paragraph" w:styleId="ListBullet">
    <w:name w:val="List Bullet"/>
    <w:basedOn w:val="Normal"/>
    <w:autoRedefine/>
    <w:rsid w:val="00D35FCC"/>
    <w:pPr>
      <w:numPr>
        <w:numId w:val="5"/>
      </w:numPr>
      <w:spacing w:after="240"/>
      <w:jc w:val="both"/>
    </w:pPr>
  </w:style>
  <w:style w:type="paragraph" w:styleId="ListBullet2">
    <w:name w:val="List Bullet 2"/>
    <w:basedOn w:val="Normal"/>
    <w:autoRedefine/>
    <w:rsid w:val="00D35FCC"/>
    <w:pPr>
      <w:numPr>
        <w:numId w:val="1"/>
      </w:numPr>
      <w:tabs>
        <w:tab w:val="clear" w:pos="2160"/>
      </w:tabs>
      <w:spacing w:after="240"/>
      <w:ind w:right="2880"/>
      <w:jc w:val="both"/>
    </w:pPr>
  </w:style>
  <w:style w:type="paragraph" w:styleId="List">
    <w:name w:val="List"/>
    <w:basedOn w:val="Normal"/>
    <w:rsid w:val="00D35FCC"/>
    <w:pPr>
      <w:numPr>
        <w:numId w:val="2"/>
      </w:numPr>
      <w:tabs>
        <w:tab w:val="clear" w:pos="2520"/>
      </w:tabs>
      <w:spacing w:after="240"/>
      <w:ind w:left="1800"/>
      <w:jc w:val="both"/>
    </w:pPr>
  </w:style>
  <w:style w:type="paragraph" w:styleId="List2">
    <w:name w:val="List 2"/>
    <w:basedOn w:val="Normal"/>
    <w:rsid w:val="00D35FCC"/>
    <w:pPr>
      <w:numPr>
        <w:numId w:val="3"/>
      </w:numPr>
      <w:spacing w:after="240"/>
      <w:jc w:val="both"/>
    </w:pPr>
  </w:style>
  <w:style w:type="paragraph" w:styleId="List3">
    <w:name w:val="List 3"/>
    <w:basedOn w:val="Normal"/>
    <w:rsid w:val="00D35FCC"/>
    <w:pPr>
      <w:numPr>
        <w:numId w:val="4"/>
      </w:numPr>
      <w:tabs>
        <w:tab w:val="clear" w:pos="3600"/>
      </w:tabs>
      <w:spacing w:after="240"/>
      <w:ind w:left="2520"/>
      <w:jc w:val="both"/>
    </w:pPr>
  </w:style>
  <w:style w:type="character" w:customStyle="1" w:styleId="FootnoteTextChar">
    <w:name w:val="Footnote Text Char"/>
    <w:link w:val="FootnoteText"/>
    <w:rsid w:val="00C14E17"/>
    <w:rPr>
      <w:rFonts w:ascii="Arial" w:hAnsi="Arial"/>
      <w:lang w:eastAsia="en-US"/>
    </w:rPr>
  </w:style>
  <w:style w:type="character" w:styleId="FootnoteReference">
    <w:name w:val="footnote reference"/>
    <w:rsid w:val="00C14E17"/>
    <w:rPr>
      <w:vertAlign w:val="superscript"/>
    </w:rPr>
  </w:style>
  <w:style w:type="paragraph" w:styleId="ListParagraph">
    <w:name w:val="List Paragraph"/>
    <w:basedOn w:val="Normal"/>
    <w:uiPriority w:val="34"/>
    <w:qFormat/>
    <w:rsid w:val="00C14E17"/>
    <w:pPr>
      <w:ind w:left="720"/>
    </w:pPr>
  </w:style>
  <w:style w:type="character" w:styleId="Strong">
    <w:name w:val="Strong"/>
    <w:qFormat/>
    <w:rsid w:val="00C14E17"/>
    <w:rPr>
      <w:b/>
      <w:bCs/>
    </w:rPr>
  </w:style>
  <w:style w:type="paragraph" w:styleId="BalloonText">
    <w:name w:val="Balloon Text"/>
    <w:basedOn w:val="Normal"/>
    <w:link w:val="BalloonTextChar"/>
    <w:rsid w:val="00F7285E"/>
    <w:rPr>
      <w:rFonts w:ascii="Tahoma" w:hAnsi="Tahoma"/>
      <w:sz w:val="16"/>
      <w:szCs w:val="16"/>
      <w:lang w:val="x-none"/>
    </w:rPr>
  </w:style>
  <w:style w:type="character" w:customStyle="1" w:styleId="BalloonTextChar">
    <w:name w:val="Balloon Text Char"/>
    <w:link w:val="BalloonText"/>
    <w:rsid w:val="00F7285E"/>
    <w:rPr>
      <w:rFonts w:ascii="Tahoma" w:hAnsi="Tahoma" w:cs="Tahoma"/>
      <w:sz w:val="16"/>
      <w:szCs w:val="16"/>
      <w:lang w:eastAsia="en-US"/>
    </w:rPr>
  </w:style>
  <w:style w:type="paragraph" w:customStyle="1" w:styleId="Default">
    <w:name w:val="Default"/>
    <w:rsid w:val="00902FF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C40916"/>
    <w:rPr>
      <w:rFonts w:ascii="Arial" w:hAnsi="Arial"/>
      <w:sz w:val="24"/>
      <w:szCs w:val="24"/>
      <w:lang w:eastAsia="en-US"/>
    </w:rPr>
  </w:style>
  <w:style w:type="table" w:styleId="TableGrid">
    <w:name w:val="Table Grid"/>
    <w:basedOn w:val="TableNormal"/>
    <w:uiPriority w:val="39"/>
    <w:rsid w:val="00073009"/>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02">
      <w:bodyDiv w:val="1"/>
      <w:marLeft w:val="0"/>
      <w:marRight w:val="0"/>
      <w:marTop w:val="0"/>
      <w:marBottom w:val="0"/>
      <w:divBdr>
        <w:top w:val="none" w:sz="0" w:space="0" w:color="auto"/>
        <w:left w:val="none" w:sz="0" w:space="0" w:color="auto"/>
        <w:bottom w:val="none" w:sz="0" w:space="0" w:color="auto"/>
        <w:right w:val="none" w:sz="0" w:space="0" w:color="auto"/>
      </w:divBdr>
    </w:div>
    <w:div w:id="112408103">
      <w:bodyDiv w:val="1"/>
      <w:marLeft w:val="0"/>
      <w:marRight w:val="0"/>
      <w:marTop w:val="0"/>
      <w:marBottom w:val="0"/>
      <w:divBdr>
        <w:top w:val="none" w:sz="0" w:space="0" w:color="auto"/>
        <w:left w:val="none" w:sz="0" w:space="0" w:color="auto"/>
        <w:bottom w:val="none" w:sz="0" w:space="0" w:color="auto"/>
        <w:right w:val="none" w:sz="0" w:space="0" w:color="auto"/>
      </w:divBdr>
      <w:divsChild>
        <w:div w:id="1593128490">
          <w:marLeft w:val="0"/>
          <w:marRight w:val="0"/>
          <w:marTop w:val="0"/>
          <w:marBottom w:val="0"/>
          <w:divBdr>
            <w:top w:val="none" w:sz="0" w:space="0" w:color="auto"/>
            <w:left w:val="none" w:sz="0" w:space="0" w:color="auto"/>
            <w:bottom w:val="none" w:sz="0" w:space="0" w:color="auto"/>
            <w:right w:val="none" w:sz="0" w:space="0" w:color="auto"/>
          </w:divBdr>
        </w:div>
      </w:divsChild>
    </w:div>
    <w:div w:id="18851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C83CC.047B51B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850</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Return on Investment Calculator Model Terms of Reference</vt:lpstr>
    </vt:vector>
  </TitlesOfParts>
  <Company>Sedgefield Borough Council</Company>
  <LinksUpToDate>false</LinksUpToDate>
  <CharactersWithSpaces>5739</CharactersWithSpaces>
  <SharedDoc>false</SharedDoc>
  <HLinks>
    <vt:vector size="6" baseType="variant">
      <vt:variant>
        <vt:i4>5832766</vt:i4>
      </vt:variant>
      <vt:variant>
        <vt:i4>0</vt:i4>
      </vt:variant>
      <vt:variant>
        <vt:i4>0</vt:i4>
      </vt:variant>
      <vt:variant>
        <vt:i4>5</vt:i4>
      </vt:variant>
      <vt:variant>
        <vt:lpwstr>mailto:democraticservices@durham.gov.uk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on Investment Calculator Model Terms of Reference</dc:title>
  <dc:subject/>
  <dc:creator>p8743</dc:creator>
  <cp:keywords/>
  <cp:lastModifiedBy>Joanne Connor</cp:lastModifiedBy>
  <cp:revision>8</cp:revision>
  <cp:lastPrinted>2019-10-22T16:13:00Z</cp:lastPrinted>
  <dcterms:created xsi:type="dcterms:W3CDTF">2019-10-22T16:12:00Z</dcterms:created>
  <dcterms:modified xsi:type="dcterms:W3CDTF">2026-04-23T13:45:00Z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joanne.connor@durham-pcc.gov.uk</vt:lpwstr>
  </property>
  <property fmtid="{D5CDD505-2E9C-101B-9397-08002B2CF9AE}" pid="5" name="MSIP_Label_8eaa0aa9-7845-4268-8f65-90cf4ea80712_SetDate">
    <vt:lpwstr>2021-08-18T12:38:46.8260224Z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c21815ea-beb7-4cec-98e5-f8b43866dc15</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