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E05" w14:textId="51ED9314" w:rsidR="00DB48CB" w:rsidRDefault="00EF08FC" w:rsidP="00DB48CB">
      <w:pPr>
        <w:pStyle w:val="NoSpacing"/>
        <w:jc w:val="center"/>
        <w:rPr>
          <w:b/>
        </w:rPr>
      </w:pPr>
      <w:r>
        <w:rPr>
          <w:rFonts w:ascii="Calibri" w:eastAsia="Calibri" w:hAnsi="Calibri"/>
          <w:noProof/>
        </w:rPr>
        <w:drawing>
          <wp:inline distT="0" distB="0" distL="0" distR="0" wp14:anchorId="3A2A09BE" wp14:editId="223055E9">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492E625C" w14:textId="77777777" w:rsidR="00DB48CB" w:rsidRDefault="00DB48CB" w:rsidP="00DB48CB">
      <w:pPr>
        <w:pStyle w:val="NoSpacing"/>
        <w:rPr>
          <w:b/>
        </w:rPr>
      </w:pPr>
    </w:p>
    <w:p w14:paraId="13803446" w14:textId="77777777" w:rsidR="00DB48CB" w:rsidRDefault="00DB48CB" w:rsidP="00DB48CB">
      <w:pPr>
        <w:pStyle w:val="NoSpacing"/>
        <w:rPr>
          <w:b/>
        </w:rPr>
      </w:pPr>
    </w:p>
    <w:p w14:paraId="38621488" w14:textId="77777777" w:rsidR="00DB48CB" w:rsidRDefault="00DB48CB" w:rsidP="00DB48CB">
      <w:pPr>
        <w:pStyle w:val="NoSpacing"/>
        <w:jc w:val="center"/>
        <w:rPr>
          <w:b/>
          <w:sz w:val="28"/>
          <w:szCs w:val="28"/>
        </w:rPr>
      </w:pPr>
      <w:r>
        <w:rPr>
          <w:b/>
          <w:sz w:val="28"/>
          <w:szCs w:val="28"/>
        </w:rPr>
        <w:t>LUTHER KING HOUSE</w:t>
      </w:r>
    </w:p>
    <w:p w14:paraId="25BA7A9A" w14:textId="07085F5C" w:rsidR="00DB48CB" w:rsidRPr="007F77C4" w:rsidRDefault="00C2739D" w:rsidP="00DB48CB">
      <w:pPr>
        <w:pStyle w:val="NoSpacing"/>
        <w:jc w:val="center"/>
        <w:rPr>
          <w:b/>
          <w:sz w:val="28"/>
          <w:szCs w:val="28"/>
        </w:rPr>
      </w:pPr>
      <w:r>
        <w:rPr>
          <w:b/>
          <w:sz w:val="28"/>
          <w:szCs w:val="28"/>
        </w:rPr>
        <w:t xml:space="preserve">POLICY AND </w:t>
      </w:r>
      <w:r w:rsidR="00DB48CB">
        <w:rPr>
          <w:b/>
          <w:sz w:val="28"/>
          <w:szCs w:val="28"/>
        </w:rPr>
        <w:t>PROCEDURES: CHAIR AND VICE CHAIR OF THE LKH BOARD</w:t>
      </w:r>
    </w:p>
    <w:p w14:paraId="74B1D639" w14:textId="77777777" w:rsidR="00DB48CB" w:rsidRDefault="00DB48CB" w:rsidP="00402599">
      <w:pPr>
        <w:pStyle w:val="NoSpacing"/>
      </w:pPr>
    </w:p>
    <w:p w14:paraId="38F2C642" w14:textId="77777777" w:rsidR="00DB48CB" w:rsidRDefault="00DB48CB" w:rsidP="00402599">
      <w:pPr>
        <w:pStyle w:val="NoSpacing"/>
      </w:pPr>
    </w:p>
    <w:p w14:paraId="76C596C4" w14:textId="657447C9" w:rsidR="00402599" w:rsidRPr="002909FF" w:rsidRDefault="00402599" w:rsidP="00402599">
      <w:pPr>
        <w:pStyle w:val="NoSpacing"/>
        <w:rPr>
          <w:b/>
          <w:bCs/>
        </w:rPr>
      </w:pPr>
      <w:r>
        <w:rPr>
          <w:b/>
          <w:bCs/>
        </w:rPr>
        <w:t>Chair of the LKH Board</w:t>
      </w:r>
    </w:p>
    <w:p w14:paraId="1535E354" w14:textId="77777777" w:rsidR="00402599" w:rsidRDefault="00402599" w:rsidP="00402599">
      <w:pPr>
        <w:pStyle w:val="NoSpacing"/>
      </w:pPr>
    </w:p>
    <w:p w14:paraId="4F5EC663" w14:textId="77777777" w:rsidR="00402599" w:rsidRDefault="00402599" w:rsidP="00402599">
      <w:pPr>
        <w:pStyle w:val="NoSpacing"/>
      </w:pPr>
      <w:r>
        <w:t>The Chair is a Director of the Company who has been voted in as Chair of the Board. This appointment is renewed annually, and there is therefore a regular opportunity to decide whether the Chair should continue in that role. Further, there is the provision with the Trust’s Articles for the removal of any Director, including the Chair:</w:t>
      </w:r>
    </w:p>
    <w:p w14:paraId="01ED98A3" w14:textId="77777777" w:rsidR="00402599" w:rsidRPr="002909FF" w:rsidRDefault="00402599" w:rsidP="00402599">
      <w:pPr>
        <w:pStyle w:val="NoSpacing"/>
        <w:ind w:left="720"/>
        <w:rPr>
          <w:i/>
          <w:iCs/>
        </w:rPr>
      </w:pPr>
      <w:r>
        <w:rPr>
          <w:i/>
          <w:iCs/>
        </w:rPr>
        <w:t xml:space="preserve"> ‘</w:t>
      </w:r>
      <w:r w:rsidRPr="002909FF">
        <w:rPr>
          <w:i/>
          <w:iCs/>
        </w:rPr>
        <w:t>A Director will cease to hold office if he/she is removed by a resolution of the Board on the ground that in their reasonable opinion the Director’s continued Directorship is detrimental to the interests of the Charity (but only after notifying the Director in writing and considering the matter in the light of any written representations which the Director concerned puts forward within 14 clear days of receiving notice</w:t>
      </w:r>
      <w:r>
        <w:rPr>
          <w:i/>
          <w:iCs/>
        </w:rPr>
        <w:t>).’ (16.7)</w:t>
      </w:r>
    </w:p>
    <w:p w14:paraId="1305626F" w14:textId="77777777" w:rsidR="00402599" w:rsidRPr="000163B1" w:rsidRDefault="00402599" w:rsidP="00402599">
      <w:pPr>
        <w:pStyle w:val="NoSpacing"/>
      </w:pPr>
    </w:p>
    <w:p w14:paraId="509DFF29" w14:textId="77777777" w:rsidR="00402599" w:rsidRDefault="00402599" w:rsidP="00402599">
      <w:pPr>
        <w:pStyle w:val="NoSpacing"/>
      </w:pPr>
      <w:r w:rsidRPr="000163B1">
        <w:t xml:space="preserve">It is recognised, however, that while there may be obvious reasons why a Board might find it necessary or desirable to remove a </w:t>
      </w:r>
      <w:proofErr w:type="gramStart"/>
      <w:r w:rsidRPr="000163B1">
        <w:t>Director</w:t>
      </w:r>
      <w:proofErr w:type="gramEnd"/>
      <w:r w:rsidRPr="000163B1">
        <w:t xml:space="preserve"> (e.g. failure to manage conflicts of interest</w:t>
      </w:r>
      <w:r>
        <w:t>, f</w:t>
      </w:r>
      <w:r w:rsidRPr="000163B1">
        <w:t>raudulent activities</w:t>
      </w:r>
      <w:r>
        <w:t>), general i</w:t>
      </w:r>
      <w:r w:rsidRPr="000163B1">
        <w:t>neffectivenes</w:t>
      </w:r>
      <w:r>
        <w:t xml:space="preserve">s is more difficult to determine. Yet the presence of an effective Chair </w:t>
      </w:r>
      <w:proofErr w:type="gramStart"/>
      <w:r>
        <w:t>in particular is</w:t>
      </w:r>
      <w:proofErr w:type="gramEnd"/>
      <w:r>
        <w:t xml:space="preserve"> essential.</w:t>
      </w:r>
    </w:p>
    <w:p w14:paraId="5852B9A2" w14:textId="77777777" w:rsidR="00402599" w:rsidRDefault="00402599" w:rsidP="00402599">
      <w:pPr>
        <w:pStyle w:val="NoSpacing"/>
      </w:pPr>
    </w:p>
    <w:p w14:paraId="78A871B6" w14:textId="121A71B2" w:rsidR="00402599" w:rsidRDefault="00402599" w:rsidP="00402599">
      <w:pPr>
        <w:pStyle w:val="NoSpacing"/>
      </w:pPr>
      <w:r>
        <w:t xml:space="preserve">It is therefore </w:t>
      </w:r>
      <w:r w:rsidR="00DB48CB">
        <w:t>agreed</w:t>
      </w:r>
      <w:r>
        <w:t xml:space="preserve"> that:</w:t>
      </w:r>
    </w:p>
    <w:p w14:paraId="711F489A" w14:textId="77777777" w:rsidR="00402599" w:rsidRDefault="00402599" w:rsidP="00402599">
      <w:pPr>
        <w:pStyle w:val="NoSpacing"/>
        <w:numPr>
          <w:ilvl w:val="0"/>
          <w:numId w:val="1"/>
        </w:numPr>
      </w:pPr>
      <w:r>
        <w:t>The annual process of renewal of the appointment of the Chair continues.</w:t>
      </w:r>
    </w:p>
    <w:p w14:paraId="583134F4" w14:textId="77777777" w:rsidR="00402599" w:rsidRPr="000163B1" w:rsidRDefault="00402599" w:rsidP="00402599">
      <w:pPr>
        <w:pStyle w:val="NoSpacing"/>
        <w:numPr>
          <w:ilvl w:val="0"/>
          <w:numId w:val="1"/>
        </w:numPr>
      </w:pPr>
      <w:r>
        <w:t xml:space="preserve">In addition, opportunity is given every three years for the Chair of the FMC to consult formally with all Directors regarding the Chair’s reappointment. If any concerns are raised </w:t>
      </w:r>
      <w:r w:rsidRPr="000163B1">
        <w:t>a confidential report will be presented to the Directors for consideration when the re-appointment is being discussed</w:t>
      </w:r>
      <w:r>
        <w:t xml:space="preserve">, with the Chair also having opportunity to respond. Only then will a decision be made. </w:t>
      </w:r>
    </w:p>
    <w:p w14:paraId="72C95BF7" w14:textId="77777777" w:rsidR="00402599" w:rsidRDefault="00402599" w:rsidP="00402599">
      <w:pPr>
        <w:pStyle w:val="NoSpacing"/>
        <w:numPr>
          <w:ilvl w:val="0"/>
          <w:numId w:val="1"/>
        </w:numPr>
      </w:pPr>
      <w:r>
        <w:t xml:space="preserve">If any a </w:t>
      </w:r>
      <w:proofErr w:type="gramStart"/>
      <w:r>
        <w:t>Director</w:t>
      </w:r>
      <w:proofErr w:type="gramEnd"/>
      <w:r>
        <w:t xml:space="preserve"> has concerns about the conduct of the Chair at any point during their term of office, those concerns may be raised with the Chair of the FMC who will undertake an investigation and, if necessary, report their findings to the Board.</w:t>
      </w:r>
    </w:p>
    <w:p w14:paraId="31D9FF14" w14:textId="77777777" w:rsidR="00402599" w:rsidRDefault="00402599" w:rsidP="00402599">
      <w:pPr>
        <w:pStyle w:val="NoSpacing"/>
      </w:pPr>
    </w:p>
    <w:p w14:paraId="131B6EEC" w14:textId="77777777" w:rsidR="00402599" w:rsidRPr="004B3F0C" w:rsidRDefault="00402599" w:rsidP="00402599">
      <w:pPr>
        <w:pStyle w:val="NoSpacing"/>
        <w:rPr>
          <w:b/>
          <w:bCs/>
        </w:rPr>
      </w:pPr>
      <w:r w:rsidRPr="004B3F0C">
        <w:rPr>
          <w:b/>
          <w:bCs/>
        </w:rPr>
        <w:t>Vice Chair</w:t>
      </w:r>
      <w:r>
        <w:rPr>
          <w:b/>
          <w:bCs/>
        </w:rPr>
        <w:t xml:space="preserve"> of the LKH Board </w:t>
      </w:r>
    </w:p>
    <w:p w14:paraId="1E7B003F" w14:textId="77777777" w:rsidR="00402599" w:rsidRDefault="00402599" w:rsidP="00402599">
      <w:pPr>
        <w:pStyle w:val="NoSpacing"/>
      </w:pPr>
    </w:p>
    <w:p w14:paraId="6FC52050" w14:textId="572D0853" w:rsidR="00402599" w:rsidRDefault="00402599" w:rsidP="00402599">
      <w:pPr>
        <w:pStyle w:val="NoSpacing"/>
      </w:pPr>
      <w:r>
        <w:t xml:space="preserve">It is </w:t>
      </w:r>
      <w:r w:rsidR="00DB48CB">
        <w:t>agreed</w:t>
      </w:r>
      <w:r>
        <w:t xml:space="preserve"> that:</w:t>
      </w:r>
    </w:p>
    <w:p w14:paraId="78759C70" w14:textId="77777777" w:rsidR="00402599" w:rsidRDefault="00402599" w:rsidP="00402599">
      <w:pPr>
        <w:pStyle w:val="NoSpacing"/>
        <w:numPr>
          <w:ilvl w:val="0"/>
          <w:numId w:val="2"/>
        </w:numPr>
      </w:pPr>
      <w:r>
        <w:t>The position of Vice Chair is recognised by the Board.</w:t>
      </w:r>
    </w:p>
    <w:p w14:paraId="52FF6CCC" w14:textId="77777777" w:rsidR="00402599" w:rsidRDefault="00402599" w:rsidP="00402599">
      <w:pPr>
        <w:pStyle w:val="NoSpacing"/>
        <w:numPr>
          <w:ilvl w:val="0"/>
          <w:numId w:val="2"/>
        </w:numPr>
      </w:pPr>
      <w:r>
        <w:t xml:space="preserve">The Chair of the Finance and Monitoring Committee will normally be appointed as Vice Chair of the </w:t>
      </w:r>
      <w:proofErr w:type="gramStart"/>
      <w:r>
        <w:t>Board, and</w:t>
      </w:r>
      <w:proofErr w:type="gramEnd"/>
      <w:r>
        <w:t xml:space="preserve"> will therefore chair meetings of the Board and assume other necessary duties in the absence of the appointed Chair.</w:t>
      </w:r>
    </w:p>
    <w:p w14:paraId="2BFDAE8B" w14:textId="77777777" w:rsidR="00402599" w:rsidRDefault="00402599" w:rsidP="00402599">
      <w:pPr>
        <w:pStyle w:val="NoSpacing"/>
        <w:numPr>
          <w:ilvl w:val="0"/>
          <w:numId w:val="2"/>
        </w:numPr>
      </w:pPr>
      <w:r>
        <w:t>If the Chair of FMC asks not to serve as Vice Chair, the Board has authority to appoint an alternative member of the Board to this role.</w:t>
      </w:r>
    </w:p>
    <w:p w14:paraId="3E1DDB92" w14:textId="357A6F8C" w:rsidR="00402599" w:rsidRDefault="00402599" w:rsidP="00402599">
      <w:pPr>
        <w:pStyle w:val="NoSpacing"/>
        <w:numPr>
          <w:ilvl w:val="0"/>
          <w:numId w:val="2"/>
        </w:numPr>
      </w:pPr>
      <w:r>
        <w:lastRenderedPageBreak/>
        <w:t xml:space="preserve">The Vice Chair will serve for the same </w:t>
      </w:r>
      <w:proofErr w:type="gramStart"/>
      <w:r>
        <w:t>period of time</w:t>
      </w:r>
      <w:proofErr w:type="gramEnd"/>
      <w:r>
        <w:t xml:space="preserve"> as any other Director and is subject to the same requirements and appointment processes. </w:t>
      </w:r>
    </w:p>
    <w:p w14:paraId="76EDF7C0" w14:textId="5D39012B" w:rsidR="00DB48CB" w:rsidRDefault="00DB48CB" w:rsidP="00DB48CB">
      <w:pPr>
        <w:rPr>
          <w:rFonts w:ascii="Calibri" w:eastAsia="Calibri" w:hAnsi="Calibri"/>
          <w:sz w:val="22"/>
          <w:szCs w:val="22"/>
        </w:rPr>
      </w:pPr>
    </w:p>
    <w:p w14:paraId="6EEEA6E2" w14:textId="77777777" w:rsidR="00DB48CB" w:rsidRPr="00DE6401" w:rsidRDefault="00DB48CB" w:rsidP="00DB48CB">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06"/>
      </w:tblGrid>
      <w:tr w:rsidR="00DB48CB" w:rsidRPr="00DE6401" w14:paraId="24E6882B" w14:textId="77777777" w:rsidTr="007A4AAF">
        <w:tc>
          <w:tcPr>
            <w:tcW w:w="2660" w:type="dxa"/>
          </w:tcPr>
          <w:p w14:paraId="224683CD" w14:textId="77777777" w:rsidR="00DB48CB" w:rsidRPr="00DE6401" w:rsidRDefault="00DB48CB" w:rsidP="007A4AAF">
            <w:pPr>
              <w:rPr>
                <w:rFonts w:ascii="Calibri" w:eastAsia="Calibri" w:hAnsi="Calibri"/>
                <w:b/>
                <w:sz w:val="22"/>
                <w:szCs w:val="22"/>
              </w:rPr>
            </w:pPr>
            <w:r w:rsidRPr="00DE6401">
              <w:rPr>
                <w:rFonts w:ascii="Calibri" w:eastAsia="Calibri" w:hAnsi="Calibri"/>
                <w:b/>
                <w:sz w:val="22"/>
                <w:szCs w:val="22"/>
              </w:rPr>
              <w:t>Document title:</w:t>
            </w:r>
          </w:p>
        </w:tc>
        <w:tc>
          <w:tcPr>
            <w:tcW w:w="6582" w:type="dxa"/>
          </w:tcPr>
          <w:p w14:paraId="063B1D7A" w14:textId="3E58F545" w:rsidR="00DB48CB" w:rsidRPr="00DE6401" w:rsidRDefault="00DB48CB" w:rsidP="007A4AAF">
            <w:pPr>
              <w:rPr>
                <w:rFonts w:ascii="Calibri" w:eastAsia="Calibri" w:hAnsi="Calibri"/>
                <w:sz w:val="22"/>
                <w:szCs w:val="22"/>
              </w:rPr>
            </w:pPr>
            <w:r>
              <w:rPr>
                <w:rFonts w:ascii="Calibri" w:eastAsia="Calibri" w:hAnsi="Calibri"/>
                <w:sz w:val="22"/>
                <w:szCs w:val="22"/>
              </w:rPr>
              <w:t>Procedures: Chair and Vice Chair of the LKH Board</w:t>
            </w:r>
          </w:p>
        </w:tc>
      </w:tr>
      <w:tr w:rsidR="00DB48CB" w:rsidRPr="00DE6401" w14:paraId="3EFB4CB6" w14:textId="77777777" w:rsidTr="007A4AAF">
        <w:tc>
          <w:tcPr>
            <w:tcW w:w="2660" w:type="dxa"/>
          </w:tcPr>
          <w:p w14:paraId="3B02B1F6" w14:textId="77777777" w:rsidR="00DB48CB" w:rsidRPr="00DE6401" w:rsidRDefault="00DB48CB" w:rsidP="007A4AAF">
            <w:pPr>
              <w:rPr>
                <w:rFonts w:ascii="Calibri" w:eastAsia="Calibri" w:hAnsi="Calibri"/>
                <w:b/>
                <w:sz w:val="22"/>
                <w:szCs w:val="22"/>
              </w:rPr>
            </w:pPr>
            <w:r w:rsidRPr="00DE6401">
              <w:rPr>
                <w:rFonts w:ascii="Calibri" w:eastAsia="Calibri" w:hAnsi="Calibri"/>
                <w:b/>
                <w:sz w:val="22"/>
                <w:szCs w:val="22"/>
              </w:rPr>
              <w:t>Reviewed and revised on:</w:t>
            </w:r>
          </w:p>
        </w:tc>
        <w:tc>
          <w:tcPr>
            <w:tcW w:w="6582" w:type="dxa"/>
          </w:tcPr>
          <w:p w14:paraId="71720A1F" w14:textId="294F665F" w:rsidR="00DB48CB" w:rsidRPr="00DE6401" w:rsidRDefault="00C2739D" w:rsidP="007A4AAF">
            <w:pPr>
              <w:rPr>
                <w:rFonts w:ascii="Calibri" w:eastAsia="Calibri" w:hAnsi="Calibri"/>
                <w:sz w:val="22"/>
                <w:szCs w:val="22"/>
              </w:rPr>
            </w:pPr>
            <w:r>
              <w:rPr>
                <w:rFonts w:ascii="Calibri" w:eastAsia="Calibri" w:hAnsi="Calibri"/>
                <w:sz w:val="22"/>
                <w:szCs w:val="22"/>
              </w:rPr>
              <w:t>Sept 202</w:t>
            </w:r>
            <w:r w:rsidR="003062CA">
              <w:rPr>
                <w:rFonts w:ascii="Calibri" w:eastAsia="Calibri" w:hAnsi="Calibri"/>
                <w:sz w:val="22"/>
                <w:szCs w:val="22"/>
              </w:rPr>
              <w:t>5</w:t>
            </w:r>
          </w:p>
        </w:tc>
      </w:tr>
      <w:tr w:rsidR="00DB48CB" w:rsidRPr="00DE6401" w14:paraId="3123F103" w14:textId="77777777" w:rsidTr="007A4AAF">
        <w:tc>
          <w:tcPr>
            <w:tcW w:w="2660" w:type="dxa"/>
          </w:tcPr>
          <w:p w14:paraId="49BAA8ED" w14:textId="77777777" w:rsidR="00DB48CB" w:rsidRPr="00DE6401" w:rsidRDefault="00DB48CB" w:rsidP="007A4AAF">
            <w:pPr>
              <w:rPr>
                <w:rFonts w:ascii="Calibri" w:eastAsia="Calibri" w:hAnsi="Calibri"/>
                <w:b/>
                <w:sz w:val="22"/>
                <w:szCs w:val="22"/>
              </w:rPr>
            </w:pPr>
            <w:r w:rsidRPr="00DE6401">
              <w:rPr>
                <w:rFonts w:ascii="Calibri" w:eastAsia="Calibri" w:hAnsi="Calibri"/>
                <w:b/>
                <w:sz w:val="22"/>
                <w:szCs w:val="22"/>
              </w:rPr>
              <w:t>Approved by:</w:t>
            </w:r>
          </w:p>
        </w:tc>
        <w:tc>
          <w:tcPr>
            <w:tcW w:w="6582" w:type="dxa"/>
          </w:tcPr>
          <w:p w14:paraId="18EF5887" w14:textId="7E1CDEF4" w:rsidR="00DB48CB" w:rsidRPr="00DE6401" w:rsidRDefault="00C2739D" w:rsidP="007A4AAF">
            <w:pPr>
              <w:rPr>
                <w:rFonts w:ascii="Calibri" w:eastAsia="Calibri" w:hAnsi="Calibri"/>
                <w:sz w:val="22"/>
                <w:szCs w:val="22"/>
              </w:rPr>
            </w:pPr>
            <w:r>
              <w:rPr>
                <w:rFonts w:ascii="Calibri" w:eastAsia="Calibri" w:hAnsi="Calibri"/>
                <w:sz w:val="22"/>
                <w:szCs w:val="22"/>
              </w:rPr>
              <w:t>FMC</w:t>
            </w:r>
          </w:p>
        </w:tc>
      </w:tr>
    </w:tbl>
    <w:p w14:paraId="4AE1BBE2" w14:textId="77777777" w:rsidR="00DB48CB" w:rsidRDefault="00DB48CB" w:rsidP="00DB48CB">
      <w:pPr>
        <w:rPr>
          <w:rFonts w:asciiTheme="minorHAnsi" w:hAnsiTheme="minorHAnsi"/>
          <w:sz w:val="22"/>
          <w:szCs w:val="22"/>
        </w:rPr>
      </w:pPr>
    </w:p>
    <w:p w14:paraId="50F1A4FE" w14:textId="77777777" w:rsidR="00DB48CB" w:rsidRDefault="00DB48CB" w:rsidP="00DB48CB">
      <w:pPr>
        <w:rPr>
          <w:rFonts w:asciiTheme="minorHAnsi" w:hAnsiTheme="minorHAnsi"/>
          <w:sz w:val="22"/>
          <w:szCs w:val="22"/>
        </w:rPr>
      </w:pPr>
    </w:p>
    <w:p w14:paraId="0CC1BD59" w14:textId="77777777" w:rsidR="0091123E" w:rsidRDefault="0091123E"/>
    <w:sectPr w:rsidR="0091123E" w:rsidSect="009662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AFA"/>
    <w:multiLevelType w:val="hybridMultilevel"/>
    <w:tmpl w:val="80723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F1FC0"/>
    <w:multiLevelType w:val="hybridMultilevel"/>
    <w:tmpl w:val="994EE76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871501727">
    <w:abstractNumId w:val="1"/>
  </w:num>
  <w:num w:numId="2" w16cid:durableId="8920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99"/>
    <w:rsid w:val="00220232"/>
    <w:rsid w:val="003062CA"/>
    <w:rsid w:val="00402599"/>
    <w:rsid w:val="00425950"/>
    <w:rsid w:val="006E4822"/>
    <w:rsid w:val="0091123E"/>
    <w:rsid w:val="009662D8"/>
    <w:rsid w:val="009759DB"/>
    <w:rsid w:val="00B020A2"/>
    <w:rsid w:val="00B5411D"/>
    <w:rsid w:val="00C2739D"/>
    <w:rsid w:val="00DB48CB"/>
    <w:rsid w:val="00EF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B9E3"/>
  <w15:chartTrackingRefBased/>
  <w15:docId w15:val="{BFF47C19-283F-4D25-B432-AC7CF31D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CB"/>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59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4</cp:revision>
  <dcterms:created xsi:type="dcterms:W3CDTF">2025-09-01T08:26:00Z</dcterms:created>
  <dcterms:modified xsi:type="dcterms:W3CDTF">2025-09-01T08:31:00Z</dcterms:modified>
</cp:coreProperties>
</file>