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3310" w14:textId="1E105383" w:rsidR="008960B3" w:rsidRPr="001E3188" w:rsidRDefault="00D84487" w:rsidP="00D84487">
      <w:pPr>
        <w:jc w:val="center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noProof/>
          <w:color w:val="auto"/>
          <w:sz w:val="22"/>
          <w:szCs w:val="22"/>
        </w:rPr>
        <w:drawing>
          <wp:inline distT="0" distB="0" distL="0" distR="0" wp14:anchorId="4B4CEB34" wp14:editId="4EDC5E7F">
            <wp:extent cx="4181081" cy="1116522"/>
            <wp:effectExtent l="0" t="0" r="0" b="7620"/>
            <wp:docPr id="65549315" name="Picture 3" descr="A purpl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9315" name="Picture 3" descr="A purpl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805" cy="1135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DC920" w14:textId="77777777" w:rsidR="008960B3" w:rsidRPr="001E3188" w:rsidRDefault="008960B3" w:rsidP="008960B3">
      <w:pPr>
        <w:rPr>
          <w:rFonts w:ascii="Calibri" w:eastAsia="Calibri" w:hAnsi="Calibri"/>
          <w:color w:val="auto"/>
          <w:sz w:val="22"/>
          <w:szCs w:val="22"/>
        </w:rPr>
      </w:pPr>
    </w:p>
    <w:p w14:paraId="17B9A213" w14:textId="77777777" w:rsidR="008960B3" w:rsidRPr="001E3188" w:rsidRDefault="008960B3" w:rsidP="008960B3">
      <w:pPr>
        <w:jc w:val="center"/>
        <w:rPr>
          <w:rFonts w:ascii="Calibri" w:eastAsia="Calibri" w:hAnsi="Calibri"/>
          <w:b/>
          <w:color w:val="auto"/>
          <w:sz w:val="28"/>
          <w:szCs w:val="28"/>
        </w:rPr>
      </w:pPr>
      <w:r w:rsidRPr="001E3188">
        <w:rPr>
          <w:rFonts w:ascii="Calibri" w:eastAsia="Calibri" w:hAnsi="Calibri"/>
          <w:b/>
          <w:color w:val="auto"/>
          <w:sz w:val="28"/>
          <w:szCs w:val="28"/>
        </w:rPr>
        <w:t>LUTHER KING HOUSE</w:t>
      </w:r>
    </w:p>
    <w:p w14:paraId="478B7763" w14:textId="77777777" w:rsidR="008960B3" w:rsidRPr="008960B3" w:rsidRDefault="008960B3" w:rsidP="008960B3">
      <w:pPr>
        <w:jc w:val="center"/>
        <w:rPr>
          <w:rFonts w:ascii="Calibri" w:eastAsia="Calibri" w:hAnsi="Calibri"/>
          <w:b/>
          <w:color w:val="auto"/>
          <w:sz w:val="28"/>
          <w:szCs w:val="28"/>
        </w:rPr>
      </w:pPr>
      <w:r w:rsidRPr="001E3188">
        <w:rPr>
          <w:rFonts w:ascii="Calibri" w:eastAsia="Calibri" w:hAnsi="Calibri"/>
          <w:b/>
          <w:color w:val="auto"/>
          <w:sz w:val="28"/>
          <w:szCs w:val="28"/>
        </w:rPr>
        <w:t>POLICY AND PROCEDURES</w:t>
      </w:r>
      <w:r>
        <w:rPr>
          <w:rFonts w:ascii="Calibri" w:eastAsia="Calibri" w:hAnsi="Calibri"/>
          <w:b/>
          <w:color w:val="auto"/>
          <w:sz w:val="28"/>
          <w:szCs w:val="28"/>
        </w:rPr>
        <w:t>: VULNERABLE ADULTS</w:t>
      </w:r>
    </w:p>
    <w:p w14:paraId="4C6FEB8D" w14:textId="77777777" w:rsidR="008960B3" w:rsidRDefault="008960B3" w:rsidP="00B0523F">
      <w:pPr>
        <w:pStyle w:val="NoSpacing"/>
      </w:pPr>
    </w:p>
    <w:p w14:paraId="7CAC7136" w14:textId="77777777" w:rsidR="008960B3" w:rsidRDefault="008960B3" w:rsidP="00B0523F">
      <w:pPr>
        <w:pStyle w:val="NoSpacing"/>
      </w:pPr>
    </w:p>
    <w:p w14:paraId="7E802185" w14:textId="77777777" w:rsidR="00B0523F" w:rsidRDefault="00B0523F" w:rsidP="00B0523F">
      <w:pPr>
        <w:pStyle w:val="NoSpacing"/>
      </w:pPr>
      <w:r>
        <w:t xml:space="preserve">LKH has a legal and moral duty to safeguard and promote the welfare of vulnerable adults </w:t>
      </w:r>
      <w:r w:rsidR="008960B3">
        <w:t xml:space="preserve">who may be </w:t>
      </w:r>
      <w:r>
        <w:t>receiving educat</w:t>
      </w:r>
      <w:r w:rsidR="008960B3">
        <w:t xml:space="preserve">ion and training at the College, working on the staff team, or making use of the accommodation and conference facilities. </w:t>
      </w:r>
      <w:r>
        <w:t>The aim of this policy is to establish how LKH seeks to:</w:t>
      </w:r>
    </w:p>
    <w:p w14:paraId="1492E3BB" w14:textId="77777777" w:rsidR="00B0523F" w:rsidRDefault="00B0523F" w:rsidP="00B0523F">
      <w:pPr>
        <w:pStyle w:val="NoSpacing"/>
        <w:numPr>
          <w:ilvl w:val="0"/>
          <w:numId w:val="3"/>
        </w:numPr>
      </w:pPr>
      <w:r>
        <w:t xml:space="preserve">provide a safe </w:t>
      </w:r>
      <w:proofErr w:type="gramStart"/>
      <w:r>
        <w:t>environment;</w:t>
      </w:r>
      <w:proofErr w:type="gramEnd"/>
      <w:r>
        <w:t xml:space="preserve"> </w:t>
      </w:r>
    </w:p>
    <w:p w14:paraId="62372C83" w14:textId="77777777" w:rsidR="00B0523F" w:rsidRDefault="00B0523F" w:rsidP="00B0523F">
      <w:pPr>
        <w:pStyle w:val="NoSpacing"/>
        <w:numPr>
          <w:ilvl w:val="0"/>
          <w:numId w:val="3"/>
        </w:numPr>
      </w:pPr>
      <w:r>
        <w:t xml:space="preserve">identify vulnerable adults who are suffering or likely to suffer significant </w:t>
      </w:r>
      <w:proofErr w:type="gramStart"/>
      <w:r>
        <w:t>harm;</w:t>
      </w:r>
      <w:proofErr w:type="gramEnd"/>
      <w:r>
        <w:t xml:space="preserve"> </w:t>
      </w:r>
    </w:p>
    <w:p w14:paraId="79B3848A" w14:textId="77777777" w:rsidR="00B0523F" w:rsidRDefault="008960B3" w:rsidP="00B0523F">
      <w:pPr>
        <w:pStyle w:val="NoSpacing"/>
        <w:numPr>
          <w:ilvl w:val="0"/>
          <w:numId w:val="3"/>
        </w:numPr>
      </w:pPr>
      <w:r>
        <w:t>take</w:t>
      </w:r>
      <w:r w:rsidR="00B0523F">
        <w:t xml:space="preserve"> appropriate action to ensure the safety of vulnerable adults.</w:t>
      </w:r>
    </w:p>
    <w:p w14:paraId="76F091FF" w14:textId="77777777" w:rsidR="00B0523F" w:rsidRDefault="00B0523F" w:rsidP="00B0523F">
      <w:pPr>
        <w:pStyle w:val="NoSpacing"/>
      </w:pPr>
    </w:p>
    <w:p w14:paraId="061DEB30" w14:textId="77777777" w:rsidR="00B0523F" w:rsidRPr="00B0523F" w:rsidRDefault="00B0523F" w:rsidP="00B0523F">
      <w:pPr>
        <w:pStyle w:val="NoSpacing"/>
        <w:rPr>
          <w:b/>
        </w:rPr>
      </w:pPr>
      <w:r w:rsidRPr="00B0523F">
        <w:rPr>
          <w:b/>
        </w:rPr>
        <w:t xml:space="preserve">Who is a Vulnerable Adult? </w:t>
      </w:r>
    </w:p>
    <w:p w14:paraId="44D4342E" w14:textId="77777777" w:rsidR="00B0523F" w:rsidRDefault="00B0523F" w:rsidP="00B0523F">
      <w:pPr>
        <w:pStyle w:val="NoSpacing"/>
      </w:pPr>
    </w:p>
    <w:p w14:paraId="1BE294D7" w14:textId="77777777" w:rsidR="00B0523F" w:rsidRDefault="008960B3" w:rsidP="00B0523F">
      <w:pPr>
        <w:pStyle w:val="NoSpacing"/>
      </w:pPr>
      <w:r>
        <w:t>In the terms of this policy a ‘vulnerable adult’</w:t>
      </w:r>
      <w:r w:rsidR="00B0523F" w:rsidRPr="00B0523F">
        <w:t xml:space="preserve"> has the following definition: </w:t>
      </w:r>
    </w:p>
    <w:p w14:paraId="5E74C48F" w14:textId="77777777" w:rsidR="00B0523F" w:rsidRDefault="008960B3" w:rsidP="006644A2">
      <w:pPr>
        <w:pStyle w:val="NoSpacing"/>
        <w:numPr>
          <w:ilvl w:val="0"/>
          <w:numId w:val="4"/>
        </w:numPr>
      </w:pPr>
      <w:r>
        <w:t>A</w:t>
      </w:r>
      <w:r w:rsidR="00B0523F" w:rsidRPr="00B0523F">
        <w:t xml:space="preserve"> person who is over 18. </w:t>
      </w:r>
    </w:p>
    <w:p w14:paraId="40A59497" w14:textId="77777777" w:rsidR="00B0523F" w:rsidRDefault="008960B3" w:rsidP="006644A2">
      <w:pPr>
        <w:pStyle w:val="NoSpacing"/>
        <w:numPr>
          <w:ilvl w:val="0"/>
          <w:numId w:val="4"/>
        </w:numPr>
      </w:pPr>
      <w:r>
        <w:t>And</w:t>
      </w:r>
      <w:r w:rsidR="00B0523F" w:rsidRPr="00B0523F">
        <w:t xml:space="preserve"> who is or may </w:t>
      </w:r>
      <w:proofErr w:type="gramStart"/>
      <w:r w:rsidR="00B0523F" w:rsidRPr="00B0523F">
        <w:t>be in need of</w:t>
      </w:r>
      <w:proofErr w:type="gramEnd"/>
      <w:r w:rsidR="00B0523F" w:rsidRPr="00B0523F">
        <w:t xml:space="preserve"> care services by reason of mental or other disabiliti</w:t>
      </w:r>
      <w:r w:rsidR="00B0523F">
        <w:t xml:space="preserve">es, age or illness. </w:t>
      </w:r>
    </w:p>
    <w:p w14:paraId="2B423B40" w14:textId="77777777" w:rsidR="00B0523F" w:rsidRDefault="008960B3" w:rsidP="006644A2">
      <w:pPr>
        <w:pStyle w:val="NoSpacing"/>
        <w:numPr>
          <w:ilvl w:val="0"/>
          <w:numId w:val="4"/>
        </w:numPr>
      </w:pPr>
      <w:r>
        <w:t>A</w:t>
      </w:r>
      <w:r w:rsidR="00B0523F" w:rsidRPr="00B0523F">
        <w:t>nd who is or may be unable to take care of him/he</w:t>
      </w:r>
      <w:r>
        <w:t>rself or unable to protect him/</w:t>
      </w:r>
      <w:r w:rsidR="00B0523F" w:rsidRPr="00B0523F">
        <w:t xml:space="preserve">herself against significant harm or exploitation. </w:t>
      </w:r>
    </w:p>
    <w:p w14:paraId="26E7CA49" w14:textId="77777777" w:rsidR="00B0523F" w:rsidRDefault="008960B3" w:rsidP="006644A2">
      <w:pPr>
        <w:pStyle w:val="NoSpacing"/>
        <w:numPr>
          <w:ilvl w:val="0"/>
          <w:numId w:val="4"/>
        </w:numPr>
      </w:pPr>
      <w:r>
        <w:t xml:space="preserve">Vulnerable adults may include </w:t>
      </w:r>
      <w:r w:rsidR="00B0523F" w:rsidRPr="00B0523F">
        <w:t xml:space="preserve">people with learning disabilities, mental health problems, people aged 65 or over, people with physical disabilities. </w:t>
      </w:r>
    </w:p>
    <w:p w14:paraId="254829AA" w14:textId="77777777" w:rsidR="006644A2" w:rsidRDefault="006644A2" w:rsidP="006644A2">
      <w:pPr>
        <w:pStyle w:val="NoSpacing"/>
        <w:ind w:left="360"/>
      </w:pPr>
    </w:p>
    <w:p w14:paraId="5C731BBF" w14:textId="77777777" w:rsidR="00B0523F" w:rsidRDefault="00B0523F" w:rsidP="006644A2">
      <w:pPr>
        <w:pStyle w:val="NoSpacing"/>
        <w:rPr>
          <w:b/>
        </w:rPr>
      </w:pPr>
      <w:r w:rsidRPr="006644A2">
        <w:rPr>
          <w:b/>
        </w:rPr>
        <w:t xml:space="preserve">What is Abuse? </w:t>
      </w:r>
    </w:p>
    <w:p w14:paraId="46FC690B" w14:textId="77777777" w:rsidR="006644A2" w:rsidRDefault="006644A2" w:rsidP="006644A2">
      <w:pPr>
        <w:pStyle w:val="NoSpacing"/>
      </w:pPr>
    </w:p>
    <w:p w14:paraId="5C56B219" w14:textId="77777777" w:rsidR="005D0291" w:rsidRDefault="008960B3" w:rsidP="005D0291">
      <w:pPr>
        <w:pStyle w:val="NoSpacing"/>
      </w:pPr>
      <w:r w:rsidRPr="00B0523F">
        <w:t xml:space="preserve">Abuse is behaviour towards a person that either deliberately or unknowingly causes a vulnerable adult </w:t>
      </w:r>
      <w:proofErr w:type="gramStart"/>
      <w:r w:rsidRPr="00B0523F">
        <w:t>harm, or</w:t>
      </w:r>
      <w:proofErr w:type="gramEnd"/>
      <w:r w:rsidRPr="00B0523F">
        <w:t xml:space="preserve"> endangers their life </w:t>
      </w:r>
      <w:r w:rsidR="005D0291">
        <w:t xml:space="preserve">or their human or civil rights. </w:t>
      </w:r>
    </w:p>
    <w:p w14:paraId="04FB4087" w14:textId="77777777" w:rsidR="00B0523F" w:rsidRDefault="005D0291" w:rsidP="005D0291">
      <w:pPr>
        <w:pStyle w:val="NoSpacing"/>
        <w:numPr>
          <w:ilvl w:val="0"/>
          <w:numId w:val="11"/>
        </w:numPr>
      </w:pPr>
      <w:r>
        <w:t>It</w:t>
      </w:r>
      <w:r w:rsidR="00B0523F" w:rsidRPr="00B0523F">
        <w:t xml:space="preserve"> may be of a physical, neglectful, sexual, financial, psychological/emotional, institutional or discrimi</w:t>
      </w:r>
      <w:r w:rsidR="00B0523F">
        <w:t xml:space="preserve">natory nature. </w:t>
      </w:r>
    </w:p>
    <w:p w14:paraId="35E72D8C" w14:textId="77777777" w:rsidR="00B0523F" w:rsidRDefault="005D0291" w:rsidP="006644A2">
      <w:pPr>
        <w:pStyle w:val="NoSpacing"/>
        <w:numPr>
          <w:ilvl w:val="0"/>
          <w:numId w:val="5"/>
        </w:numPr>
      </w:pPr>
      <w:r>
        <w:t>It</w:t>
      </w:r>
      <w:r w:rsidR="00B0523F" w:rsidRPr="00B0523F">
        <w:t xml:space="preserve"> can be passive, e.g. failing to take action to care for someone, or failing to raise the alert about abuse. </w:t>
      </w:r>
    </w:p>
    <w:p w14:paraId="00CB17AC" w14:textId="77777777" w:rsidR="00B0523F" w:rsidRDefault="005D0291" w:rsidP="006644A2">
      <w:pPr>
        <w:pStyle w:val="NoSpacing"/>
        <w:numPr>
          <w:ilvl w:val="0"/>
          <w:numId w:val="5"/>
        </w:numPr>
      </w:pPr>
      <w:r>
        <w:t>It</w:t>
      </w:r>
      <w:r w:rsidR="00B0523F" w:rsidRPr="00B0523F">
        <w:t xml:space="preserve"> can be active, e.g. hitting, stealing or doing something that causes harm. </w:t>
      </w:r>
    </w:p>
    <w:p w14:paraId="0A57E3B9" w14:textId="77777777" w:rsidR="000C4779" w:rsidRDefault="005D0291" w:rsidP="006644A2">
      <w:pPr>
        <w:pStyle w:val="NoSpacing"/>
        <w:numPr>
          <w:ilvl w:val="0"/>
          <w:numId w:val="5"/>
        </w:numPr>
      </w:pPr>
      <w:r>
        <w:t>It</w:t>
      </w:r>
      <w:r w:rsidR="00B0523F" w:rsidRPr="00B0523F">
        <w:t xml:space="preserve"> can be a one-off or something that is repeated.</w:t>
      </w:r>
    </w:p>
    <w:p w14:paraId="68C7F990" w14:textId="77777777" w:rsidR="006644A2" w:rsidRDefault="006644A2" w:rsidP="006644A2">
      <w:pPr>
        <w:pStyle w:val="NoSpacing"/>
      </w:pPr>
    </w:p>
    <w:p w14:paraId="5ABDE7FC" w14:textId="77777777" w:rsidR="003966AB" w:rsidRPr="003966AB" w:rsidRDefault="003966AB" w:rsidP="003966AB">
      <w:pPr>
        <w:pStyle w:val="NoSpacing"/>
        <w:rPr>
          <w:b/>
        </w:rPr>
      </w:pPr>
      <w:r w:rsidRPr="003966AB">
        <w:rPr>
          <w:b/>
        </w:rPr>
        <w:t>Aims</w:t>
      </w:r>
    </w:p>
    <w:p w14:paraId="42798876" w14:textId="77777777" w:rsidR="003966AB" w:rsidRDefault="003966AB" w:rsidP="003966AB">
      <w:pPr>
        <w:pStyle w:val="NoSpacing"/>
      </w:pPr>
    </w:p>
    <w:p w14:paraId="4B74EF82" w14:textId="77777777" w:rsidR="003966AB" w:rsidRDefault="003966AB" w:rsidP="003966AB">
      <w:pPr>
        <w:pStyle w:val="NoSpacing"/>
      </w:pPr>
      <w:r>
        <w:t>LKH seeks to:</w:t>
      </w:r>
    </w:p>
    <w:p w14:paraId="6015237E" w14:textId="77777777" w:rsidR="003966AB" w:rsidRDefault="005D0291" w:rsidP="003966AB">
      <w:pPr>
        <w:pStyle w:val="NoSpacing"/>
        <w:numPr>
          <w:ilvl w:val="0"/>
          <w:numId w:val="8"/>
        </w:numPr>
      </w:pPr>
      <w:r>
        <w:t>S</w:t>
      </w:r>
      <w:r w:rsidR="003966AB">
        <w:t>afeguard adults whose circumstances may make them vulnerable to abuse, by developing and maintaining an inclusive</w:t>
      </w:r>
      <w:r>
        <w:t xml:space="preserve"> culture, developing staff</w:t>
      </w:r>
      <w:r w:rsidR="003966AB">
        <w:t xml:space="preserve"> knowledge and awareness of safeguarding issues, and by applying best practice at</w:t>
      </w:r>
      <w:r>
        <w:t xml:space="preserve"> all levels of the organisation.</w:t>
      </w:r>
    </w:p>
    <w:p w14:paraId="25FF8DBD" w14:textId="77777777" w:rsidR="003966AB" w:rsidRDefault="005D0291" w:rsidP="003966AB">
      <w:pPr>
        <w:pStyle w:val="NoSpacing"/>
        <w:numPr>
          <w:ilvl w:val="0"/>
          <w:numId w:val="8"/>
        </w:numPr>
      </w:pPr>
      <w:r>
        <w:t>A</w:t>
      </w:r>
      <w:r w:rsidR="003966AB">
        <w:t xml:space="preserve">id the identification of vulnerable adults at risk of significant </w:t>
      </w:r>
      <w:proofErr w:type="gramStart"/>
      <w:r w:rsidR="003966AB">
        <w:t>harm, and</w:t>
      </w:r>
      <w:proofErr w:type="gramEnd"/>
      <w:r w:rsidR="003966AB">
        <w:t xml:space="preserve"> provide procedures for reporting </w:t>
      </w:r>
      <w:r w:rsidR="00E75FB5">
        <w:t>concerns.</w:t>
      </w:r>
    </w:p>
    <w:p w14:paraId="57ED53E4" w14:textId="77777777" w:rsidR="003966AB" w:rsidRDefault="005D0291" w:rsidP="003966AB">
      <w:pPr>
        <w:pStyle w:val="NoSpacing"/>
        <w:numPr>
          <w:ilvl w:val="0"/>
          <w:numId w:val="8"/>
        </w:numPr>
      </w:pPr>
      <w:r>
        <w:t>A</w:t>
      </w:r>
      <w:r w:rsidR="003966AB">
        <w:t>ct promptly in res</w:t>
      </w:r>
      <w:r w:rsidR="00E75FB5">
        <w:t>ponse to any incident reported.</w:t>
      </w:r>
    </w:p>
    <w:p w14:paraId="46B82F90" w14:textId="77777777" w:rsidR="003966AB" w:rsidRDefault="005D0291" w:rsidP="003966AB">
      <w:pPr>
        <w:pStyle w:val="NoSpacing"/>
        <w:numPr>
          <w:ilvl w:val="0"/>
          <w:numId w:val="8"/>
        </w:numPr>
      </w:pPr>
      <w:r>
        <w:t>M</w:t>
      </w:r>
      <w:r w:rsidR="003966AB">
        <w:t>aintain records of all reported vul</w:t>
      </w:r>
      <w:r>
        <w:t>nerable adult protection issues.</w:t>
      </w:r>
    </w:p>
    <w:p w14:paraId="23058A12" w14:textId="77777777" w:rsidR="001E7049" w:rsidRDefault="005D0291" w:rsidP="003966AB">
      <w:pPr>
        <w:pStyle w:val="NoSpacing"/>
        <w:numPr>
          <w:ilvl w:val="0"/>
          <w:numId w:val="8"/>
        </w:numPr>
      </w:pPr>
      <w:r>
        <w:lastRenderedPageBreak/>
        <w:t>P</w:t>
      </w:r>
      <w:r w:rsidR="003966AB">
        <w:t xml:space="preserve">rovide a report to the Board of </w:t>
      </w:r>
      <w:r w:rsidR="001E7049">
        <w:t>any issues that arise and the actions that have been taken.</w:t>
      </w:r>
    </w:p>
    <w:p w14:paraId="268E9774" w14:textId="77777777" w:rsidR="003966AB" w:rsidRDefault="003966AB" w:rsidP="006644A2">
      <w:pPr>
        <w:pStyle w:val="NoSpacing"/>
      </w:pPr>
    </w:p>
    <w:p w14:paraId="4754F87C" w14:textId="77777777" w:rsidR="006644A2" w:rsidRPr="006644A2" w:rsidRDefault="006644A2" w:rsidP="006644A2">
      <w:pPr>
        <w:pStyle w:val="NoSpacing"/>
        <w:rPr>
          <w:b/>
        </w:rPr>
      </w:pPr>
      <w:r w:rsidRPr="006644A2">
        <w:rPr>
          <w:b/>
        </w:rPr>
        <w:t>Procedures</w:t>
      </w:r>
    </w:p>
    <w:p w14:paraId="21CD817E" w14:textId="77777777" w:rsidR="006644A2" w:rsidRDefault="006644A2" w:rsidP="006644A2">
      <w:pPr>
        <w:pStyle w:val="NoSpacing"/>
      </w:pPr>
    </w:p>
    <w:p w14:paraId="63ED8D72" w14:textId="0F1D690D" w:rsidR="006644A2" w:rsidRDefault="006644A2" w:rsidP="006644A2">
      <w:pPr>
        <w:pStyle w:val="NoSpacing"/>
      </w:pPr>
      <w:r>
        <w:t>The designated member of staff with lead responsibility for safegu</w:t>
      </w:r>
      <w:r w:rsidR="005D0291">
        <w:t xml:space="preserve">arding vulnerable adults is the President, assisted by members of the </w:t>
      </w:r>
      <w:r w:rsidR="00C63C6A">
        <w:t>Operations</w:t>
      </w:r>
      <w:r w:rsidR="005D0291">
        <w:t xml:space="preserve"> Committee</w:t>
      </w:r>
      <w:r>
        <w:t>.</w:t>
      </w:r>
    </w:p>
    <w:p w14:paraId="2B5843FA" w14:textId="77777777" w:rsidR="006644A2" w:rsidRDefault="006644A2" w:rsidP="006644A2">
      <w:pPr>
        <w:pStyle w:val="NoSpacing"/>
      </w:pPr>
    </w:p>
    <w:p w14:paraId="7434A76F" w14:textId="77777777" w:rsidR="006644A2" w:rsidRDefault="005D0291" w:rsidP="006644A2">
      <w:pPr>
        <w:pStyle w:val="NoSpacing"/>
      </w:pPr>
      <w:r>
        <w:t>The d</w:t>
      </w:r>
      <w:r w:rsidR="006644A2">
        <w:t xml:space="preserve">esignated </w:t>
      </w:r>
      <w:r>
        <w:t xml:space="preserve">members of </w:t>
      </w:r>
      <w:r w:rsidR="006644A2">
        <w:t>staff are responsible for:</w:t>
      </w:r>
    </w:p>
    <w:p w14:paraId="23083075" w14:textId="77777777" w:rsidR="006644A2" w:rsidRDefault="006644A2" w:rsidP="006644A2">
      <w:pPr>
        <w:pStyle w:val="NoSpacing"/>
        <w:numPr>
          <w:ilvl w:val="0"/>
          <w:numId w:val="7"/>
        </w:numPr>
      </w:pPr>
      <w:r>
        <w:t>receiving any reports of co</w:t>
      </w:r>
      <w:r w:rsidR="00E75FB5">
        <w:t>ncerns regarding possible abuse.</w:t>
      </w:r>
    </w:p>
    <w:p w14:paraId="0C37B7F9" w14:textId="77777777" w:rsidR="006644A2" w:rsidRDefault="006644A2" w:rsidP="006644A2">
      <w:pPr>
        <w:pStyle w:val="NoSpacing"/>
        <w:numPr>
          <w:ilvl w:val="0"/>
          <w:numId w:val="6"/>
        </w:numPr>
      </w:pPr>
      <w:r>
        <w:t>overseeing the referral of cases of suspected abuse or all</w:t>
      </w:r>
      <w:r w:rsidR="00E75FB5">
        <w:t>egations.</w:t>
      </w:r>
    </w:p>
    <w:p w14:paraId="5099792A" w14:textId="77777777" w:rsidR="006644A2" w:rsidRDefault="006644A2" w:rsidP="006644A2">
      <w:pPr>
        <w:pStyle w:val="NoSpacing"/>
        <w:numPr>
          <w:ilvl w:val="0"/>
          <w:numId w:val="6"/>
        </w:numPr>
      </w:pPr>
      <w:r>
        <w:t>maintaining a proper record of any safeguarding adult referrals, complaints or concerns (even where the conce</w:t>
      </w:r>
      <w:r w:rsidR="00E75FB5">
        <w:t>rn does not lead to a referral).</w:t>
      </w:r>
    </w:p>
    <w:p w14:paraId="2ACA1275" w14:textId="77777777" w:rsidR="006644A2" w:rsidRDefault="006644A2" w:rsidP="006644A2">
      <w:pPr>
        <w:pStyle w:val="NoSpacing"/>
        <w:numPr>
          <w:ilvl w:val="0"/>
          <w:numId w:val="6"/>
        </w:numPr>
      </w:pPr>
      <w:r>
        <w:t>liaising with appropriate agencies.</w:t>
      </w:r>
    </w:p>
    <w:p w14:paraId="2532CFF2" w14:textId="77777777" w:rsidR="006644A2" w:rsidRDefault="006644A2" w:rsidP="006644A2">
      <w:pPr>
        <w:pStyle w:val="NoSpacing"/>
      </w:pPr>
    </w:p>
    <w:p w14:paraId="29604EA8" w14:textId="77777777" w:rsidR="00E75FB5" w:rsidRDefault="001D268D" w:rsidP="00E75FB5">
      <w:pPr>
        <w:pStyle w:val="NoSpacing"/>
      </w:pPr>
      <w:r>
        <w:t>W</w:t>
      </w:r>
      <w:r w:rsidR="00356E5C">
        <w:t>henever any member of</w:t>
      </w:r>
      <w:r>
        <w:t xml:space="preserve"> staff hears an allegation </w:t>
      </w:r>
      <w:r w:rsidR="00E75FB5">
        <w:t xml:space="preserve">from a vulnerable adult that abuse has, or may have, occurred, </w:t>
      </w:r>
      <w:r>
        <w:t xml:space="preserve">or where there is a significant </w:t>
      </w:r>
      <w:r w:rsidR="00E75FB5">
        <w:t>concern that a vulnerable adult may have be</w:t>
      </w:r>
      <w:r>
        <w:t>en be abused, the following steps should be taken:</w:t>
      </w:r>
    </w:p>
    <w:p w14:paraId="6EB65167" w14:textId="77777777" w:rsidR="001D268D" w:rsidRDefault="001D268D" w:rsidP="00E75FB5">
      <w:pPr>
        <w:pStyle w:val="NoSpacing"/>
      </w:pPr>
    </w:p>
    <w:p w14:paraId="635DDC78" w14:textId="77777777" w:rsidR="001D268D" w:rsidRDefault="00E75FB5" w:rsidP="00E75FB5">
      <w:pPr>
        <w:pStyle w:val="NoSpacing"/>
        <w:numPr>
          <w:ilvl w:val="0"/>
          <w:numId w:val="12"/>
        </w:numPr>
      </w:pPr>
      <w:r>
        <w:t>RECEIVE</w:t>
      </w:r>
    </w:p>
    <w:p w14:paraId="22DFD1C5" w14:textId="77777777" w:rsidR="00E75FB5" w:rsidRDefault="00E75FB5" w:rsidP="001D268D">
      <w:pPr>
        <w:pStyle w:val="NoSpacing"/>
        <w:ind w:left="720"/>
      </w:pPr>
      <w:r>
        <w:t xml:space="preserve">What is </w:t>
      </w:r>
      <w:proofErr w:type="gramStart"/>
      <w:r>
        <w:t>said;</w:t>
      </w:r>
      <w:proofErr w:type="gramEnd"/>
    </w:p>
    <w:p w14:paraId="7F7F34CD" w14:textId="77777777" w:rsidR="00E75FB5" w:rsidRDefault="001D268D" w:rsidP="001D268D">
      <w:pPr>
        <w:pStyle w:val="NoSpacing"/>
        <w:ind w:firstLine="720"/>
      </w:pPr>
      <w:r>
        <w:t xml:space="preserve">Accept what you are told – </w:t>
      </w:r>
      <w:r w:rsidR="00E75FB5">
        <w:t xml:space="preserve">you do not need to decide </w:t>
      </w:r>
      <w:proofErr w:type="gramStart"/>
      <w:r w:rsidR="00E75FB5">
        <w:t>whether or not</w:t>
      </w:r>
      <w:proofErr w:type="gramEnd"/>
      <w:r w:rsidR="00E75FB5">
        <w:t xml:space="preserve"> it is </w:t>
      </w:r>
      <w:proofErr w:type="gramStart"/>
      <w:r w:rsidR="00E75FB5">
        <w:t>true;</w:t>
      </w:r>
      <w:proofErr w:type="gramEnd"/>
    </w:p>
    <w:p w14:paraId="4E198C31" w14:textId="77777777" w:rsidR="00E75FB5" w:rsidRDefault="00E75FB5" w:rsidP="001D268D">
      <w:pPr>
        <w:pStyle w:val="NoSpacing"/>
        <w:ind w:firstLine="720"/>
      </w:pPr>
      <w:r>
        <w:t>Listen without displaying shock or disbelief</w:t>
      </w:r>
    </w:p>
    <w:p w14:paraId="4524070C" w14:textId="77777777" w:rsidR="00E75FB5" w:rsidRDefault="00E75FB5" w:rsidP="001D268D">
      <w:pPr>
        <w:pStyle w:val="NoSpacing"/>
        <w:numPr>
          <w:ilvl w:val="0"/>
          <w:numId w:val="12"/>
        </w:numPr>
      </w:pPr>
      <w:r>
        <w:t>REASSURE</w:t>
      </w:r>
    </w:p>
    <w:p w14:paraId="122F29A2" w14:textId="77777777" w:rsidR="00E75FB5" w:rsidRDefault="001D268D" w:rsidP="001D268D">
      <w:pPr>
        <w:pStyle w:val="NoSpacing"/>
        <w:ind w:firstLine="720"/>
      </w:pPr>
      <w:r>
        <w:t xml:space="preserve">The person </w:t>
      </w:r>
      <w:proofErr w:type="gramStart"/>
      <w:r>
        <w:t>concerned</w:t>
      </w:r>
      <w:r w:rsidR="00E75FB5">
        <w:t>;</w:t>
      </w:r>
      <w:proofErr w:type="gramEnd"/>
    </w:p>
    <w:p w14:paraId="365CF043" w14:textId="77777777" w:rsidR="00E75FB5" w:rsidRDefault="00E75FB5" w:rsidP="001D268D">
      <w:pPr>
        <w:pStyle w:val="NoSpacing"/>
        <w:ind w:firstLine="720"/>
      </w:pPr>
      <w:r>
        <w:t xml:space="preserve">Acknowledge their courage in telling </w:t>
      </w:r>
      <w:proofErr w:type="gramStart"/>
      <w:r>
        <w:t>you;</w:t>
      </w:r>
      <w:proofErr w:type="gramEnd"/>
    </w:p>
    <w:p w14:paraId="267A0DF6" w14:textId="77777777" w:rsidR="00E75FB5" w:rsidRDefault="00E75FB5" w:rsidP="001D268D">
      <w:pPr>
        <w:pStyle w:val="NoSpacing"/>
        <w:ind w:firstLine="720"/>
      </w:pPr>
      <w:r>
        <w:t xml:space="preserve">Do not promise </w:t>
      </w:r>
      <w:proofErr w:type="gramStart"/>
      <w:r>
        <w:t>confidentiality;</w:t>
      </w:r>
      <w:proofErr w:type="gramEnd"/>
    </w:p>
    <w:p w14:paraId="3376651E" w14:textId="77777777" w:rsidR="00E75FB5" w:rsidRDefault="00E75FB5" w:rsidP="001D268D">
      <w:pPr>
        <w:pStyle w:val="NoSpacing"/>
        <w:ind w:firstLine="720"/>
      </w:pPr>
      <w:r>
        <w:t>Remin</w:t>
      </w:r>
      <w:r w:rsidR="001D268D">
        <w:t>d them they are not to blame – a</w:t>
      </w:r>
      <w:r>
        <w:t xml:space="preserve">void criticising the alleged </w:t>
      </w:r>
      <w:proofErr w:type="gramStart"/>
      <w:r>
        <w:t>perpetrator;</w:t>
      </w:r>
      <w:proofErr w:type="gramEnd"/>
    </w:p>
    <w:p w14:paraId="60120610" w14:textId="77777777" w:rsidR="00E75FB5" w:rsidRDefault="001D268D" w:rsidP="001D268D">
      <w:pPr>
        <w:pStyle w:val="NoSpacing"/>
        <w:ind w:firstLine="720"/>
      </w:pPr>
      <w:r>
        <w:t>Do not promise that ‘everything will be alright now’</w:t>
      </w:r>
      <w:r w:rsidR="00E75FB5">
        <w:t xml:space="preserve"> (it might not be)</w:t>
      </w:r>
    </w:p>
    <w:p w14:paraId="2E7F8FAC" w14:textId="77777777" w:rsidR="00E75FB5" w:rsidRDefault="00E75FB5" w:rsidP="001D268D">
      <w:pPr>
        <w:pStyle w:val="NoSpacing"/>
        <w:numPr>
          <w:ilvl w:val="0"/>
          <w:numId w:val="12"/>
        </w:numPr>
      </w:pPr>
      <w:r>
        <w:t>REACT</w:t>
      </w:r>
    </w:p>
    <w:p w14:paraId="6EB776A0" w14:textId="77777777" w:rsidR="00E75FB5" w:rsidRDefault="001D268D" w:rsidP="001D268D">
      <w:pPr>
        <w:pStyle w:val="NoSpacing"/>
        <w:ind w:firstLine="720"/>
      </w:pPr>
      <w:r>
        <w:t>Respond to the person concerned</w:t>
      </w:r>
      <w:r w:rsidR="00E75FB5">
        <w:t xml:space="preserve"> but do not </w:t>
      </w:r>
      <w:proofErr w:type="gramStart"/>
      <w:r w:rsidR="00E75FB5">
        <w:t>interrogate;</w:t>
      </w:r>
      <w:proofErr w:type="gramEnd"/>
    </w:p>
    <w:p w14:paraId="0F4EBA5C" w14:textId="77777777" w:rsidR="00E75FB5" w:rsidRDefault="00E75FB5" w:rsidP="001D268D">
      <w:pPr>
        <w:pStyle w:val="NoSpacing"/>
        <w:ind w:firstLine="720"/>
      </w:pPr>
      <w:r>
        <w:t xml:space="preserve">Avoid leading questions but ask open ended </w:t>
      </w:r>
      <w:proofErr w:type="gramStart"/>
      <w:r>
        <w:t>ones;</w:t>
      </w:r>
      <w:proofErr w:type="gramEnd"/>
    </w:p>
    <w:p w14:paraId="5A5013FE" w14:textId="77777777" w:rsidR="00E75FB5" w:rsidRDefault="00E75FB5" w:rsidP="001D268D">
      <w:pPr>
        <w:pStyle w:val="NoSpacing"/>
        <w:ind w:firstLine="720"/>
      </w:pPr>
      <w:r>
        <w:t xml:space="preserve">Clarify anything you do not </w:t>
      </w:r>
      <w:proofErr w:type="gramStart"/>
      <w:r>
        <w:t>understand;</w:t>
      </w:r>
      <w:proofErr w:type="gramEnd"/>
    </w:p>
    <w:p w14:paraId="4D1BD66F" w14:textId="77777777" w:rsidR="00E75FB5" w:rsidRDefault="00E75FB5" w:rsidP="001D268D">
      <w:pPr>
        <w:pStyle w:val="NoSpacing"/>
        <w:ind w:firstLine="720"/>
      </w:pPr>
      <w:r>
        <w:t xml:space="preserve">Explain what you will do next, i.e. inform </w:t>
      </w:r>
      <w:r w:rsidR="001D268D">
        <w:t>the designated member of staff</w:t>
      </w:r>
    </w:p>
    <w:p w14:paraId="3FFE2E06" w14:textId="77777777" w:rsidR="00E75FB5" w:rsidRDefault="00E75FB5" w:rsidP="001D268D">
      <w:pPr>
        <w:pStyle w:val="NoSpacing"/>
        <w:numPr>
          <w:ilvl w:val="0"/>
          <w:numId w:val="12"/>
        </w:numPr>
      </w:pPr>
      <w:r>
        <w:t>RECORD</w:t>
      </w:r>
    </w:p>
    <w:p w14:paraId="153883E2" w14:textId="77777777" w:rsidR="00E75FB5" w:rsidRDefault="00E75FB5" w:rsidP="001D268D">
      <w:pPr>
        <w:pStyle w:val="NoSpacing"/>
        <w:ind w:firstLine="720"/>
      </w:pPr>
      <w:r>
        <w:t xml:space="preserve">Make notes as soon as possible – during the interview if you </w:t>
      </w:r>
      <w:proofErr w:type="gramStart"/>
      <w:r>
        <w:t>can;</w:t>
      </w:r>
      <w:proofErr w:type="gramEnd"/>
    </w:p>
    <w:p w14:paraId="34283790" w14:textId="77777777" w:rsidR="00E75FB5" w:rsidRDefault="00E75FB5" w:rsidP="001D268D">
      <w:pPr>
        <w:pStyle w:val="NoSpacing"/>
        <w:ind w:firstLine="720"/>
      </w:pPr>
      <w:r>
        <w:t>Include:</w:t>
      </w:r>
      <w:r w:rsidR="001D268D">
        <w:t xml:space="preserve"> time, date, place, w</w:t>
      </w:r>
      <w:r>
        <w:t xml:space="preserve">ho was </w:t>
      </w:r>
      <w:proofErr w:type="gramStart"/>
      <w:r>
        <w:t>present;</w:t>
      </w:r>
      <w:proofErr w:type="gramEnd"/>
    </w:p>
    <w:p w14:paraId="05E86D93" w14:textId="77777777" w:rsidR="00E75FB5" w:rsidRDefault="00356E5C" w:rsidP="001D268D">
      <w:pPr>
        <w:pStyle w:val="NoSpacing"/>
        <w:ind w:firstLine="720"/>
      </w:pPr>
      <w:r>
        <w:t>The person</w:t>
      </w:r>
      <w:r w:rsidR="00E75FB5">
        <w:t>’s own wo</w:t>
      </w:r>
      <w:r w:rsidR="001D268D">
        <w:t>rds – do not assume – ask e.g. ‘</w:t>
      </w:r>
      <w:r w:rsidR="00E75FB5">
        <w:t>Please tell me what</w:t>
      </w:r>
    </w:p>
    <w:p w14:paraId="40C06736" w14:textId="77777777" w:rsidR="00E75FB5" w:rsidRDefault="001D268D" w:rsidP="001D268D">
      <w:pPr>
        <w:pStyle w:val="NoSpacing"/>
        <w:ind w:firstLine="720"/>
      </w:pPr>
      <w:proofErr w:type="spellStart"/>
      <w:r>
        <w:t>xxxxx</w:t>
      </w:r>
      <w:proofErr w:type="spellEnd"/>
      <w:r>
        <w:t xml:space="preserve"> </w:t>
      </w:r>
      <w:proofErr w:type="gramStart"/>
      <w:r>
        <w:t>means’;</w:t>
      </w:r>
      <w:proofErr w:type="gramEnd"/>
    </w:p>
    <w:p w14:paraId="30444F0C" w14:textId="77777777" w:rsidR="00E75FB5" w:rsidRDefault="00E75FB5" w:rsidP="001D268D">
      <w:pPr>
        <w:pStyle w:val="NoSpacing"/>
        <w:ind w:firstLine="720"/>
      </w:pPr>
      <w:r>
        <w:t xml:space="preserve">Describe observable </w:t>
      </w:r>
      <w:proofErr w:type="gramStart"/>
      <w:r>
        <w:t>behaviour;</w:t>
      </w:r>
      <w:proofErr w:type="gramEnd"/>
    </w:p>
    <w:p w14:paraId="47993D53" w14:textId="77777777" w:rsidR="00E75FB5" w:rsidRDefault="00E75FB5" w:rsidP="001D268D">
      <w:pPr>
        <w:pStyle w:val="NoSpacing"/>
        <w:ind w:firstLine="720"/>
      </w:pPr>
      <w:r>
        <w:t xml:space="preserve">Do not destroy your original notes – they may be needed </w:t>
      </w:r>
      <w:proofErr w:type="gramStart"/>
      <w:r>
        <w:t>later on</w:t>
      </w:r>
      <w:proofErr w:type="gramEnd"/>
    </w:p>
    <w:p w14:paraId="5CD27B4F" w14:textId="77777777" w:rsidR="001D268D" w:rsidRDefault="00E75FB5" w:rsidP="00E75FB5">
      <w:pPr>
        <w:pStyle w:val="NoSpacing"/>
        <w:numPr>
          <w:ilvl w:val="0"/>
          <w:numId w:val="12"/>
        </w:numPr>
      </w:pPr>
      <w:r>
        <w:t>SUPPORT</w:t>
      </w:r>
    </w:p>
    <w:p w14:paraId="11D15D98" w14:textId="77777777" w:rsidR="00E75FB5" w:rsidRDefault="00E75FB5" w:rsidP="001D268D">
      <w:pPr>
        <w:pStyle w:val="NoSpacing"/>
        <w:ind w:left="720"/>
      </w:pPr>
      <w:r>
        <w:t>Consider what s</w:t>
      </w:r>
      <w:r w:rsidR="001D268D">
        <w:t xml:space="preserve">upport is needed for the person concerned – </w:t>
      </w:r>
      <w:r>
        <w:t>you may need to give them a lot</w:t>
      </w:r>
      <w:r w:rsidR="001D268D">
        <w:t xml:space="preserve"> </w:t>
      </w:r>
      <w:r>
        <w:t xml:space="preserve">of your </w:t>
      </w:r>
      <w:proofErr w:type="gramStart"/>
      <w:r>
        <w:t>time;</w:t>
      </w:r>
      <w:proofErr w:type="gramEnd"/>
    </w:p>
    <w:p w14:paraId="2800462B" w14:textId="77777777" w:rsidR="001D268D" w:rsidRDefault="001D268D" w:rsidP="001D268D">
      <w:pPr>
        <w:pStyle w:val="NoSpacing"/>
        <w:ind w:firstLine="720"/>
      </w:pPr>
      <w:r>
        <w:t>Ensure you are supported – su</w:t>
      </w:r>
      <w:r w:rsidR="00E75FB5">
        <w:t>ch interviews can be extremely stressful and time</w:t>
      </w:r>
      <w:r>
        <w:t xml:space="preserve"> </w:t>
      </w:r>
      <w:proofErr w:type="gramStart"/>
      <w:r w:rsidR="00E75FB5">
        <w:t>consuming;</w:t>
      </w:r>
      <w:proofErr w:type="gramEnd"/>
    </w:p>
    <w:p w14:paraId="2D90B112" w14:textId="77777777" w:rsidR="00E75FB5" w:rsidRDefault="001D268D" w:rsidP="001D268D">
      <w:pPr>
        <w:pStyle w:val="NoSpacing"/>
        <w:ind w:firstLine="720"/>
      </w:pPr>
      <w:r>
        <w:t>Talk to your Designated Person.</w:t>
      </w:r>
    </w:p>
    <w:p w14:paraId="22E5C407" w14:textId="77777777" w:rsidR="00E75FB5" w:rsidRDefault="00E75FB5" w:rsidP="006644A2">
      <w:pPr>
        <w:pStyle w:val="NoSpacing"/>
      </w:pPr>
    </w:p>
    <w:p w14:paraId="639DF4C4" w14:textId="77777777" w:rsidR="001F7867" w:rsidRDefault="00E75FB5" w:rsidP="001D268D">
      <w:pPr>
        <w:pStyle w:val="NoSpacing"/>
      </w:pPr>
      <w:r>
        <w:t xml:space="preserve">If LKH receives information which suggests that a person has been </w:t>
      </w:r>
      <w:proofErr w:type="gramStart"/>
      <w:r>
        <w:t>actually abused</w:t>
      </w:r>
      <w:proofErr w:type="gramEnd"/>
      <w:r>
        <w:t xml:space="preserve"> or neglected or that this is likely, it has a duty to refer these concerns to Adult Services or Police. However, things may not be clear-cut. In which case</w:t>
      </w:r>
      <w:r w:rsidR="001D268D">
        <w:t>,</w:t>
      </w:r>
      <w:r>
        <w:t xml:space="preserve"> </w:t>
      </w:r>
      <w:r w:rsidR="001D268D">
        <w:t xml:space="preserve">it is most likely that a process of consultation will take place with </w:t>
      </w:r>
      <w:r>
        <w:t xml:space="preserve">an appropriate agency which is usually, but not always, Adult Services. </w:t>
      </w:r>
      <w:r w:rsidR="001D268D">
        <w:t>Further actions will then be taken as advised and as considered appropriate.</w:t>
      </w:r>
    </w:p>
    <w:p w14:paraId="3DC3F432" w14:textId="77777777" w:rsidR="001F7867" w:rsidRDefault="001F7867" w:rsidP="006644A2">
      <w:pPr>
        <w:pStyle w:val="NoSpacing"/>
      </w:pPr>
    </w:p>
    <w:p w14:paraId="217BF8B5" w14:textId="77777777" w:rsidR="001D268D" w:rsidRDefault="001D268D" w:rsidP="006644A2">
      <w:pPr>
        <w:pStyle w:val="NoSpacing"/>
      </w:pPr>
    </w:p>
    <w:p w14:paraId="2C0109BA" w14:textId="77777777" w:rsidR="001D268D" w:rsidRDefault="001D268D" w:rsidP="001D268D">
      <w:pPr>
        <w:rPr>
          <w:rFonts w:ascii="Calibri" w:eastAsia="Calibri" w:hAnsi="Calibri"/>
          <w:color w:val="auto"/>
          <w:sz w:val="22"/>
          <w:szCs w:val="22"/>
        </w:rPr>
      </w:pPr>
    </w:p>
    <w:p w14:paraId="3EDEF378" w14:textId="77777777" w:rsidR="001D268D" w:rsidRPr="00DE6401" w:rsidRDefault="001D268D" w:rsidP="001D268D">
      <w:pPr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6405"/>
      </w:tblGrid>
      <w:tr w:rsidR="001D268D" w:rsidRPr="00DE6401" w14:paraId="024F7E0D" w14:textId="77777777" w:rsidTr="00440927">
        <w:tc>
          <w:tcPr>
            <w:tcW w:w="2660" w:type="dxa"/>
          </w:tcPr>
          <w:p w14:paraId="0A2F26B4" w14:textId="77777777" w:rsidR="001D268D" w:rsidRPr="00DE6401" w:rsidRDefault="001D268D" w:rsidP="00440927">
            <w:pP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 w:rsidRPr="00DE6401"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>Document title:</w:t>
            </w:r>
          </w:p>
        </w:tc>
        <w:tc>
          <w:tcPr>
            <w:tcW w:w="6582" w:type="dxa"/>
          </w:tcPr>
          <w:p w14:paraId="4DEC6E47" w14:textId="77777777" w:rsidR="001D268D" w:rsidRPr="00DE6401" w:rsidRDefault="001D268D" w:rsidP="00440927">
            <w:pPr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Vulnerable Adults</w:t>
            </w:r>
          </w:p>
        </w:tc>
      </w:tr>
      <w:tr w:rsidR="001D268D" w:rsidRPr="00DE6401" w14:paraId="2506B0F4" w14:textId="77777777" w:rsidTr="00440927">
        <w:tc>
          <w:tcPr>
            <w:tcW w:w="2660" w:type="dxa"/>
          </w:tcPr>
          <w:p w14:paraId="3EA36D8C" w14:textId="77777777" w:rsidR="001D268D" w:rsidRPr="00DE6401" w:rsidRDefault="001D268D" w:rsidP="00440927">
            <w:pP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 w:rsidRPr="00DE6401"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>Reviewed and revised on:</w:t>
            </w:r>
          </w:p>
        </w:tc>
        <w:tc>
          <w:tcPr>
            <w:tcW w:w="6582" w:type="dxa"/>
          </w:tcPr>
          <w:p w14:paraId="1EAE6FE0" w14:textId="521A91D1" w:rsidR="001D268D" w:rsidRPr="00DE6401" w:rsidRDefault="0016673D" w:rsidP="00440927">
            <w:pPr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Sept 20</w:t>
            </w:r>
            <w:r w:rsidR="00C63C6A">
              <w:rPr>
                <w:rFonts w:ascii="Calibri" w:eastAsia="Calibri" w:hAnsi="Calibri"/>
                <w:color w:val="auto"/>
                <w:sz w:val="22"/>
                <w:szCs w:val="22"/>
              </w:rPr>
              <w:t>2</w:t>
            </w:r>
            <w:r w:rsidR="00D84487">
              <w:rPr>
                <w:rFonts w:ascii="Calibri" w:eastAsia="Calibri" w:hAnsi="Calibri"/>
                <w:color w:val="auto"/>
                <w:sz w:val="22"/>
                <w:szCs w:val="22"/>
              </w:rPr>
              <w:t>5</w:t>
            </w:r>
          </w:p>
        </w:tc>
      </w:tr>
      <w:tr w:rsidR="001D268D" w:rsidRPr="00DE6401" w14:paraId="677B76C8" w14:textId="77777777" w:rsidTr="00440927">
        <w:tc>
          <w:tcPr>
            <w:tcW w:w="2660" w:type="dxa"/>
          </w:tcPr>
          <w:p w14:paraId="0CBF4C8C" w14:textId="77777777" w:rsidR="001D268D" w:rsidRPr="00DE6401" w:rsidRDefault="001D268D" w:rsidP="00440927">
            <w:pP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 w:rsidRPr="00DE6401"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>Approved by:</w:t>
            </w:r>
          </w:p>
        </w:tc>
        <w:tc>
          <w:tcPr>
            <w:tcW w:w="6582" w:type="dxa"/>
          </w:tcPr>
          <w:p w14:paraId="21E84A6A" w14:textId="77777777" w:rsidR="001D268D" w:rsidRPr="00DE6401" w:rsidRDefault="0016673D" w:rsidP="00440927">
            <w:pPr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FMC</w:t>
            </w:r>
          </w:p>
        </w:tc>
      </w:tr>
    </w:tbl>
    <w:p w14:paraId="0688D24B" w14:textId="77777777" w:rsidR="001D268D" w:rsidRPr="00DE6401" w:rsidRDefault="001D268D" w:rsidP="001D268D">
      <w:pPr>
        <w:rPr>
          <w:rFonts w:ascii="Calibri" w:hAnsi="Calibri" w:cs="Arial"/>
          <w:color w:val="auto"/>
          <w:sz w:val="22"/>
          <w:szCs w:val="22"/>
        </w:rPr>
      </w:pPr>
    </w:p>
    <w:p w14:paraId="49F82F7B" w14:textId="77777777" w:rsidR="001D268D" w:rsidRDefault="001D268D" w:rsidP="001D268D"/>
    <w:p w14:paraId="51427047" w14:textId="77777777" w:rsidR="001D268D" w:rsidRDefault="001D268D" w:rsidP="001D268D"/>
    <w:p w14:paraId="7CDA3186" w14:textId="77777777" w:rsidR="001D268D" w:rsidRDefault="001D268D" w:rsidP="006644A2">
      <w:pPr>
        <w:pStyle w:val="NoSpacing"/>
      </w:pPr>
    </w:p>
    <w:sectPr w:rsidR="001D2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4759"/>
    <w:multiLevelType w:val="hybridMultilevel"/>
    <w:tmpl w:val="D1B4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5215A"/>
    <w:multiLevelType w:val="hybridMultilevel"/>
    <w:tmpl w:val="062050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46FD"/>
    <w:multiLevelType w:val="hybridMultilevel"/>
    <w:tmpl w:val="35ECE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2720"/>
    <w:multiLevelType w:val="hybridMultilevel"/>
    <w:tmpl w:val="7D14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5393"/>
    <w:multiLevelType w:val="hybridMultilevel"/>
    <w:tmpl w:val="F640A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2198"/>
    <w:multiLevelType w:val="hybridMultilevel"/>
    <w:tmpl w:val="0A3CE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013"/>
    <w:multiLevelType w:val="hybridMultilevel"/>
    <w:tmpl w:val="A0EE6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3225D"/>
    <w:multiLevelType w:val="hybridMultilevel"/>
    <w:tmpl w:val="25EE9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41E1F"/>
    <w:multiLevelType w:val="hybridMultilevel"/>
    <w:tmpl w:val="5FF22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B5E73"/>
    <w:multiLevelType w:val="hybridMultilevel"/>
    <w:tmpl w:val="382A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6516E"/>
    <w:multiLevelType w:val="hybridMultilevel"/>
    <w:tmpl w:val="9092B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12B6D"/>
    <w:multiLevelType w:val="hybridMultilevel"/>
    <w:tmpl w:val="4778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0967">
    <w:abstractNumId w:val="4"/>
  </w:num>
  <w:num w:numId="2" w16cid:durableId="1379477215">
    <w:abstractNumId w:val="8"/>
  </w:num>
  <w:num w:numId="3" w16cid:durableId="1692299264">
    <w:abstractNumId w:val="6"/>
  </w:num>
  <w:num w:numId="4" w16cid:durableId="182980082">
    <w:abstractNumId w:val="9"/>
  </w:num>
  <w:num w:numId="5" w16cid:durableId="626399567">
    <w:abstractNumId w:val="0"/>
  </w:num>
  <w:num w:numId="6" w16cid:durableId="842941280">
    <w:abstractNumId w:val="11"/>
  </w:num>
  <w:num w:numId="7" w16cid:durableId="1844464689">
    <w:abstractNumId w:val="7"/>
  </w:num>
  <w:num w:numId="8" w16cid:durableId="959413829">
    <w:abstractNumId w:val="3"/>
  </w:num>
  <w:num w:numId="9" w16cid:durableId="1139690948">
    <w:abstractNumId w:val="5"/>
  </w:num>
  <w:num w:numId="10" w16cid:durableId="750078776">
    <w:abstractNumId w:val="10"/>
  </w:num>
  <w:num w:numId="11" w16cid:durableId="501092659">
    <w:abstractNumId w:val="2"/>
  </w:num>
  <w:num w:numId="12" w16cid:durableId="146939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3F"/>
    <w:rsid w:val="000C4779"/>
    <w:rsid w:val="0016673D"/>
    <w:rsid w:val="001743C1"/>
    <w:rsid w:val="0018576A"/>
    <w:rsid w:val="001D268D"/>
    <w:rsid w:val="001E7049"/>
    <w:rsid w:val="001F7867"/>
    <w:rsid w:val="00356E5C"/>
    <w:rsid w:val="003966AB"/>
    <w:rsid w:val="00425950"/>
    <w:rsid w:val="005D0291"/>
    <w:rsid w:val="006644A2"/>
    <w:rsid w:val="008960B3"/>
    <w:rsid w:val="0092337E"/>
    <w:rsid w:val="009759DB"/>
    <w:rsid w:val="00B0523F"/>
    <w:rsid w:val="00C63C6A"/>
    <w:rsid w:val="00C954D2"/>
    <w:rsid w:val="00CC5828"/>
    <w:rsid w:val="00D84487"/>
    <w:rsid w:val="00DB69C7"/>
    <w:rsid w:val="00E34DD2"/>
    <w:rsid w:val="00E75FB5"/>
    <w:rsid w:val="00E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6386"/>
  <w15:chartTrackingRefBased/>
  <w15:docId w15:val="{C3C02E7D-7B3B-435A-98DB-DA7556C6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0B3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23F"/>
    <w:pPr>
      <w:ind w:left="720"/>
      <w:contextualSpacing/>
    </w:pPr>
  </w:style>
  <w:style w:type="paragraph" w:styleId="NoSpacing">
    <w:name w:val="No Spacing"/>
    <w:uiPriority w:val="1"/>
    <w:qFormat/>
    <w:rsid w:val="00B052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78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04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960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Sparkes</dc:creator>
  <cp:keywords/>
  <dc:description/>
  <cp:lastModifiedBy>Kim Wasey</cp:lastModifiedBy>
  <cp:revision>3</cp:revision>
  <cp:lastPrinted>2016-11-24T08:41:00Z</cp:lastPrinted>
  <dcterms:created xsi:type="dcterms:W3CDTF">2025-09-01T08:43:00Z</dcterms:created>
  <dcterms:modified xsi:type="dcterms:W3CDTF">2025-09-01T08:43:00Z</dcterms:modified>
</cp:coreProperties>
</file>