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66C2" w:rsidR="00E066C2" w:rsidP="00E066C2" w:rsidRDefault="00E066C2" w14:paraId="7A61A3A5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b/>
          <w:bCs/>
        </w:rPr>
        <w:t>ADDENDUM TO THE STANDARD DATA PROCESSING AGREEMENT BASED ON STANDARD CONTRACTUAL CLAUSES</w:t>
      </w: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0ECFFBA3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5BF55815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</w:rPr>
        <w:t>This Addendum (“Addendum”) supplements and forms an integral part of the Data Processing Agreement based on the EU Standard Contractual Clauses (SCCs) (“DPA”) concluded between:</w:t>
      </w: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6E40FC7C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4E231F9A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b/>
          <w:bCs/>
          <w:lang w:val="de-DE"/>
        </w:rPr>
        <w:t>Data exporter(s):</w:t>
      </w:r>
      <w:r w:rsidRPr="00E066C2">
        <w:rPr>
          <w:rFonts w:cstheme="minorHAnsi"/>
          <w:lang w:val="de-DE"/>
        </w:rPr>
        <w:t> </w:t>
      </w:r>
      <w:r w:rsidRPr="00E066C2">
        <w:rPr>
          <w:rFonts w:cstheme="minorHAnsi"/>
          <w:lang w:val="en-D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50"/>
        <w:gridCol w:w="8972"/>
      </w:tblGrid>
      <w:tr w:rsidRPr="00E066C2" w:rsidR="00E066C2" w14:paraId="523CE444" w14:textId="77777777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348028D8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33ABAE67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5C4E6747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46DD0208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Name: …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7A3D4AF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Address: …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53230701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Contact person’s name, position and contact details: …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01D08B82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Activities relevant to the data transferred under this Addendum: …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38849B0C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Role (controller/processor): Controller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</w:tbl>
    <w:p w:rsidRPr="00E066C2" w:rsidR="00E066C2" w:rsidP="00E066C2" w:rsidRDefault="00E066C2" w14:paraId="050DEB6F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Pr="00E066C2" w:rsidR="00E066C2" w14:paraId="6821B5A5" w14:textId="77777777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020DB5EE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63090C34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6D260F31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</w:tr>
    </w:tbl>
    <w:p w:rsidRPr="00E066C2" w:rsidR="00E066C2" w:rsidP="00E066C2" w:rsidRDefault="00E066C2" w14:paraId="70427C0A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419D8A90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b/>
          <w:bCs/>
          <w:lang w:val="de-DE"/>
        </w:rPr>
        <w:t>Data importer(s):</w:t>
      </w:r>
      <w:r w:rsidRPr="00E066C2">
        <w:rPr>
          <w:rFonts w:cstheme="minorHAnsi"/>
          <w:lang w:val="de-DE"/>
        </w:rPr>
        <w:t> </w:t>
      </w:r>
      <w:r w:rsidRPr="00E066C2">
        <w:rPr>
          <w:rFonts w:cstheme="minorHAnsi"/>
          <w:lang w:val="en-D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50"/>
        <w:gridCol w:w="8972"/>
      </w:tblGrid>
      <w:tr w:rsidRPr="00E066C2" w:rsidR="00E066C2" w14:paraId="2A40C99C" w14:textId="77777777">
        <w:trPr>
          <w:trHeight w:val="30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53D984C3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5AC70D7F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215DA71E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0E0E58B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Name: </w:t>
            </w:r>
            <w:proofErr w:type="spellStart"/>
            <w:r w:rsidRPr="00E066C2">
              <w:rPr>
                <w:rFonts w:cstheme="minorHAnsi"/>
              </w:rPr>
              <w:t>Hubject</w:t>
            </w:r>
            <w:proofErr w:type="spellEnd"/>
            <w:r w:rsidRPr="00E066C2">
              <w:rPr>
                <w:rFonts w:cstheme="minorHAnsi"/>
              </w:rPr>
              <w:t xml:space="preserve"> GmbH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6ED2CF73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Address: EUREF-Campus 22, 10829 Berlin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86D5355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Contact person’s name, position and contact details: 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0522B4BB" w14:textId="77777777">
            <w:pPr>
              <w:numPr>
                <w:ilvl w:val="0"/>
                <w:numId w:val="48"/>
              </w:num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[Account/Partner contact – to be filled in by </w:t>
            </w:r>
            <w:proofErr w:type="spellStart"/>
            <w:r w:rsidRPr="00E066C2">
              <w:rPr>
                <w:rFonts w:cstheme="minorHAnsi"/>
              </w:rPr>
              <w:t>Hubject</w:t>
            </w:r>
            <w:proofErr w:type="spellEnd"/>
            <w:r w:rsidRPr="00E066C2">
              <w:rPr>
                <w:rFonts w:cstheme="minorHAnsi"/>
              </w:rPr>
              <w:t xml:space="preserve"> each time]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1F7C1D09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Role (controller/processor): Processor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7772B776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06F517DE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</w:rPr>
              <w:t>Purpose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03A145A4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This Addendum defines the processing of personal data in relation to additional or optional Services provided by </w:t>
            </w:r>
            <w:proofErr w:type="spellStart"/>
            <w:r w:rsidRPr="00E066C2">
              <w:rPr>
                <w:rFonts w:cstheme="minorHAnsi"/>
              </w:rPr>
              <w:t>Hubject</w:t>
            </w:r>
            <w:proofErr w:type="spellEnd"/>
            <w:r w:rsidRPr="00E066C2">
              <w:rPr>
                <w:rFonts w:cstheme="minorHAnsi"/>
              </w:rPr>
              <w:t xml:space="preserve"> GmbH that are not part of the standard service portfolio described in the main DPA.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5CF95B93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All provisions of the DPA, including the SCCs, apply accordingly.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653AFCAD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The applicability of individual Services depends on the respective commercial or service contract between the Parties.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2FC76BB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4A639D67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</w:rPr>
              <w:lastRenderedPageBreak/>
              <w:t>Scope and Application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6A9A5E78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The following additional Services may involve the processing of personal data beyond the standard </w:t>
            </w:r>
            <w:proofErr w:type="spellStart"/>
            <w:r w:rsidRPr="00E066C2">
              <w:rPr>
                <w:rFonts w:cstheme="minorHAnsi"/>
              </w:rPr>
              <w:t>Hubject</w:t>
            </w:r>
            <w:proofErr w:type="spellEnd"/>
            <w:r w:rsidRPr="00E066C2">
              <w:rPr>
                <w:rFonts w:cstheme="minorHAnsi"/>
              </w:rPr>
              <w:t xml:space="preserve"> offerings: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3F270A92" w14:textId="77777777">
            <w:pPr>
              <w:numPr>
                <w:ilvl w:val="0"/>
                <w:numId w:val="49"/>
              </w:numPr>
              <w:jc w:val="both"/>
              <w:rPr>
                <w:rFonts w:cstheme="minorHAnsi"/>
                <w:lang w:val="en-DE"/>
              </w:rPr>
            </w:pPr>
            <w:proofErr w:type="spellStart"/>
            <w:r w:rsidRPr="00E066C2">
              <w:rPr>
                <w:rFonts w:cstheme="minorHAnsi"/>
              </w:rPr>
              <w:t>Plug&amp;Charge</w:t>
            </w:r>
            <w:proofErr w:type="spellEnd"/>
            <w:r w:rsidRPr="00E066C2">
              <w:rPr>
                <w:rFonts w:cstheme="minorHAnsi"/>
              </w:rPr>
              <w:t xml:space="preserve"> Direct: Enables </w:t>
            </w:r>
            <w:proofErr w:type="spellStart"/>
            <w:r w:rsidRPr="00E066C2">
              <w:rPr>
                <w:rFonts w:cstheme="minorHAnsi"/>
              </w:rPr>
              <w:t>Plug&amp;Charge</w:t>
            </w:r>
            <w:proofErr w:type="spellEnd"/>
            <w:r w:rsidRPr="00E066C2">
              <w:rPr>
                <w:rFonts w:cstheme="minorHAnsi"/>
              </w:rPr>
              <w:t xml:space="preserve"> authorization via credit card without requiring an e-Mobility Service Provider (MSP) contract for the end customer. The end user can initiate and complete a </w:t>
            </w:r>
            <w:proofErr w:type="spellStart"/>
            <w:r w:rsidRPr="00E066C2">
              <w:rPr>
                <w:rFonts w:cstheme="minorHAnsi"/>
              </w:rPr>
              <w:t>Plug&amp;Charge</w:t>
            </w:r>
            <w:proofErr w:type="spellEnd"/>
            <w:r w:rsidRPr="00E066C2">
              <w:rPr>
                <w:rFonts w:cstheme="minorHAnsi"/>
              </w:rPr>
              <w:t xml:space="preserve"> session directly using credit card credentials within </w:t>
            </w:r>
            <w:proofErr w:type="spellStart"/>
            <w:r w:rsidRPr="00E066C2">
              <w:rPr>
                <w:rFonts w:cstheme="minorHAnsi"/>
              </w:rPr>
              <w:t>Hubject’s</w:t>
            </w:r>
            <w:proofErr w:type="spellEnd"/>
            <w:r w:rsidRPr="00E066C2">
              <w:rPr>
                <w:rFonts w:cstheme="minorHAnsi"/>
              </w:rPr>
              <w:t xml:space="preserve"> secure ecosystem.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57CD48DF" w14:textId="77777777">
            <w:pPr>
              <w:numPr>
                <w:ilvl w:val="0"/>
                <w:numId w:val="50"/>
              </w:numPr>
              <w:jc w:val="both"/>
              <w:rPr>
                <w:rFonts w:cstheme="minorHAnsi"/>
                <w:lang w:val="en-DE"/>
              </w:rPr>
            </w:pPr>
            <w:proofErr w:type="spellStart"/>
            <w:r w:rsidRPr="00E066C2">
              <w:rPr>
                <w:rFonts w:cstheme="minorHAnsi"/>
              </w:rPr>
              <w:t>Plug&amp;Charge</w:t>
            </w:r>
            <w:proofErr w:type="spellEnd"/>
            <w:r w:rsidRPr="00E066C2">
              <w:rPr>
                <w:rFonts w:cstheme="minorHAnsi"/>
              </w:rPr>
              <w:t xml:space="preserve"> Confidence Score: Provides a data-driven reliability indicator that reflects if a charging station is </w:t>
            </w:r>
            <w:proofErr w:type="spellStart"/>
            <w:r w:rsidRPr="00E066C2">
              <w:rPr>
                <w:rFonts w:cstheme="minorHAnsi"/>
              </w:rPr>
              <w:t>Plug&amp;Charge</w:t>
            </w:r>
            <w:proofErr w:type="spellEnd"/>
            <w:r w:rsidRPr="00E066C2">
              <w:rPr>
                <w:rFonts w:cstheme="minorHAnsi"/>
              </w:rPr>
              <w:t xml:space="preserve"> capable. The service analyzes recent authenticated charging interactions within </w:t>
            </w:r>
            <w:proofErr w:type="spellStart"/>
            <w:r w:rsidRPr="00E066C2">
              <w:rPr>
                <w:rFonts w:cstheme="minorHAnsi"/>
              </w:rPr>
              <w:t>Hubject’s</w:t>
            </w:r>
            <w:proofErr w:type="spellEnd"/>
            <w:r w:rsidRPr="00E066C2">
              <w:rPr>
                <w:rFonts w:cstheme="minorHAnsi"/>
              </w:rPr>
              <w:t xml:space="preserve"> secure ecosystem and generates a score based on the authentication data. This score enables operators, OEMs, and service providers to assess network performance, identify issues, and improve the end-user charging experience.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797177F0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</w:rPr>
              <w:t>Relevance to Personal Data Processing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111325BB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In the context of these services, </w:t>
            </w:r>
            <w:proofErr w:type="spellStart"/>
            <w:r w:rsidRPr="00E066C2">
              <w:rPr>
                <w:rFonts w:cstheme="minorHAnsi"/>
              </w:rPr>
              <w:t>Hubject</w:t>
            </w:r>
            <w:proofErr w:type="spellEnd"/>
            <w:r w:rsidRPr="00E066C2">
              <w:rPr>
                <w:rFonts w:cstheme="minorHAnsi"/>
              </w:rPr>
              <w:t xml:space="preserve"> processes limited categories of personal data strictly as required for the technical enablement of services. 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69B2E02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For services such as invoicing and </w:t>
            </w:r>
            <w:proofErr w:type="spellStart"/>
            <w:r w:rsidRPr="00E066C2">
              <w:rPr>
                <w:rFonts w:cstheme="minorHAnsi"/>
              </w:rPr>
              <w:t>Plug&amp;Charge</w:t>
            </w:r>
            <w:proofErr w:type="spellEnd"/>
            <w:r w:rsidRPr="00E066C2">
              <w:rPr>
                <w:rFonts w:cstheme="minorHAnsi"/>
              </w:rPr>
              <w:t xml:space="preserve"> direct services, </w:t>
            </w:r>
            <w:proofErr w:type="spellStart"/>
            <w:r w:rsidRPr="00E066C2">
              <w:rPr>
                <w:rFonts w:cstheme="minorHAnsi"/>
              </w:rPr>
              <w:t>Hubject</w:t>
            </w:r>
            <w:proofErr w:type="spellEnd"/>
            <w:r w:rsidRPr="00E066C2">
              <w:rPr>
                <w:rFonts w:cstheme="minorHAnsi"/>
              </w:rPr>
              <w:t xml:space="preserve"> processes directly identifiable information (e.g., name, address, and network tokens). In these cases, </w:t>
            </w:r>
            <w:proofErr w:type="spellStart"/>
            <w:r w:rsidRPr="00E066C2">
              <w:rPr>
                <w:rFonts w:cstheme="minorHAnsi"/>
              </w:rPr>
              <w:t>Hubject</w:t>
            </w:r>
            <w:proofErr w:type="spellEnd"/>
            <w:r w:rsidRPr="00E066C2">
              <w:rPr>
                <w:rFonts w:cstheme="minorHAnsi"/>
              </w:rPr>
              <w:t xml:space="preserve"> implements strict access controls, encryption, and retention policies aligned with GDPR to ensure robust end-user data protection.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</w:tbl>
    <w:p w:rsidRPr="00E066C2" w:rsidR="00E066C2" w:rsidP="00E066C2" w:rsidRDefault="00E066C2" w14:paraId="12833912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lastRenderedPageBreak/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Pr="00E066C2" w:rsidR="00E066C2" w14:paraId="1DB1DFB9" w14:textId="77777777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4F312162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066C2" w:rsidR="00E066C2" w:rsidP="00E066C2" w:rsidRDefault="00E066C2" w14:paraId="2ADA8F22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lang w:val="en-DE"/>
              </w:rPr>
              <w:t> </w:t>
            </w:r>
          </w:p>
        </w:tc>
      </w:tr>
    </w:tbl>
    <w:p w:rsidRPr="00E066C2" w:rsidR="00E066C2" w:rsidP="00E066C2" w:rsidRDefault="00E066C2" w14:paraId="4BE083EA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b/>
          <w:bCs/>
        </w:rPr>
        <w:t>Categories of Personal Data</w:t>
      </w: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7F317B53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405"/>
        <w:gridCol w:w="1628"/>
        <w:gridCol w:w="1760"/>
        <w:gridCol w:w="1764"/>
      </w:tblGrid>
      <w:tr w:rsidRPr="00E066C2" w:rsidR="00E066C2" w14:paraId="6579905E" w14:textId="77777777">
        <w:trPr>
          <w:trHeight w:val="300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E066C2" w:rsidR="00E066C2" w:rsidP="00E066C2" w:rsidRDefault="00E066C2" w14:paraId="28551EC2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  <w:i/>
                <w:iCs/>
              </w:rPr>
              <w:t>Category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E066C2" w:rsidR="00E066C2" w:rsidP="00E066C2" w:rsidRDefault="00E066C2" w14:paraId="6489B8D7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  <w:i/>
                <w:iCs/>
              </w:rPr>
              <w:t>Service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E066C2" w:rsidR="00E066C2" w:rsidP="00E066C2" w:rsidRDefault="00E066C2" w14:paraId="1284EB12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  <w:i/>
                <w:iCs/>
              </w:rPr>
              <w:t>Data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E066C2" w:rsidR="00E066C2" w:rsidP="00E066C2" w:rsidRDefault="00E066C2" w14:paraId="103AD8A6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  <w:i/>
                <w:iCs/>
              </w:rPr>
              <w:t>Description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E066C2" w:rsidR="00E066C2" w:rsidP="00E066C2" w:rsidRDefault="00E066C2" w14:paraId="3C961A3E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  <w:i/>
                <w:iCs/>
              </w:rPr>
              <w:t>Source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50EA2C30" w14:textId="77777777">
        <w:trPr>
          <w:trHeight w:val="300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03A449CF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Identification feature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50B02DA4" w14:textId="77777777">
            <w:pPr>
              <w:rPr>
                <w:rFonts w:cstheme="minorHAnsi"/>
                <w:lang w:val="en-DE"/>
              </w:rPr>
            </w:pPr>
            <w:proofErr w:type="spellStart"/>
            <w:r w:rsidRPr="00E066C2">
              <w:rPr>
                <w:rFonts w:cstheme="minorHAnsi"/>
              </w:rPr>
              <w:t>Plug&amp;Charge</w:t>
            </w:r>
            <w:proofErr w:type="spellEnd"/>
            <w:r w:rsidRPr="00E066C2">
              <w:rPr>
                <w:rFonts w:cstheme="minorHAnsi"/>
              </w:rPr>
              <w:t xml:space="preserve"> Confidence Score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11D3C333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EVSEID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03F42E1C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Electric Vehicle Supply Equipment ID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49998C96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CPO (origin)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2B33AF9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EMP (transfer)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0D98592D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42ADFD16" w14:textId="77777777">
            <w:pPr>
              <w:rPr>
                <w:rFonts w:cstheme="minorHAnsi"/>
                <w:lang w:val="en-DE"/>
              </w:rPr>
            </w:pP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7D3120E" w14:textId="77777777">
            <w:pPr>
              <w:rPr>
                <w:rFonts w:cstheme="minorHAnsi"/>
                <w:lang w:val="en-DE"/>
              </w:rPr>
            </w:pPr>
            <w:proofErr w:type="spellStart"/>
            <w:r w:rsidRPr="00E066C2">
              <w:rPr>
                <w:rFonts w:cstheme="minorHAnsi"/>
              </w:rPr>
              <w:t>Plug&amp;Charge</w:t>
            </w:r>
            <w:proofErr w:type="spellEnd"/>
            <w:r w:rsidRPr="00E066C2">
              <w:rPr>
                <w:rFonts w:cstheme="minorHAnsi"/>
              </w:rPr>
              <w:t xml:space="preserve"> Direct Services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67686D7D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EMAID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C3D3C6A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E-Mobility Account Identifier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4443667B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EMP (origin)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68BF4A75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CPO (transfer)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0179DFC8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28A1D1B1" w14:textId="77777777">
            <w:pPr>
              <w:rPr>
                <w:rFonts w:cstheme="minorHAnsi"/>
                <w:lang w:val="en-DE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62F62B92" w14:textId="77777777">
            <w:pPr>
              <w:rPr>
                <w:rFonts w:cstheme="minorHAnsi"/>
                <w:lang w:val="en-D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18F269B1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PCID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6CD6320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Provisioning Certificate Identifier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30608277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OEM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1D65CEE0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3B8AB93F" w14:textId="77777777">
            <w:pPr>
              <w:rPr>
                <w:rFonts w:cstheme="minorHAnsi"/>
                <w:lang w:val="en-DE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53F18B91" w14:textId="77777777">
            <w:pPr>
              <w:rPr>
                <w:rFonts w:cstheme="minorHAnsi"/>
                <w:lang w:val="en-D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74840B45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Payment Token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08B14EDB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 Value generated by the tokenizing party, it is used </w:t>
            </w:r>
            <w:proofErr w:type="gramStart"/>
            <w:r w:rsidRPr="00E066C2">
              <w:rPr>
                <w:rFonts w:cstheme="minorHAnsi"/>
              </w:rPr>
              <w:t xml:space="preserve">to  </w:t>
            </w:r>
            <w:proofErr w:type="spellStart"/>
            <w:r w:rsidRPr="00E066C2">
              <w:rPr>
                <w:rFonts w:cstheme="minorHAnsi"/>
              </w:rPr>
              <w:t>to</w:t>
            </w:r>
            <w:proofErr w:type="spellEnd"/>
            <w:proofErr w:type="gramEnd"/>
            <w:r w:rsidRPr="00E066C2">
              <w:rPr>
                <w:rFonts w:cstheme="minorHAnsi"/>
              </w:rPr>
              <w:t xml:space="preserve"> reference on to the </w:t>
            </w:r>
            <w:proofErr w:type="spellStart"/>
            <w:r w:rsidRPr="00E066C2">
              <w:rPr>
                <w:rFonts w:cstheme="minorHAnsi"/>
              </w:rPr>
              <w:t>networktoken</w:t>
            </w:r>
            <w:proofErr w:type="spellEnd"/>
            <w:r w:rsidRPr="00E066C2">
              <w:rPr>
                <w:rFonts w:cstheme="minorHAnsi"/>
              </w:rPr>
              <w:t xml:space="preserve"> which are stored in </w:t>
            </w:r>
            <w:r w:rsidRPr="00E066C2">
              <w:rPr>
                <w:rFonts w:cstheme="minorHAnsi"/>
              </w:rPr>
              <w:lastRenderedPageBreak/>
              <w:t xml:space="preserve">PCI </w:t>
            </w:r>
            <w:proofErr w:type="spellStart"/>
            <w:r w:rsidRPr="00E066C2">
              <w:rPr>
                <w:rFonts w:cstheme="minorHAnsi"/>
              </w:rPr>
              <w:t>complient</w:t>
            </w:r>
            <w:proofErr w:type="spellEnd"/>
            <w:r w:rsidRPr="00E066C2">
              <w:rPr>
                <w:rFonts w:cstheme="minorHAnsi"/>
              </w:rPr>
              <w:t xml:space="preserve"> Payment Token Provider Systems 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152AD38B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lastRenderedPageBreak/>
              <w:t>OEM (transfer - Controller)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70246E0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PSP (origin – 3</w:t>
            </w:r>
            <w:r w:rsidRPr="00E066C2">
              <w:rPr>
                <w:rFonts w:cstheme="minorHAnsi"/>
                <w:vertAlign w:val="superscript"/>
              </w:rPr>
              <w:t>rd</w:t>
            </w:r>
            <w:r w:rsidRPr="00E066C2">
              <w:rPr>
                <w:rFonts w:cstheme="minorHAnsi"/>
              </w:rPr>
              <w:t xml:space="preserve"> Party Service Provider)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656CC7C8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65BE367F" w14:textId="77777777">
            <w:pPr>
              <w:jc w:val="both"/>
              <w:rPr>
                <w:rFonts w:cstheme="minorHAnsi"/>
                <w:lang w:val="en-DE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4D3D9F25" w14:textId="77777777">
            <w:pPr>
              <w:jc w:val="both"/>
              <w:rPr>
                <w:rFonts w:cstheme="minorHAnsi"/>
                <w:lang w:val="en-D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500F35B1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Credit Card End User Data / 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728BACAD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Name of end user (B2C)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736C5FD5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CPO (origin/transfer)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1FA5594E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OEM (origin/transfer)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55FC09B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PSP (origin)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65AFB0C9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19393CD1" w14:textId="77777777">
            <w:pPr>
              <w:jc w:val="both"/>
              <w:rPr>
                <w:rFonts w:cstheme="minorHAnsi"/>
                <w:lang w:val="en-DE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066C2" w:rsidR="00E066C2" w:rsidP="00E066C2" w:rsidRDefault="00E066C2" w14:paraId="43DEECC0" w14:textId="77777777">
            <w:pPr>
              <w:jc w:val="both"/>
              <w:rPr>
                <w:rFonts w:cstheme="minorHAnsi"/>
                <w:lang w:val="en-D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5A2D5EE2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Credit Card End User Address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199DFBD7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Address of end user (B2C)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5CD3249F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CPO 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2B30C679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(origin/transfer)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093ADA37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OEM (origin/transfer)</w:t>
            </w:r>
            <w:r w:rsidRPr="00E066C2">
              <w:rPr>
                <w:rFonts w:cstheme="minorHAnsi"/>
                <w:lang w:val="en-DE"/>
              </w:rPr>
              <w:t> </w:t>
            </w:r>
          </w:p>
          <w:p w:rsidRPr="00E066C2" w:rsidR="00E066C2" w:rsidP="00E066C2" w:rsidRDefault="00E066C2" w14:paraId="31D223AF" w14:textId="77777777">
            <w:pPr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PSP (origin)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</w:tbl>
    <w:p w:rsidRPr="00E066C2" w:rsidR="00E066C2" w:rsidP="00E066C2" w:rsidRDefault="00E066C2" w14:paraId="201E0269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3A4F457F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b/>
          <w:bCs/>
        </w:rPr>
        <w:t xml:space="preserve">Technical and </w:t>
      </w:r>
      <w:proofErr w:type="spellStart"/>
      <w:r w:rsidRPr="00E066C2">
        <w:rPr>
          <w:rFonts w:cstheme="minorHAnsi"/>
          <w:b/>
          <w:bCs/>
        </w:rPr>
        <w:t>Organisational</w:t>
      </w:r>
      <w:proofErr w:type="spellEnd"/>
      <w:r w:rsidRPr="00E066C2">
        <w:rPr>
          <w:rFonts w:cstheme="minorHAnsi"/>
          <w:b/>
          <w:bCs/>
        </w:rPr>
        <w:t xml:space="preserve"> Measures (TOMs)</w:t>
      </w: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0E29DA54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</w:rPr>
        <w:t xml:space="preserve">All technical and </w:t>
      </w:r>
      <w:proofErr w:type="spellStart"/>
      <w:r w:rsidRPr="00E066C2">
        <w:rPr>
          <w:rFonts w:cstheme="minorHAnsi"/>
        </w:rPr>
        <w:t>organisational</w:t>
      </w:r>
      <w:proofErr w:type="spellEnd"/>
      <w:r w:rsidRPr="00E066C2">
        <w:rPr>
          <w:rFonts w:cstheme="minorHAnsi"/>
        </w:rPr>
        <w:t xml:space="preserve"> measures described in Annex II to the DPA apply to these Services.</w:t>
      </w: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76A97D0A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</w:rPr>
        <w:t>Additional or service-specific measures include:</w:t>
      </w:r>
      <w:r w:rsidRPr="00E066C2">
        <w:rPr>
          <w:rFonts w:cstheme="minorHAnsi"/>
          <w:lang w:val="en-D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930"/>
      </w:tblGrid>
      <w:tr w:rsidRPr="00E066C2" w:rsidR="00E066C2" w14:paraId="58E17A66" w14:textId="77777777">
        <w:trPr>
          <w:trHeight w:val="300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E066C2" w:rsidR="00E066C2" w:rsidP="00E066C2" w:rsidRDefault="00E066C2" w14:paraId="5F2ECF22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</w:rPr>
              <w:t>Additional Measure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E066C2" w:rsidR="00E066C2" w:rsidP="00E066C2" w:rsidRDefault="00E066C2" w14:paraId="21CD37C6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  <w:b/>
                <w:bCs/>
              </w:rPr>
              <w:t>Description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05370637" w14:textId="77777777">
        <w:trPr>
          <w:trHeight w:val="300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5D21823B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Data </w:t>
            </w:r>
            <w:proofErr w:type="spellStart"/>
            <w:r w:rsidRPr="00E066C2">
              <w:rPr>
                <w:rFonts w:cstheme="minorHAnsi"/>
              </w:rPr>
              <w:t>minimisation</w:t>
            </w:r>
            <w:proofErr w:type="spellEnd"/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698DEFD7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Only </w:t>
            </w:r>
            <w:proofErr w:type="spellStart"/>
            <w:r w:rsidRPr="00E066C2">
              <w:rPr>
                <w:rFonts w:cstheme="minorHAnsi"/>
              </w:rPr>
              <w:t>pseudonymised</w:t>
            </w:r>
            <w:proofErr w:type="spellEnd"/>
            <w:r w:rsidRPr="00E066C2">
              <w:rPr>
                <w:rFonts w:cstheme="minorHAnsi"/>
              </w:rPr>
              <w:t xml:space="preserve"> identifiers and session metadata (e.g., time and location) are processed when technically possible.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16EDDE5C" w14:textId="77777777">
        <w:trPr>
          <w:trHeight w:val="300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AF6302B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Encryption and </w:t>
            </w:r>
            <w:proofErr w:type="spellStart"/>
            <w:r w:rsidRPr="00E066C2">
              <w:rPr>
                <w:rFonts w:cstheme="minorHAnsi"/>
              </w:rPr>
              <w:t>pseudonymisation</w:t>
            </w:r>
            <w:proofErr w:type="spellEnd"/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41A2A056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All identifiers and geolocation data are encrypted in transit and at rest; </w:t>
            </w:r>
            <w:proofErr w:type="spellStart"/>
            <w:r w:rsidRPr="00E066C2">
              <w:rPr>
                <w:rFonts w:cstheme="minorHAnsi"/>
              </w:rPr>
              <w:t>pseudonymised</w:t>
            </w:r>
            <w:proofErr w:type="spellEnd"/>
            <w:r w:rsidRPr="00E066C2">
              <w:rPr>
                <w:rFonts w:cstheme="minorHAnsi"/>
              </w:rPr>
              <w:t xml:space="preserve"> session IDs used to avoid direct user attribution.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09EB4876" w14:textId="77777777">
        <w:trPr>
          <w:trHeight w:val="300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3E781E1A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Role-based access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127AB81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Access to data under this Addendum is restricted to </w:t>
            </w:r>
            <w:proofErr w:type="spellStart"/>
            <w:r w:rsidRPr="00E066C2">
              <w:rPr>
                <w:rFonts w:cstheme="minorHAnsi"/>
              </w:rPr>
              <w:t>authorised</w:t>
            </w:r>
            <w:proofErr w:type="spellEnd"/>
            <w:r w:rsidRPr="00E066C2">
              <w:rPr>
                <w:rFonts w:cstheme="minorHAnsi"/>
              </w:rPr>
              <w:t xml:space="preserve"> technical personnel involved in service provision and support.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  <w:tr w:rsidRPr="00E066C2" w:rsidR="00E066C2" w14:paraId="70F871EB" w14:textId="77777777">
        <w:trPr>
          <w:trHeight w:val="300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2478D1E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>Continuous monitoring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DFD7EDB" w14:textId="77777777">
            <w:pPr>
              <w:jc w:val="both"/>
              <w:rPr>
                <w:rFonts w:cstheme="minorHAnsi"/>
                <w:lang w:val="en-DE"/>
              </w:rPr>
            </w:pPr>
            <w:r w:rsidRPr="00E066C2">
              <w:rPr>
                <w:rFonts w:cstheme="minorHAnsi"/>
              </w:rPr>
              <w:t xml:space="preserve">Services are monitored via </w:t>
            </w:r>
            <w:proofErr w:type="spellStart"/>
            <w:r w:rsidRPr="00E066C2">
              <w:rPr>
                <w:rFonts w:cstheme="minorHAnsi"/>
              </w:rPr>
              <w:t>Hubject’s</w:t>
            </w:r>
            <w:proofErr w:type="spellEnd"/>
            <w:r w:rsidRPr="00E066C2">
              <w:rPr>
                <w:rFonts w:cstheme="minorHAnsi"/>
              </w:rPr>
              <w:t xml:space="preserve"> ISO 27001-certified infrastructure; regular security audits ensure compliance.</w:t>
            </w:r>
            <w:r w:rsidRPr="00E066C2">
              <w:rPr>
                <w:rFonts w:cstheme="minorHAnsi"/>
                <w:lang w:val="en-DE"/>
              </w:rPr>
              <w:t> </w:t>
            </w:r>
          </w:p>
        </w:tc>
      </w:tr>
    </w:tbl>
    <w:p w:rsidRPr="00E066C2" w:rsidR="00E066C2" w:rsidP="00E066C2" w:rsidRDefault="00E066C2" w14:paraId="063746D3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11A4C946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b/>
          <w:bCs/>
        </w:rPr>
        <w:t>Sub-Processors</w:t>
      </w: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79CA33E1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</w:rPr>
        <w:t>The following sub-processors may support these additional Services, in addition to those listed in Annex III of the DPA:</w:t>
      </w: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5D353A72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5E0FFD0E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266BF387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Pr="00E066C2" w:rsidR="00E066C2" w:rsidP="00E066C2" w:rsidRDefault="00E066C2" w14:paraId="166A5C09" w14:textId="77777777">
      <w:pPr>
        <w:jc w:val="both"/>
        <w:rPr>
          <w:rFonts w:cstheme="minorHAnsi"/>
          <w:lang w:val="en-DE"/>
        </w:rPr>
      </w:pPr>
      <w:r w:rsidRPr="00E066C2">
        <w:rPr>
          <w:rFonts w:cstheme="minorHAnsi"/>
          <w:lang w:val="en-DE"/>
        </w:rPr>
        <w:t> </w:t>
      </w:r>
    </w:p>
    <w:p w:rsidR="00E066C2" w:rsidP="00CC5DC9" w:rsidRDefault="00E066C2" w14:paraId="72326B96" w14:textId="77777777">
      <w:pPr>
        <w:rPr>
          <w:b/>
          <w:bCs/>
        </w:rPr>
        <w:sectPr w:rsidR="00E066C2">
          <w:headerReference w:type="default" r:id="rId11"/>
          <w:pgSz w:w="11906" w:h="16838" w:orient="portrait"/>
          <w:pgMar w:top="1417" w:right="1417" w:bottom="1134" w:left="1417" w:header="708" w:footer="708" w:gutter="0"/>
          <w:cols w:space="708"/>
          <w:docGrid w:linePitch="360"/>
        </w:sectPr>
      </w:pPr>
    </w:p>
    <w:p w:rsidRPr="00E066C2" w:rsidR="00E066C2" w:rsidP="00E066C2" w:rsidRDefault="00E066C2" w14:paraId="1B037BDD" w14:textId="77777777">
      <w:pPr>
        <w:rPr>
          <w:b/>
          <w:bCs/>
          <w:lang w:val="en-DE"/>
        </w:rPr>
      </w:pPr>
      <w:r w:rsidRPr="00E066C2">
        <w:rPr>
          <w:b/>
          <w:bCs/>
          <w:lang w:val="en-DE"/>
        </w:rPr>
        <w:lastRenderedPageBreak/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590"/>
        <w:gridCol w:w="2055"/>
        <w:gridCol w:w="1290"/>
        <w:gridCol w:w="3330"/>
        <w:gridCol w:w="3195"/>
        <w:gridCol w:w="2295"/>
      </w:tblGrid>
      <w:tr w:rsidRPr="00E066C2" w:rsidR="00E066C2" w14:paraId="79B761CA" w14:textId="77777777">
        <w:trPr>
          <w:trHeight w:val="1140"/>
        </w:trPr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6FB392E4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57172B37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</w:rPr>
              <w:t>Name, address of the subcontractor</w:t>
            </w: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EE1B685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</w:rPr>
              <w:t>Purpose and content of the order (scope of the order by the Contractor)</w:t>
            </w: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2423E87B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</w:rPr>
              <w:t>Place of data processing</w:t>
            </w: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E066C2" w:rsidR="00E066C2" w:rsidP="00E066C2" w:rsidRDefault="00E066C2" w14:paraId="109A7A32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</w:rPr>
              <w:t>Transmission/access to personal data of the Client (type of data and group of data subjects)</w:t>
            </w: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31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E066C2" w:rsidR="00E066C2" w:rsidP="00E066C2" w:rsidRDefault="00E066C2" w14:paraId="114E9CE5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</w:rPr>
              <w:t>Nature of processing activities</w:t>
            </w: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E066C2" w:rsidR="00E066C2" w:rsidP="00E066C2" w:rsidRDefault="00E066C2" w14:paraId="0FE5B0AC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</w:rPr>
              <w:t>Duration</w:t>
            </w:r>
            <w:r w:rsidRPr="00E066C2">
              <w:rPr>
                <w:b/>
                <w:bCs/>
                <w:lang w:val="en-DE"/>
              </w:rPr>
              <w:t> </w:t>
            </w:r>
          </w:p>
        </w:tc>
      </w:tr>
      <w:tr w:rsidRPr="00E066C2" w:rsidR="00E066C2" w14:paraId="7E0AAE4A" w14:textId="77777777">
        <w:trPr>
          <w:trHeight w:val="735"/>
        </w:trPr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0B2F8224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de-DE"/>
              </w:rPr>
              <w:t>1</w:t>
            </w: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38A04704" w14:textId="77777777">
            <w:pPr>
              <w:rPr>
                <w:lang w:val="en-DE"/>
              </w:rPr>
            </w:pPr>
            <w:r w:rsidRPr="00E066C2">
              <w:t>Amazon Web Services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77D1372C" w14:textId="77777777">
            <w:pPr>
              <w:rPr>
                <w:lang w:val="en-DE"/>
              </w:rPr>
            </w:pPr>
            <w:r w:rsidRPr="00E066C2">
              <w:t xml:space="preserve">EMEA SARL  </w:t>
            </w:r>
            <w:r w:rsidRPr="00E066C2">
              <w:rPr>
                <w:lang w:val="en-DE"/>
              </w:rPr>
              <w:t> </w:t>
            </w:r>
            <w:r w:rsidRPr="00E066C2">
              <w:rPr>
                <w:lang w:val="en-DE"/>
              </w:rPr>
              <w:br/>
            </w:r>
            <w:r w:rsidRPr="00E066C2">
              <w:t>38 Avenue John F. Kennedy  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303E8135" w14:textId="77777777">
            <w:pPr>
              <w:rPr>
                <w:lang w:val="en-DE"/>
              </w:rPr>
            </w:pPr>
            <w:r w:rsidRPr="00E066C2">
              <w:t>L-1855 Luxembourg </w:t>
            </w:r>
            <w:r w:rsidRPr="00E066C2">
              <w:rPr>
                <w:lang w:val="en-DE"/>
              </w:rPr>
              <w:t> 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68EF8938" w14:textId="77777777">
            <w:pPr>
              <w:rPr>
                <w:lang w:val="en-DE"/>
              </w:rPr>
            </w:pPr>
            <w:r w:rsidRPr="00E066C2">
              <w:t xml:space="preserve">Hosting of the </w:t>
            </w:r>
            <w:proofErr w:type="spellStart"/>
            <w:r w:rsidRPr="00E066C2">
              <w:t>eRoaming</w:t>
            </w:r>
            <w:proofErr w:type="spellEnd"/>
            <w:r w:rsidRPr="00E066C2">
              <w:t xml:space="preserve"> platform (incl. all components) and the </w:t>
            </w:r>
            <w:proofErr w:type="spellStart"/>
            <w:r w:rsidRPr="00E066C2">
              <w:t>Plug&amp;Charge</w:t>
            </w:r>
            <w:proofErr w:type="spellEnd"/>
            <w:r w:rsidRPr="00E066C2">
              <w:t xml:space="preserve"> ecosystem</w:t>
            </w:r>
            <w:r w:rsidRPr="00E066C2">
              <w:rPr>
                <w:lang w:val="en-DE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66C2" w:rsidR="00E066C2" w:rsidP="00E066C2" w:rsidRDefault="00E066C2" w14:paraId="487027AC" w14:textId="77777777">
            <w:pPr>
              <w:rPr>
                <w:lang w:val="en-DE"/>
              </w:rPr>
            </w:pPr>
            <w:r w:rsidRPr="00E066C2">
              <w:t>Productive: 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11AED4C4" w14:textId="77777777">
            <w:pPr>
              <w:rPr>
                <w:lang w:val="en-DE"/>
              </w:rPr>
            </w:pPr>
            <w:r w:rsidRPr="00E066C2">
              <w:t>Frankfurt, Germany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7B253087" w14:textId="77777777">
            <w:pPr>
              <w:rPr>
                <w:lang w:val="en-DE"/>
              </w:rPr>
            </w:pP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5CC39644" w14:textId="77777777">
            <w:pPr>
              <w:rPr>
                <w:lang w:val="en-DE"/>
              </w:rPr>
            </w:pPr>
            <w:r w:rsidRPr="00E066C2">
              <w:t>Backup: 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566885D8" w14:textId="77777777">
            <w:pPr>
              <w:rPr>
                <w:lang w:val="en-DE"/>
              </w:rPr>
            </w:pPr>
            <w:r w:rsidRPr="00E066C2">
              <w:t>Dublin, Ireland </w:t>
            </w:r>
            <w:r w:rsidRPr="00E066C2">
              <w:rPr>
                <w:lang w:val="en-DE"/>
              </w:rPr>
              <w:t> 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E066C2" w:rsidR="00E066C2" w:rsidP="00E066C2" w:rsidRDefault="00E066C2" w14:paraId="02E392D4" w14:textId="77777777">
            <w:pPr>
              <w:rPr>
                <w:lang w:val="en-DE"/>
              </w:rPr>
            </w:pPr>
            <w:r w:rsidRPr="00E066C2">
              <w:rPr>
                <w:lang w:val="de-DE"/>
              </w:rPr>
              <w:t>Additional Data processed/stored: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6F847CF2" w14:textId="77777777">
            <w:pPr>
              <w:numPr>
                <w:ilvl w:val="0"/>
                <w:numId w:val="51"/>
              </w:numPr>
              <w:rPr>
                <w:lang w:val="en-DE"/>
              </w:rPr>
            </w:pPr>
            <w:r w:rsidRPr="00E066C2">
              <w:t>PCID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48BA3704" w14:textId="77777777">
            <w:pPr>
              <w:numPr>
                <w:ilvl w:val="0"/>
                <w:numId w:val="52"/>
              </w:numPr>
              <w:rPr>
                <w:lang w:val="en-DE"/>
              </w:rPr>
            </w:pPr>
            <w:r w:rsidRPr="00E066C2">
              <w:t>Payment Token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2ADD82F9" w14:textId="77777777">
            <w:pPr>
              <w:numPr>
                <w:ilvl w:val="0"/>
                <w:numId w:val="53"/>
              </w:numPr>
              <w:rPr>
                <w:lang w:val="en-DE"/>
              </w:rPr>
            </w:pPr>
            <w:r w:rsidRPr="00E066C2">
              <w:t xml:space="preserve">Credit Card End User Data / CPO End </w:t>
            </w:r>
            <w:proofErr w:type="gramStart"/>
            <w:r w:rsidRPr="00E066C2">
              <w:t>User Name</w:t>
            </w:r>
            <w:proofErr w:type="gramEnd"/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0EF6613A" w14:textId="77777777">
            <w:pPr>
              <w:numPr>
                <w:ilvl w:val="0"/>
                <w:numId w:val="54"/>
              </w:numPr>
              <w:rPr>
                <w:lang w:val="en-DE"/>
              </w:rPr>
            </w:pPr>
            <w:r w:rsidRPr="00E066C2">
              <w:t>Credit Card End User Data / CPO End User Address</w:t>
            </w:r>
            <w:r w:rsidRPr="00E066C2">
              <w:rPr>
                <w:lang w:val="en-DE"/>
              </w:rPr>
              <w:t> 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E066C2" w:rsidR="00E066C2" w:rsidP="00E066C2" w:rsidRDefault="00E066C2" w14:paraId="1CFCAE96" w14:textId="77777777">
            <w:pPr>
              <w:rPr>
                <w:lang w:val="en-DE"/>
              </w:rPr>
            </w:pPr>
            <w:r w:rsidRPr="00E066C2">
              <w:t>Types of Processing Activities: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24C27308" w14:textId="77777777">
            <w:pPr>
              <w:numPr>
                <w:ilvl w:val="0"/>
                <w:numId w:val="55"/>
              </w:numPr>
              <w:rPr>
                <w:lang w:val="en-DE"/>
              </w:rPr>
            </w:pPr>
            <w:r w:rsidRPr="00E066C2">
              <w:t>Collection: Gathering personal data from individuals.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52C3B8C5" w14:textId="77777777">
            <w:pPr>
              <w:numPr>
                <w:ilvl w:val="0"/>
                <w:numId w:val="56"/>
              </w:numPr>
              <w:rPr>
                <w:lang w:val="en-DE"/>
              </w:rPr>
            </w:pPr>
            <w:r w:rsidRPr="00E066C2">
              <w:t>Storage: Saving or retaining the data in a database or system.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3994469E" w14:textId="77777777">
            <w:pPr>
              <w:numPr>
                <w:ilvl w:val="0"/>
                <w:numId w:val="57"/>
              </w:numPr>
              <w:rPr>
                <w:lang w:val="en-DE"/>
              </w:rPr>
            </w:pPr>
            <w:r w:rsidRPr="00E066C2">
              <w:t>Erasure/Destruction: Deleting or securely disposing of the data on Partner request, in line with regulatory and legal requirements.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0865E834" w14:textId="77777777">
            <w:pPr>
              <w:rPr>
                <w:lang w:val="en-DE"/>
              </w:rPr>
            </w:pPr>
            <w:r w:rsidRPr="00E066C2">
              <w:t>Automated or Manual Processing: 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4889CD56" w14:textId="77777777">
            <w:pPr>
              <w:numPr>
                <w:ilvl w:val="0"/>
                <w:numId w:val="58"/>
              </w:numPr>
              <w:rPr>
                <w:lang w:val="en-DE"/>
              </w:rPr>
            </w:pPr>
            <w:r w:rsidRPr="00E066C2">
              <w:t>Automated</w:t>
            </w:r>
            <w:r w:rsidRPr="00E066C2">
              <w:rPr>
                <w:lang w:val="en-DE"/>
              </w:rPr>
              <w:t> </w:t>
            </w:r>
          </w:p>
          <w:p w:rsidRPr="00E066C2" w:rsidR="00E066C2" w:rsidP="00E066C2" w:rsidRDefault="00E066C2" w14:paraId="699729CA" w14:textId="77777777">
            <w:pPr>
              <w:numPr>
                <w:ilvl w:val="0"/>
                <w:numId w:val="59"/>
              </w:numPr>
              <w:rPr>
                <w:lang w:val="en-DE"/>
              </w:rPr>
            </w:pPr>
            <w:r w:rsidRPr="00E066C2">
              <w:t>Manual</w:t>
            </w:r>
            <w:r w:rsidRPr="00E066C2">
              <w:rPr>
                <w:lang w:val="en-DE"/>
              </w:rPr>
              <w:t> 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E066C2" w:rsidR="00E066C2" w:rsidP="00E066C2" w:rsidRDefault="00E066C2" w14:paraId="672B2A82" w14:textId="77777777">
            <w:pPr>
              <w:rPr>
                <w:lang w:val="en-DE"/>
              </w:rPr>
            </w:pPr>
            <w:r w:rsidRPr="00E066C2">
              <w:t xml:space="preserve">For the contract duration, deletion on </w:t>
            </w:r>
            <w:proofErr w:type="spellStart"/>
            <w:r w:rsidRPr="00E066C2">
              <w:t>Hubject</w:t>
            </w:r>
            <w:proofErr w:type="spellEnd"/>
            <w:r w:rsidRPr="00E066C2">
              <w:t xml:space="preserve"> request</w:t>
            </w:r>
            <w:r w:rsidRPr="00E066C2">
              <w:rPr>
                <w:lang w:val="en-DE"/>
              </w:rPr>
              <w:t> </w:t>
            </w:r>
          </w:p>
        </w:tc>
      </w:tr>
    </w:tbl>
    <w:p w:rsidR="00E066C2" w:rsidP="00CC5DC9" w:rsidRDefault="00E066C2" w14:paraId="67E083B2" w14:textId="6615503C">
      <w:pPr>
        <w:rPr>
          <w:b/>
          <w:bCs/>
        </w:rPr>
      </w:pPr>
    </w:p>
    <w:p w:rsidR="00E066C2" w:rsidP="2428C3FC" w:rsidRDefault="00E066C2" w14:paraId="2C7565A1" w14:textId="306739EB">
      <w:pPr>
        <w:pStyle w:val="Normal"/>
        <w:rPr>
          <w:b w:val="1"/>
          <w:bCs w:val="1"/>
        </w:rPr>
        <w:sectPr w:rsidR="00E066C2" w:rsidSect="00E066C2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Pr="00E066C2" w:rsidR="00E066C2" w:rsidP="00E066C2" w:rsidRDefault="00E066C2" w14:paraId="70987D57" w14:textId="77777777">
      <w:pPr>
        <w:rPr>
          <w:b/>
          <w:bCs/>
          <w:lang w:val="en-DE"/>
        </w:rPr>
      </w:pPr>
      <w:r w:rsidRPr="00E066C2">
        <w:rPr>
          <w:b/>
          <w:bCs/>
        </w:rPr>
        <w:lastRenderedPageBreak/>
        <w:t>Relationship to the Standard DPA</w:t>
      </w:r>
      <w:r w:rsidRPr="00E066C2">
        <w:rPr>
          <w:b/>
          <w:bCs/>
          <w:lang w:val="en-DE"/>
        </w:rPr>
        <w:t> </w:t>
      </w:r>
    </w:p>
    <w:p w:rsidRPr="00E066C2" w:rsidR="00E066C2" w:rsidP="00E066C2" w:rsidRDefault="00E066C2" w14:paraId="250D768E" w14:textId="77777777">
      <w:pPr>
        <w:rPr>
          <w:lang w:val="en-DE"/>
        </w:rPr>
      </w:pPr>
      <w:r w:rsidRPr="00E066C2">
        <w:t>This Addendum:</w:t>
      </w:r>
      <w:r w:rsidRPr="00E066C2">
        <w:rPr>
          <w:lang w:val="en-DE"/>
        </w:rPr>
        <w:t> </w:t>
      </w:r>
    </w:p>
    <w:p w:rsidRPr="00E066C2" w:rsidR="00E066C2" w:rsidP="00E066C2" w:rsidRDefault="00E066C2" w14:paraId="1089FA7C" w14:textId="77777777">
      <w:pPr>
        <w:numPr>
          <w:ilvl w:val="0"/>
          <w:numId w:val="60"/>
        </w:numPr>
        <w:rPr>
          <w:lang w:val="en-DE"/>
        </w:rPr>
      </w:pPr>
      <w:r w:rsidRPr="00E066C2">
        <w:t xml:space="preserve">Forms an Addition to the SCC-based DPA and must be read together with </w:t>
      </w:r>
      <w:proofErr w:type="gramStart"/>
      <w:r w:rsidRPr="00E066C2">
        <w:t>it;</w:t>
      </w:r>
      <w:proofErr w:type="gramEnd"/>
      <w:r w:rsidRPr="00E066C2">
        <w:rPr>
          <w:lang w:val="en-DE"/>
        </w:rPr>
        <w:t> </w:t>
      </w:r>
    </w:p>
    <w:p w:rsidRPr="00E066C2" w:rsidR="00E066C2" w:rsidP="00E066C2" w:rsidRDefault="00E066C2" w14:paraId="185B12CF" w14:textId="77777777">
      <w:pPr>
        <w:numPr>
          <w:ilvl w:val="0"/>
          <w:numId w:val="61"/>
        </w:numPr>
        <w:rPr>
          <w:lang w:val="en-DE"/>
        </w:rPr>
      </w:pPr>
      <w:r w:rsidRPr="00E066C2">
        <w:t xml:space="preserve">Does not modify or replace the SCCs or other clauses of the </w:t>
      </w:r>
      <w:proofErr w:type="gramStart"/>
      <w:r w:rsidRPr="00E066C2">
        <w:t>DPA;</w:t>
      </w:r>
      <w:proofErr w:type="gramEnd"/>
      <w:r w:rsidRPr="00E066C2">
        <w:rPr>
          <w:lang w:val="en-DE"/>
        </w:rPr>
        <w:t> </w:t>
      </w:r>
    </w:p>
    <w:p w:rsidRPr="00E066C2" w:rsidR="00E066C2" w:rsidP="00E066C2" w:rsidRDefault="00E066C2" w14:paraId="78ED45AB" w14:textId="77777777">
      <w:pPr>
        <w:numPr>
          <w:ilvl w:val="0"/>
          <w:numId w:val="62"/>
        </w:numPr>
        <w:rPr>
          <w:lang w:val="en-DE"/>
        </w:rPr>
      </w:pPr>
      <w:r w:rsidRPr="00E066C2">
        <w:t>Clarifies that only Services explicitly agreed in the individual contract between the Parties are applicable.</w:t>
      </w:r>
      <w:r w:rsidRPr="00E066C2">
        <w:rPr>
          <w:lang w:val="en-DE"/>
        </w:rPr>
        <w:t> </w:t>
      </w:r>
    </w:p>
    <w:p w:rsidRPr="00E066C2" w:rsidR="00E066C2" w:rsidP="00E066C2" w:rsidRDefault="00E066C2" w14:paraId="4196B359" w14:textId="77777777">
      <w:pPr>
        <w:rPr>
          <w:lang w:val="en-DE"/>
        </w:rPr>
      </w:pPr>
      <w:r w:rsidRPr="00E066C2">
        <w:t>In case of conflict, the provisions of the SCCs prevail.</w:t>
      </w:r>
      <w:r w:rsidRPr="00E066C2">
        <w:rPr>
          <w:lang w:val="en-DE"/>
        </w:rPr>
        <w:t> </w:t>
      </w:r>
    </w:p>
    <w:p w:rsidRPr="00E066C2" w:rsidR="00E066C2" w:rsidP="00E066C2" w:rsidRDefault="00E066C2" w14:paraId="4D6B2B7B" w14:textId="77777777">
      <w:pPr>
        <w:rPr>
          <w:b/>
          <w:bCs/>
          <w:lang w:val="en-DE"/>
        </w:rPr>
      </w:pPr>
      <w:r w:rsidRPr="00E066C2">
        <w:rPr>
          <w:b/>
          <w:bCs/>
        </w:rPr>
        <w:t>Signatures</w:t>
      </w:r>
      <w:r w:rsidRPr="00E066C2">
        <w:rPr>
          <w:b/>
          <w:bCs/>
          <w:lang w:val="en-D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E066C2" w:rsidR="00E066C2" w14:paraId="562DCAFF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75"/>
            </w:tblGrid>
            <w:tr w:rsidRPr="00E066C2" w:rsidR="00E066C2" w14:paraId="2322CFD4" w14:textId="77777777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236FF8D5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For the Data Exporter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19A9D37B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098BD00F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3585"/>
            </w:tblGrid>
            <w:tr w:rsidRPr="00E066C2" w:rsidR="00E066C2" w14:paraId="2E34E803" w14:textId="77777777">
              <w:trPr>
                <w:trHeight w:val="300"/>
              </w:trPr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53B99355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3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11561373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</w:rPr>
                    <w:t>For the Data Importer (</w:t>
                  </w:r>
                  <w:proofErr w:type="spellStart"/>
                  <w:r w:rsidRPr="00E066C2">
                    <w:rPr>
                      <w:b/>
                      <w:bCs/>
                    </w:rPr>
                    <w:t>Hubject</w:t>
                  </w:r>
                  <w:proofErr w:type="spellEnd"/>
                  <w:r w:rsidRPr="00E066C2">
                    <w:rPr>
                      <w:b/>
                      <w:bCs/>
                    </w:rPr>
                    <w:t xml:space="preserve"> GmbH)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3EB58EA3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</w:tr>
      <w:tr w:rsidRPr="00E066C2" w:rsidR="00E066C2" w14:paraId="23F4F5D0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75"/>
            </w:tblGrid>
            <w:tr w:rsidRPr="00E066C2" w:rsidR="00E066C2" w14:paraId="1977FC02" w14:textId="77777777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35D172ED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Name: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3F32C337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2B0BA933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75"/>
            </w:tblGrid>
            <w:tr w:rsidRPr="00E066C2" w:rsidR="00E066C2" w14:paraId="2E28D716" w14:textId="77777777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7966E683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Name: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7BA61963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6FD04506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</w:tr>
      <w:tr w:rsidRPr="00E066C2" w:rsidR="00E066C2" w14:paraId="65417C12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75"/>
            </w:tblGrid>
            <w:tr w:rsidRPr="00E066C2" w:rsidR="00E066C2" w14:paraId="004AE00B" w14:textId="77777777">
              <w:trPr>
                <w:trHeight w:val="30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0786DF25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Title: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5C2B32DB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5381A95D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75"/>
            </w:tblGrid>
            <w:tr w:rsidRPr="00E066C2" w:rsidR="00E066C2" w14:paraId="1867EE8A" w14:textId="77777777">
              <w:trPr>
                <w:trHeight w:val="30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304B2470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Title: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4DC1A1C5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6636F427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</w:tr>
      <w:tr w:rsidRPr="00E066C2" w:rsidR="00E066C2" w14:paraId="37D64529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75"/>
            </w:tblGrid>
            <w:tr w:rsidRPr="00E066C2" w:rsidR="00E066C2" w14:paraId="62BAA0A5" w14:textId="77777777">
              <w:trPr>
                <w:trHeight w:val="300"/>
              </w:trPr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1C419AB4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Date: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1BD8AEE7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2CB1B3C8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75"/>
            </w:tblGrid>
            <w:tr w:rsidRPr="00E066C2" w:rsidR="00E066C2" w14:paraId="17F1FE82" w14:textId="77777777">
              <w:trPr>
                <w:trHeight w:val="300"/>
              </w:trPr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384AD154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Date: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294D5CE8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39BD8CFB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</w:tr>
      <w:tr w:rsidRPr="00E066C2" w:rsidR="00E066C2" w14:paraId="74FBAAA7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75"/>
            </w:tblGrid>
            <w:tr w:rsidRPr="00E066C2" w:rsidR="00E066C2" w14:paraId="32059535" w14:textId="77777777">
              <w:trPr>
                <w:trHeight w:val="300"/>
              </w:trPr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322816C7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Signature: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46FEA4D0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1B39DD56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75"/>
            </w:tblGrid>
            <w:tr w:rsidRPr="00E066C2" w:rsidR="00E066C2" w14:paraId="4CCFE020" w14:textId="77777777">
              <w:trPr>
                <w:trHeight w:val="300"/>
              </w:trPr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15ECDFDF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de-DE"/>
                    </w:rPr>
                    <w:t>Signature:</w:t>
                  </w: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E066C2" w:rsidR="00E066C2" w:rsidP="00E066C2" w:rsidRDefault="00E066C2" w14:paraId="3B552742" w14:textId="77777777">
                  <w:pPr>
                    <w:rPr>
                      <w:b/>
                      <w:bCs/>
                      <w:lang w:val="en-DE"/>
                    </w:rPr>
                  </w:pPr>
                  <w:r w:rsidRPr="00E066C2">
                    <w:rPr>
                      <w:b/>
                      <w:bCs/>
                      <w:lang w:val="en-DE"/>
                    </w:rPr>
                    <w:t> </w:t>
                  </w:r>
                </w:p>
              </w:tc>
            </w:tr>
          </w:tbl>
          <w:p w:rsidRPr="00E066C2" w:rsidR="00E066C2" w:rsidP="00E066C2" w:rsidRDefault="00E066C2" w14:paraId="5DD5FA99" w14:textId="77777777">
            <w:pPr>
              <w:rPr>
                <w:b/>
                <w:bCs/>
                <w:lang w:val="en-DE"/>
              </w:rPr>
            </w:pPr>
            <w:r w:rsidRPr="00E066C2">
              <w:rPr>
                <w:b/>
                <w:bCs/>
                <w:lang w:val="en-DE"/>
              </w:rPr>
              <w:t> </w:t>
            </w:r>
          </w:p>
        </w:tc>
      </w:tr>
    </w:tbl>
    <w:p w:rsidRPr="00CC5DC9" w:rsidR="00E066C2" w:rsidP="00CC5DC9" w:rsidRDefault="00E066C2" w14:paraId="72BBDF60" w14:textId="77777777">
      <w:pPr>
        <w:rPr>
          <w:b/>
          <w:bCs/>
        </w:rPr>
      </w:pPr>
    </w:p>
    <w:sectPr w:rsidRPr="00CC5DC9" w:rsidR="00E066C2" w:rsidSect="00E066C2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8E0" w:rsidP="00E52BCD" w:rsidRDefault="000568E0" w14:paraId="6CC45437" w14:textId="77777777">
      <w:pPr>
        <w:spacing w:after="0" w:line="240" w:lineRule="auto"/>
      </w:pPr>
      <w:r>
        <w:separator/>
      </w:r>
    </w:p>
  </w:endnote>
  <w:endnote w:type="continuationSeparator" w:id="0">
    <w:p w:rsidR="000568E0" w:rsidP="00E52BCD" w:rsidRDefault="000568E0" w14:paraId="1835BB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8E0" w:rsidP="00E52BCD" w:rsidRDefault="000568E0" w14:paraId="283D7ADD" w14:textId="77777777">
      <w:pPr>
        <w:spacing w:after="0" w:line="240" w:lineRule="auto"/>
      </w:pPr>
      <w:r>
        <w:separator/>
      </w:r>
    </w:p>
  </w:footnote>
  <w:footnote w:type="continuationSeparator" w:id="0">
    <w:p w:rsidR="000568E0" w:rsidP="00E52BCD" w:rsidRDefault="000568E0" w14:paraId="4AD24E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52BCD" w:rsidP="00E52BCD" w:rsidRDefault="00E52BCD" w14:paraId="1AB5ACE3" w14:textId="45E29EF8">
    <w:pPr>
      <w:pStyle w:val="Header"/>
      <w:jc w:val="right"/>
    </w:pPr>
    <w:r>
      <w:rPr>
        <w:noProof/>
      </w:rPr>
      <w:drawing>
        <wp:inline distT="0" distB="0" distL="0" distR="0" wp14:anchorId="21F978C5" wp14:editId="7A9AEDE3">
          <wp:extent cx="1571625" cy="498050"/>
          <wp:effectExtent l="0" t="0" r="0" b="0"/>
          <wp:docPr id="427615679" name="Grafik 1" descr="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476" cy="5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BCD" w:rsidRDefault="00E52BCD" w14:paraId="58651A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6BA"/>
    <w:multiLevelType w:val="hybridMultilevel"/>
    <w:tmpl w:val="CA78170A"/>
    <w:lvl w:ilvl="0" w:tplc="0180C3CC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A5430E"/>
    <w:multiLevelType w:val="hybridMultilevel"/>
    <w:tmpl w:val="55041494"/>
    <w:lvl w:ilvl="0" w:tplc="01800A42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174F69"/>
    <w:multiLevelType w:val="multilevel"/>
    <w:tmpl w:val="8C0C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5536DD"/>
    <w:multiLevelType w:val="hybridMultilevel"/>
    <w:tmpl w:val="D4C886BE"/>
    <w:lvl w:ilvl="0" w:tplc="2934351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35D2524"/>
    <w:multiLevelType w:val="hybridMultilevel"/>
    <w:tmpl w:val="FA46D2AA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81375C"/>
    <w:multiLevelType w:val="hybridMultilevel"/>
    <w:tmpl w:val="024C97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D5D40"/>
    <w:multiLevelType w:val="hybridMultilevel"/>
    <w:tmpl w:val="7BD4D8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A11D4"/>
    <w:multiLevelType w:val="hybridMultilevel"/>
    <w:tmpl w:val="024C97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5786F"/>
    <w:multiLevelType w:val="hybridMultilevel"/>
    <w:tmpl w:val="2BA0E74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EA62AA4"/>
    <w:multiLevelType w:val="multilevel"/>
    <w:tmpl w:val="3E54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3457F53"/>
    <w:multiLevelType w:val="hybridMultilevel"/>
    <w:tmpl w:val="E88AB280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D90852"/>
    <w:multiLevelType w:val="multilevel"/>
    <w:tmpl w:val="DCBE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8826DC8"/>
    <w:multiLevelType w:val="multilevel"/>
    <w:tmpl w:val="D8A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8D96642"/>
    <w:multiLevelType w:val="hybridMultilevel"/>
    <w:tmpl w:val="76948E18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AB544C2"/>
    <w:multiLevelType w:val="hybridMultilevel"/>
    <w:tmpl w:val="0A781338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AC952BE"/>
    <w:multiLevelType w:val="hybridMultilevel"/>
    <w:tmpl w:val="5CA21F7A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CAA5A2C"/>
    <w:multiLevelType w:val="multilevel"/>
    <w:tmpl w:val="290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E013F81"/>
    <w:multiLevelType w:val="hybridMultilevel"/>
    <w:tmpl w:val="4DE81852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E3D395E"/>
    <w:multiLevelType w:val="hybridMultilevel"/>
    <w:tmpl w:val="474C9422"/>
    <w:lvl w:ilvl="0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2EA3510"/>
    <w:multiLevelType w:val="hybridMultilevel"/>
    <w:tmpl w:val="A238CA72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952DF4"/>
    <w:multiLevelType w:val="hybridMultilevel"/>
    <w:tmpl w:val="45A0831E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D292871"/>
    <w:multiLevelType w:val="hybridMultilevel"/>
    <w:tmpl w:val="7BD4D8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1FC9"/>
    <w:multiLevelType w:val="hybridMultilevel"/>
    <w:tmpl w:val="BDBEB324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0946B54"/>
    <w:multiLevelType w:val="multilevel"/>
    <w:tmpl w:val="800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6AD5974"/>
    <w:multiLevelType w:val="hybridMultilevel"/>
    <w:tmpl w:val="84D8BF48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6D67C20"/>
    <w:multiLevelType w:val="hybridMultilevel"/>
    <w:tmpl w:val="3D1A9E38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79F1123"/>
    <w:multiLevelType w:val="hybridMultilevel"/>
    <w:tmpl w:val="470AA51E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A4F27D5"/>
    <w:multiLevelType w:val="multilevel"/>
    <w:tmpl w:val="90A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C00165B"/>
    <w:multiLevelType w:val="hybridMultilevel"/>
    <w:tmpl w:val="B9DCD64C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00F3B1D"/>
    <w:multiLevelType w:val="hybridMultilevel"/>
    <w:tmpl w:val="228EE548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1910EE0"/>
    <w:multiLevelType w:val="hybridMultilevel"/>
    <w:tmpl w:val="917254C8"/>
    <w:lvl w:ilvl="0" w:tplc="019287E2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26B40E7"/>
    <w:multiLevelType w:val="hybridMultilevel"/>
    <w:tmpl w:val="658E530A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31F47EA"/>
    <w:multiLevelType w:val="hybridMultilevel"/>
    <w:tmpl w:val="17BE5BE4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DA00FD"/>
    <w:multiLevelType w:val="hybridMultilevel"/>
    <w:tmpl w:val="562428C2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7247FE1"/>
    <w:multiLevelType w:val="hybridMultilevel"/>
    <w:tmpl w:val="ABD0BA5C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8A47149"/>
    <w:multiLevelType w:val="hybridMultilevel"/>
    <w:tmpl w:val="9D14A748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2934351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E74764C"/>
    <w:multiLevelType w:val="hybridMultilevel"/>
    <w:tmpl w:val="F3ACD746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FF818BF"/>
    <w:multiLevelType w:val="multilevel"/>
    <w:tmpl w:val="F51A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50A6380C"/>
    <w:multiLevelType w:val="hybridMultilevel"/>
    <w:tmpl w:val="BBE6DFE2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239264F"/>
    <w:multiLevelType w:val="hybridMultilevel"/>
    <w:tmpl w:val="58BC85B4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32E442E"/>
    <w:multiLevelType w:val="multilevel"/>
    <w:tmpl w:val="DB6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553B06FE"/>
    <w:multiLevelType w:val="hybridMultilevel"/>
    <w:tmpl w:val="FDAE84D6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A23474C"/>
    <w:multiLevelType w:val="multilevel"/>
    <w:tmpl w:val="0088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5AC61DA8"/>
    <w:multiLevelType w:val="multilevel"/>
    <w:tmpl w:val="C5D6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5B4B2890"/>
    <w:multiLevelType w:val="hybridMultilevel"/>
    <w:tmpl w:val="5720D81E"/>
    <w:lvl w:ilvl="0" w:tplc="9CC810F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D530515"/>
    <w:multiLevelType w:val="hybridMultilevel"/>
    <w:tmpl w:val="44722EA2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DF41D11"/>
    <w:multiLevelType w:val="multilevel"/>
    <w:tmpl w:val="B6B0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62D71B37"/>
    <w:multiLevelType w:val="hybridMultilevel"/>
    <w:tmpl w:val="A4AE2EC8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3322E93"/>
    <w:multiLevelType w:val="hybridMultilevel"/>
    <w:tmpl w:val="FB9AC60E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6BD3AC4"/>
    <w:multiLevelType w:val="hybridMultilevel"/>
    <w:tmpl w:val="953ECE6A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7CE0E22"/>
    <w:multiLevelType w:val="hybridMultilevel"/>
    <w:tmpl w:val="8B9C72CE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8026432"/>
    <w:multiLevelType w:val="hybridMultilevel"/>
    <w:tmpl w:val="F94C9DE2"/>
    <w:lvl w:ilvl="0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2" w15:restartNumberingAfterBreak="0">
    <w:nsid w:val="6B1E2224"/>
    <w:multiLevelType w:val="hybridMultilevel"/>
    <w:tmpl w:val="000ACBBE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6CBF27D1"/>
    <w:multiLevelType w:val="hybridMultilevel"/>
    <w:tmpl w:val="BEE61F46"/>
    <w:lvl w:ilvl="0" w:tplc="2E8E5B5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EC0137D"/>
    <w:multiLevelType w:val="hybridMultilevel"/>
    <w:tmpl w:val="9B28C2E6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6F182C3A"/>
    <w:multiLevelType w:val="hybridMultilevel"/>
    <w:tmpl w:val="67EE767A"/>
    <w:lvl w:ilvl="0" w:tplc="14CC33CA">
      <w:start w:val="1"/>
      <w:numFmt w:val="bullet"/>
      <w:lvlText w:val="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39D0F39"/>
    <w:multiLevelType w:val="hybridMultilevel"/>
    <w:tmpl w:val="770A56BA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5D4064F"/>
    <w:multiLevelType w:val="multilevel"/>
    <w:tmpl w:val="4538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79C70E56"/>
    <w:multiLevelType w:val="hybridMultilevel"/>
    <w:tmpl w:val="63E01E04"/>
    <w:lvl w:ilvl="0" w:tplc="2934351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7A735A39"/>
    <w:multiLevelType w:val="multilevel"/>
    <w:tmpl w:val="2332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7C2561E4"/>
    <w:multiLevelType w:val="hybridMultilevel"/>
    <w:tmpl w:val="49FA733A"/>
    <w:lvl w:ilvl="0" w:tplc="14CC33CA">
      <w:start w:val="1"/>
      <w:numFmt w:val="bullet"/>
      <w:lvlText w:val=""/>
      <w:lvlJc w:val="left"/>
      <w:pPr>
        <w:ind w:left="1440" w:hanging="360"/>
      </w:pPr>
      <w:rPr>
        <w:rFonts w:hint="default" w:ascii="Wingdings" w:hAnsi="Wingdings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1" w15:restartNumberingAfterBreak="0">
    <w:nsid w:val="7C66261A"/>
    <w:multiLevelType w:val="multilevel"/>
    <w:tmpl w:val="C48E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33850807">
    <w:abstractNumId w:val="50"/>
  </w:num>
  <w:num w:numId="2" w16cid:durableId="1728065867">
    <w:abstractNumId w:val="1"/>
  </w:num>
  <w:num w:numId="3" w16cid:durableId="2053114882">
    <w:abstractNumId w:val="44"/>
  </w:num>
  <w:num w:numId="4" w16cid:durableId="1947885883">
    <w:abstractNumId w:val="32"/>
  </w:num>
  <w:num w:numId="5" w16cid:durableId="1528329998">
    <w:abstractNumId w:val="56"/>
  </w:num>
  <w:num w:numId="6" w16cid:durableId="1802117061">
    <w:abstractNumId w:val="6"/>
  </w:num>
  <w:num w:numId="7" w16cid:durableId="606162176">
    <w:abstractNumId w:val="5"/>
  </w:num>
  <w:num w:numId="8" w16cid:durableId="1350835315">
    <w:abstractNumId w:val="7"/>
  </w:num>
  <w:num w:numId="9" w16cid:durableId="1137576216">
    <w:abstractNumId w:val="21"/>
  </w:num>
  <w:num w:numId="10" w16cid:durableId="99035544">
    <w:abstractNumId w:val="47"/>
  </w:num>
  <w:num w:numId="11" w16cid:durableId="339506033">
    <w:abstractNumId w:val="41"/>
  </w:num>
  <w:num w:numId="12" w16cid:durableId="580406642">
    <w:abstractNumId w:val="15"/>
  </w:num>
  <w:num w:numId="13" w16cid:durableId="1563717457">
    <w:abstractNumId w:val="25"/>
  </w:num>
  <w:num w:numId="14" w16cid:durableId="166360454">
    <w:abstractNumId w:val="19"/>
  </w:num>
  <w:num w:numId="15" w16cid:durableId="729185086">
    <w:abstractNumId w:val="28"/>
  </w:num>
  <w:num w:numId="16" w16cid:durableId="1325427644">
    <w:abstractNumId w:val="20"/>
  </w:num>
  <w:num w:numId="17" w16cid:durableId="218589890">
    <w:abstractNumId w:val="33"/>
  </w:num>
  <w:num w:numId="18" w16cid:durableId="222713727">
    <w:abstractNumId w:val="26"/>
  </w:num>
  <w:num w:numId="19" w16cid:durableId="168104089">
    <w:abstractNumId w:val="38"/>
  </w:num>
  <w:num w:numId="20" w16cid:durableId="2054571238">
    <w:abstractNumId w:val="24"/>
  </w:num>
  <w:num w:numId="21" w16cid:durableId="656155124">
    <w:abstractNumId w:val="55"/>
  </w:num>
  <w:num w:numId="22" w16cid:durableId="802187424">
    <w:abstractNumId w:val="0"/>
  </w:num>
  <w:num w:numId="23" w16cid:durableId="1455825290">
    <w:abstractNumId w:val="35"/>
  </w:num>
  <w:num w:numId="24" w16cid:durableId="984092809">
    <w:abstractNumId w:val="18"/>
  </w:num>
  <w:num w:numId="25" w16cid:durableId="424880367">
    <w:abstractNumId w:val="51"/>
  </w:num>
  <w:num w:numId="26" w16cid:durableId="1306007719">
    <w:abstractNumId w:val="48"/>
  </w:num>
  <w:num w:numId="27" w16cid:durableId="586888333">
    <w:abstractNumId w:val="52"/>
  </w:num>
  <w:num w:numId="28" w16cid:durableId="1515538539">
    <w:abstractNumId w:val="49"/>
  </w:num>
  <w:num w:numId="29" w16cid:durableId="1293755977">
    <w:abstractNumId w:val="31"/>
  </w:num>
  <w:num w:numId="30" w16cid:durableId="558513650">
    <w:abstractNumId w:val="34"/>
  </w:num>
  <w:num w:numId="31" w16cid:durableId="1452633275">
    <w:abstractNumId w:val="29"/>
  </w:num>
  <w:num w:numId="32" w16cid:durableId="611790577">
    <w:abstractNumId w:val="10"/>
  </w:num>
  <w:num w:numId="33" w16cid:durableId="1696884323">
    <w:abstractNumId w:val="45"/>
  </w:num>
  <w:num w:numId="34" w16cid:durableId="234512113">
    <w:abstractNumId w:val="58"/>
  </w:num>
  <w:num w:numId="35" w16cid:durableId="1326203349">
    <w:abstractNumId w:val="4"/>
  </w:num>
  <w:num w:numId="36" w16cid:durableId="80681929">
    <w:abstractNumId w:val="22"/>
  </w:num>
  <w:num w:numId="37" w16cid:durableId="2083138431">
    <w:abstractNumId w:val="54"/>
  </w:num>
  <w:num w:numId="38" w16cid:durableId="1066609221">
    <w:abstractNumId w:val="36"/>
  </w:num>
  <w:num w:numId="39" w16cid:durableId="1822310432">
    <w:abstractNumId w:val="39"/>
  </w:num>
  <w:num w:numId="40" w16cid:durableId="474106786">
    <w:abstractNumId w:val="13"/>
  </w:num>
  <w:num w:numId="41" w16cid:durableId="601189225">
    <w:abstractNumId w:val="3"/>
  </w:num>
  <w:num w:numId="42" w16cid:durableId="1215461547">
    <w:abstractNumId w:val="14"/>
  </w:num>
  <w:num w:numId="43" w16cid:durableId="106627493">
    <w:abstractNumId w:val="53"/>
  </w:num>
  <w:num w:numId="44" w16cid:durableId="1405374581">
    <w:abstractNumId w:val="60"/>
  </w:num>
  <w:num w:numId="45" w16cid:durableId="761415343">
    <w:abstractNumId w:val="30"/>
  </w:num>
  <w:num w:numId="46" w16cid:durableId="1075006828">
    <w:abstractNumId w:val="8"/>
  </w:num>
  <w:num w:numId="47" w16cid:durableId="115485060">
    <w:abstractNumId w:val="17"/>
  </w:num>
  <w:num w:numId="48" w16cid:durableId="411925843">
    <w:abstractNumId w:val="9"/>
  </w:num>
  <w:num w:numId="49" w16cid:durableId="277565404">
    <w:abstractNumId w:val="16"/>
  </w:num>
  <w:num w:numId="50" w16cid:durableId="957494054">
    <w:abstractNumId w:val="61"/>
  </w:num>
  <w:num w:numId="51" w16cid:durableId="821194284">
    <w:abstractNumId w:val="37"/>
  </w:num>
  <w:num w:numId="52" w16cid:durableId="168909032">
    <w:abstractNumId w:val="42"/>
  </w:num>
  <w:num w:numId="53" w16cid:durableId="219903697">
    <w:abstractNumId w:val="11"/>
  </w:num>
  <w:num w:numId="54" w16cid:durableId="66388779">
    <w:abstractNumId w:val="2"/>
  </w:num>
  <w:num w:numId="55" w16cid:durableId="488058583">
    <w:abstractNumId w:val="27"/>
  </w:num>
  <w:num w:numId="56" w16cid:durableId="1815096968">
    <w:abstractNumId w:val="12"/>
  </w:num>
  <w:num w:numId="57" w16cid:durableId="42220006">
    <w:abstractNumId w:val="43"/>
  </w:num>
  <w:num w:numId="58" w16cid:durableId="1724480112">
    <w:abstractNumId w:val="57"/>
  </w:num>
  <w:num w:numId="59" w16cid:durableId="1313948707">
    <w:abstractNumId w:val="59"/>
  </w:num>
  <w:num w:numId="60" w16cid:durableId="322971692">
    <w:abstractNumId w:val="40"/>
  </w:num>
  <w:num w:numId="61" w16cid:durableId="2030175022">
    <w:abstractNumId w:val="46"/>
  </w:num>
  <w:num w:numId="62" w16cid:durableId="19851620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1A"/>
    <w:rsid w:val="00003B59"/>
    <w:rsid w:val="00006F16"/>
    <w:rsid w:val="00046F7C"/>
    <w:rsid w:val="000568E0"/>
    <w:rsid w:val="0008019C"/>
    <w:rsid w:val="00104D77"/>
    <w:rsid w:val="001B3228"/>
    <w:rsid w:val="002067FF"/>
    <w:rsid w:val="0028536A"/>
    <w:rsid w:val="002A471E"/>
    <w:rsid w:val="002B2CCF"/>
    <w:rsid w:val="0031604F"/>
    <w:rsid w:val="0039053C"/>
    <w:rsid w:val="00392EE7"/>
    <w:rsid w:val="004F19A9"/>
    <w:rsid w:val="00586462"/>
    <w:rsid w:val="00592036"/>
    <w:rsid w:val="005B7D52"/>
    <w:rsid w:val="005D1E27"/>
    <w:rsid w:val="005F501A"/>
    <w:rsid w:val="006C49C9"/>
    <w:rsid w:val="006F0ADA"/>
    <w:rsid w:val="0073608E"/>
    <w:rsid w:val="00751724"/>
    <w:rsid w:val="00756DDA"/>
    <w:rsid w:val="0076435A"/>
    <w:rsid w:val="0077121B"/>
    <w:rsid w:val="007F3404"/>
    <w:rsid w:val="00821871"/>
    <w:rsid w:val="008468E5"/>
    <w:rsid w:val="00914E46"/>
    <w:rsid w:val="00975602"/>
    <w:rsid w:val="009D6D7C"/>
    <w:rsid w:val="00AA2B2B"/>
    <w:rsid w:val="00B874F3"/>
    <w:rsid w:val="00BD611A"/>
    <w:rsid w:val="00BE4ED1"/>
    <w:rsid w:val="00C33F9E"/>
    <w:rsid w:val="00C70E61"/>
    <w:rsid w:val="00CC5DC9"/>
    <w:rsid w:val="00D46565"/>
    <w:rsid w:val="00D46ED3"/>
    <w:rsid w:val="00D875A1"/>
    <w:rsid w:val="00DA3CBB"/>
    <w:rsid w:val="00DD24D1"/>
    <w:rsid w:val="00E066C2"/>
    <w:rsid w:val="00E26E40"/>
    <w:rsid w:val="00E52BCD"/>
    <w:rsid w:val="00F03C5F"/>
    <w:rsid w:val="00F90AE0"/>
    <w:rsid w:val="00FC64C5"/>
    <w:rsid w:val="2428C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890F47"/>
  <w15:chartTrackingRefBased/>
  <w15:docId w15:val="{B5A9228C-5373-42FF-AD5A-5F8B8E0F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DA"/>
    <w:pPr>
      <w:ind w:left="720"/>
      <w:contextualSpacing/>
    </w:pPr>
  </w:style>
  <w:style w:type="table" w:styleId="TableGrid">
    <w:name w:val="Table Grid"/>
    <w:basedOn w:val="TableNormal"/>
    <w:uiPriority w:val="59"/>
    <w:rsid w:val="00AA2B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B2CCF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BC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2B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BC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2B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00B6A3E130146AEC43DB428CFA5E3" ma:contentTypeVersion="17" ma:contentTypeDescription="Ein neues Dokument erstellen." ma:contentTypeScope="" ma:versionID="bca8619a96a79a6a7787a093cac4cd84">
  <xsd:schema xmlns:xsd="http://www.w3.org/2001/XMLSchema" xmlns:xs="http://www.w3.org/2001/XMLSchema" xmlns:p="http://schemas.microsoft.com/office/2006/metadata/properties" xmlns:ns2="a7b27fc3-c9e6-4dcd-b504-dcbc9886df61" xmlns:ns3="a4546c1d-9b82-4cf3-910f-c2bc2b6120ae" targetNamespace="http://schemas.microsoft.com/office/2006/metadata/properties" ma:root="true" ma:fieldsID="dff0ea2e601dee9badb903bf19b1af02" ns2:_="" ns3:_="">
    <xsd:import namespace="a7b27fc3-c9e6-4dcd-b504-dcbc9886df61"/>
    <xsd:import namespace="a4546c1d-9b82-4cf3-910f-c2bc2b6120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7fc3-c9e6-4dcd-b504-dcbc9886df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99ed91-2ba3-4471-acaf-43706146eebd}" ma:internalName="TaxCatchAll" ma:showField="CatchAllData" ma:web="a7b27fc3-c9e6-4dcd-b504-dcbc9886d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6c1d-9b82-4cf3-910f-c2bc2b612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e2cf51-2f00-4501-a5ea-b9ec3e073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27fc3-c9e6-4dcd-b504-dcbc9886df61" xsi:nil="true"/>
    <lcf76f155ced4ddcb4097134ff3c332f xmlns="a4546c1d-9b82-4cf3-910f-c2bc2b6120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B2350-774D-4822-B0D3-DF622B767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27fc3-c9e6-4dcd-b504-dcbc9886df61"/>
    <ds:schemaRef ds:uri="a4546c1d-9b82-4cf3-910f-c2bc2b612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09726-20DB-4B5B-8052-6C88A86BD6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FE661-5B76-4358-95D1-2AE78E2A6168}">
  <ds:schemaRefs>
    <ds:schemaRef ds:uri="http://schemas.microsoft.com/office/2006/metadata/properties"/>
    <ds:schemaRef ds:uri="http://schemas.microsoft.com/office/infopath/2007/PartnerControls"/>
    <ds:schemaRef ds:uri="a7b27fc3-c9e6-4dcd-b504-dcbc9886df61"/>
    <ds:schemaRef ds:uri="a4546c1d-9b82-4cf3-910f-c2bc2b6120ae"/>
  </ds:schemaRefs>
</ds:datastoreItem>
</file>

<file path=customXml/itemProps4.xml><?xml version="1.0" encoding="utf-8"?>
<ds:datastoreItem xmlns:ds="http://schemas.openxmlformats.org/officeDocument/2006/customXml" ds:itemID="{AC76B8D8-3B3C-4638-B285-94099E76B6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Hoang Phung</dc:creator>
  <keywords/>
  <dc:description/>
  <lastModifiedBy>Khema Alexandra Wendisch</lastModifiedBy>
  <revision>3</revision>
  <dcterms:created xsi:type="dcterms:W3CDTF">2025-12-11T13:29:00.0000000Z</dcterms:created>
  <dcterms:modified xsi:type="dcterms:W3CDTF">2025-12-11T14:09:17.6626762Z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0x010100F1500B6A3E130146AEC43DB428CFA5E3</vt:lpwstr>
  </property>
  <property fmtid="{D5CDD505-2E9C-101B-9397-08002B2CF9AE}" pid="3" name="MediaServiceImageTags">
    <vt:lpwstr/>
  </property>
</Properties>
</file>