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Borders>
          <w:top w:val="single" w:sz="2" w:space="0" w:color="0C1628"/>
          <w:left w:val="single" w:sz="2" w:space="0" w:color="0C1628"/>
          <w:bottom w:val="single" w:sz="2" w:space="0" w:color="0C1628"/>
          <w:right w:val="single" w:sz="2" w:space="0" w:color="0C1628"/>
        </w:tblBorders>
      </w:tblPr>
      <w:tblGrid>
        <w:gridCol w:w="9412"/>
      </w:tblGrid>
      <w:tr>
        <w:tc>
          <w:tcPr>
            <w:tcW w:type="dxa" w:w="9412"/>
            <w:shd w:val="clear" w:color="auto" w:fill="0C1628"/>
            <w:tcMar>
              <w:top w:w="420" w:type="dxa"/>
              <w:left w:w="280" w:type="dxa"/>
              <w:bottom w:w="420" w:type="dxa"/>
              <w:right w:w="280" w:type="dxa"/>
            </w:tcMar>
          </w:tcPr>
          <w:p>
            <w:pPr>
              <w:spacing w:after="400"/>
            </w:pPr>
            <w:r/>
            <w:r>
              <w:drawing>
                <wp:inline xmlns:a="http://schemas.openxmlformats.org/drawingml/2006/main" xmlns:pic="http://schemas.openxmlformats.org/drawingml/2006/picture">
                  <wp:extent cx="1296000" cy="378247"/>
                  <wp:docPr id="1" name="Picture 1">
                    <a:hlinkClick r:id="rId10" tooltip="Visit mastt.com"/>
                  </wp:docPr>
                  <wp:cNvGraphicFramePr>
                    <a:graphicFrameLocks noChangeAspect="1"/>
                  </wp:cNvGraphicFramePr>
                  <a:graphic>
                    <a:graphicData uri="http://schemas.openxmlformats.org/drawingml/2006/picture">
                      <pic:pic>
                        <pic:nvPicPr>
                          <pic:cNvPr id="2" name="mastt_logo_white.png">
                            <a:hlinkClick r:id="rId10" tooltip="Visit mastt.com"/>
                          </pic:cNvPr>
                          <pic:cNvPicPr/>
                        </pic:nvPicPr>
                        <pic:blipFill>
                          <a:blip r:embed="rId9"/>
                          <a:stretch>
                            <a:fillRect/>
                          </a:stretch>
                        </pic:blipFill>
                        <pic:spPr>
                          <a:xfrm>
                            <a:off x="0" y="0"/>
                            <a:ext cx="1296000" cy="378247"/>
                          </a:xfrm>
                          <a:prstGeom prst="rect"/>
                        </pic:spPr>
                      </pic:pic>
                    </a:graphicData>
                  </a:graphic>
                </wp:inline>
              </w:drawing>
            </w:r>
          </w:p>
          <w:p>
            <w:pPr>
              <w:spacing w:after="120"/>
            </w:pPr>
            <w:r>
              <w:rPr>
                <w:rFonts w:ascii="Segoe UI Semibold" w:hAnsi="Segoe UI Semibold"/>
                <w:b/>
                <w:color w:val="3480BC"/>
                <w:sz w:val="18"/>
              </w:rPr>
              <w:t>PROJECT EXECUTION PLAN</w:t>
            </w:r>
          </w:p>
          <w:p>
            <w:pPr>
              <w:spacing w:after="160"/>
            </w:pPr>
            <w:r>
              <w:rPr>
                <w:rFonts w:ascii="Segoe UI Semibold" w:hAnsi="Segoe UI Semibold"/>
                <w:b/>
                <w:color w:val="FFFFFF"/>
                <w:sz w:val="52"/>
              </w:rPr>
              <w:t>Project Execution Plan</w:t>
            </w:r>
          </w:p>
          <w:p>
            <w:pPr>
              <w:spacing w:after="0"/>
            </w:pPr>
            <w:r>
              <w:rPr>
                <w:rFonts w:ascii="Segoe UI" w:hAnsi="Segoe UI"/>
                <w:color w:val="8E98A2"/>
                <w:sz w:val="22"/>
              </w:rPr>
              <w:t>The definitive statement of how a capital project will be delivered - governance, controls, standards and reporting</w:t>
            </w:r>
          </w:p>
        </w:tc>
      </w:tr>
    </w:tbl>
    <w:p>
      <w:pPr>
        <w:spacing w:after="280"/>
      </w:pPr>
    </w:p>
    <w:tbl>
      <w:tblPr>
        <w:tblW w:type="auto" w:w="0"/>
        <w:jc w:val="center"/>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Pr>
      <w:tblGrid>
        <w:gridCol w:w="2353"/>
        <w:gridCol w:w="2353"/>
        <w:gridCol w:w="2353"/>
        <w:gridCol w:w="2353"/>
      </w:tblGrid>
      <w:tr>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Project name</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Project number</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r>
      <w:tr>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Client / asset owner</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Delivery model</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r>
      <w:tr>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Prepared by</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Role / organisation</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r>
      <w:tr>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Date</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Document reference</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r>
      <w:tr>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Revision</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t>1.0</w:t>
            </w:r>
          </w:p>
        </w:tc>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Status</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t>Draft / For review / Issued</w:t>
            </w:r>
          </w:p>
        </w:tc>
      </w:tr>
      <w:tr>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Approved by (Sponsor)</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c>
          <w:tcPr>
            <w:tcW w:type="dxa" w:w="2268"/>
            <w:tcMar>
              <w:top w:w="80" w:type="dxa"/>
              <w:left w:w="110" w:type="dxa"/>
              <w:bottom w:w="80" w:type="dxa"/>
              <w:right w:w="110" w:type="dxa"/>
            </w:tcMar>
            <w:shd w:val="clear" w:color="auto" w:fill="F6F9FC"/>
          </w:tcPr>
          <w:p>
            <w:pPr>
              <w:pStyle w:val="MasttTableCell"/>
            </w:pPr>
            <w:r/>
            <w:r>
              <w:rPr>
                <w:rFonts w:ascii="Segoe UI Semibold" w:hAnsi="Segoe UI Semibold"/>
                <w:b/>
                <w:color w:val="1D3245"/>
                <w:sz w:val="18"/>
              </w:rPr>
              <w:t>Baseline date</w:t>
            </w:r>
          </w:p>
        </w:tc>
        <w:tc>
          <w:tcPr>
            <w:tcW w:type="dxa" w:w="2438"/>
            <w:tcMar>
              <w:top w:w="80" w:type="dxa"/>
              <w:left w:w="110" w:type="dxa"/>
              <w:bottom w:w="80" w:type="dxa"/>
              <w:right w:w="110" w:type="dxa"/>
            </w:tcMar>
          </w:tcPr>
          <w:p>
            <w:pPr>
              <w:pStyle w:val="MasttTableCell"/>
            </w:pPr>
            <w:r/>
            <w:r>
              <w:rPr>
                <w:rFonts w:ascii="Segoe UI" w:hAnsi="Segoe UI"/>
                <w:b w:val="0"/>
                <w:color w:val="8E98A2"/>
                <w:sz w:val="18"/>
              </w:rPr>
            </w:r>
          </w:p>
        </w:tc>
      </w:tr>
    </w:tbl>
    <w:p>
      <w:pPr>
        <w:spacing w:after="200"/>
      </w:pPr>
    </w:p>
    <w:p>
      <w:pPr>
        <w:pStyle w:val="MasttCaption"/>
        <w:pBdr>
          <w:top w:val="single" w:sz="4" w:space="8" w:color="C9D4E0"/>
        </w:pBdr>
      </w:pPr>
      <w:r>
        <w:rPr>
          <w:color w:val="8E98A2"/>
          <w:sz w:val="15"/>
        </w:rPr>
        <w:t>This template is provided by Mastt as general guidance for capital project delivery. It is not legal, financial or professional advice. Users must adapt it to the contract, jurisdiction, statutory regime and organisational policies applicable to their project, and should obtain independent professional advice where appropriate. Mastt accepts no liability arising from use of this template.</w:t>
      </w:r>
    </w:p>
    <w:p>
      <w:r>
        <w:br w:type="page"/>
      </w:r>
    </w:p>
    <w:p>
      <w:pPr>
        <w:pStyle w:val="Heading1"/>
        <w:pBdr>
          <w:bottom w:val="single" w:sz="6" w:space="4" w:color="C9D4E0"/>
        </w:pBdr>
      </w:pPr>
      <w:r>
        <w:t>Document control</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Complete every field below before the Project Execution Plan (PEP) is issued. The revision history is the authoritative record of what changed and why - never overwrite a row, always add one. A PEP that cannot be traced to an approved revision has no standing in a dispute, an audit or a gateway review.</w:t>
            </w:r>
          </w:p>
        </w:tc>
      </w:tr>
    </w:tbl>
    <w:p>
      <w:pPr>
        <w:rPr>
          <w:sz w:val="8"/>
        </w:rPr>
        <w:spacing w:after="40" w:before="0" w:line="240" w:lineRule="auto"/>
      </w:pPr>
    </w:p>
    <w:p>
      <w:pPr>
        <w:pStyle w:val="Heading2"/>
      </w:pPr>
      <w:r>
        <w:t>Revision history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Pr>
      <w:tblGrid>
        <w:gridCol w:w="1569"/>
        <w:gridCol w:w="1569"/>
        <w:gridCol w:w="1569"/>
        <w:gridCol w:w="1569"/>
        <w:gridCol w:w="1569"/>
        <w:gridCol w:w="1569"/>
      </w:tblGrid>
      <w:tr>
        <w:trPr>
          <w:tblHeader w:val="true"/>
        </w:trPr>
        <w:tc>
          <w:tcPr>
            <w:tcW w:type="dxa" w:w="680"/>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Rev</w:t>
            </w:r>
          </w:p>
        </w:tc>
        <w:tc>
          <w:tcPr>
            <w:tcW w:type="dxa" w:w="1134"/>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Date</w:t>
            </w:r>
          </w:p>
        </w:tc>
        <w:tc>
          <w:tcPr>
            <w:tcW w:type="dxa" w:w="1474"/>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Prepared by</w:t>
            </w:r>
          </w:p>
        </w:tc>
        <w:tc>
          <w:tcPr>
            <w:tcW w:type="dxa" w:w="1474"/>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Reviewed by</w:t>
            </w:r>
          </w:p>
        </w:tc>
        <w:tc>
          <w:tcPr>
            <w:tcW w:type="dxa" w:w="1474"/>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Approved by</w:t>
            </w:r>
          </w:p>
        </w:tc>
        <w:tc>
          <w:tcPr>
            <w:tcW w:type="dxa" w:w="3175"/>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Description of change</w:t>
            </w:r>
          </w:p>
        </w:tc>
      </w:tr>
      <w:tr>
        <w:tc>
          <w:tcPr>
            <w:tcW w:type="dxa" w:w="680"/>
            <w:tcMar>
              <w:top w:w="60" w:type="dxa"/>
              <w:left w:w="110" w:type="dxa"/>
              <w:bottom w:w="60" w:type="dxa"/>
              <w:right w:w="110" w:type="dxa"/>
            </w:tcMar>
          </w:tcPr>
          <w:p>
            <w:pPr>
              <w:pStyle w:val="MasttTableCell"/>
            </w:pPr>
            <w:r/>
            <w:r>
              <w:rPr>
                <w:rFonts w:ascii="Segoe UI" w:hAnsi="Segoe UI"/>
                <w:color w:val="1D3245"/>
                <w:sz w:val="18"/>
              </w:rPr>
              <w:t>A</w:t>
            </w:r>
          </w:p>
        </w:tc>
        <w:tc>
          <w:tcPr>
            <w:tcW w:type="dxa" w:w="1134"/>
            <w:tcMar>
              <w:top w:w="60" w:type="dxa"/>
              <w:left w:w="110" w:type="dxa"/>
              <w:bottom w:w="60" w:type="dxa"/>
              <w:right w:w="110" w:type="dxa"/>
            </w:tcMar>
          </w:tcPr>
          <w:p>
            <w:pPr>
              <w:pStyle w:val="MasttTableCell"/>
            </w:pPr>
            <w:r/>
            <w:r>
              <w:rPr>
                <w:rFonts w:ascii="Segoe UI" w:hAnsi="Segoe UI"/>
                <w:color w:val="1D3245"/>
                <w:sz w:val="18"/>
              </w:rPr>
            </w:r>
          </w:p>
        </w:tc>
        <w:tc>
          <w:tcPr>
            <w:tcW w:type="dxa" w:w="1474"/>
            <w:tcMar>
              <w:top w:w="60" w:type="dxa"/>
              <w:left w:w="110" w:type="dxa"/>
              <w:bottom w:w="60" w:type="dxa"/>
              <w:right w:w="110" w:type="dxa"/>
            </w:tcMar>
          </w:tcPr>
          <w:p>
            <w:pPr>
              <w:pStyle w:val="MasttTableCell"/>
            </w:pPr>
            <w:r/>
            <w:r>
              <w:rPr>
                <w:rFonts w:ascii="Segoe UI" w:hAnsi="Segoe UI"/>
                <w:color w:val="1D3245"/>
                <w:sz w:val="18"/>
              </w:rPr>
            </w:r>
          </w:p>
        </w:tc>
        <w:tc>
          <w:tcPr>
            <w:tcW w:type="dxa" w:w="1474"/>
            <w:tcMar>
              <w:top w:w="60" w:type="dxa"/>
              <w:left w:w="110" w:type="dxa"/>
              <w:bottom w:w="60" w:type="dxa"/>
              <w:right w:w="110" w:type="dxa"/>
            </w:tcMar>
          </w:tcPr>
          <w:p>
            <w:pPr>
              <w:pStyle w:val="MasttTableCell"/>
            </w:pPr>
            <w:r/>
            <w:r>
              <w:rPr>
                <w:rFonts w:ascii="Segoe UI" w:hAnsi="Segoe UI"/>
                <w:color w:val="1D3245"/>
                <w:sz w:val="18"/>
              </w:rPr>
            </w:r>
          </w:p>
        </w:tc>
        <w:tc>
          <w:tcPr>
            <w:tcW w:type="dxa" w:w="1474"/>
            <w:tcMar>
              <w:top w:w="60" w:type="dxa"/>
              <w:left w:w="110" w:type="dxa"/>
              <w:bottom w:w="60" w:type="dxa"/>
              <w:right w:w="110" w:type="dxa"/>
            </w:tcMar>
          </w:tcPr>
          <w:p>
            <w:pPr>
              <w:pStyle w:val="MasttTableCell"/>
            </w:pPr>
            <w:r/>
            <w:r>
              <w:rPr>
                <w:rFonts w:ascii="Segoe UI" w:hAnsi="Segoe UI"/>
                <w:color w:val="1D3245"/>
                <w:sz w:val="18"/>
              </w:rPr>
            </w:r>
          </w:p>
        </w:tc>
        <w:tc>
          <w:tcPr>
            <w:tcW w:type="dxa" w:w="3175"/>
            <w:tcMar>
              <w:top w:w="60" w:type="dxa"/>
              <w:left w:w="110" w:type="dxa"/>
              <w:bottom w:w="60" w:type="dxa"/>
              <w:right w:w="110" w:type="dxa"/>
            </w:tcMar>
          </w:tcPr>
          <w:p>
            <w:pPr>
              <w:pStyle w:val="MasttTableCell"/>
            </w:pPr>
            <w:r/>
            <w:r>
              <w:rPr>
                <w:rFonts w:ascii="Segoe UI" w:hAnsi="Segoe UI"/>
                <w:color w:val="1D3245"/>
                <w:sz w:val="18"/>
              </w:rPr>
              <w:t>First issue for review</w:t>
            </w:r>
          </w:p>
        </w:tc>
      </w:tr>
      <w:tr>
        <w:tc>
          <w:tcPr>
            <w:tcW w:type="dxa" w:w="680"/>
            <w:tcMar>
              <w:top w:w="60" w:type="dxa"/>
              <w:left w:w="110" w:type="dxa"/>
              <w:bottom w:w="60" w:type="dxa"/>
              <w:right w:w="110" w:type="dxa"/>
            </w:tcMar>
            <w:shd w:val="clear" w:color="auto" w:fill="F6F9FC"/>
          </w:tcPr>
          <w:p>
            <w:pPr>
              <w:pStyle w:val="MasttTableCell"/>
            </w:pPr>
            <w:r/>
            <w:r>
              <w:rPr>
                <w:rFonts w:ascii="Segoe UI" w:hAnsi="Segoe UI"/>
                <w:color w:val="1D3245"/>
                <w:sz w:val="18"/>
              </w:rPr>
              <w:t>B</w:t>
            </w:r>
          </w:p>
        </w:tc>
        <w:tc>
          <w:tcPr>
            <w:tcW w:type="dxa" w:w="113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47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47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47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3175"/>
            <w:tcMar>
              <w:top w:w="60" w:type="dxa"/>
              <w:left w:w="110" w:type="dxa"/>
              <w:bottom w:w="60" w:type="dxa"/>
              <w:right w:w="110" w:type="dxa"/>
            </w:tcMar>
            <w:shd w:val="clear" w:color="auto" w:fill="F6F9FC"/>
          </w:tcPr>
          <w:p>
            <w:pPr>
              <w:pStyle w:val="MasttTableCell"/>
            </w:pPr>
            <w:r/>
            <w:r>
              <w:rPr>
                <w:rFonts w:ascii="Segoe UI" w:hAnsi="Segoe UI"/>
                <w:color w:val="1D3245"/>
                <w:sz w:val="18"/>
              </w:rPr>
            </w:r>
          </w:p>
        </w:tc>
      </w:tr>
      <w:tr>
        <w:tc>
          <w:tcPr>
            <w:tcW w:type="dxa" w:w="680"/>
            <w:tcMar>
              <w:top w:w="60" w:type="dxa"/>
              <w:left w:w="110" w:type="dxa"/>
              <w:bottom w:w="60" w:type="dxa"/>
              <w:right w:w="110" w:type="dxa"/>
            </w:tcMar>
          </w:tcPr>
          <w:p>
            <w:pPr>
              <w:pStyle w:val="MasttTableCell"/>
            </w:pPr>
            <w:r/>
            <w:r>
              <w:rPr>
                <w:rFonts w:ascii="Segoe UI" w:hAnsi="Segoe UI"/>
                <w:color w:val="1D3245"/>
                <w:sz w:val="18"/>
              </w:rPr>
              <w:t>0</w:t>
            </w:r>
          </w:p>
        </w:tc>
        <w:tc>
          <w:tcPr>
            <w:tcW w:type="dxa" w:w="1134"/>
            <w:tcMar>
              <w:top w:w="60" w:type="dxa"/>
              <w:left w:w="110" w:type="dxa"/>
              <w:bottom w:w="60" w:type="dxa"/>
              <w:right w:w="110" w:type="dxa"/>
            </w:tcMar>
          </w:tcPr>
          <w:p>
            <w:pPr>
              <w:pStyle w:val="MasttTableCell"/>
            </w:pPr>
            <w:r/>
            <w:r>
              <w:rPr>
                <w:rFonts w:ascii="Segoe UI" w:hAnsi="Segoe UI"/>
                <w:color w:val="1D3245"/>
                <w:sz w:val="18"/>
              </w:rPr>
            </w:r>
          </w:p>
        </w:tc>
        <w:tc>
          <w:tcPr>
            <w:tcW w:type="dxa" w:w="1474"/>
            <w:tcMar>
              <w:top w:w="60" w:type="dxa"/>
              <w:left w:w="110" w:type="dxa"/>
              <w:bottom w:w="60" w:type="dxa"/>
              <w:right w:w="110" w:type="dxa"/>
            </w:tcMar>
          </w:tcPr>
          <w:p>
            <w:pPr>
              <w:pStyle w:val="MasttTableCell"/>
            </w:pPr>
            <w:r/>
            <w:r>
              <w:rPr>
                <w:rFonts w:ascii="Segoe UI" w:hAnsi="Segoe UI"/>
                <w:color w:val="1D3245"/>
                <w:sz w:val="18"/>
              </w:rPr>
            </w:r>
          </w:p>
        </w:tc>
        <w:tc>
          <w:tcPr>
            <w:tcW w:type="dxa" w:w="1474"/>
            <w:tcMar>
              <w:top w:w="60" w:type="dxa"/>
              <w:left w:w="110" w:type="dxa"/>
              <w:bottom w:w="60" w:type="dxa"/>
              <w:right w:w="110" w:type="dxa"/>
            </w:tcMar>
          </w:tcPr>
          <w:p>
            <w:pPr>
              <w:pStyle w:val="MasttTableCell"/>
            </w:pPr>
            <w:r/>
            <w:r>
              <w:rPr>
                <w:rFonts w:ascii="Segoe UI" w:hAnsi="Segoe UI"/>
                <w:color w:val="1D3245"/>
                <w:sz w:val="18"/>
              </w:rPr>
            </w:r>
          </w:p>
        </w:tc>
        <w:tc>
          <w:tcPr>
            <w:tcW w:type="dxa" w:w="1474"/>
            <w:tcMar>
              <w:top w:w="60" w:type="dxa"/>
              <w:left w:w="110" w:type="dxa"/>
              <w:bottom w:w="60" w:type="dxa"/>
              <w:right w:w="110" w:type="dxa"/>
            </w:tcMar>
          </w:tcPr>
          <w:p>
            <w:pPr>
              <w:pStyle w:val="MasttTableCell"/>
            </w:pPr>
            <w:r/>
            <w:r>
              <w:rPr>
                <w:rFonts w:ascii="Segoe UI" w:hAnsi="Segoe UI"/>
                <w:color w:val="1D3245"/>
                <w:sz w:val="18"/>
              </w:rPr>
            </w:r>
          </w:p>
        </w:tc>
        <w:tc>
          <w:tcPr>
            <w:tcW w:type="dxa" w:w="3175"/>
            <w:tcMar>
              <w:top w:w="60" w:type="dxa"/>
              <w:left w:w="110" w:type="dxa"/>
              <w:bottom w:w="60" w:type="dxa"/>
              <w:right w:w="110" w:type="dxa"/>
            </w:tcMar>
          </w:tcPr>
          <w:p>
            <w:pPr>
              <w:pStyle w:val="MasttTableCell"/>
            </w:pPr>
            <w:r/>
            <w:r>
              <w:rPr>
                <w:rFonts w:ascii="Segoe UI" w:hAnsi="Segoe UI"/>
                <w:color w:val="1D3245"/>
                <w:sz w:val="18"/>
              </w:rPr>
              <w:t>Issued for use</w:t>
            </w:r>
          </w:p>
        </w:tc>
      </w:tr>
      <w:tr>
        <w:tc>
          <w:tcPr>
            <w:tcW w:type="dxa" w:w="680"/>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13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47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47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47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3175"/>
            <w:tcMar>
              <w:top w:w="60" w:type="dxa"/>
              <w:left w:w="110" w:type="dxa"/>
              <w:bottom w:w="60" w:type="dxa"/>
              <w:right w:w="110" w:type="dxa"/>
            </w:tcMar>
            <w:shd w:val="clear" w:color="auto" w:fill="F6F9FC"/>
          </w:tcPr>
          <w:p>
            <w:pPr>
              <w:pStyle w:val="MasttTableCell"/>
            </w:pPr>
            <w:r/>
            <w:r>
              <w:rPr>
                <w:rFonts w:ascii="Segoe UI" w:hAnsi="Segoe UI"/>
                <w:color w:val="1D3245"/>
                <w:sz w:val="18"/>
              </w:rPr>
            </w:r>
          </w:p>
        </w:tc>
      </w:tr>
    </w:tbl>
    <w:p>
      <w:pPr>
        <w:spacing w:after="80"/>
      </w:pPr>
    </w:p>
    <w:p>
      <w:pPr>
        <w:pStyle w:val="Heading2"/>
      </w:pPr>
      <w:r>
        <w:t>Distribution list</w:t>
      </w:r>
    </w:p>
    <w:p>
      <w:pPr>
        <w:pStyle w:val="MasttBody"/>
      </w:pPr>
      <w:r>
        <w:t>The Project Manager maintains distribution. Controlled copies are reissued automatically on each revision; uncontrolled copies are issued for information only and are not maintained.</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263"/>
        <w:gridCol w:w="2294"/>
        <w:gridCol w:w="2174"/>
        <w:gridCol w:w="1403"/>
        <w:gridCol w:w="1278"/>
      </w:tblGrid>
      <w:tr>
        <w:trPr>
          <w:tblHeader w:val="true"/>
          <w:cantSplit w:val="true"/>
        </w:trPr>
        <w:tc>
          <w:tcPr>
            <w:tcW w:type="dxa" w:w="226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Name</w:t>
            </w:r>
          </w:p>
        </w:tc>
        <w:tc>
          <w:tcPr>
            <w:tcW w:type="dxa" w:w="22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Role</w:t>
            </w:r>
          </w:p>
        </w:tc>
        <w:tc>
          <w:tcPr>
            <w:tcW w:type="dxa" w:w="21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Organisation</w:t>
            </w:r>
          </w:p>
        </w:tc>
        <w:tc>
          <w:tcPr>
            <w:tcW w:type="dxa" w:w="140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Copy type</w:t>
            </w:r>
          </w:p>
        </w:tc>
        <w:tc>
          <w:tcPr>
            <w:tcW w:type="dxa" w:w="127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Format</w:t>
            </w:r>
          </w:p>
        </w:tc>
      </w:tr>
      <w:tr>
        <w:trPr>
          <w:cantSplit w:val="true"/>
        </w:trPr>
        <w:tc>
          <w:tcPr>
            <w:tcW w:type="dxa" w:w="2263"/>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tcPr>
          <w:p>
            <w:pPr>
              <w:pStyle w:val="MasttTableCell"/>
              <w:spacing w:before="20" w:after="20"/>
            </w:pPr>
            <w:r/>
            <w:r>
              <w:rPr>
                <w:rFonts w:ascii="Segoe UI" w:hAnsi="Segoe UI"/>
                <w:color w:val="1D3245"/>
                <w:sz w:val="17"/>
              </w:rPr>
              <w:t>Project Sponsor</w:t>
            </w:r>
          </w:p>
        </w:tc>
        <w:tc>
          <w:tcPr>
            <w:tcW w:type="dxa" w:w="21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t>Controlled</w:t>
            </w:r>
          </w:p>
        </w:tc>
        <w:tc>
          <w:tcPr>
            <w:tcW w:type="dxa" w:w="1278"/>
            <w:tcMar>
              <w:top w:w="40" w:type="dxa"/>
              <w:left w:w="110" w:type="dxa"/>
              <w:bottom w:w="40" w:type="dxa"/>
              <w:right w:w="110" w:type="dxa"/>
            </w:tcMar>
          </w:tcPr>
          <w:p>
            <w:pPr>
              <w:pStyle w:val="MasttTableCell"/>
              <w:spacing w:before="20" w:after="20"/>
            </w:pPr>
            <w:r/>
            <w:r>
              <w:rPr>
                <w:rFonts w:ascii="Segoe UI" w:hAnsi="Segoe UI"/>
                <w:color w:val="1D3245"/>
                <w:sz w:val="17"/>
              </w:rPr>
              <w:t>PDF</w:t>
            </w:r>
          </w:p>
        </w:tc>
      </w:tr>
      <w:tr>
        <w:trPr>
          <w:cantSplit w:val="true"/>
        </w:trPr>
        <w:tc>
          <w:tcPr>
            <w:tcW w:type="dxa" w:w="226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21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Controlled</w:t>
            </w:r>
          </w:p>
        </w:tc>
        <w:tc>
          <w:tcPr>
            <w:tcW w:type="dxa" w:w="12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PDF + native</w:t>
            </w:r>
          </w:p>
        </w:tc>
      </w:tr>
      <w:tr>
        <w:trPr>
          <w:cantSplit w:val="true"/>
        </w:trPr>
        <w:tc>
          <w:tcPr>
            <w:tcW w:type="dxa" w:w="2263"/>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tcPr>
          <w:p>
            <w:pPr>
              <w:pStyle w:val="MasttTableCell"/>
              <w:spacing w:before="20" w:after="20"/>
            </w:pPr>
            <w:r/>
            <w:r>
              <w:rPr>
                <w:rFonts w:ascii="Segoe UI" w:hAnsi="Segoe UI"/>
                <w:color w:val="1D3245"/>
                <w:sz w:val="17"/>
              </w:rPr>
              <w:t>Project Manager (owner)</w:t>
            </w:r>
          </w:p>
        </w:tc>
        <w:tc>
          <w:tcPr>
            <w:tcW w:type="dxa" w:w="21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t>Master</w:t>
            </w:r>
          </w:p>
        </w:tc>
        <w:tc>
          <w:tcPr>
            <w:tcW w:type="dxa" w:w="1278"/>
            <w:tcMar>
              <w:top w:w="40" w:type="dxa"/>
              <w:left w:w="110" w:type="dxa"/>
              <w:bottom w:w="40" w:type="dxa"/>
              <w:right w:w="110" w:type="dxa"/>
            </w:tcMar>
          </w:tcPr>
          <w:p>
            <w:pPr>
              <w:pStyle w:val="MasttTableCell"/>
              <w:spacing w:before="20" w:after="20"/>
            </w:pPr>
            <w:r/>
            <w:r>
              <w:rPr>
                <w:rFonts w:ascii="Segoe UI" w:hAnsi="Segoe UI"/>
                <w:color w:val="1D3245"/>
                <w:sz w:val="17"/>
              </w:rPr>
              <w:t>Native</w:t>
            </w:r>
          </w:p>
        </w:tc>
      </w:tr>
      <w:tr>
        <w:trPr>
          <w:cantSplit w:val="true"/>
        </w:trPr>
        <w:tc>
          <w:tcPr>
            <w:tcW w:type="dxa" w:w="226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Representative</w:t>
            </w:r>
          </w:p>
        </w:tc>
        <w:tc>
          <w:tcPr>
            <w:tcW w:type="dxa" w:w="21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Controlled</w:t>
            </w:r>
          </w:p>
        </w:tc>
        <w:tc>
          <w:tcPr>
            <w:tcW w:type="dxa" w:w="12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PDF</w:t>
            </w:r>
          </w:p>
        </w:tc>
      </w:tr>
      <w:tr>
        <w:trPr>
          <w:cantSplit w:val="true"/>
        </w:trPr>
        <w:tc>
          <w:tcPr>
            <w:tcW w:type="dxa" w:w="2263"/>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21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t>Controlled</w:t>
            </w:r>
          </w:p>
        </w:tc>
        <w:tc>
          <w:tcPr>
            <w:tcW w:type="dxa" w:w="1278"/>
            <w:tcMar>
              <w:top w:w="40" w:type="dxa"/>
              <w:left w:w="110" w:type="dxa"/>
              <w:bottom w:w="40" w:type="dxa"/>
              <w:right w:w="110" w:type="dxa"/>
            </w:tcMar>
          </w:tcPr>
          <w:p>
            <w:pPr>
              <w:pStyle w:val="MasttTableCell"/>
              <w:spacing w:before="20" w:after="20"/>
            </w:pPr>
            <w:r/>
            <w:r>
              <w:rPr>
                <w:rFonts w:ascii="Segoe UI" w:hAnsi="Segoe UI"/>
                <w:color w:val="1D3245"/>
                <w:sz w:val="17"/>
              </w:rPr>
              <w:t>PDF</w:t>
            </w:r>
          </w:p>
        </w:tc>
      </w:tr>
      <w:tr>
        <w:trPr>
          <w:cantSplit w:val="true"/>
        </w:trPr>
        <w:tc>
          <w:tcPr>
            <w:tcW w:type="dxa" w:w="226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c>
          <w:tcPr>
            <w:tcW w:type="dxa" w:w="21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Controlled</w:t>
            </w:r>
          </w:p>
        </w:tc>
        <w:tc>
          <w:tcPr>
            <w:tcW w:type="dxa" w:w="12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PDF</w:t>
            </w:r>
          </w:p>
        </w:tc>
      </w:tr>
      <w:tr>
        <w:trPr>
          <w:cantSplit w:val="true"/>
        </w:trPr>
        <w:tc>
          <w:tcPr>
            <w:tcW w:type="dxa" w:w="2263"/>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tcPr>
          <w:p>
            <w:pPr>
              <w:pStyle w:val="MasttTableCell"/>
              <w:spacing w:before="20" w:after="20"/>
            </w:pPr>
            <w:r/>
            <w:r>
              <w:rPr>
                <w:rFonts w:ascii="Segoe UI" w:hAnsi="Segoe UI"/>
                <w:color w:val="1D3245"/>
                <w:sz w:val="17"/>
              </w:rPr>
              <w:t>HSE Manager</w:t>
            </w:r>
          </w:p>
        </w:tc>
        <w:tc>
          <w:tcPr>
            <w:tcW w:type="dxa" w:w="21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t>Controlled</w:t>
            </w:r>
          </w:p>
        </w:tc>
        <w:tc>
          <w:tcPr>
            <w:tcW w:type="dxa" w:w="1278"/>
            <w:tcMar>
              <w:top w:w="40" w:type="dxa"/>
              <w:left w:w="110" w:type="dxa"/>
              <w:bottom w:w="40" w:type="dxa"/>
              <w:right w:w="110" w:type="dxa"/>
            </w:tcMar>
          </w:tcPr>
          <w:p>
            <w:pPr>
              <w:pStyle w:val="MasttTableCell"/>
              <w:spacing w:before="20" w:after="20"/>
            </w:pPr>
            <w:r/>
            <w:r>
              <w:rPr>
                <w:rFonts w:ascii="Segoe UI" w:hAnsi="Segoe UI"/>
                <w:color w:val="1D3245"/>
                <w:sz w:val="17"/>
              </w:rPr>
              <w:t>PDF</w:t>
            </w:r>
          </w:p>
        </w:tc>
      </w:tr>
      <w:tr>
        <w:trPr>
          <w:cantSplit w:val="true"/>
        </w:trPr>
        <w:tc>
          <w:tcPr>
            <w:tcW w:type="dxa" w:w="226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Contractor's Project Manager</w:t>
            </w:r>
          </w:p>
        </w:tc>
        <w:tc>
          <w:tcPr>
            <w:tcW w:type="dxa" w:w="21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Uncontrolled</w:t>
            </w:r>
          </w:p>
        </w:tc>
        <w:tc>
          <w:tcPr>
            <w:tcW w:type="dxa" w:w="12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PDF</w:t>
            </w:r>
          </w:p>
        </w:tc>
      </w:tr>
      <w:tr>
        <w:trPr>
          <w:cantSplit w:val="true"/>
        </w:trPr>
        <w:tc>
          <w:tcPr>
            <w:tcW w:type="dxa" w:w="2263"/>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1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7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2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1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Related documents register</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List every document that this PEP depends on, governs or is governed by. State the relationship precisely - 'subordinate to', 'referenced by', 'expanded by' - so a reader knows which document prevails where they conflict. The order of precedence between the contract and this PEP must always favour the contract.</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15"/>
        <w:gridCol w:w="1332"/>
        <w:gridCol w:w="1094"/>
        <w:gridCol w:w="1517"/>
        <w:gridCol w:w="3054"/>
      </w:tblGrid>
      <w:tr>
        <w:trPr>
          <w:tblHeader w:val="true"/>
          <w:cantSplit w:val="true"/>
        </w:trPr>
        <w:tc>
          <w:tcPr>
            <w:tcW w:type="dxa" w:w="24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Document</w:t>
            </w:r>
          </w:p>
        </w:tc>
        <w:tc>
          <w:tcPr>
            <w:tcW w:type="dxa" w:w="13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Reference</w:t>
            </w:r>
          </w:p>
        </w:tc>
        <w:tc>
          <w:tcPr>
            <w:tcW w:type="dxa" w:w="10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Version</w:t>
            </w:r>
          </w:p>
        </w:tc>
        <w:tc>
          <w:tcPr>
            <w:tcW w:type="dxa" w:w="151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30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Relationship to this PEP</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t>Business case / investment case</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t>PEP delivers the approved investment; PEP is subordinate</w:t>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Project Initiation Document (PID) / charter</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PEP expands the PID into delivery detail</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t>Contract(s) and conditions of contract</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t>Contract prevails over the PEP in all cases</w:t>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Client project management framework</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PMO</w:t>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PEP must comply; deviations require PMO endorsement</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t>Risk management plan and risk register</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t>Risk Manager</w:t>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t>Expanded by Section 10</w:t>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Health, safety and wellbeing plan</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Expanded by Section 12</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t>Environmental and sustainability management plan</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t>ESG Lead</w:t>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t>Expanded by Section 13</w:t>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Quality management plan and ITPs</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Quality Manager</w:t>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Expanded by Section 11</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t>Information / BIM execution plan</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t>Information Manager</w:t>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t>Expanded by Section 14</w:t>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Commissioning and operational readiness plan</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 Manager</w:t>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Expanded by Section 20</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t>Handover checklist</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t>Referenced by Section 20</w:t>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Closeout checklist and final report</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Referenced by Sections 20 and 22</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t>Benefits realisation plan</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t>Expanded by Section 21</w:t>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Stakeholder and communications plan</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Comms Lead</w:t>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Expanded by Section 5</w:t>
            </w:r>
          </w:p>
        </w:tc>
      </w:tr>
      <w:tr>
        <w:trPr>
          <w:cantSplit w:val="true"/>
        </w:trPr>
        <w:tc>
          <w:tcPr>
            <w:tcW w:type="dxa" w:w="2415"/>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053"/>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41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0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Approval and authorisation</w:t>
      </w:r>
    </w:p>
    <w:p>
      <w:pPr>
        <w:pStyle w:val="MasttBody"/>
      </w:pPr>
      <w:r>
        <w:t>This Project Execution Plan is the approved statement of how the project will be delivered. On approval it becomes the delivery baseline for scope, governance, schedule, cost, risk, quality, safety, environment and information management. All members of the project team, and all consultants, contractors and suppliers to the extent incorporated into their contracts, are to work in accordance with it.</w:t>
      </w:r>
    </w:p>
    <w:p>
      <w:pPr>
        <w:pStyle w:val="MasttBody"/>
      </w:pPr>
      <w:r>
        <w:t>No person may depart from this plan without an approved change in accordance with Section 18 (Change Control). Where this plan conflicts with an executed contract, the contract prevails. Where it conflicts with a statutory obligation applicable in the relevant jurisdiction, the statutory obligation prevails and the Project Manager must raise a plan revision immediately.</w:t>
      </w:r>
    </w:p>
    <w:p>
      <w:pPr>
        <w:pStyle w:val="MasttBody"/>
      </w:pPr>
      <w:r>
        <w:t>By signing below, each signatory confirms they have read the plan, accept the responsibilities assigned to their role, and are satisfied that the resources, controls and authorities described are adequate for the project as currently defined.</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Pr>
      <w:tblGrid>
        <w:gridCol w:w="1882"/>
        <w:gridCol w:w="1882"/>
        <w:gridCol w:w="1882"/>
        <w:gridCol w:w="1882"/>
        <w:gridCol w:w="1882"/>
      </w:tblGrid>
      <w:tr>
        <w:trPr>
          <w:tblHeader w:val="true"/>
        </w:trPr>
        <w:tc>
          <w:tcPr>
            <w:tcW w:type="dxa" w:w="2381"/>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Role</w:t>
            </w:r>
          </w:p>
        </w:tc>
        <w:tc>
          <w:tcPr>
            <w:tcW w:type="dxa" w:w="1928"/>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Name</w:t>
            </w:r>
          </w:p>
        </w:tc>
        <w:tc>
          <w:tcPr>
            <w:tcW w:type="dxa" w:w="1928"/>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Organisation</w:t>
            </w:r>
          </w:p>
        </w:tc>
        <w:tc>
          <w:tcPr>
            <w:tcW w:type="dxa" w:w="1814"/>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Signature</w:t>
            </w:r>
          </w:p>
        </w:tc>
        <w:tc>
          <w:tcPr>
            <w:tcW w:type="dxa" w:w="1361"/>
            <w:shd w:val="clear" w:color="auto" w:fill="1D3245"/>
            <w:tcMar>
              <w:top w:w="70" w:type="dxa"/>
              <w:left w:w="110" w:type="dxa"/>
              <w:bottom w:w="70" w:type="dxa"/>
              <w:right w:w="110" w:type="dxa"/>
            </w:tcMar>
          </w:tcPr>
          <w:p>
            <w:pPr>
              <w:pStyle w:val="MasttTableHead"/>
            </w:pPr>
            <w:r/>
            <w:r>
              <w:rPr>
                <w:rFonts w:ascii="Segoe UI Semibold" w:hAnsi="Segoe UI Semibold"/>
                <w:b/>
                <w:color w:val="FFFFFF"/>
                <w:sz w:val="18"/>
              </w:rPr>
              <w:t>Date</w:t>
            </w:r>
          </w:p>
        </w:tc>
      </w:tr>
      <w:tr>
        <w:tc>
          <w:tcPr>
            <w:tcW w:type="dxa" w:w="2381"/>
            <w:tcMar>
              <w:top w:w="60" w:type="dxa"/>
              <w:left w:w="110" w:type="dxa"/>
              <w:bottom w:w="60" w:type="dxa"/>
              <w:right w:w="110" w:type="dxa"/>
            </w:tcMar>
          </w:tcPr>
          <w:p>
            <w:pPr>
              <w:pStyle w:val="MasttTableCell"/>
            </w:pPr>
            <w:r/>
            <w:r>
              <w:rPr>
                <w:rFonts w:ascii="Segoe UI" w:hAnsi="Segoe UI"/>
                <w:b/>
                <w:color w:val="1D3245"/>
                <w:sz w:val="18"/>
              </w:rPr>
              <w:t>Prepared by - Project Manager</w:t>
            </w:r>
          </w:p>
        </w:tc>
        <w:tc>
          <w:tcPr>
            <w:tcW w:type="dxa" w:w="1928"/>
            <w:tcMar>
              <w:top w:w="60" w:type="dxa"/>
              <w:left w:w="110" w:type="dxa"/>
              <w:bottom w:w="60" w:type="dxa"/>
              <w:right w:w="110" w:type="dxa"/>
            </w:tcMar>
          </w:tcPr>
          <w:p>
            <w:pPr>
              <w:pStyle w:val="MasttTableCell"/>
            </w:pPr>
            <w:r/>
            <w:r>
              <w:rPr>
                <w:rFonts w:ascii="Segoe UI" w:hAnsi="Segoe UI"/>
                <w:color w:val="1D3245"/>
                <w:sz w:val="18"/>
              </w:rPr>
            </w:r>
          </w:p>
        </w:tc>
        <w:tc>
          <w:tcPr>
            <w:tcW w:type="dxa" w:w="1928"/>
            <w:tcMar>
              <w:top w:w="60" w:type="dxa"/>
              <w:left w:w="110" w:type="dxa"/>
              <w:bottom w:w="60" w:type="dxa"/>
              <w:right w:w="110" w:type="dxa"/>
            </w:tcMar>
          </w:tcPr>
          <w:p>
            <w:pPr>
              <w:pStyle w:val="MasttTableCell"/>
            </w:pPr>
            <w:r/>
            <w:r>
              <w:rPr>
                <w:rFonts w:ascii="Segoe UI" w:hAnsi="Segoe UI"/>
                <w:color w:val="1D3245"/>
                <w:sz w:val="18"/>
              </w:rPr>
            </w:r>
          </w:p>
        </w:tc>
        <w:tc>
          <w:tcPr>
            <w:tcW w:type="dxa" w:w="1814"/>
            <w:tcMar>
              <w:top w:w="60" w:type="dxa"/>
              <w:left w:w="110" w:type="dxa"/>
              <w:bottom w:w="60" w:type="dxa"/>
              <w:right w:w="110" w:type="dxa"/>
            </w:tcMar>
          </w:tcPr>
          <w:p>
            <w:pPr>
              <w:pStyle w:val="MasttTableCell"/>
            </w:pPr>
            <w:r/>
            <w:r>
              <w:rPr>
                <w:rFonts w:ascii="Segoe UI" w:hAnsi="Segoe UI"/>
                <w:color w:val="1D3245"/>
                <w:sz w:val="18"/>
              </w:rPr>
            </w:r>
          </w:p>
        </w:tc>
        <w:tc>
          <w:tcPr>
            <w:tcW w:type="dxa" w:w="1361"/>
            <w:tcMar>
              <w:top w:w="60" w:type="dxa"/>
              <w:left w:w="110" w:type="dxa"/>
              <w:bottom w:w="60" w:type="dxa"/>
              <w:right w:w="110" w:type="dxa"/>
            </w:tcMar>
          </w:tcPr>
          <w:p>
            <w:pPr>
              <w:pStyle w:val="MasttTableCell"/>
            </w:pPr>
            <w:r/>
            <w:r>
              <w:rPr>
                <w:rFonts w:ascii="Segoe UI" w:hAnsi="Segoe UI"/>
                <w:color w:val="1D3245"/>
                <w:sz w:val="18"/>
              </w:rPr>
            </w:r>
          </w:p>
        </w:tc>
      </w:tr>
      <w:tr>
        <w:tc>
          <w:tcPr>
            <w:tcW w:type="dxa" w:w="2381"/>
            <w:tcMar>
              <w:top w:w="60" w:type="dxa"/>
              <w:left w:w="110" w:type="dxa"/>
              <w:bottom w:w="60" w:type="dxa"/>
              <w:right w:w="110" w:type="dxa"/>
            </w:tcMar>
            <w:shd w:val="clear" w:color="auto" w:fill="F6F9FC"/>
          </w:tcPr>
          <w:p>
            <w:pPr>
              <w:pStyle w:val="MasttTableCell"/>
            </w:pPr>
            <w:r/>
            <w:r>
              <w:rPr>
                <w:rFonts w:ascii="Segoe UI" w:hAnsi="Segoe UI"/>
                <w:b/>
                <w:color w:val="1D3245"/>
                <w:sz w:val="18"/>
              </w:rPr>
              <w:t>Reviewed by - Project Director</w:t>
            </w:r>
          </w:p>
        </w:tc>
        <w:tc>
          <w:tcPr>
            <w:tcW w:type="dxa" w:w="1928"/>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928"/>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81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361"/>
            <w:tcMar>
              <w:top w:w="60" w:type="dxa"/>
              <w:left w:w="110" w:type="dxa"/>
              <w:bottom w:w="60" w:type="dxa"/>
              <w:right w:w="110" w:type="dxa"/>
            </w:tcMar>
            <w:shd w:val="clear" w:color="auto" w:fill="F6F9FC"/>
          </w:tcPr>
          <w:p>
            <w:pPr>
              <w:pStyle w:val="MasttTableCell"/>
            </w:pPr>
            <w:r/>
            <w:r>
              <w:rPr>
                <w:rFonts w:ascii="Segoe UI" w:hAnsi="Segoe UI"/>
                <w:color w:val="1D3245"/>
                <w:sz w:val="18"/>
              </w:rPr>
            </w:r>
          </w:p>
        </w:tc>
      </w:tr>
      <w:tr>
        <w:tc>
          <w:tcPr>
            <w:tcW w:type="dxa" w:w="2381"/>
            <w:tcMar>
              <w:top w:w="60" w:type="dxa"/>
              <w:left w:w="110" w:type="dxa"/>
              <w:bottom w:w="60" w:type="dxa"/>
              <w:right w:w="110" w:type="dxa"/>
            </w:tcMar>
          </w:tcPr>
          <w:p>
            <w:pPr>
              <w:pStyle w:val="MasttTableCell"/>
            </w:pPr>
            <w:r/>
            <w:r>
              <w:rPr>
                <w:rFonts w:ascii="Segoe UI" w:hAnsi="Segoe UI"/>
                <w:b/>
                <w:color w:val="1D3245"/>
                <w:sz w:val="18"/>
              </w:rPr>
              <w:t>Reviewed by - Commercial Manager</w:t>
            </w:r>
          </w:p>
        </w:tc>
        <w:tc>
          <w:tcPr>
            <w:tcW w:type="dxa" w:w="1928"/>
            <w:tcMar>
              <w:top w:w="60" w:type="dxa"/>
              <w:left w:w="110" w:type="dxa"/>
              <w:bottom w:w="60" w:type="dxa"/>
              <w:right w:w="110" w:type="dxa"/>
            </w:tcMar>
          </w:tcPr>
          <w:p>
            <w:pPr>
              <w:pStyle w:val="MasttTableCell"/>
            </w:pPr>
            <w:r/>
            <w:r>
              <w:rPr>
                <w:rFonts w:ascii="Segoe UI" w:hAnsi="Segoe UI"/>
                <w:color w:val="1D3245"/>
                <w:sz w:val="18"/>
              </w:rPr>
            </w:r>
          </w:p>
        </w:tc>
        <w:tc>
          <w:tcPr>
            <w:tcW w:type="dxa" w:w="1928"/>
            <w:tcMar>
              <w:top w:w="60" w:type="dxa"/>
              <w:left w:w="110" w:type="dxa"/>
              <w:bottom w:w="60" w:type="dxa"/>
              <w:right w:w="110" w:type="dxa"/>
            </w:tcMar>
          </w:tcPr>
          <w:p>
            <w:pPr>
              <w:pStyle w:val="MasttTableCell"/>
            </w:pPr>
            <w:r/>
            <w:r>
              <w:rPr>
                <w:rFonts w:ascii="Segoe UI" w:hAnsi="Segoe UI"/>
                <w:color w:val="1D3245"/>
                <w:sz w:val="18"/>
              </w:rPr>
            </w:r>
          </w:p>
        </w:tc>
        <w:tc>
          <w:tcPr>
            <w:tcW w:type="dxa" w:w="1814"/>
            <w:tcMar>
              <w:top w:w="60" w:type="dxa"/>
              <w:left w:w="110" w:type="dxa"/>
              <w:bottom w:w="60" w:type="dxa"/>
              <w:right w:w="110" w:type="dxa"/>
            </w:tcMar>
          </w:tcPr>
          <w:p>
            <w:pPr>
              <w:pStyle w:val="MasttTableCell"/>
            </w:pPr>
            <w:r/>
            <w:r>
              <w:rPr>
                <w:rFonts w:ascii="Segoe UI" w:hAnsi="Segoe UI"/>
                <w:color w:val="1D3245"/>
                <w:sz w:val="18"/>
              </w:rPr>
            </w:r>
          </w:p>
        </w:tc>
        <w:tc>
          <w:tcPr>
            <w:tcW w:type="dxa" w:w="1361"/>
            <w:tcMar>
              <w:top w:w="60" w:type="dxa"/>
              <w:left w:w="110" w:type="dxa"/>
              <w:bottom w:w="60" w:type="dxa"/>
              <w:right w:w="110" w:type="dxa"/>
            </w:tcMar>
          </w:tcPr>
          <w:p>
            <w:pPr>
              <w:pStyle w:val="MasttTableCell"/>
            </w:pPr>
            <w:r/>
            <w:r>
              <w:rPr>
                <w:rFonts w:ascii="Segoe UI" w:hAnsi="Segoe UI"/>
                <w:color w:val="1D3245"/>
                <w:sz w:val="18"/>
              </w:rPr>
            </w:r>
          </w:p>
        </w:tc>
      </w:tr>
      <w:tr>
        <w:tc>
          <w:tcPr>
            <w:tcW w:type="dxa" w:w="2381"/>
            <w:tcMar>
              <w:top w:w="60" w:type="dxa"/>
              <w:left w:w="110" w:type="dxa"/>
              <w:bottom w:w="60" w:type="dxa"/>
              <w:right w:w="110" w:type="dxa"/>
            </w:tcMar>
            <w:shd w:val="clear" w:color="auto" w:fill="F6F9FC"/>
          </w:tcPr>
          <w:p>
            <w:pPr>
              <w:pStyle w:val="MasttTableCell"/>
            </w:pPr>
            <w:r/>
            <w:r>
              <w:rPr>
                <w:rFonts w:ascii="Segoe UI" w:hAnsi="Segoe UI"/>
                <w:b/>
                <w:color w:val="1D3245"/>
                <w:sz w:val="18"/>
              </w:rPr>
              <w:t>Reviewed by - HSE Manager</w:t>
            </w:r>
          </w:p>
        </w:tc>
        <w:tc>
          <w:tcPr>
            <w:tcW w:type="dxa" w:w="1928"/>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928"/>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81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361"/>
            <w:tcMar>
              <w:top w:w="60" w:type="dxa"/>
              <w:left w:w="110" w:type="dxa"/>
              <w:bottom w:w="60" w:type="dxa"/>
              <w:right w:w="110" w:type="dxa"/>
            </w:tcMar>
            <w:shd w:val="clear" w:color="auto" w:fill="F6F9FC"/>
          </w:tcPr>
          <w:p>
            <w:pPr>
              <w:pStyle w:val="MasttTableCell"/>
            </w:pPr>
            <w:r/>
            <w:r>
              <w:rPr>
                <w:rFonts w:ascii="Segoe UI" w:hAnsi="Segoe UI"/>
                <w:color w:val="1D3245"/>
                <w:sz w:val="18"/>
              </w:rPr>
            </w:r>
          </w:p>
        </w:tc>
      </w:tr>
      <w:tr>
        <w:tc>
          <w:tcPr>
            <w:tcW w:type="dxa" w:w="2381"/>
            <w:tcMar>
              <w:top w:w="60" w:type="dxa"/>
              <w:left w:w="110" w:type="dxa"/>
              <w:bottom w:w="60" w:type="dxa"/>
              <w:right w:w="110" w:type="dxa"/>
            </w:tcMar>
          </w:tcPr>
          <w:p>
            <w:pPr>
              <w:pStyle w:val="MasttTableCell"/>
            </w:pPr>
            <w:r/>
            <w:r>
              <w:rPr>
                <w:rFonts w:ascii="Segoe UI" w:hAnsi="Segoe UI"/>
                <w:b/>
                <w:color w:val="1D3245"/>
                <w:sz w:val="18"/>
              </w:rPr>
              <w:t>Endorsed by - Client Representative</w:t>
            </w:r>
          </w:p>
        </w:tc>
        <w:tc>
          <w:tcPr>
            <w:tcW w:type="dxa" w:w="1928"/>
            <w:tcMar>
              <w:top w:w="60" w:type="dxa"/>
              <w:left w:w="110" w:type="dxa"/>
              <w:bottom w:w="60" w:type="dxa"/>
              <w:right w:w="110" w:type="dxa"/>
            </w:tcMar>
          </w:tcPr>
          <w:p>
            <w:pPr>
              <w:pStyle w:val="MasttTableCell"/>
            </w:pPr>
            <w:r/>
            <w:r>
              <w:rPr>
                <w:rFonts w:ascii="Segoe UI" w:hAnsi="Segoe UI"/>
                <w:color w:val="1D3245"/>
                <w:sz w:val="18"/>
              </w:rPr>
            </w:r>
          </w:p>
        </w:tc>
        <w:tc>
          <w:tcPr>
            <w:tcW w:type="dxa" w:w="1928"/>
            <w:tcMar>
              <w:top w:w="60" w:type="dxa"/>
              <w:left w:w="110" w:type="dxa"/>
              <w:bottom w:w="60" w:type="dxa"/>
              <w:right w:w="110" w:type="dxa"/>
            </w:tcMar>
          </w:tcPr>
          <w:p>
            <w:pPr>
              <w:pStyle w:val="MasttTableCell"/>
            </w:pPr>
            <w:r/>
            <w:r>
              <w:rPr>
                <w:rFonts w:ascii="Segoe UI" w:hAnsi="Segoe UI"/>
                <w:color w:val="1D3245"/>
                <w:sz w:val="18"/>
              </w:rPr>
            </w:r>
          </w:p>
        </w:tc>
        <w:tc>
          <w:tcPr>
            <w:tcW w:type="dxa" w:w="1814"/>
            <w:tcMar>
              <w:top w:w="60" w:type="dxa"/>
              <w:left w:w="110" w:type="dxa"/>
              <w:bottom w:w="60" w:type="dxa"/>
              <w:right w:w="110" w:type="dxa"/>
            </w:tcMar>
          </w:tcPr>
          <w:p>
            <w:pPr>
              <w:pStyle w:val="MasttTableCell"/>
            </w:pPr>
            <w:r/>
            <w:r>
              <w:rPr>
                <w:rFonts w:ascii="Segoe UI" w:hAnsi="Segoe UI"/>
                <w:color w:val="1D3245"/>
                <w:sz w:val="18"/>
              </w:rPr>
            </w:r>
          </w:p>
        </w:tc>
        <w:tc>
          <w:tcPr>
            <w:tcW w:type="dxa" w:w="1361"/>
            <w:tcMar>
              <w:top w:w="60" w:type="dxa"/>
              <w:left w:w="110" w:type="dxa"/>
              <w:bottom w:w="60" w:type="dxa"/>
              <w:right w:w="110" w:type="dxa"/>
            </w:tcMar>
          </w:tcPr>
          <w:p>
            <w:pPr>
              <w:pStyle w:val="MasttTableCell"/>
            </w:pPr>
            <w:r/>
            <w:r>
              <w:rPr>
                <w:rFonts w:ascii="Segoe UI" w:hAnsi="Segoe UI"/>
                <w:color w:val="1D3245"/>
                <w:sz w:val="18"/>
              </w:rPr>
            </w:r>
          </w:p>
        </w:tc>
      </w:tr>
      <w:tr>
        <w:tc>
          <w:tcPr>
            <w:tcW w:type="dxa" w:w="2381"/>
            <w:tcMar>
              <w:top w:w="60" w:type="dxa"/>
              <w:left w:w="110" w:type="dxa"/>
              <w:bottom w:w="60" w:type="dxa"/>
              <w:right w:w="110" w:type="dxa"/>
            </w:tcMar>
            <w:shd w:val="clear" w:color="auto" w:fill="F6F9FC"/>
          </w:tcPr>
          <w:p>
            <w:pPr>
              <w:pStyle w:val="MasttTableCell"/>
            </w:pPr>
            <w:r/>
            <w:r>
              <w:rPr>
                <w:rFonts w:ascii="Segoe UI" w:hAnsi="Segoe UI"/>
                <w:b/>
                <w:color w:val="1D3245"/>
                <w:sz w:val="18"/>
              </w:rPr>
              <w:t>Approved by - Project Sponsor</w:t>
            </w:r>
          </w:p>
        </w:tc>
        <w:tc>
          <w:tcPr>
            <w:tcW w:type="dxa" w:w="1928"/>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928"/>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814"/>
            <w:tcMar>
              <w:top w:w="60" w:type="dxa"/>
              <w:left w:w="110" w:type="dxa"/>
              <w:bottom w:w="60" w:type="dxa"/>
              <w:right w:w="110" w:type="dxa"/>
            </w:tcMar>
            <w:shd w:val="clear" w:color="auto" w:fill="F6F9FC"/>
          </w:tcPr>
          <w:p>
            <w:pPr>
              <w:pStyle w:val="MasttTableCell"/>
            </w:pPr>
            <w:r/>
            <w:r>
              <w:rPr>
                <w:rFonts w:ascii="Segoe UI" w:hAnsi="Segoe UI"/>
                <w:color w:val="1D3245"/>
                <w:sz w:val="18"/>
              </w:rPr>
            </w:r>
          </w:p>
        </w:tc>
        <w:tc>
          <w:tcPr>
            <w:tcW w:type="dxa" w:w="1361"/>
            <w:tcMar>
              <w:top w:w="60" w:type="dxa"/>
              <w:left w:w="110" w:type="dxa"/>
              <w:bottom w:w="60" w:type="dxa"/>
              <w:right w:w="110" w:type="dxa"/>
            </w:tcMar>
            <w:shd w:val="clear" w:color="auto" w:fill="F6F9FC"/>
          </w:tcPr>
          <w:p>
            <w:pPr>
              <w:pStyle w:val="MasttTableCell"/>
            </w:pPr>
            <w:r/>
            <w:r>
              <w:rPr>
                <w:rFonts w:ascii="Segoe UI" w:hAnsi="Segoe UI"/>
                <w:color w:val="1D3245"/>
                <w:sz w:val="18"/>
              </w:rPr>
            </w:r>
          </w:p>
        </w:tc>
      </w:tr>
    </w:tbl>
    <w:p>
      <w:pPr>
        <w:spacing w:after="80"/>
      </w:pPr>
    </w:p>
    <w:p>
      <w:pPr>
        <w:pStyle w:val="MasttCaption"/>
        <w:spacing w:after="180"/>
      </w:pPr>
      <w:r>
        <w:rPr>
          <w:color w:val="8E98A2"/>
          <w:sz w:val="16"/>
        </w:rPr>
        <w:t>Approval date establishes the PEP baseline. Record the approved revision number in the revision history and in the project controls system on the same day.</w:t>
      </w:r>
    </w:p>
    <w:p>
      <w:r>
        <w:br w:type="page"/>
      </w:r>
    </w:p>
    <w:p>
      <w:pPr>
        <w:pStyle w:val="Heading1"/>
        <w:pBdr>
          <w:bottom w:val="single" w:sz="6" w:space="4" w:color="C9D4E0"/>
        </w:pBdr>
      </w:pPr>
      <w:r>
        <w:t>Contents</w:t>
      </w:r>
    </w:p>
    <w:p>
      <w:fldSimple w:instr="TOC \o &quot;1-3&quot; \h \z \u">
        <w:r>
          <w:t>Right-click and choose 'Update Field' to build the table of contents.</w:t>
        </w:r>
      </w:fldSimple>
    </w:p>
    <w:p>
      <w:r>
        <w:br w:type="page"/>
      </w:r>
    </w:p>
    <w:p>
      <w:pPr>
        <w:pStyle w:val="Heading1"/>
        <w:pBdr>
          <w:bottom w:val="single" w:sz="6" w:space="4" w:color="C9D4E0"/>
        </w:pBdr>
      </w:pPr>
      <w:r>
        <w:t>Glossary, abbreviations and definitions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Delete terms that do not apply to your project and add any project-specific or contract-specific terms. Where a term is defined in the contract, the contract definition prevails and this glossary should cross-reference it rather than restate it.</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871"/>
        <w:gridCol w:w="7541"/>
      </w:tblGrid>
      <w:tr>
        <w:trPr>
          <w:tblHeader w:val="true"/>
          <w:cantSplit w:val="true"/>
        </w:trPr>
        <w:tc>
          <w:tcPr>
            <w:tcW w:type="dxa" w:w="187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Term</w:t>
            </w:r>
          </w:p>
        </w:tc>
        <w:tc>
          <w:tcPr>
            <w:tcW w:type="dxa" w:w="754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AFC</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Approved for Construction - the drawing or model status at which documentation may be used to build.</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As-built</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Records showing the works as physically constructed, including all approved changes, verified before handover.</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Assurance</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Independent, objective confirmation that project controls are designed and operating effectively.</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BIM</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Building Information Modelling - collaborative production and use of structured digital information about a built asset.</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BCR</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Benefit cost ratio - present value of benefits divided by present value of costs.</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Baseline</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approved version of scope, schedule, cost or another plan against which performance is measured; changed only by approved change control.</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CDE</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Common Data Environment - the single agreed source of information for the project, per ISO 19650.</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CBS</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breakdown structure - hierarchical decomposition of project cost into controllable accounts.</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Contingency</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Funds held within the baseline for identified risk within the Project Manager's or Sponsor's control.</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Control account</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management point where scope, budget, schedule and actual cost are integrated and measured.</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CPI</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Cost performance index - earned value divided by actual cost.</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Critical path</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longest sequence of logically linked activities that determines the earliest project completion date.</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DLP</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Defects liability period - the period after taking over during which the contractor must rectify notified defects.</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 freeze</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point beyond which design changes require formal change control and impact assessment.</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EAC</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Estimate at completion - the forecast total cost of the project.</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Early warning</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prompt notice of any matter that could affect cost, time, quality or safety, raised before it becomes a formal claim.</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EIR</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Exchange information requirements - what information the appointing party requires, when, and in what form.</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EOT</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Extension of time - a contractual adjustment to the date for completion arising from a qualifying delay event.</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EVM</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Earned value management - integrated scope, schedule and cost performance measurement technique.</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Float</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time an activity can be delayed without delaying a successor (free float) or the project completion (total float).</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Gateway review</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An independent review at a defined decision point confirming readiness to proceed to the next stage.</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Hold point</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mandatory verification point beyond which work must not proceed without documented release.</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IFC</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Issued for construction - see AFC; usage varies by contract.</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ITP</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Inspection and test plan - the sequenced record of inspections, tests, hold and witness points for a work activity.</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Interface</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A defined boundary between parties, systems, packages or physical works requiring coordinated management.</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Level of information need</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extent of geometrical, alphanumerical and documentation content required for a given information exchange.</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LTIFR</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Lost time injury frequency rate - lost time injuries per million hours worked.</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Milestone</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zero-duration schedule event marking a significant achievement, decision or obligation.</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Mock-up</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A physical sample of an assembly built for approval of appearance, workmanship and performance before production.</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NCR</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Non-conformance report - the record of work that does not meet specified requirements, and its disposition.</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Novation</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Transfer of a consultant's appointment from the client to the contractor, with the consultant's obligations continuing to the new party.</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OBS</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Organisational breakdown structure - mapping of scope to the people and organisations accountable for it.</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Operational readiness</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The activities that prepare the operator, users and systems to accept and run the asset.</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PC</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Practical completion / taking over - the point at which the works are fit for their intended use, subject to minor defects.</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PEP</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Project Execution Plan - this document; the operating manual for delivery.</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PID</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Initiation Document - the mandate defining why the project exists, its objectives and its authority.</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PMO</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Project (or portfolio) management office - the function setting and assuring delivery standards.</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Provisional sum</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An allowance in the contract price for work not yet sufficiently defined, adjusted when instructed.</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Quantitative risk analysis</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Probabilistic modelling of cost and schedule risk to derive confidence levels and contingency.</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RACI</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Responsible, Accountable, Consulted, Informed - the responsibility assignment convention used in this plan.</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Rebaseline</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Formal replacement of an approved baseline following an authorised change of sufficient magnitude.</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Residual risk</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risk remaining after planned treatments have been implemented.</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Risk appetite</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The amount and type of risk the organisation is willing to pursue or retain in pursuit of its objectives.</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RFI</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Request for information - a formal query seeking clarification of the design or contract documents.</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Snagging / punch list</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The register of minor defects and outstanding items identified at completion inspections.</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Soft landings</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structured process extending designer and contractor involvement beyond handover to tune performance in use.</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SPI</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Schedule performance index - earned value divided by planned value.</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Stage gate</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control point at which continuation, change or termination of the project is formally decided.</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TRIFR</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Total recordable injury frequency rate - recordable injuries per million hours worked.</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Value engineering</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Structured review of function against cost to improve value without reducing required performance.</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Variation / change order</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An instructed change to the scope, quality or sequence of the contract works.</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VAC</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Variance at completion - budget at completion less estimate at completion.</w:t>
            </w:r>
          </w:p>
        </w:tc>
      </w:tr>
      <w:tr>
        <w:trPr>
          <w:cantSplit w:val="true"/>
        </w:trPr>
        <w:tc>
          <w:tcPr>
            <w:tcW w:type="dxa" w:w="1871"/>
            <w:tcMar>
              <w:top w:w="40" w:type="dxa"/>
              <w:left w:w="110" w:type="dxa"/>
              <w:bottom w:w="40" w:type="dxa"/>
              <w:right w:w="110" w:type="dxa"/>
            </w:tcMar>
          </w:tcPr>
          <w:p>
            <w:pPr>
              <w:pStyle w:val="MasttTableCell"/>
              <w:spacing w:before="20" w:after="20"/>
            </w:pPr>
            <w:r/>
            <w:r>
              <w:rPr>
                <w:rFonts w:ascii="Segoe UI" w:hAnsi="Segoe UI"/>
                <w:b/>
                <w:color w:val="1D3245"/>
                <w:sz w:val="17"/>
              </w:rPr>
              <w:t>WBS</w:t>
            </w:r>
          </w:p>
        </w:tc>
        <w:tc>
          <w:tcPr>
            <w:tcW w:type="dxa" w:w="7540"/>
            <w:tcMar>
              <w:top w:w="40" w:type="dxa"/>
              <w:left w:w="110" w:type="dxa"/>
              <w:bottom w:w="40" w:type="dxa"/>
              <w:right w:w="110" w:type="dxa"/>
            </w:tcMar>
          </w:tcPr>
          <w:p>
            <w:pPr>
              <w:pStyle w:val="MasttTableCell"/>
              <w:spacing w:before="20" w:after="20"/>
            </w:pPr>
            <w:r/>
            <w:r>
              <w:rPr>
                <w:rFonts w:ascii="Segoe UI" w:hAnsi="Segoe UI"/>
                <w:color w:val="1D3245"/>
                <w:sz w:val="17"/>
              </w:rPr>
              <w:t>Work breakdown structure - hierarchical decomposition of the total scope into deliverable-oriented elements.</w:t>
            </w:r>
          </w:p>
        </w:tc>
      </w:tr>
      <w:tr>
        <w:trPr>
          <w:cantSplit w:val="true"/>
        </w:trPr>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Witness point</w:t>
            </w:r>
          </w:p>
        </w:tc>
        <w:tc>
          <w:tcPr>
            <w:tcW w:type="dxa" w:w="75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notified verification point that the client may attend; work may proceed if the client does not attend within the notice period.</w:t>
            </w:r>
          </w:p>
        </w:tc>
      </w:tr>
    </w:tbl>
    <w:p>
      <w:pPr>
        <w:rPr>
          <w:sz w:val="8"/>
        </w:rPr>
        <w:spacing w:after="40" w:before="0" w:line="240" w:lineRule="auto"/>
      </w:pPr>
    </w:p>
    <w:p>
      <w:r>
        <w:br w:type="page"/>
      </w:r>
    </w:p>
    <w:p>
      <w:pPr>
        <w:pStyle w:val="Heading1"/>
        <w:pBdr>
          <w:bottom w:val="single" w:sz="6" w:space="4" w:color="C9D4E0"/>
        </w:pBdr>
      </w:pPr>
      <w:r>
        <w:t>How to use this template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This template is deliberately comprehensive so that it can be cut down rather than built up. Delete what does not apply to your project, but record in the revision history what you removed and why - an unexplained omission is indistinguishable from an oversight at an audit.</w:t>
            </w:r>
          </w:p>
        </w:tc>
      </w:tr>
    </w:tbl>
    <w:p>
      <w:pPr>
        <w:rPr>
          <w:sz w:val="8"/>
        </w:rPr>
        <w:spacing w:after="40" w:before="0" w:line="240" w:lineRule="auto"/>
      </w:pPr>
    </w:p>
    <w:p>
      <w:pPr>
        <w:pStyle w:val="ListBullet"/>
        <w:spacing w:after="60"/>
        <w:ind w:left="340"/>
      </w:pPr>
      <w:r>
        <w:rPr>
          <w:rFonts w:ascii="Segoe UI" w:hAnsi="Segoe UI"/>
          <w:color w:val="1D3245"/>
          <w:sz w:val="20"/>
        </w:rPr>
        <w:t>Work front to back. Sections 1 to 4 set the frame; everything after depends on them being right.</w:t>
      </w:r>
    </w:p>
    <w:p>
      <w:pPr>
        <w:pStyle w:val="ListBullet"/>
        <w:spacing w:after="60"/>
        <w:ind w:left="340"/>
      </w:pPr>
      <w:r>
        <w:rPr>
          <w:rFonts w:ascii="Segoe UI" w:hAnsi="Segoe UI"/>
          <w:color w:val="1D3245"/>
          <w:sz w:val="20"/>
        </w:rPr>
        <w:t>Replace every square-bracketed prompt and every italic guidance line with project-specific content. Delete the grey Guidance callouts before issuing - they are written for the author, not the reader.</w:t>
      </w:r>
    </w:p>
    <w:p>
      <w:pPr>
        <w:pStyle w:val="ListBullet"/>
        <w:spacing w:after="60"/>
        <w:ind w:left="340"/>
      </w:pPr>
      <w:r>
        <w:rPr>
          <w:rFonts w:ascii="Segoe UI" w:hAnsi="Segoe UI"/>
          <w:color w:val="1D3245"/>
          <w:sz w:val="20"/>
        </w:rPr>
        <w:t>Populate every table. A table left with only header rows tells a reviewer the section was not thought about.</w:t>
      </w:r>
    </w:p>
    <w:p>
      <w:pPr>
        <w:pStyle w:val="ListBullet"/>
        <w:spacing w:after="60"/>
        <w:ind w:left="340"/>
      </w:pPr>
      <w:r>
        <w:rPr>
          <w:rFonts w:ascii="Segoe UI" w:hAnsi="Segoe UI"/>
          <w:color w:val="1D3245"/>
          <w:sz w:val="20"/>
        </w:rPr>
        <w:t>Reconcile the three places where authority thresholds appear - Sections 3.8, 4.6 and 18.4 - so that they state identical figures.</w:t>
      </w:r>
    </w:p>
    <w:p>
      <w:pPr>
        <w:pStyle w:val="ListBullet"/>
        <w:spacing w:after="60"/>
        <w:ind w:left="340"/>
      </w:pPr>
      <w:r>
        <w:rPr>
          <w:rFonts w:ascii="Segoe UI" w:hAnsi="Segoe UI"/>
          <w:color w:val="1D3245"/>
          <w:sz w:val="20"/>
        </w:rPr>
        <w:t>Reconcile the milestone list in Section 8.5 with Appendix A and with the baseline schedule.</w:t>
      </w:r>
    </w:p>
    <w:p>
      <w:pPr>
        <w:pStyle w:val="ListBullet"/>
        <w:spacing w:after="60"/>
        <w:ind w:left="340"/>
      </w:pPr>
      <w:r>
        <w:rPr>
          <w:rFonts w:ascii="Segoe UI" w:hAnsi="Segoe UI"/>
          <w:color w:val="1D3245"/>
          <w:sz w:val="20"/>
        </w:rPr>
        <w:t>Have each discipline lead review and accept their own section before the plan goes for approval; ownership of a section is ownership of the process it describes.</w:t>
      </w:r>
    </w:p>
    <w:p>
      <w:pPr>
        <w:pStyle w:val="ListBullet"/>
        <w:spacing w:after="60"/>
        <w:ind w:left="340"/>
      </w:pPr>
      <w:r>
        <w:rPr>
          <w:rFonts w:ascii="Segoe UI" w:hAnsi="Segoe UI"/>
          <w:color w:val="1D3245"/>
          <w:sz w:val="20"/>
        </w:rPr>
        <w:t>Issue the approved plan to everyone on the distribution list and withdraw the superseded revision.</w:t>
      </w:r>
    </w:p>
    <w:p>
      <w:pPr>
        <w:pStyle w:val="ListBullet"/>
        <w:spacing w:after="60"/>
        <w:ind w:left="340"/>
      </w:pPr>
      <w:r>
        <w:rPr>
          <w:rFonts w:ascii="Segoe UI" w:hAnsi="Segoe UI"/>
          <w:color w:val="1D3245"/>
          <w:sz w:val="20"/>
        </w:rPr>
        <w:t>Review the plan at every stage gate and whenever a trigger in Section 1.5 occurs.</w:t>
      </w:r>
    </w:p>
    <w:p>
      <w:pPr>
        <w:pStyle w:val="MasttBody"/>
      </w:pPr>
      <w:r>
        <w:t>Standards alignment. This template is written to be jurisdiction-neutral and draws on ISO 21500 and ISO 21502 (project, programme and portfolio management guidance), ISO 21501, the PMBOK Guide performance domains, ISO 31000 (risk management), ISO 19650 (information management using building information modelling), ISO 9001, ISO 14001 and ISO 45001 (quality, environmental and occupational health and safety management systems), ISO 55000 (asset management), the RIBA Plan of Work stage framework, and generic contract concepts common to the FIDIC and NEC families. It does not assert which contract form, statute or regulatory regime applies to your project. Legal and statutory requirements must be confirmed for the applicable jurisdiction.</w:t>
      </w:r>
    </w:p>
    <w:p>
      <w:r>
        <w:br w:type="page"/>
      </w:r>
    </w:p>
    <w:p>
      <w:pPr>
        <w:pStyle w:val="Heading1"/>
        <w:pBdr>
          <w:bottom w:val="single" w:sz="6" w:space="4" w:color="C9D4E0"/>
        </w:pBdr>
      </w:pPr>
      <w:r>
        <w:t>1.  Introduction and purpose</w:t>
      </w:r>
    </w:p>
    <w:p>
      <w:pPr>
        <w:pStyle w:val="Heading2"/>
      </w:pPr>
      <w:r>
        <w:t>1.1  Purpose of this plan</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State in two or three sentences why this plan exists and what a reader should be able to do with it. A good PEP answers a single question for every member of the delivery team: 'how do we do this here?' It is not a restatement of the business case and it is not a contract - it is the operating manual for delivery.</w:t>
            </w:r>
          </w:p>
        </w:tc>
      </w:tr>
    </w:tbl>
    <w:p>
      <w:pPr>
        <w:rPr>
          <w:sz w:val="8"/>
        </w:rPr>
        <w:spacing w:after="40" w:before="0" w:line="240" w:lineRule="auto"/>
      </w:pPr>
    </w:p>
    <w:p>
      <w:pPr>
        <w:pStyle w:val="MasttBody"/>
      </w:pPr>
      <w:r>
        <w:t>This Project Execution Plan (PEP) defines how the project will be delivered. It sets out the governance, organisation, processes, controls, standards and reporting that the delivery team will apply from the point of approval through to closeout and benefits realisation. It converts the intent recorded in the business case and Project Initiation Document into an executable delivery system.</w:t>
      </w:r>
    </w:p>
    <w:p>
      <w:pPr>
        <w:pStyle w:val="MasttBody"/>
      </w:pPr>
      <w:r>
        <w:t>The plan is written to be used, not filed. Every section states who does what, by when, to what standard, and what happens when the standard is not met.</w:t>
      </w:r>
    </w:p>
    <w:p>
      <w:pPr>
        <w:pStyle w:val="MasttInput"/>
        <w:spacing w:after="160"/>
        <w:pBdr>
          <w:left w:val="single" w:sz="12" w:space="8" w:color="DCE3EC"/>
        </w:pBdr>
        <w:ind w:left="198"/>
      </w:pPr>
      <w:r>
        <w:rPr>
          <w:rFonts w:ascii="Segoe UI" w:hAnsi="Segoe UI"/>
          <w:i/>
          <w:color w:val="8E98A2"/>
          <w:sz w:val="19"/>
        </w:rPr>
        <w:t>[Insert a project-specific purpose statement. Name the asset, the client, the delivery model and the outcome the project must achieve.]</w:t>
      </w:r>
    </w:p>
    <w:p>
      <w:pPr>
        <w:pStyle w:val="Heading2"/>
      </w:pPr>
      <w:r>
        <w:t>1.2  Scope of application</w:t>
      </w:r>
    </w:p>
    <w:p>
      <w:pPr>
        <w:pStyle w:val="MasttBody"/>
      </w:pPr>
      <w:r>
        <w:t>This plan applies to:</w:t>
      </w:r>
    </w:p>
    <w:p>
      <w:pPr>
        <w:pStyle w:val="ListBullet"/>
        <w:spacing w:after="60"/>
        <w:ind w:left="340"/>
      </w:pPr>
      <w:r>
        <w:rPr>
          <w:rFonts w:ascii="Segoe UI" w:hAnsi="Segoe UI"/>
          <w:color w:val="1D3245"/>
          <w:sz w:val="20"/>
        </w:rPr>
        <w:t>All phases of the project from delivery mobilisation through design, procurement, construction, commissioning, handover and closeout.</w:t>
      </w:r>
    </w:p>
    <w:p>
      <w:pPr>
        <w:pStyle w:val="ListBullet"/>
        <w:spacing w:after="60"/>
        <w:ind w:left="340"/>
      </w:pPr>
      <w:r>
        <w:rPr>
          <w:rFonts w:ascii="Segoe UI" w:hAnsi="Segoe UI"/>
          <w:color w:val="1D3245"/>
          <w:sz w:val="20"/>
        </w:rPr>
        <w:t>All members of the client-side project team, including seconded and contracted personnel.</w:t>
      </w:r>
    </w:p>
    <w:p>
      <w:pPr>
        <w:pStyle w:val="ListBullet"/>
        <w:spacing w:after="60"/>
        <w:ind w:left="340"/>
      </w:pPr>
      <w:r>
        <w:rPr>
          <w:rFonts w:ascii="Segoe UI" w:hAnsi="Segoe UI"/>
          <w:color w:val="1D3245"/>
          <w:sz w:val="20"/>
        </w:rPr>
        <w:t>All consultants, contractors, subcontractors and suppliers, to the extent that the plan or its subordinate plans are incorporated into their contracts.</w:t>
      </w:r>
    </w:p>
    <w:p>
      <w:pPr>
        <w:pStyle w:val="ListBullet"/>
        <w:spacing w:after="60"/>
        <w:ind w:left="340"/>
      </w:pPr>
      <w:r>
        <w:rPr>
          <w:rFonts w:ascii="Segoe UI" w:hAnsi="Segoe UI"/>
          <w:color w:val="1D3245"/>
          <w:sz w:val="20"/>
        </w:rPr>
        <w:t>All project information, records and reporting produced for or by the project.</w:t>
      </w:r>
    </w:p>
    <w:p>
      <w:pPr>
        <w:pStyle w:val="MasttBody"/>
      </w:pPr>
      <w:r>
        <w:t>This plan does not replace: the executed contract or any of its conditions; statutory duties applicable in the relevant jurisdiction; the client's corporate policies; or the contractor's own management system documentation, which must be separately reviewed and accepted.</w:t>
      </w:r>
    </w:p>
    <w:p>
      <w:pPr>
        <w:pStyle w:val="Heading2"/>
      </w:pPr>
      <w:r>
        <w:t>1.3  Relationship to the business case, PID and contract</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Show the document hierarchy explicitly. Reviewers and auditors consistently find that projects fail here - the PEP quietly restates outdated objectives from a superseded business case. State the order of precedence and the version of each parent document that this PEP was written against.</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268"/>
        <w:gridCol w:w="2608"/>
        <w:gridCol w:w="2608"/>
        <w:gridCol w:w="1928"/>
      </w:tblGrid>
      <w:tr>
        <w:trPr>
          <w:tblHeader w:val="true"/>
          <w:cantSplit w:val="true"/>
        </w:trPr>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Document</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Establishes</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Precedence over this PEP</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Version relied on</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Applicable law and regulation</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Mandatory statutory duties</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Prevails absolutely</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Current at date of issue</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Executed contract(s)</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Legal obligations between parties</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Prevails</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Approved business case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Investment rationale, benefits, funding envelope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Prevails on objectives and benefits</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Project Initiation Document / charter</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Mandate, objectives, authority, tolerances</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Prevails on authority and tolerance</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Client PM framework / PMO standards</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Mandatory process and gateway requirements</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Prevails unless a deviation is endorsed</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This Project Execution Plan</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How delivery is executed and controlled</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Subordinate management plans</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Discipline-specific method and control detail</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Subordinate to this PEP</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1.4  Ownership and maintenance</w:t>
      </w:r>
    </w:p>
    <w:p>
      <w:pPr>
        <w:pStyle w:val="MasttBody"/>
      </w:pPr>
      <w:r>
        <w:t>The Project Manager owns this plan and is accountable for its accuracy, currency and use. The Project Director reviews it. The Project Sponsor approves it. The Project Management Office (or equivalent assurance function) may audit compliance with it at any time.</w:t>
      </w:r>
    </w:p>
    <w:p>
      <w:pPr>
        <w:pStyle w:val="MasttBody"/>
      </w:pPr>
      <w:r>
        <w:t>A plan that does not reflect how the project is actually run is worse than no plan, because it creates a false record. If practice diverges from the plan, either practice or the plan must change within one reporting cycle.</w:t>
      </w:r>
    </w:p>
    <w:p>
      <w:pPr>
        <w:pStyle w:val="Heading2"/>
      </w:pPr>
      <w:r>
        <w:t>1.5  Review triggers and update cadence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835"/>
        <w:gridCol w:w="3062"/>
        <w:gridCol w:w="1814"/>
        <w:gridCol w:w="1701"/>
      </w:tblGrid>
      <w:tr>
        <w:trPr>
          <w:tblHeader w:val="true"/>
          <w:cantSplit w:val="true"/>
        </w:trPr>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Trigger</w:t>
            </w:r>
          </w:p>
        </w:tc>
        <w:tc>
          <w:tcPr>
            <w:tcW w:type="dxa" w:w="30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Action required</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Timeframe</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Stage gate or gateway review</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Full review and reissue of the PEP</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Before the gate submission</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Approved change to scope, budget or completion date beyond tolerance</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Targeted revision of affected sections and rebaseline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10 working days of approval</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Change of delivery model or contract strategy</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Full review of Sections 6, 17 and 18</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Before market approach</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Change of Project Manager, Sponsor or Project Director</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Review and re-endorsement of Sections 4 and 16</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20 working days</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Material change in risk profile or a red-rated risk materialising</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Review of Section 10 and contingency position</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Risk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At the next monthly control cycle</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Notifiable incident, enforcement action or serious non-conformance</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Review of Sections 11, 12 and 13</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5 working days</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Change in applicable statutory or consent requirements</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Review of Sections 12, 13 and 7</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Immediately</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No other trigger</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Scheduled periodic review</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At least every 6 months</w:t>
            </w:r>
          </w:p>
        </w:tc>
      </w:tr>
    </w:tbl>
    <w:p>
      <w:pPr>
        <w:rPr>
          <w:sz w:val="8"/>
        </w:rPr>
        <w:spacing w:after="40" w:before="0" w:line="240" w:lineRule="auto"/>
      </w:pPr>
    </w:p>
    <w:p>
      <w:pPr>
        <w:pStyle w:val="Heading2"/>
      </w:pPr>
      <w:r>
        <w:t>1.6  Authorising a deviation from this plan</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Deviations happen. What separates a well-run project is that they are visible, time-bound and authorised by someone with the standing to carry the consequence. Never allow an undocumented deviation to become custom and practice.</w:t>
            </w:r>
          </w:p>
        </w:tc>
      </w:tr>
    </w:tbl>
    <w:p>
      <w:pPr>
        <w:rPr>
          <w:sz w:val="8"/>
        </w:rPr>
        <w:spacing w:after="40" w:before="0" w:line="240" w:lineRule="auto"/>
      </w:pPr>
    </w:p>
    <w:p>
      <w:pPr>
        <w:pStyle w:val="ListBullet"/>
        <w:spacing w:after="60"/>
        <w:ind w:left="340"/>
      </w:pPr>
      <w:r>
        <w:rPr>
          <w:rFonts w:ascii="Segoe UI" w:hAnsi="Segoe UI"/>
          <w:color w:val="1D3245"/>
          <w:sz w:val="20"/>
        </w:rPr>
        <w:t>A deviation is any departure from a process, control, standard or authority defined in this plan.</w:t>
      </w:r>
    </w:p>
    <w:p>
      <w:pPr>
        <w:pStyle w:val="ListBullet"/>
        <w:spacing w:after="60"/>
        <w:ind w:left="340"/>
      </w:pPr>
      <w:r>
        <w:rPr>
          <w:rFonts w:ascii="Segoe UI" w:hAnsi="Segoe UI"/>
          <w:color w:val="1D3245"/>
          <w:sz w:val="20"/>
        </w:rPr>
        <w:t>The person proposing the deviation records it in the deviation log with the reason, the duration, the risk created and the compensating control.</w:t>
      </w:r>
    </w:p>
    <w:p>
      <w:pPr>
        <w:pStyle w:val="ListBullet"/>
        <w:spacing w:after="60"/>
        <w:ind w:left="340"/>
      </w:pPr>
      <w:r>
        <w:rPr>
          <w:rFonts w:ascii="Segoe UI" w:hAnsi="Segoe UI"/>
          <w:color w:val="1D3245"/>
          <w:sz w:val="20"/>
        </w:rPr>
        <w:t>Deviations affecting safety, statutory compliance or a contractual obligation are not permitted under any circumstances.</w:t>
      </w:r>
    </w:p>
    <w:p>
      <w:pPr>
        <w:pStyle w:val="ListBullet"/>
        <w:spacing w:after="60"/>
        <w:ind w:left="340"/>
      </w:pPr>
      <w:r>
        <w:rPr>
          <w:rFonts w:ascii="Segoe UI" w:hAnsi="Segoe UI"/>
          <w:color w:val="1D3245"/>
          <w:sz w:val="20"/>
        </w:rPr>
        <w:t>Minor process deviations are approved by the Project Manager for a period not exceeding one reporting cycle.</w:t>
      </w:r>
    </w:p>
    <w:p>
      <w:pPr>
        <w:pStyle w:val="ListBullet"/>
        <w:spacing w:after="60"/>
        <w:ind w:left="340"/>
      </w:pPr>
      <w:r>
        <w:rPr>
          <w:rFonts w:ascii="Segoe UI" w:hAnsi="Segoe UI"/>
          <w:color w:val="1D3245"/>
          <w:sz w:val="20"/>
        </w:rPr>
        <w:t>Deviations affecting governance, authority limits, baseline control or assurance are approved by the Project Director and reported to the Sponsor.</w:t>
      </w:r>
    </w:p>
    <w:p>
      <w:pPr>
        <w:pStyle w:val="ListBullet"/>
        <w:spacing w:after="60"/>
        <w:ind w:left="340"/>
      </w:pPr>
      <w:r>
        <w:rPr>
          <w:rFonts w:ascii="Segoe UI" w:hAnsi="Segoe UI"/>
          <w:color w:val="1D3245"/>
          <w:sz w:val="20"/>
        </w:rPr>
        <w:t>Any deviation lasting more than two reporting cycles must be closed by a formal revision of this plan.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894"/>
        <w:gridCol w:w="2230"/>
        <w:gridCol w:w="1889"/>
        <w:gridCol w:w="2027"/>
        <w:gridCol w:w="1128"/>
        <w:gridCol w:w="1246"/>
      </w:tblGrid>
      <w:tr>
        <w:trPr>
          <w:tblHeader w:val="true"/>
          <w:cantSplit w:val="true"/>
        </w:trPr>
        <w:tc>
          <w:tcPr>
            <w:tcW w:type="dxa" w:w="8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23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Deviation</w:t>
            </w:r>
          </w:p>
        </w:tc>
        <w:tc>
          <w:tcPr>
            <w:tcW w:type="dxa" w:w="18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Reason</w:t>
            </w:r>
          </w:p>
        </w:tc>
        <w:tc>
          <w:tcPr>
            <w:tcW w:type="dxa" w:w="202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Compensating control</w:t>
            </w:r>
          </w:p>
        </w:tc>
        <w:tc>
          <w:tcPr>
            <w:tcW w:type="dxa" w:w="11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Expiry</w:t>
            </w:r>
          </w:p>
        </w:tc>
        <w:tc>
          <w:tcPr>
            <w:tcW w:type="dxa" w:w="124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Approved by</w:t>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DEV-01</w:t>
            </w:r>
          </w:p>
        </w:tc>
        <w:tc>
          <w:tcPr>
            <w:tcW w:type="dxa" w:w="223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8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2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DEV-02</w:t>
            </w:r>
          </w:p>
        </w:tc>
        <w:tc>
          <w:tcPr>
            <w:tcW w:type="dxa" w:w="22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8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DEV-03</w:t>
            </w:r>
          </w:p>
        </w:tc>
        <w:tc>
          <w:tcPr>
            <w:tcW w:type="dxa" w:w="223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8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2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DEV-04</w:t>
            </w:r>
          </w:p>
        </w:tc>
        <w:tc>
          <w:tcPr>
            <w:tcW w:type="dxa" w:w="22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8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2.  Project overview</w:t>
      </w:r>
    </w:p>
    <w:p>
      <w:pPr>
        <w:pStyle w:val="Heading2"/>
      </w:pPr>
      <w:r>
        <w:t>2.1  Project description</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Write this so that a competent professional joining the team on day one understands what is being built, for whom, and why, in under two minutes. Avoid marketing language. State physical quantities - floor area, capacity, length, number of units - because these drive every estimate and programme downstream.</w:t>
            </w:r>
          </w:p>
        </w:tc>
      </w:tr>
    </w:tbl>
    <w:p>
      <w:pPr>
        <w:rPr>
          <w:sz w:val="8"/>
        </w:rPr>
        <w:spacing w:after="40" w:before="0" w:line="240" w:lineRule="auto"/>
      </w:pPr>
    </w:p>
    <w:p>
      <w:pPr>
        <w:pStyle w:val="MasttInput"/>
        <w:spacing w:after="160"/>
        <w:pBdr>
          <w:left w:val="single" w:sz="12" w:space="8" w:color="DCE3EC"/>
        </w:pBdr>
        <w:ind w:left="198"/>
      </w:pPr>
      <w:r>
        <w:rPr>
          <w:rFonts w:ascii="Segoe UI" w:hAnsi="Segoe UI"/>
          <w:i/>
          <w:color w:val="8E98A2"/>
          <w:sz w:val="19"/>
        </w:rPr>
        <w:t>[Describe the works: asset type, principal quantities, key systems, phasing, and what 'complete' physically means.]</w:t>
      </w:r>
    </w:p>
    <w:p>
      <w:pPr>
        <w:pStyle w:val="Heading2"/>
      </w:pPr>
      <w:r>
        <w:t>2.2  Location and site context</w:t>
      </w:r>
    </w:p>
    <w:p>
      <w:pPr>
        <w:pStyle w:val="MasttBody"/>
      </w:pPr>
      <w:r>
        <w:t>Site context drives cost, programme and risk more than almost any other factor. Record the conditions that constrain delivery.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95"/>
        <w:gridCol w:w="3402"/>
        <w:gridCol w:w="3515"/>
      </w:tblGrid>
      <w:tr>
        <w:trPr>
          <w:tblHeader w:val="true"/>
          <w:cantSplit w:val="true"/>
        </w:trPr>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Aspect</w:t>
            </w:r>
          </w:p>
        </w:tc>
        <w:tc>
          <w:tcPr>
            <w:tcW w:type="dxa" w:w="34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Detail</w:t>
            </w:r>
          </w:p>
        </w:tc>
        <w:tc>
          <w:tcPr>
            <w:tcW w:type="dxa" w:w="35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Delivery implication</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Site address / location</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Land tenure and access rights</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Existing site condition and occupancy</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Ground conditions and known contamination</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Existing services and utilities</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Adjacent property and sensitive receivers</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Heritage, cultural or ecological constraints</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Access, laydown and craneage constraints</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Traffic management and permitted working hours</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Climate, seasonal and weather exposure</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Security and site establishment requirements</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2.3  Project drivers and strategic alignment</w:t>
      </w:r>
    </w:p>
    <w:p>
      <w:pPr>
        <w:pStyle w:val="MasttBody"/>
      </w:pPr>
      <w:r>
        <w:t>State the organisational strategy, service need or regulatory obligation the project serves, and identify which driver takes priority when they conflict. Almost every difficult project decision is a trade-off between time, cost and scope quality - the team must know in advance which one gives way.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268"/>
        <w:gridCol w:w="3629"/>
        <w:gridCol w:w="1474"/>
        <w:gridCol w:w="2041"/>
      </w:tblGrid>
      <w:tr>
        <w:trPr>
          <w:tblHeader w:val="true"/>
          <w:cantSplit w:val="true"/>
        </w:trPr>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Driver</w:t>
            </w:r>
          </w:p>
        </w:tc>
        <w:tc>
          <w:tcPr>
            <w:tcW w:type="dxa" w:w="36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Description</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Priority (1 = highest)</w:t>
            </w:r>
          </w:p>
        </w:tc>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Consequence if not met</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Time / operational date</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Capital cost / affordability</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Functional performance and quality</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Safety and statutory compliance</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Sustainability and carbon</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Stakeholder and community outcomes</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Whole-of-life cost and operability</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2.4  Objectives and success criteria</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Objectives must be measurable and owned. An objective without a target, a tolerance and a named owner is an aspiration. Tolerance is the band inside which the Project Manager may act without escalation - set it deliberately, because it defines the Sponsor's workload as much as the Project Manager's freedom.</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92"/>
        <w:gridCol w:w="2265"/>
        <w:gridCol w:w="1700"/>
        <w:gridCol w:w="1361"/>
        <w:gridCol w:w="1594"/>
      </w:tblGrid>
      <w:tr>
        <w:trPr>
          <w:tblHeader w:val="true"/>
          <w:cantSplit w:val="true"/>
        </w:trPr>
        <w:tc>
          <w:tcPr>
            <w:tcW w:type="dxa" w:w="249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Objective</w:t>
            </w:r>
          </w:p>
        </w:tc>
        <w:tc>
          <w:tcPr>
            <w:tcW w:type="dxa" w:w="226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Measure</w:t>
            </w:r>
          </w:p>
        </w:tc>
        <w:tc>
          <w:tcPr>
            <w:tcW w:type="dxa" w:w="170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w:t>
            </w:r>
          </w:p>
        </w:tc>
        <w:tc>
          <w:tcPr>
            <w:tcW w:type="dxa" w:w="13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Tolerance</w:t>
            </w:r>
          </w:p>
        </w:tc>
        <w:tc>
          <w:tcPr>
            <w:tcW w:type="dxa" w:w="15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2492"/>
            <w:tcMar>
              <w:top w:w="40" w:type="dxa"/>
              <w:left w:w="110" w:type="dxa"/>
              <w:bottom w:w="40" w:type="dxa"/>
              <w:right w:w="110" w:type="dxa"/>
            </w:tcMar>
          </w:tcPr>
          <w:p>
            <w:pPr>
              <w:pStyle w:val="MasttTableCell"/>
              <w:spacing w:before="20" w:after="20"/>
            </w:pPr>
            <w:r/>
            <w:r>
              <w:rPr>
                <w:rFonts w:ascii="Segoe UI" w:hAnsi="Segoe UI"/>
                <w:b/>
                <w:color w:val="1D3245"/>
                <w:sz w:val="17"/>
              </w:rPr>
              <w:t>Deliver with no serious harm to any person</w:t>
            </w:r>
          </w:p>
        </w:tc>
        <w:tc>
          <w:tcPr>
            <w:tcW w:type="dxa" w:w="2265"/>
            <w:tcMar>
              <w:top w:w="40" w:type="dxa"/>
              <w:left w:w="110" w:type="dxa"/>
              <w:bottom w:w="40" w:type="dxa"/>
              <w:right w:w="110" w:type="dxa"/>
            </w:tcMar>
          </w:tcPr>
          <w:p>
            <w:pPr>
              <w:pStyle w:val="MasttTableCell"/>
              <w:spacing w:before="20" w:after="20"/>
            </w:pPr>
            <w:r/>
            <w:r>
              <w:rPr>
                <w:rFonts w:ascii="Segoe UI" w:hAnsi="Segoe UI"/>
                <w:color w:val="1D3245"/>
                <w:sz w:val="17"/>
              </w:rPr>
              <w:t>Recordable injury frequency rate</w:t>
            </w:r>
          </w:p>
        </w:tc>
        <w:tc>
          <w:tcPr>
            <w:tcW w:type="dxa" w:w="1700"/>
            <w:tcMar>
              <w:top w:w="40" w:type="dxa"/>
              <w:left w:w="110" w:type="dxa"/>
              <w:bottom w:w="40" w:type="dxa"/>
              <w:right w:w="110" w:type="dxa"/>
            </w:tcMar>
          </w:tcPr>
          <w:p>
            <w:pPr>
              <w:pStyle w:val="MasttTableCell"/>
              <w:spacing w:before="20" w:after="20"/>
            </w:pPr>
            <w:r/>
            <w:r>
              <w:rPr>
                <w:rFonts w:ascii="Segoe UI" w:hAnsi="Segoe UI"/>
                <w:color w:val="1D3245"/>
                <w:sz w:val="17"/>
              </w:rPr>
              <w:t>0 serious injuries</w:t>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Zero tolerance</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HSE Manager</w:t>
            </w:r>
          </w:p>
        </w:tc>
      </w:tr>
      <w:tr>
        <w:trPr>
          <w:cantSplit w:val="true"/>
        </w:trPr>
        <w:tc>
          <w:tcPr>
            <w:tcW w:type="dxa" w:w="249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Achieve operational date</w:t>
            </w:r>
          </w:p>
        </w:tc>
        <w:tc>
          <w:tcPr>
            <w:tcW w:type="dxa" w:w="22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Date of practical completion</w:t>
            </w:r>
          </w:p>
        </w:tc>
        <w:tc>
          <w:tcPr>
            <w:tcW w:type="dxa" w:w="17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2492"/>
            <w:tcMar>
              <w:top w:w="40" w:type="dxa"/>
              <w:left w:w="110" w:type="dxa"/>
              <w:bottom w:w="40" w:type="dxa"/>
              <w:right w:w="110" w:type="dxa"/>
            </w:tcMar>
          </w:tcPr>
          <w:p>
            <w:pPr>
              <w:pStyle w:val="MasttTableCell"/>
              <w:spacing w:before="20" w:after="20"/>
            </w:pPr>
            <w:r/>
            <w:r>
              <w:rPr>
                <w:rFonts w:ascii="Segoe UI" w:hAnsi="Segoe UI"/>
                <w:b/>
                <w:color w:val="1D3245"/>
                <w:sz w:val="17"/>
              </w:rPr>
              <w:t>Deliver within approved funding</w:t>
            </w:r>
          </w:p>
        </w:tc>
        <w:tc>
          <w:tcPr>
            <w:tcW w:type="dxa" w:w="2265"/>
            <w:tcMar>
              <w:top w:w="40" w:type="dxa"/>
              <w:left w:w="110" w:type="dxa"/>
              <w:bottom w:w="40" w:type="dxa"/>
              <w:right w:w="110" w:type="dxa"/>
            </w:tcMar>
          </w:tcPr>
          <w:p>
            <w:pPr>
              <w:pStyle w:val="MasttTableCell"/>
              <w:spacing w:before="20" w:after="20"/>
            </w:pPr>
            <w:r/>
            <w:r>
              <w:rPr>
                <w:rFonts w:ascii="Segoe UI" w:hAnsi="Segoe UI"/>
                <w:color w:val="1D3245"/>
                <w:sz w:val="17"/>
              </w:rPr>
              <w:t>Final outturn cost vs approved budget</w:t>
            </w:r>
          </w:p>
        </w:tc>
        <w:tc>
          <w:tcPr>
            <w:tcW w:type="dxa" w:w="170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r>
      <w:tr>
        <w:trPr>
          <w:cantSplit w:val="true"/>
        </w:trPr>
        <w:tc>
          <w:tcPr>
            <w:tcW w:type="dxa" w:w="249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Meet functional performance requirements</w:t>
            </w:r>
          </w:p>
        </w:tc>
        <w:tc>
          <w:tcPr>
            <w:tcW w:type="dxa" w:w="22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Verified compliance against the design brief</w:t>
            </w:r>
          </w:p>
        </w:tc>
        <w:tc>
          <w:tcPr>
            <w:tcW w:type="dxa" w:w="17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100% of mandatory requirements</w:t>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None</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r>
      <w:tr>
        <w:trPr>
          <w:cantSplit w:val="true"/>
        </w:trPr>
        <w:tc>
          <w:tcPr>
            <w:tcW w:type="dxa" w:w="2492"/>
            <w:tcMar>
              <w:top w:w="40" w:type="dxa"/>
              <w:left w:w="110" w:type="dxa"/>
              <w:bottom w:w="40" w:type="dxa"/>
              <w:right w:w="110" w:type="dxa"/>
            </w:tcMar>
          </w:tcPr>
          <w:p>
            <w:pPr>
              <w:pStyle w:val="MasttTableCell"/>
              <w:spacing w:before="20" w:after="20"/>
            </w:pPr>
            <w:r/>
            <w:r>
              <w:rPr>
                <w:rFonts w:ascii="Segoe UI" w:hAnsi="Segoe UI"/>
                <w:b/>
                <w:color w:val="1D3245"/>
                <w:sz w:val="17"/>
              </w:rPr>
              <w:t>Achieve quality standard at handover</w:t>
            </w:r>
          </w:p>
        </w:tc>
        <w:tc>
          <w:tcPr>
            <w:tcW w:type="dxa" w:w="2265"/>
            <w:tcMar>
              <w:top w:w="40" w:type="dxa"/>
              <w:left w:w="110" w:type="dxa"/>
              <w:bottom w:w="40" w:type="dxa"/>
              <w:right w:w="110" w:type="dxa"/>
            </w:tcMar>
          </w:tcPr>
          <w:p>
            <w:pPr>
              <w:pStyle w:val="MasttTableCell"/>
              <w:spacing w:before="20" w:after="20"/>
            </w:pPr>
            <w:r/>
            <w:r>
              <w:rPr>
                <w:rFonts w:ascii="Segoe UI" w:hAnsi="Segoe UI"/>
                <w:color w:val="1D3245"/>
                <w:sz w:val="17"/>
              </w:rPr>
              <w:t>Defects open at practical completion</w:t>
            </w:r>
          </w:p>
        </w:tc>
        <w:tc>
          <w:tcPr>
            <w:tcW w:type="dxa" w:w="170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Quality Manager</w:t>
            </w:r>
          </w:p>
        </w:tc>
      </w:tr>
      <w:tr>
        <w:trPr>
          <w:cantSplit w:val="true"/>
        </w:trPr>
        <w:tc>
          <w:tcPr>
            <w:tcW w:type="dxa" w:w="249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Meet sustainability commitments</w:t>
            </w:r>
          </w:p>
        </w:tc>
        <w:tc>
          <w:tcPr>
            <w:tcW w:type="dxa" w:w="22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Certified rating / carbon vs baseline</w:t>
            </w:r>
          </w:p>
        </w:tc>
        <w:tc>
          <w:tcPr>
            <w:tcW w:type="dxa" w:w="17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ESG Lead</w:t>
            </w:r>
          </w:p>
        </w:tc>
      </w:tr>
      <w:tr>
        <w:trPr>
          <w:cantSplit w:val="true"/>
        </w:trPr>
        <w:tc>
          <w:tcPr>
            <w:tcW w:type="dxa" w:w="2492"/>
            <w:tcMar>
              <w:top w:w="40" w:type="dxa"/>
              <w:left w:w="110" w:type="dxa"/>
              <w:bottom w:w="40" w:type="dxa"/>
              <w:right w:w="110" w:type="dxa"/>
            </w:tcMar>
          </w:tcPr>
          <w:p>
            <w:pPr>
              <w:pStyle w:val="MasttTableCell"/>
              <w:spacing w:before="20" w:after="20"/>
            </w:pPr>
            <w:r/>
            <w:r>
              <w:rPr>
                <w:rFonts w:ascii="Segoe UI" w:hAnsi="Segoe UI"/>
                <w:b/>
                <w:color w:val="1D3245"/>
                <w:sz w:val="17"/>
              </w:rPr>
              <w:t>Maintain stakeholder confidence</w:t>
            </w:r>
          </w:p>
        </w:tc>
        <w:tc>
          <w:tcPr>
            <w:tcW w:type="dxa" w:w="2265"/>
            <w:tcMar>
              <w:top w:w="40" w:type="dxa"/>
              <w:left w:w="110" w:type="dxa"/>
              <w:bottom w:w="40" w:type="dxa"/>
              <w:right w:w="110" w:type="dxa"/>
            </w:tcMar>
          </w:tcPr>
          <w:p>
            <w:pPr>
              <w:pStyle w:val="MasttTableCell"/>
              <w:spacing w:before="20" w:after="20"/>
            </w:pPr>
            <w:r/>
            <w:r>
              <w:rPr>
                <w:rFonts w:ascii="Segoe UI" w:hAnsi="Segoe UI"/>
                <w:color w:val="1D3245"/>
                <w:sz w:val="17"/>
              </w:rPr>
              <w:t>Substantiated complaints per month</w:t>
            </w:r>
          </w:p>
        </w:tc>
        <w:tc>
          <w:tcPr>
            <w:tcW w:type="dxa" w:w="170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Comms Lead</w:t>
            </w:r>
          </w:p>
        </w:tc>
      </w:tr>
      <w:tr>
        <w:trPr>
          <w:cantSplit w:val="true"/>
        </w:trPr>
        <w:tc>
          <w:tcPr>
            <w:tcW w:type="dxa" w:w="249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Enable operational readiness</w:t>
            </w:r>
          </w:p>
        </w:tc>
        <w:tc>
          <w:tcPr>
            <w:tcW w:type="dxa" w:w="22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Operator acceptance of asset data and training</w:t>
            </w:r>
          </w:p>
        </w:tc>
        <w:tc>
          <w:tcPr>
            <w:tcW w:type="dxa" w:w="17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100% complete before taking over</w:t>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None</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 Representative</w:t>
            </w:r>
          </w:p>
        </w:tc>
      </w:tr>
      <w:tr>
        <w:trPr>
          <w:cantSplit w:val="true"/>
        </w:trPr>
        <w:tc>
          <w:tcPr>
            <w:tcW w:type="dxa" w:w="2492"/>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26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70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49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2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7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2.5  Critical success factors</w:t>
      </w:r>
    </w:p>
    <w:p>
      <w:pPr>
        <w:pStyle w:val="MasttBody"/>
      </w:pPr>
      <w:r>
        <w:t>Critical success factors are the conditions that must hold for the objectives to be achievable. They are inputs, not outcomes, and each should be actively monitored.</w:t>
      </w:r>
    </w:p>
    <w:p>
      <w:pPr>
        <w:pStyle w:val="ListBullet"/>
        <w:spacing w:after="60"/>
        <w:ind w:left="340"/>
      </w:pPr>
      <w:r>
        <w:rPr>
          <w:rFonts w:ascii="Segoe UI" w:hAnsi="Segoe UI"/>
          <w:color w:val="1D3245"/>
          <w:sz w:val="20"/>
        </w:rPr>
        <w:t>A single, empowered decision-maker on the client side, available within the decision timeframes set out in Section 4.</w:t>
      </w:r>
    </w:p>
    <w:p>
      <w:pPr>
        <w:pStyle w:val="ListBullet"/>
        <w:spacing w:after="60"/>
        <w:ind w:left="340"/>
      </w:pPr>
      <w:r>
        <w:rPr>
          <w:rFonts w:ascii="Segoe UI" w:hAnsi="Segoe UI"/>
          <w:color w:val="1D3245"/>
          <w:sz w:val="20"/>
        </w:rPr>
        <w:t>Design sufficiently complete and coordinated before each procurement package goes to market.</w:t>
      </w:r>
    </w:p>
    <w:p>
      <w:pPr>
        <w:pStyle w:val="ListBullet"/>
        <w:spacing w:after="60"/>
        <w:ind w:left="340"/>
      </w:pPr>
      <w:r>
        <w:rPr>
          <w:rFonts w:ascii="Segoe UI" w:hAnsi="Segoe UI"/>
          <w:color w:val="1D3245"/>
          <w:sz w:val="20"/>
        </w:rPr>
        <w:t>Early and continuous engagement with authorities, utility owners and adjacent asset owners.</w:t>
      </w:r>
    </w:p>
    <w:p>
      <w:pPr>
        <w:pStyle w:val="ListBullet"/>
        <w:spacing w:after="60"/>
        <w:ind w:left="340"/>
      </w:pPr>
      <w:r>
        <w:rPr>
          <w:rFonts w:ascii="Segoe UI" w:hAnsi="Segoe UI"/>
          <w:color w:val="1D3245"/>
          <w:sz w:val="20"/>
        </w:rPr>
        <w:t>Realistic contingency held at the right level and released only against identified risk.</w:t>
      </w:r>
    </w:p>
    <w:p>
      <w:pPr>
        <w:pStyle w:val="ListBullet"/>
        <w:spacing w:after="60"/>
        <w:ind w:left="340"/>
      </w:pPr>
      <w:r>
        <w:rPr>
          <w:rFonts w:ascii="Segoe UI" w:hAnsi="Segoe UI"/>
          <w:color w:val="1D3245"/>
          <w:sz w:val="20"/>
        </w:rPr>
        <w:t>Stable scope after design freeze, enforced through change control.</w:t>
      </w:r>
    </w:p>
    <w:p>
      <w:pPr>
        <w:pStyle w:val="ListBullet"/>
        <w:spacing w:after="60"/>
        <w:ind w:left="340"/>
      </w:pPr>
      <w:r>
        <w:rPr>
          <w:rFonts w:ascii="Segoe UI" w:hAnsi="Segoe UI"/>
          <w:color w:val="1D3245"/>
          <w:sz w:val="20"/>
        </w:rPr>
        <w:t>Continuity of key personnel across the design-to-construction transition.</w:t>
      </w:r>
    </w:p>
    <w:p>
      <w:pPr>
        <w:pStyle w:val="ListBullet"/>
        <w:spacing w:after="60"/>
        <w:ind w:left="340"/>
      </w:pPr>
      <w:r>
        <w:rPr>
          <w:rFonts w:ascii="Segoe UI" w:hAnsi="Segoe UI"/>
          <w:color w:val="1D3245"/>
          <w:sz w:val="20"/>
        </w:rPr>
        <w:t>Operator and end-user involvement from design through to commissioning.</w:t>
      </w:r>
    </w:p>
    <w:p>
      <w:pPr>
        <w:pStyle w:val="ListBullet"/>
        <w:spacing w:after="60"/>
        <w:ind w:left="340"/>
      </w:pPr>
      <w:r>
        <w:rPr>
          <w:rFonts w:ascii="Segoe UI" w:hAnsi="Segoe UI"/>
          <w:color w:val="1D3245"/>
          <w:sz w:val="20"/>
        </w:rPr>
        <w:t>Timely, accurate and trusted performance information.</w:t>
      </w:r>
    </w:p>
    <w:p>
      <w:pPr>
        <w:pStyle w:val="Heading2"/>
      </w:pPr>
      <w:r>
        <w:t>2.6  Project characteristics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3402"/>
        <w:gridCol w:w="6010"/>
      </w:tblGrid>
      <w:tr>
        <w:trPr>
          <w:tblHeader w:val="true"/>
          <w:cantSplit w:val="true"/>
        </w:trPr>
        <w:tc>
          <w:tcPr>
            <w:tcW w:type="dxa" w:w="34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Characteristic</w:t>
            </w:r>
          </w:p>
        </w:tc>
        <w:tc>
          <w:tcPr>
            <w:tcW w:type="dxa" w:w="600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Detail</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7"/>
              </w:rPr>
              <w:t>Approved capital value (excluding tax)</w:t>
            </w:r>
          </w:p>
        </w:tc>
        <w:tc>
          <w:tcPr>
            <w:tcW w:type="dxa" w:w="6009"/>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Total investment including escalation and contingency</w:t>
            </w:r>
          </w:p>
        </w:tc>
        <w:tc>
          <w:tcPr>
            <w:tcW w:type="dxa" w:w="60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7"/>
              </w:rPr>
              <w:t>Funding source(s) and drawdown constraints</w:t>
            </w:r>
          </w:p>
        </w:tc>
        <w:tc>
          <w:tcPr>
            <w:tcW w:type="dxa" w:w="6009"/>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Planned duration (delivery mobilisation to closeout)</w:t>
            </w:r>
          </w:p>
        </w:tc>
        <w:tc>
          <w:tcPr>
            <w:tcW w:type="dxa" w:w="60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7"/>
              </w:rPr>
              <w:t>Delivery model</w:t>
            </w:r>
          </w:p>
        </w:tc>
        <w:tc>
          <w:tcPr>
            <w:tcW w:type="dxa" w:w="6009"/>
            <w:tcMar>
              <w:top w:w="40" w:type="dxa"/>
              <w:left w:w="110" w:type="dxa"/>
              <w:bottom w:w="40" w:type="dxa"/>
              <w:right w:w="110" w:type="dxa"/>
            </w:tcMar>
          </w:tcPr>
          <w:p>
            <w:pPr>
              <w:pStyle w:val="MasttTableCell"/>
              <w:spacing w:before="20" w:after="20"/>
            </w:pPr>
            <w:r/>
            <w:r>
              <w:rPr>
                <w:rFonts w:ascii="Segoe UI" w:hAnsi="Segoe UI"/>
                <w:color w:val="1D3245"/>
                <w:sz w:val="17"/>
              </w:rPr>
              <w:t>Traditional / Design and build / Construction management / Managing contractor / Alliance / PPP / IPD</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Principal contract form</w:t>
            </w:r>
          </w:p>
        </w:tc>
        <w:tc>
          <w:tcPr>
            <w:tcW w:type="dxa" w:w="60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To be confirmed on award</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7"/>
              </w:rPr>
              <w:t>Number of principal contract packages</w:t>
            </w:r>
          </w:p>
        </w:tc>
        <w:tc>
          <w:tcPr>
            <w:tcW w:type="dxa" w:w="6009"/>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Complexity rating and rationale</w:t>
            </w:r>
          </w:p>
        </w:tc>
        <w:tc>
          <w:tcPr>
            <w:tcW w:type="dxa" w:w="60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Low / Medium / High / Major</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7"/>
              </w:rPr>
              <w:t>Assurance tier / gateway regime</w:t>
            </w:r>
          </w:p>
        </w:tc>
        <w:tc>
          <w:tcPr>
            <w:tcW w:type="dxa" w:w="6009"/>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 stage framework in use</w:t>
            </w:r>
          </w:p>
        </w:tc>
        <w:tc>
          <w:tcPr>
            <w:tcW w:type="dxa" w:w="60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e.g. RIBA Plan of Work stages 0-7 or equivalent</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7"/>
              </w:rPr>
              <w:t>Sustainability rating scheme and target</w:t>
            </w:r>
          </w:p>
        </w:tc>
        <w:tc>
          <w:tcPr>
            <w:tcW w:type="dxa" w:w="6009"/>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Operational readiness owner</w:t>
            </w:r>
          </w:p>
        </w:tc>
        <w:tc>
          <w:tcPr>
            <w:tcW w:type="dxa" w:w="60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7"/>
              </w:rPr>
              <w:t>Programme / portfolio this project belongs to</w:t>
            </w:r>
          </w:p>
        </w:tc>
        <w:tc>
          <w:tcPr>
            <w:tcW w:type="dxa" w:w="6009"/>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3.  Scope management</w:t>
      </w:r>
    </w:p>
    <w:p>
      <w:pPr>
        <w:pStyle w:val="Heading2"/>
      </w:pPr>
      <w:r>
        <w:t>3.1  Scope statement</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The scope statement is the reference point for every change assessment for the life of the project. Write it as a boundary, not a wish list: what is included, what is deliberately excluded, and what condition the works must be in when handed over. Ambiguity here is paid for later at variation rates.</w:t>
            </w:r>
          </w:p>
        </w:tc>
      </w:tr>
    </w:tbl>
    <w:p>
      <w:pPr>
        <w:rPr>
          <w:sz w:val="8"/>
        </w:rPr>
        <w:spacing w:after="40" w:before="0" w:line="240" w:lineRule="auto"/>
      </w:pPr>
    </w:p>
    <w:p>
      <w:pPr>
        <w:pStyle w:val="MasttInput"/>
        <w:spacing w:after="160"/>
        <w:pBdr>
          <w:left w:val="single" w:sz="12" w:space="8" w:color="DCE3EC"/>
        </w:pBdr>
        <w:ind w:left="198"/>
      </w:pPr>
      <w:r>
        <w:rPr>
          <w:rFonts w:ascii="Segoe UI" w:hAnsi="Segoe UI"/>
          <w:i/>
          <w:color w:val="8E98A2"/>
          <w:sz w:val="19"/>
        </w:rPr>
        <w:t>[State the total scope of the project in a single controlled paragraph, then reference the documents that define it in detail - design brief, drawing register, specification, schedule of quantities.]</w:t>
      </w:r>
    </w:p>
    <w:p>
      <w:pPr>
        <w:pStyle w:val="Heading2"/>
      </w:pPr>
      <w:r>
        <w:t>3.2  In scope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737"/>
        <w:gridCol w:w="2608"/>
        <w:gridCol w:w="3799"/>
        <w:gridCol w:w="2268"/>
      </w:tblGrid>
      <w:tr>
        <w:trPr>
          <w:tblHeader w:val="true"/>
          <w:cantSplit w:val="true"/>
        </w:trPr>
        <w:tc>
          <w:tcPr>
            <w:tcW w:type="dxa" w:w="7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Scope element</w:t>
            </w:r>
          </w:p>
        </w:tc>
        <w:tc>
          <w:tcPr>
            <w:tcW w:type="dxa" w:w="379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Description</w:t>
            </w:r>
          </w:p>
        </w:tc>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Responsible party</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S01</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Site establishment and enabling works</w:t>
            </w:r>
          </w:p>
        </w:tc>
        <w:tc>
          <w:tcPr>
            <w:tcW w:type="dxa" w:w="379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S02</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Demolition and site preparation</w:t>
            </w:r>
          </w:p>
        </w:tc>
        <w:tc>
          <w:tcPr>
            <w:tcW w:type="dxa" w:w="37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S03</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Design development and documentation</w:t>
            </w:r>
          </w:p>
        </w:tc>
        <w:tc>
          <w:tcPr>
            <w:tcW w:type="dxa" w:w="379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S04</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Statutory approvals and permits</w:t>
            </w:r>
          </w:p>
        </w:tc>
        <w:tc>
          <w:tcPr>
            <w:tcW w:type="dxa" w:w="37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S05</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Substructure and civil works</w:t>
            </w:r>
          </w:p>
        </w:tc>
        <w:tc>
          <w:tcPr>
            <w:tcW w:type="dxa" w:w="379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S06</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Superstructure and building fabric</w:t>
            </w:r>
          </w:p>
        </w:tc>
        <w:tc>
          <w:tcPr>
            <w:tcW w:type="dxa" w:w="37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S07</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Building services and systems</w:t>
            </w:r>
          </w:p>
        </w:tc>
        <w:tc>
          <w:tcPr>
            <w:tcW w:type="dxa" w:w="379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S08</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External works, landscaping and services</w:t>
            </w:r>
          </w:p>
        </w:tc>
        <w:tc>
          <w:tcPr>
            <w:tcW w:type="dxa" w:w="37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S09</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Fit-out, fixtures and equipment</w:t>
            </w:r>
          </w:p>
        </w:tc>
        <w:tc>
          <w:tcPr>
            <w:tcW w:type="dxa" w:w="379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S10</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Testing, commissioning and operational readiness</w:t>
            </w:r>
          </w:p>
        </w:tc>
        <w:tc>
          <w:tcPr>
            <w:tcW w:type="dxa" w:w="37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S11</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Training, documentation and asset data</w:t>
            </w:r>
          </w:p>
        </w:tc>
        <w:tc>
          <w:tcPr>
            <w:tcW w:type="dxa" w:w="379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7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3.3  Out of scope</w:t>
      </w:r>
    </w:p>
    <w:p>
      <w:pPr>
        <w:pStyle w:val="MasttBody"/>
      </w:pPr>
      <w:r>
        <w:t>Exclusions must be as explicit as inclusions. Each exclusion should name the party who will deliver it instead, or state that it is not being delivered at all - an unowned exclusion is a programme risk.</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737"/>
        <w:gridCol w:w="2835"/>
        <w:gridCol w:w="3118"/>
        <w:gridCol w:w="2722"/>
      </w:tblGrid>
      <w:tr>
        <w:trPr>
          <w:tblHeader w:val="true"/>
          <w:cantSplit w:val="true"/>
        </w:trPr>
        <w:tc>
          <w:tcPr>
            <w:tcW w:type="dxa" w:w="7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Excluded item</w:t>
            </w:r>
          </w:p>
        </w:tc>
        <w:tc>
          <w:tcPr>
            <w:tcW w:type="dxa" w:w="311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Rationale</w:t>
            </w:r>
          </w:p>
        </w:tc>
        <w:tc>
          <w:tcPr>
            <w:tcW w:type="dxa" w:w="27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Delivered by (if at all)</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X01</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Operational equipment procured by the operator</w:t>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X02</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Relocation of existing occupants and their contents</w:t>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X03</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Upstream utility network reinforcement</w:t>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X04</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Ongoing operation and maintenance after the defects period</w:t>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X05</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Land acquisition and easement negotiation</w:t>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X06</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Loose furniture and consumables</w:t>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3.4  Key deliverables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696"/>
        <w:gridCol w:w="2583"/>
        <w:gridCol w:w="1499"/>
        <w:gridCol w:w="1631"/>
        <w:gridCol w:w="1836"/>
        <w:gridCol w:w="1167"/>
      </w:tblGrid>
      <w:tr>
        <w:trPr>
          <w:tblHeader w:val="true"/>
          <w:cantSplit w:val="true"/>
        </w:trPr>
        <w:tc>
          <w:tcPr>
            <w:tcW w:type="dxa" w:w="69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58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Deliverable</w:t>
            </w:r>
          </w:p>
        </w:tc>
        <w:tc>
          <w:tcPr>
            <w:tcW w:type="dxa" w:w="149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Stage</w:t>
            </w:r>
          </w:p>
        </w:tc>
        <w:tc>
          <w:tcPr>
            <w:tcW w:type="dxa" w:w="163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83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Acceptance authority</w:t>
            </w:r>
          </w:p>
        </w:tc>
        <w:tc>
          <w:tcPr>
            <w:tcW w:type="dxa" w:w="116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Planned date</w:t>
            </w:r>
          </w:p>
        </w:tc>
      </w:tr>
      <w:tr>
        <w:trPr>
          <w:cantSplit w:val="true"/>
        </w:trPr>
        <w:tc>
          <w:tcPr>
            <w:tcW w:type="dxa" w:w="696"/>
            <w:tcMar>
              <w:top w:w="40" w:type="dxa"/>
              <w:left w:w="110" w:type="dxa"/>
              <w:bottom w:w="40" w:type="dxa"/>
              <w:right w:w="110" w:type="dxa"/>
            </w:tcMar>
          </w:tcPr>
          <w:p>
            <w:pPr>
              <w:pStyle w:val="MasttTableCell"/>
              <w:spacing w:before="20" w:after="20"/>
            </w:pPr>
            <w:r/>
            <w:r>
              <w:rPr>
                <w:rFonts w:ascii="Segoe UI" w:hAnsi="Segoe UI"/>
                <w:b/>
                <w:color w:val="1D3245"/>
                <w:sz w:val="17"/>
              </w:rPr>
              <w:t>D01</w:t>
            </w:r>
          </w:p>
        </w:tc>
        <w:tc>
          <w:tcPr>
            <w:tcW w:type="dxa" w:w="2582"/>
            <w:tcMar>
              <w:top w:w="40" w:type="dxa"/>
              <w:left w:w="110" w:type="dxa"/>
              <w:bottom w:w="40" w:type="dxa"/>
              <w:right w:w="110" w:type="dxa"/>
            </w:tcMar>
          </w:tcPr>
          <w:p>
            <w:pPr>
              <w:pStyle w:val="MasttTableCell"/>
              <w:spacing w:before="20" w:after="20"/>
            </w:pPr>
            <w:r/>
            <w:r>
              <w:rPr>
                <w:rFonts w:ascii="Segoe UI" w:hAnsi="Segoe UI"/>
                <w:color w:val="1D3245"/>
                <w:sz w:val="17"/>
              </w:rPr>
              <w:t>Approved design brief and requirements schedule</w:t>
            </w:r>
          </w:p>
        </w:tc>
        <w:tc>
          <w:tcPr>
            <w:tcW w:type="dxa" w:w="1498"/>
            <w:tcMar>
              <w:top w:w="40" w:type="dxa"/>
              <w:left w:w="110" w:type="dxa"/>
              <w:bottom w:w="40" w:type="dxa"/>
              <w:right w:w="110" w:type="dxa"/>
            </w:tcMar>
          </w:tcPr>
          <w:p>
            <w:pPr>
              <w:pStyle w:val="MasttTableCell"/>
              <w:spacing w:before="20" w:after="20"/>
            </w:pPr>
            <w:r/>
            <w:r>
              <w:rPr>
                <w:rFonts w:ascii="Segoe UI" w:hAnsi="Segoe UI"/>
                <w:color w:val="1D3245"/>
                <w:sz w:val="17"/>
              </w:rPr>
              <w:t>Definition</w:t>
            </w:r>
          </w:p>
        </w:tc>
        <w:tc>
          <w:tcPr>
            <w:tcW w:type="dxa" w:w="1631"/>
            <w:tcMar>
              <w:top w:w="40" w:type="dxa"/>
              <w:left w:w="110" w:type="dxa"/>
              <w:bottom w:w="40" w:type="dxa"/>
              <w:right w:w="110" w:type="dxa"/>
            </w:tcMar>
          </w:tcPr>
          <w:p>
            <w:pPr>
              <w:pStyle w:val="MasttTableCell"/>
              <w:spacing w:before="20" w:after="20"/>
            </w:pPr>
            <w:r/>
            <w:r>
              <w:rPr>
                <w:rFonts w:ascii="Segoe UI" w:hAnsi="Segoe UI"/>
                <w:color w:val="1D3245"/>
                <w:sz w:val="17"/>
              </w:rPr>
              <w:t>Design Manager</w:t>
            </w:r>
          </w:p>
        </w:tc>
        <w:tc>
          <w:tcPr>
            <w:tcW w:type="dxa" w:w="1836"/>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167"/>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D02</w:t>
            </w:r>
          </w:p>
        </w:tc>
        <w:tc>
          <w:tcPr>
            <w:tcW w:type="dxa" w:w="25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Concept design and cost plan</w:t>
            </w:r>
          </w:p>
        </w:tc>
        <w:tc>
          <w:tcPr>
            <w:tcW w:type="dxa" w:w="14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Concept</w:t>
            </w:r>
          </w:p>
        </w:tc>
        <w:tc>
          <w:tcPr>
            <w:tcW w:type="dxa" w:w="163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c>
          <w:tcPr>
            <w:tcW w:type="dxa" w:w="18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Board</w:t>
            </w:r>
          </w:p>
        </w:tc>
        <w:tc>
          <w:tcPr>
            <w:tcW w:type="dxa" w:w="11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tcPr>
          <w:p>
            <w:pPr>
              <w:pStyle w:val="MasttTableCell"/>
              <w:spacing w:before="20" w:after="20"/>
            </w:pPr>
            <w:r/>
            <w:r>
              <w:rPr>
                <w:rFonts w:ascii="Segoe UI" w:hAnsi="Segoe UI"/>
                <w:b/>
                <w:color w:val="1D3245"/>
                <w:sz w:val="17"/>
              </w:rPr>
              <w:t>D03</w:t>
            </w:r>
          </w:p>
        </w:tc>
        <w:tc>
          <w:tcPr>
            <w:tcW w:type="dxa" w:w="2582"/>
            <w:tcMar>
              <w:top w:w="40" w:type="dxa"/>
              <w:left w:w="110" w:type="dxa"/>
              <w:bottom w:w="40" w:type="dxa"/>
              <w:right w:w="110" w:type="dxa"/>
            </w:tcMar>
          </w:tcPr>
          <w:p>
            <w:pPr>
              <w:pStyle w:val="MasttTableCell"/>
              <w:spacing w:before="20" w:after="20"/>
            </w:pPr>
            <w:r/>
            <w:r>
              <w:rPr>
                <w:rFonts w:ascii="Segoe UI" w:hAnsi="Segoe UI"/>
                <w:color w:val="1D3245"/>
                <w:sz w:val="17"/>
              </w:rPr>
              <w:t>Developed design and updated cost plan</w:t>
            </w:r>
          </w:p>
        </w:tc>
        <w:tc>
          <w:tcPr>
            <w:tcW w:type="dxa" w:w="1498"/>
            <w:tcMar>
              <w:top w:w="40" w:type="dxa"/>
              <w:left w:w="110" w:type="dxa"/>
              <w:bottom w:w="40" w:type="dxa"/>
              <w:right w:w="110" w:type="dxa"/>
            </w:tcMar>
          </w:tcPr>
          <w:p>
            <w:pPr>
              <w:pStyle w:val="MasttTableCell"/>
              <w:spacing w:before="20" w:after="20"/>
            </w:pPr>
            <w:r/>
            <w:r>
              <w:rPr>
                <w:rFonts w:ascii="Segoe UI" w:hAnsi="Segoe UI"/>
                <w:color w:val="1D3245"/>
                <w:sz w:val="17"/>
              </w:rPr>
              <w:t>Developed</w:t>
            </w:r>
          </w:p>
        </w:tc>
        <w:tc>
          <w:tcPr>
            <w:tcW w:type="dxa" w:w="1631"/>
            <w:tcMar>
              <w:top w:w="40" w:type="dxa"/>
              <w:left w:w="110" w:type="dxa"/>
              <w:bottom w:w="40" w:type="dxa"/>
              <w:right w:w="110" w:type="dxa"/>
            </w:tcMar>
          </w:tcPr>
          <w:p>
            <w:pPr>
              <w:pStyle w:val="MasttTableCell"/>
              <w:spacing w:before="20" w:after="20"/>
            </w:pPr>
            <w:r/>
            <w:r>
              <w:rPr>
                <w:rFonts w:ascii="Segoe UI" w:hAnsi="Segoe UI"/>
                <w:color w:val="1D3245"/>
                <w:sz w:val="17"/>
              </w:rPr>
              <w:t>Design Manager</w:t>
            </w:r>
          </w:p>
        </w:tc>
        <w:tc>
          <w:tcPr>
            <w:tcW w:type="dxa" w:w="1836"/>
            <w:tcMar>
              <w:top w:w="40" w:type="dxa"/>
              <w:left w:w="110" w:type="dxa"/>
              <w:bottom w:w="40" w:type="dxa"/>
              <w:right w:w="110" w:type="dxa"/>
            </w:tcMar>
          </w:tcPr>
          <w:p>
            <w:pPr>
              <w:pStyle w:val="MasttTableCell"/>
              <w:spacing w:before="20" w:after="20"/>
            </w:pPr>
            <w:r/>
            <w:r>
              <w:rPr>
                <w:rFonts w:ascii="Segoe UI" w:hAnsi="Segoe UI"/>
                <w:color w:val="1D3245"/>
                <w:sz w:val="17"/>
              </w:rPr>
              <w:t>Project Board</w:t>
            </w:r>
          </w:p>
        </w:tc>
        <w:tc>
          <w:tcPr>
            <w:tcW w:type="dxa" w:w="1167"/>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D04</w:t>
            </w:r>
          </w:p>
        </w:tc>
        <w:tc>
          <w:tcPr>
            <w:tcW w:type="dxa" w:w="25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Technical design / tender documentation</w:t>
            </w:r>
          </w:p>
        </w:tc>
        <w:tc>
          <w:tcPr>
            <w:tcW w:type="dxa" w:w="14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Technical</w:t>
            </w:r>
          </w:p>
        </w:tc>
        <w:tc>
          <w:tcPr>
            <w:tcW w:type="dxa" w:w="163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c>
          <w:tcPr>
            <w:tcW w:type="dxa" w:w="18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1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tcPr>
          <w:p>
            <w:pPr>
              <w:pStyle w:val="MasttTableCell"/>
              <w:spacing w:before="20" w:after="20"/>
            </w:pPr>
            <w:r/>
            <w:r>
              <w:rPr>
                <w:rFonts w:ascii="Segoe UI" w:hAnsi="Segoe UI"/>
                <w:b/>
                <w:color w:val="1D3245"/>
                <w:sz w:val="17"/>
              </w:rPr>
              <w:t>D05</w:t>
            </w:r>
          </w:p>
        </w:tc>
        <w:tc>
          <w:tcPr>
            <w:tcW w:type="dxa" w:w="2582"/>
            <w:tcMar>
              <w:top w:w="40" w:type="dxa"/>
              <w:left w:w="110" w:type="dxa"/>
              <w:bottom w:w="40" w:type="dxa"/>
              <w:right w:w="110" w:type="dxa"/>
            </w:tcMar>
          </w:tcPr>
          <w:p>
            <w:pPr>
              <w:pStyle w:val="MasttTableCell"/>
              <w:spacing w:before="20" w:after="20"/>
            </w:pPr>
            <w:r/>
            <w:r>
              <w:rPr>
                <w:rFonts w:ascii="Segoe UI" w:hAnsi="Segoe UI"/>
                <w:color w:val="1D3245"/>
                <w:sz w:val="17"/>
              </w:rPr>
              <w:t>Statutory approvals and permits</w:t>
            </w:r>
          </w:p>
        </w:tc>
        <w:tc>
          <w:tcPr>
            <w:tcW w:type="dxa" w:w="1498"/>
            <w:tcMar>
              <w:top w:w="40" w:type="dxa"/>
              <w:left w:w="110" w:type="dxa"/>
              <w:bottom w:w="40" w:type="dxa"/>
              <w:right w:w="110" w:type="dxa"/>
            </w:tcMar>
          </w:tcPr>
          <w:p>
            <w:pPr>
              <w:pStyle w:val="MasttTableCell"/>
              <w:spacing w:before="20" w:after="20"/>
            </w:pPr>
            <w:r/>
            <w:r>
              <w:rPr>
                <w:rFonts w:ascii="Segoe UI" w:hAnsi="Segoe UI"/>
                <w:color w:val="1D3245"/>
                <w:sz w:val="17"/>
              </w:rPr>
              <w:t>Technical</w:t>
            </w:r>
          </w:p>
        </w:tc>
        <w:tc>
          <w:tcPr>
            <w:tcW w:type="dxa" w:w="1631"/>
            <w:tcMar>
              <w:top w:w="40" w:type="dxa"/>
              <w:left w:w="110" w:type="dxa"/>
              <w:bottom w:w="40" w:type="dxa"/>
              <w:right w:w="110" w:type="dxa"/>
            </w:tcMar>
          </w:tcPr>
          <w:p>
            <w:pPr>
              <w:pStyle w:val="MasttTableCell"/>
              <w:spacing w:before="20" w:after="20"/>
            </w:pPr>
            <w:r/>
            <w:r>
              <w:rPr>
                <w:rFonts w:ascii="Segoe UI" w:hAnsi="Segoe UI"/>
                <w:color w:val="1D3245"/>
                <w:sz w:val="17"/>
              </w:rPr>
              <w:t>Planning Lead</w:t>
            </w:r>
          </w:p>
        </w:tc>
        <w:tc>
          <w:tcPr>
            <w:tcW w:type="dxa" w:w="1836"/>
            <w:tcMar>
              <w:top w:w="40" w:type="dxa"/>
              <w:left w:w="110" w:type="dxa"/>
              <w:bottom w:w="40" w:type="dxa"/>
              <w:right w:w="110" w:type="dxa"/>
            </w:tcMar>
          </w:tcPr>
          <w:p>
            <w:pPr>
              <w:pStyle w:val="MasttTableCell"/>
              <w:spacing w:before="20" w:after="20"/>
            </w:pPr>
            <w:r/>
            <w:r>
              <w:rPr>
                <w:rFonts w:ascii="Segoe UI" w:hAnsi="Segoe UI"/>
                <w:color w:val="1D3245"/>
                <w:sz w:val="17"/>
              </w:rPr>
              <w:t>Authority</w:t>
            </w:r>
          </w:p>
        </w:tc>
        <w:tc>
          <w:tcPr>
            <w:tcW w:type="dxa" w:w="1167"/>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D06</w:t>
            </w:r>
          </w:p>
        </w:tc>
        <w:tc>
          <w:tcPr>
            <w:tcW w:type="dxa" w:w="25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Executed construction contract(s)</w:t>
            </w:r>
          </w:p>
        </w:tc>
        <w:tc>
          <w:tcPr>
            <w:tcW w:type="dxa" w:w="14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Procurement</w:t>
            </w:r>
          </w:p>
        </w:tc>
        <w:tc>
          <w:tcPr>
            <w:tcW w:type="dxa" w:w="163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18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c>
          <w:tcPr>
            <w:tcW w:type="dxa" w:w="11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tcPr>
          <w:p>
            <w:pPr>
              <w:pStyle w:val="MasttTableCell"/>
              <w:spacing w:before="20" w:after="20"/>
            </w:pPr>
            <w:r/>
            <w:r>
              <w:rPr>
                <w:rFonts w:ascii="Segoe UI" w:hAnsi="Segoe UI"/>
                <w:b/>
                <w:color w:val="1D3245"/>
                <w:sz w:val="17"/>
              </w:rPr>
              <w:t>D07</w:t>
            </w:r>
          </w:p>
        </w:tc>
        <w:tc>
          <w:tcPr>
            <w:tcW w:type="dxa" w:w="2582"/>
            <w:tcMar>
              <w:top w:w="40" w:type="dxa"/>
              <w:left w:w="110" w:type="dxa"/>
              <w:bottom w:w="40" w:type="dxa"/>
              <w:right w:w="110" w:type="dxa"/>
            </w:tcMar>
          </w:tcPr>
          <w:p>
            <w:pPr>
              <w:pStyle w:val="MasttTableCell"/>
              <w:spacing w:before="20" w:after="20"/>
            </w:pPr>
            <w:r/>
            <w:r>
              <w:rPr>
                <w:rFonts w:ascii="Segoe UI" w:hAnsi="Segoe UI"/>
                <w:color w:val="1D3245"/>
                <w:sz w:val="17"/>
              </w:rPr>
              <w:t>Constructed works</w:t>
            </w:r>
          </w:p>
        </w:tc>
        <w:tc>
          <w:tcPr>
            <w:tcW w:type="dxa" w:w="1498"/>
            <w:tcMar>
              <w:top w:w="40" w:type="dxa"/>
              <w:left w:w="110" w:type="dxa"/>
              <w:bottom w:w="40" w:type="dxa"/>
              <w:right w:w="110" w:type="dxa"/>
            </w:tcMar>
          </w:tcPr>
          <w:p>
            <w:pPr>
              <w:pStyle w:val="MasttTableCell"/>
              <w:spacing w:before="20" w:after="20"/>
            </w:pPr>
            <w:r/>
            <w:r>
              <w:rPr>
                <w:rFonts w:ascii="Segoe UI" w:hAnsi="Segoe UI"/>
                <w:color w:val="1D3245"/>
                <w:sz w:val="17"/>
              </w:rPr>
              <w:t>Construction</w:t>
            </w:r>
          </w:p>
        </w:tc>
        <w:tc>
          <w:tcPr>
            <w:tcW w:type="dxa" w:w="1631"/>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c>
          <w:tcPr>
            <w:tcW w:type="dxa" w:w="1836"/>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167"/>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D08</w:t>
            </w:r>
          </w:p>
        </w:tc>
        <w:tc>
          <w:tcPr>
            <w:tcW w:type="dxa" w:w="25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records and test certificates</w:t>
            </w:r>
          </w:p>
        </w:tc>
        <w:tc>
          <w:tcPr>
            <w:tcW w:type="dxa" w:w="14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w:t>
            </w:r>
          </w:p>
        </w:tc>
        <w:tc>
          <w:tcPr>
            <w:tcW w:type="dxa" w:w="163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Manager</w:t>
            </w:r>
          </w:p>
        </w:tc>
        <w:tc>
          <w:tcPr>
            <w:tcW w:type="dxa" w:w="18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w:t>
            </w:r>
          </w:p>
        </w:tc>
        <w:tc>
          <w:tcPr>
            <w:tcW w:type="dxa" w:w="11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tcPr>
          <w:p>
            <w:pPr>
              <w:pStyle w:val="MasttTableCell"/>
              <w:spacing w:before="20" w:after="20"/>
            </w:pPr>
            <w:r/>
            <w:r>
              <w:rPr>
                <w:rFonts w:ascii="Segoe UI" w:hAnsi="Segoe UI"/>
                <w:b/>
                <w:color w:val="1D3245"/>
                <w:sz w:val="17"/>
              </w:rPr>
              <w:t>D09</w:t>
            </w:r>
          </w:p>
        </w:tc>
        <w:tc>
          <w:tcPr>
            <w:tcW w:type="dxa" w:w="2582"/>
            <w:tcMar>
              <w:top w:w="40" w:type="dxa"/>
              <w:left w:w="110" w:type="dxa"/>
              <w:bottom w:w="40" w:type="dxa"/>
              <w:right w:w="110" w:type="dxa"/>
            </w:tcMar>
          </w:tcPr>
          <w:p>
            <w:pPr>
              <w:pStyle w:val="MasttTableCell"/>
              <w:spacing w:before="20" w:after="20"/>
            </w:pPr>
            <w:r/>
            <w:r>
              <w:rPr>
                <w:rFonts w:ascii="Segoe UI" w:hAnsi="Segoe UI"/>
                <w:color w:val="1D3245"/>
                <w:sz w:val="17"/>
              </w:rPr>
              <w:t>Asset data, O&amp;M manuals and as-builts</w:t>
            </w:r>
          </w:p>
        </w:tc>
        <w:tc>
          <w:tcPr>
            <w:tcW w:type="dxa" w:w="1498"/>
            <w:tcMar>
              <w:top w:w="40" w:type="dxa"/>
              <w:left w:w="110" w:type="dxa"/>
              <w:bottom w:w="40" w:type="dxa"/>
              <w:right w:w="110" w:type="dxa"/>
            </w:tcMar>
          </w:tcPr>
          <w:p>
            <w:pPr>
              <w:pStyle w:val="MasttTableCell"/>
              <w:spacing w:before="20" w:after="20"/>
            </w:pPr>
            <w:r/>
            <w:r>
              <w:rPr>
                <w:rFonts w:ascii="Segoe UI" w:hAnsi="Segoe UI"/>
                <w:color w:val="1D3245"/>
                <w:sz w:val="17"/>
              </w:rPr>
              <w:t>Handover</w:t>
            </w:r>
          </w:p>
        </w:tc>
        <w:tc>
          <w:tcPr>
            <w:tcW w:type="dxa" w:w="1631"/>
            <w:tcMar>
              <w:top w:w="40" w:type="dxa"/>
              <w:left w:w="110" w:type="dxa"/>
              <w:bottom w:w="40" w:type="dxa"/>
              <w:right w:w="110" w:type="dxa"/>
            </w:tcMar>
          </w:tcPr>
          <w:p>
            <w:pPr>
              <w:pStyle w:val="MasttTableCell"/>
              <w:spacing w:before="20" w:after="20"/>
            </w:pPr>
            <w:r/>
            <w:r>
              <w:rPr>
                <w:rFonts w:ascii="Segoe UI" w:hAnsi="Segoe UI"/>
                <w:color w:val="1D3245"/>
                <w:sz w:val="17"/>
              </w:rPr>
              <w:t>Information Manager</w:t>
            </w:r>
          </w:p>
        </w:tc>
        <w:tc>
          <w:tcPr>
            <w:tcW w:type="dxa" w:w="1836"/>
            <w:tcMar>
              <w:top w:w="40" w:type="dxa"/>
              <w:left w:w="110" w:type="dxa"/>
              <w:bottom w:w="40" w:type="dxa"/>
              <w:right w:w="110" w:type="dxa"/>
            </w:tcMar>
          </w:tcPr>
          <w:p>
            <w:pPr>
              <w:pStyle w:val="MasttTableCell"/>
              <w:spacing w:before="20" w:after="20"/>
            </w:pPr>
            <w:r/>
            <w:r>
              <w:rPr>
                <w:rFonts w:ascii="Segoe UI" w:hAnsi="Segoe UI"/>
                <w:color w:val="1D3245"/>
                <w:sz w:val="17"/>
              </w:rPr>
              <w:t>Operations</w:t>
            </w:r>
          </w:p>
        </w:tc>
        <w:tc>
          <w:tcPr>
            <w:tcW w:type="dxa" w:w="1167"/>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D10</w:t>
            </w:r>
          </w:p>
        </w:tc>
        <w:tc>
          <w:tcPr>
            <w:tcW w:type="dxa" w:w="25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Training and operational readiness sign-off</w:t>
            </w:r>
          </w:p>
        </w:tc>
        <w:tc>
          <w:tcPr>
            <w:tcW w:type="dxa" w:w="14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Handover</w:t>
            </w:r>
          </w:p>
        </w:tc>
        <w:tc>
          <w:tcPr>
            <w:tcW w:type="dxa" w:w="163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 Rep</w:t>
            </w:r>
          </w:p>
        </w:tc>
        <w:tc>
          <w:tcPr>
            <w:tcW w:type="dxa" w:w="18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w:t>
            </w:r>
          </w:p>
        </w:tc>
        <w:tc>
          <w:tcPr>
            <w:tcW w:type="dxa" w:w="11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tcPr>
          <w:p>
            <w:pPr>
              <w:pStyle w:val="MasttTableCell"/>
              <w:spacing w:before="20" w:after="20"/>
            </w:pPr>
            <w:r/>
            <w:r>
              <w:rPr>
                <w:rFonts w:ascii="Segoe UI" w:hAnsi="Segoe UI"/>
                <w:b/>
                <w:color w:val="1D3245"/>
                <w:sz w:val="17"/>
              </w:rPr>
              <w:t>D11</w:t>
            </w:r>
          </w:p>
        </w:tc>
        <w:tc>
          <w:tcPr>
            <w:tcW w:type="dxa" w:w="2582"/>
            <w:tcMar>
              <w:top w:w="40" w:type="dxa"/>
              <w:left w:w="110" w:type="dxa"/>
              <w:bottom w:w="40" w:type="dxa"/>
              <w:right w:w="110" w:type="dxa"/>
            </w:tcMar>
          </w:tcPr>
          <w:p>
            <w:pPr>
              <w:pStyle w:val="MasttTableCell"/>
              <w:spacing w:before="20" w:after="20"/>
            </w:pPr>
            <w:r/>
            <w:r>
              <w:rPr>
                <w:rFonts w:ascii="Segoe UI" w:hAnsi="Segoe UI"/>
                <w:color w:val="1D3245"/>
                <w:sz w:val="17"/>
              </w:rPr>
              <w:t>Closeout report and lessons learned</w:t>
            </w:r>
          </w:p>
        </w:tc>
        <w:tc>
          <w:tcPr>
            <w:tcW w:type="dxa" w:w="1498"/>
            <w:tcMar>
              <w:top w:w="40" w:type="dxa"/>
              <w:left w:w="110" w:type="dxa"/>
              <w:bottom w:w="40" w:type="dxa"/>
              <w:right w:w="110" w:type="dxa"/>
            </w:tcMar>
          </w:tcPr>
          <w:p>
            <w:pPr>
              <w:pStyle w:val="MasttTableCell"/>
              <w:spacing w:before="20" w:after="20"/>
            </w:pPr>
            <w:r/>
            <w:r>
              <w:rPr>
                <w:rFonts w:ascii="Segoe UI" w:hAnsi="Segoe UI"/>
                <w:color w:val="1D3245"/>
                <w:sz w:val="17"/>
              </w:rPr>
              <w:t>Closeout</w:t>
            </w:r>
          </w:p>
        </w:tc>
        <w:tc>
          <w:tcPr>
            <w:tcW w:type="dxa" w:w="1631"/>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836"/>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167"/>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9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5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3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3.5  Work breakdown structure</w:t>
      </w:r>
    </w:p>
    <w:p>
      <w:pPr>
        <w:pStyle w:val="MasttBody"/>
      </w:pPr>
      <w:r>
        <w:t>The work breakdown structure (WBS) is the spine of scope, schedule, cost and reporting. It is decomposed to deliverables, not to activities, and it is aligned one-to-one with the cost breakdown structure so that every dollar and every day can be traced to a piece of scope.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856"/>
        <w:gridCol w:w="2139"/>
        <w:gridCol w:w="2139"/>
        <w:gridCol w:w="1915"/>
        <w:gridCol w:w="2362"/>
      </w:tblGrid>
      <w:tr>
        <w:trPr>
          <w:tblHeader w:val="true"/>
          <w:cantSplit w:val="true"/>
        </w:trPr>
        <w:tc>
          <w:tcPr>
            <w:tcW w:type="dxa" w:w="85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Level</w:t>
            </w:r>
          </w:p>
        </w:tc>
        <w:tc>
          <w:tcPr>
            <w:tcW w:type="dxa" w:w="213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Name</w:t>
            </w:r>
          </w:p>
        </w:tc>
        <w:tc>
          <w:tcPr>
            <w:tcW w:type="dxa" w:w="213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Purpose</w:t>
            </w:r>
          </w:p>
        </w:tc>
        <w:tc>
          <w:tcPr>
            <w:tcW w:type="dxa" w:w="19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Typical owner</w:t>
            </w:r>
          </w:p>
        </w:tc>
        <w:tc>
          <w:tcPr>
            <w:tcW w:type="dxa" w:w="236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Used for</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1</w:t>
            </w:r>
          </w:p>
        </w:tc>
        <w:tc>
          <w:tcPr>
            <w:tcW w:type="dxa" w:w="2139"/>
            <w:tcMar>
              <w:top w:w="40" w:type="dxa"/>
              <w:left w:w="110" w:type="dxa"/>
              <w:bottom w:w="40" w:type="dxa"/>
              <w:right w:w="110" w:type="dxa"/>
            </w:tcMar>
          </w:tcPr>
          <w:p>
            <w:pPr>
              <w:pStyle w:val="MasttTableCell"/>
              <w:spacing w:before="20" w:after="20"/>
            </w:pPr>
            <w:r/>
            <w:r>
              <w:rPr>
                <w:rFonts w:ascii="Segoe UI" w:hAnsi="Segoe UI"/>
                <w:color w:val="1D3245"/>
                <w:sz w:val="17"/>
              </w:rPr>
              <w:t>Project</w:t>
            </w:r>
          </w:p>
        </w:tc>
        <w:tc>
          <w:tcPr>
            <w:tcW w:type="dxa" w:w="2139"/>
            <w:tcMar>
              <w:top w:w="40" w:type="dxa"/>
              <w:left w:w="110" w:type="dxa"/>
              <w:bottom w:w="40" w:type="dxa"/>
              <w:right w:w="110" w:type="dxa"/>
            </w:tcMar>
          </w:tcPr>
          <w:p>
            <w:pPr>
              <w:pStyle w:val="MasttTableCell"/>
              <w:spacing w:before="20" w:after="20"/>
            </w:pPr>
            <w:r/>
            <w:r>
              <w:rPr>
                <w:rFonts w:ascii="Segoe UI" w:hAnsi="Segoe UI"/>
                <w:color w:val="1D3245"/>
                <w:sz w:val="17"/>
              </w:rPr>
              <w:t>Total authorised scope</w:t>
            </w:r>
          </w:p>
        </w:tc>
        <w:tc>
          <w:tcPr>
            <w:tcW w:type="dxa" w:w="1915"/>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2362"/>
            <w:tcMar>
              <w:top w:w="40" w:type="dxa"/>
              <w:left w:w="110" w:type="dxa"/>
              <w:bottom w:w="40" w:type="dxa"/>
              <w:right w:w="110" w:type="dxa"/>
            </w:tcMar>
          </w:tcPr>
          <w:p>
            <w:pPr>
              <w:pStyle w:val="MasttTableCell"/>
              <w:spacing w:before="20" w:after="20"/>
            </w:pPr>
            <w:r/>
            <w:r>
              <w:rPr>
                <w:rFonts w:ascii="Segoe UI" w:hAnsi="Segoe UI"/>
                <w:color w:val="1D3245"/>
                <w:sz w:val="17"/>
              </w:rPr>
              <w:t>Investment reporting</w:t>
            </w:r>
          </w:p>
        </w:tc>
      </w:tr>
      <w:tr>
        <w:trPr>
          <w:cantSplit w:val="true"/>
        </w:trPr>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2</w:t>
            </w:r>
          </w:p>
        </w:tc>
        <w:tc>
          <w:tcPr>
            <w:tcW w:type="dxa" w:w="21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Phase or major asset element</w:t>
            </w:r>
          </w:p>
        </w:tc>
        <w:tc>
          <w:tcPr>
            <w:tcW w:type="dxa" w:w="21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Delivery phasing</w:t>
            </w:r>
          </w:p>
        </w:tc>
        <w:tc>
          <w:tcPr>
            <w:tcW w:type="dxa" w:w="19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23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Board reporting, Level 1 schedule</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3</w:t>
            </w:r>
          </w:p>
        </w:tc>
        <w:tc>
          <w:tcPr>
            <w:tcW w:type="dxa" w:w="2139"/>
            <w:tcMar>
              <w:top w:w="40" w:type="dxa"/>
              <w:left w:w="110" w:type="dxa"/>
              <w:bottom w:w="40" w:type="dxa"/>
              <w:right w:w="110" w:type="dxa"/>
            </w:tcMar>
          </w:tcPr>
          <w:p>
            <w:pPr>
              <w:pStyle w:val="MasttTableCell"/>
              <w:spacing w:before="20" w:after="20"/>
            </w:pPr>
            <w:r/>
            <w:r>
              <w:rPr>
                <w:rFonts w:ascii="Segoe UI" w:hAnsi="Segoe UI"/>
                <w:color w:val="1D3245"/>
                <w:sz w:val="17"/>
              </w:rPr>
              <w:t>Work package / contract package</w:t>
            </w:r>
          </w:p>
        </w:tc>
        <w:tc>
          <w:tcPr>
            <w:tcW w:type="dxa" w:w="2139"/>
            <w:tcMar>
              <w:top w:w="40" w:type="dxa"/>
              <w:left w:w="110" w:type="dxa"/>
              <w:bottom w:w="40" w:type="dxa"/>
              <w:right w:w="110" w:type="dxa"/>
            </w:tcMar>
          </w:tcPr>
          <w:p>
            <w:pPr>
              <w:pStyle w:val="MasttTableCell"/>
              <w:spacing w:before="20" w:after="20"/>
            </w:pPr>
            <w:r/>
            <w:r>
              <w:rPr>
                <w:rFonts w:ascii="Segoe UI" w:hAnsi="Segoe UI"/>
                <w:color w:val="1D3245"/>
                <w:sz w:val="17"/>
              </w:rPr>
              <w:t>Procurement and contracting</w:t>
            </w:r>
          </w:p>
        </w:tc>
        <w:tc>
          <w:tcPr>
            <w:tcW w:type="dxa" w:w="1915"/>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2362"/>
            <w:tcMar>
              <w:top w:w="40" w:type="dxa"/>
              <w:left w:w="110" w:type="dxa"/>
              <w:bottom w:w="40" w:type="dxa"/>
              <w:right w:w="110" w:type="dxa"/>
            </w:tcMar>
          </w:tcPr>
          <w:p>
            <w:pPr>
              <w:pStyle w:val="MasttTableCell"/>
              <w:spacing w:before="20" w:after="20"/>
            </w:pPr>
            <w:r/>
            <w:r>
              <w:rPr>
                <w:rFonts w:ascii="Segoe UI" w:hAnsi="Segoe UI"/>
                <w:color w:val="1D3245"/>
                <w:sz w:val="17"/>
              </w:rPr>
              <w:t>Level 2 schedule, control accounts</w:t>
            </w:r>
          </w:p>
        </w:tc>
      </w:tr>
      <w:tr>
        <w:trPr>
          <w:cantSplit w:val="true"/>
        </w:trPr>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4</w:t>
            </w:r>
          </w:p>
        </w:tc>
        <w:tc>
          <w:tcPr>
            <w:tcW w:type="dxa" w:w="21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Deliverable or sub-package</w:t>
            </w:r>
          </w:p>
        </w:tc>
        <w:tc>
          <w:tcPr>
            <w:tcW w:type="dxa" w:w="21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Progress and cost control</w:t>
            </w:r>
          </w:p>
        </w:tc>
        <w:tc>
          <w:tcPr>
            <w:tcW w:type="dxa" w:w="19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Package Manager</w:t>
            </w:r>
          </w:p>
        </w:tc>
        <w:tc>
          <w:tcPr>
            <w:tcW w:type="dxa" w:w="23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Level 3 schedule, earned value</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5</w:t>
            </w:r>
          </w:p>
        </w:tc>
        <w:tc>
          <w:tcPr>
            <w:tcW w:type="dxa" w:w="2139"/>
            <w:tcMar>
              <w:top w:w="40" w:type="dxa"/>
              <w:left w:w="110" w:type="dxa"/>
              <w:bottom w:w="40" w:type="dxa"/>
              <w:right w:w="110" w:type="dxa"/>
            </w:tcMar>
          </w:tcPr>
          <w:p>
            <w:pPr>
              <w:pStyle w:val="MasttTableCell"/>
              <w:spacing w:before="20" w:after="20"/>
            </w:pPr>
            <w:r/>
            <w:r>
              <w:rPr>
                <w:rFonts w:ascii="Segoe UI" w:hAnsi="Segoe UI"/>
                <w:color w:val="1D3245"/>
                <w:sz w:val="17"/>
              </w:rPr>
              <w:t>Activity / work item</w:t>
            </w:r>
          </w:p>
        </w:tc>
        <w:tc>
          <w:tcPr>
            <w:tcW w:type="dxa" w:w="2139"/>
            <w:tcMar>
              <w:top w:w="40" w:type="dxa"/>
              <w:left w:w="110" w:type="dxa"/>
              <w:bottom w:w="40" w:type="dxa"/>
              <w:right w:w="110" w:type="dxa"/>
            </w:tcMar>
          </w:tcPr>
          <w:p>
            <w:pPr>
              <w:pStyle w:val="MasttTableCell"/>
              <w:spacing w:before="20" w:after="20"/>
            </w:pPr>
            <w:r/>
            <w:r>
              <w:rPr>
                <w:rFonts w:ascii="Segoe UI" w:hAnsi="Segoe UI"/>
                <w:color w:val="1D3245"/>
                <w:sz w:val="17"/>
              </w:rPr>
              <w:t>Execution and short-term control</w:t>
            </w:r>
          </w:p>
        </w:tc>
        <w:tc>
          <w:tcPr>
            <w:tcW w:type="dxa" w:w="1915"/>
            <w:tcMar>
              <w:top w:w="40" w:type="dxa"/>
              <w:left w:w="110" w:type="dxa"/>
              <w:bottom w:w="40" w:type="dxa"/>
              <w:right w:w="110" w:type="dxa"/>
            </w:tcMar>
          </w:tcPr>
          <w:p>
            <w:pPr>
              <w:pStyle w:val="MasttTableCell"/>
              <w:spacing w:before="20" w:after="20"/>
            </w:pPr>
            <w:r/>
            <w:r>
              <w:rPr>
                <w:rFonts w:ascii="Segoe UI" w:hAnsi="Segoe UI"/>
                <w:color w:val="1D3245"/>
                <w:sz w:val="17"/>
              </w:rPr>
              <w:t>Contractor / discipline lead</w:t>
            </w:r>
          </w:p>
        </w:tc>
        <w:tc>
          <w:tcPr>
            <w:tcW w:type="dxa" w:w="2362"/>
            <w:tcMar>
              <w:top w:w="40" w:type="dxa"/>
              <w:left w:w="110" w:type="dxa"/>
              <w:bottom w:w="40" w:type="dxa"/>
              <w:right w:w="110" w:type="dxa"/>
            </w:tcMar>
          </w:tcPr>
          <w:p>
            <w:pPr>
              <w:pStyle w:val="MasttTableCell"/>
              <w:spacing w:before="20" w:after="20"/>
            </w:pPr>
            <w:r/>
            <w:r>
              <w:rPr>
                <w:rFonts w:ascii="Segoe UI" w:hAnsi="Segoe UI"/>
                <w:color w:val="1D3245"/>
                <w:sz w:val="17"/>
              </w:rPr>
              <w:t>Level 4 look-ahead, ITPs</w:t>
            </w:r>
          </w:p>
        </w:tc>
      </w:tr>
    </w:tbl>
    <w:p>
      <w:pPr>
        <w:rPr>
          <w:sz w:val="8"/>
        </w:rPr>
        <w:spacing w:after="40" w:before="0" w:line="240" w:lineRule="auto"/>
      </w:pPr>
    </w:p>
    <w:p>
      <w:pPr>
        <w:pStyle w:val="ListBullet"/>
        <w:spacing w:after="60"/>
        <w:ind w:left="340"/>
      </w:pPr>
      <w:r>
        <w:rPr>
          <w:rFonts w:ascii="Segoe UI" w:hAnsi="Segoe UI"/>
          <w:color w:val="1D3245"/>
          <w:sz w:val="20"/>
        </w:rPr>
        <w:t>Each WBS element has one owner, one control account and one set of acceptance criteria.</w:t>
      </w:r>
    </w:p>
    <w:p>
      <w:pPr>
        <w:pStyle w:val="ListBullet"/>
        <w:spacing w:after="60"/>
        <w:ind w:left="340"/>
      </w:pPr>
      <w:r>
        <w:rPr>
          <w:rFonts w:ascii="Segoe UI" w:hAnsi="Segoe UI"/>
          <w:color w:val="1D3245"/>
          <w:sz w:val="20"/>
        </w:rPr>
        <w:t>The 100% rule applies: the sum of the children equals the parent, with no scope outside the structure.</w:t>
      </w:r>
    </w:p>
    <w:p>
      <w:pPr>
        <w:pStyle w:val="ListBullet"/>
        <w:spacing w:after="60"/>
        <w:ind w:left="340"/>
      </w:pPr>
      <w:r>
        <w:rPr>
          <w:rFonts w:ascii="Segoe UI" w:hAnsi="Segoe UI"/>
          <w:color w:val="1D3245"/>
          <w:sz w:val="20"/>
        </w:rPr>
        <w:t>WBS codes are never reused or renumbered once the baseline is set; superseded elements are closed, not deleted.</w:t>
      </w:r>
    </w:p>
    <w:p>
      <w:pPr>
        <w:pStyle w:val="ListBullet"/>
        <w:spacing w:after="60"/>
        <w:ind w:left="340"/>
      </w:pPr>
      <w:r>
        <w:rPr>
          <w:rFonts w:ascii="Segoe UI" w:hAnsi="Segoe UI"/>
          <w:color w:val="1D3245"/>
          <w:sz w:val="20"/>
        </w:rPr>
        <w:t>The WBS dictionary records for each element its scope, exclusions, assumptions, owner, budget and acceptance criteria.</w:t>
      </w:r>
    </w:p>
    <w:p>
      <w:pPr>
        <w:pStyle w:val="Heading2"/>
      </w:pPr>
      <w:r>
        <w:t>3.6  Deliverable acceptance criteria</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Define acceptance before work starts, not at the point of handover. State the evidence required, who verifies it and who accepts it. 'Acceptance by the Project Manager' is not an acceptance criterion - 'design compliance matrix showing 100% of mandatory requirements closed, verified by the independent reviewer' is.</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814"/>
        <w:gridCol w:w="2835"/>
        <w:gridCol w:w="2948"/>
        <w:gridCol w:w="1814"/>
      </w:tblGrid>
      <w:tr>
        <w:trPr>
          <w:tblHeader w:val="true"/>
          <w:cantSplit w:val="true"/>
        </w:trPr>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Deliverable type</w:t>
            </w:r>
          </w:p>
        </w:tc>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Acceptance criteria</w:t>
            </w:r>
          </w:p>
        </w:tc>
        <w:tc>
          <w:tcPr>
            <w:tcW w:type="dxa" w:w="294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Evidence required</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Accepted by</w:t>
            </w:r>
          </w:p>
        </w:tc>
      </w:tr>
      <w:tr>
        <w:trPr>
          <w:cantSplit w:val="true"/>
        </w:trPr>
        <w:tc>
          <w:tcPr>
            <w:tcW w:type="dxa" w:w="1814"/>
            <w:tcMar>
              <w:top w:w="40" w:type="dxa"/>
              <w:left w:w="110" w:type="dxa"/>
              <w:bottom w:w="40" w:type="dxa"/>
              <w:right w:w="110" w:type="dxa"/>
            </w:tcMar>
          </w:tcPr>
          <w:p>
            <w:pPr>
              <w:pStyle w:val="MasttTableCell"/>
              <w:spacing w:before="20" w:after="20"/>
            </w:pPr>
            <w:r/>
            <w:r>
              <w:rPr>
                <w:rFonts w:ascii="Segoe UI" w:hAnsi="Segoe UI"/>
                <w:b/>
                <w:color w:val="1D3245"/>
                <w:sz w:val="17"/>
              </w:rPr>
              <w:t>Design deliverable</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Complies with the brief, coordinated, reviewer comments closed</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Compliance matrix, clash report, comment response register</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Design Manager</w:t>
            </w:r>
          </w:p>
        </w:tc>
      </w:tr>
      <w:tr>
        <w:trPr>
          <w:cantSplit w:val="true"/>
        </w:trPr>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Procurement deliverable</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Evaluated against approved criteria, probity confirmed</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Evaluation report, probity sign-off</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r>
      <w:tr>
        <w:trPr>
          <w:cantSplit w:val="true"/>
        </w:trPr>
        <w:tc>
          <w:tcPr>
            <w:tcW w:type="dxa" w:w="1814"/>
            <w:tcMar>
              <w:top w:w="40" w:type="dxa"/>
              <w:left w:w="110" w:type="dxa"/>
              <w:bottom w:w="40" w:type="dxa"/>
              <w:right w:w="110" w:type="dxa"/>
            </w:tcMar>
          </w:tcPr>
          <w:p>
            <w:pPr>
              <w:pStyle w:val="MasttTableCell"/>
              <w:spacing w:before="20" w:after="20"/>
            </w:pPr>
            <w:r/>
            <w:r>
              <w:rPr>
                <w:rFonts w:ascii="Segoe UI" w:hAnsi="Segoe UI"/>
                <w:b/>
                <w:color w:val="1D3245"/>
                <w:sz w:val="17"/>
              </w:rPr>
              <w:t>Physical work</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Conforms to specification, ITP complete, no open NCRs</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Signed ITP, test results, NCR register</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Quality Manager</w:t>
            </w:r>
          </w:p>
        </w:tc>
      </w:tr>
      <w:tr>
        <w:trPr>
          <w:cantSplit w:val="true"/>
        </w:trPr>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System / installation</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Passes commissioning to specified performance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records, certificates, witness sheets</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Manager</w:t>
            </w:r>
          </w:p>
        </w:tc>
      </w:tr>
      <w:tr>
        <w:trPr>
          <w:cantSplit w:val="true"/>
        </w:trPr>
        <w:tc>
          <w:tcPr>
            <w:tcW w:type="dxa" w:w="1814"/>
            <w:tcMar>
              <w:top w:w="40" w:type="dxa"/>
              <w:left w:w="110" w:type="dxa"/>
              <w:bottom w:w="40" w:type="dxa"/>
              <w:right w:w="110" w:type="dxa"/>
            </w:tcMar>
          </w:tcPr>
          <w:p>
            <w:pPr>
              <w:pStyle w:val="MasttTableCell"/>
              <w:spacing w:before="20" w:after="20"/>
            </w:pPr>
            <w:r/>
            <w:r>
              <w:rPr>
                <w:rFonts w:ascii="Segoe UI" w:hAnsi="Segoe UI"/>
                <w:b/>
                <w:color w:val="1D3245"/>
                <w:sz w:val="17"/>
              </w:rPr>
              <w:t>Information deliverable</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Meets the level of information need and naming convention</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CDE status, validation report</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Information Manager</w:t>
            </w:r>
          </w:p>
        </w:tc>
      </w:tr>
      <w:tr>
        <w:trPr>
          <w:cantSplit w:val="true"/>
        </w:trPr>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Operational readiness</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Operator trained, spares held, procedures issued</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Training records, readiness checklist</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 Representative</w:t>
            </w:r>
          </w:p>
        </w:tc>
      </w:tr>
    </w:tbl>
    <w:p>
      <w:pPr>
        <w:rPr>
          <w:sz w:val="8"/>
        </w:rPr>
        <w:spacing w:after="40" w:before="0" w:line="240" w:lineRule="auto"/>
      </w:pPr>
    </w:p>
    <w:p>
      <w:pPr>
        <w:pStyle w:val="Heading2"/>
      </w:pPr>
      <w:r>
        <w:t>3.7  Scope change control</w:t>
      </w:r>
    </w:p>
    <w:p>
      <w:pPr>
        <w:pStyle w:val="MasttBody"/>
      </w:pPr>
      <w:r>
        <w:t>Scope change is managed through the process in Section 18. The steps below are the scope-specific application of that process.</w:t>
      </w:r>
    </w:p>
    <w:p>
      <w:pPr>
        <w:pStyle w:val="ListBullet"/>
        <w:spacing w:after="60"/>
        <w:ind w:left="340"/>
      </w:pPr>
      <w:r>
        <w:rPr>
          <w:rFonts w:ascii="Segoe UI" w:hAnsi="Segoe UI"/>
          <w:color w:val="1D3245"/>
          <w:sz w:val="20"/>
        </w:rPr>
        <w:t>Identify - anyone may raise a potential change; it is logged in the change register within 2 working days.</w:t>
      </w:r>
    </w:p>
    <w:p>
      <w:pPr>
        <w:pStyle w:val="ListBullet"/>
        <w:spacing w:after="60"/>
        <w:ind w:left="340"/>
      </w:pPr>
      <w:r>
        <w:rPr>
          <w:rFonts w:ascii="Segoe UI" w:hAnsi="Segoe UI"/>
          <w:color w:val="1D3245"/>
          <w:sz w:val="20"/>
        </w:rPr>
        <w:t>Screen - the Project Manager confirms whether it is a change to the approved baseline or clarification of existing scope.</w:t>
      </w:r>
    </w:p>
    <w:p>
      <w:pPr>
        <w:pStyle w:val="ListBullet"/>
        <w:spacing w:after="60"/>
        <w:ind w:left="340"/>
      </w:pPr>
      <w:r>
        <w:rPr>
          <w:rFonts w:ascii="Segoe UI" w:hAnsi="Segoe UI"/>
          <w:color w:val="1D3245"/>
          <w:sz w:val="20"/>
        </w:rPr>
        <w:t>Assess - impact on cost, time, risk, safety, quality, operations, benefits and interfaces is quantified by the responsible discipline leads.</w:t>
      </w:r>
    </w:p>
    <w:p>
      <w:pPr>
        <w:pStyle w:val="ListBullet"/>
        <w:spacing w:after="60"/>
        <w:ind w:left="340"/>
      </w:pPr>
      <w:r>
        <w:rPr>
          <w:rFonts w:ascii="Segoe UI" w:hAnsi="Segoe UI"/>
          <w:color w:val="1D3245"/>
          <w:sz w:val="20"/>
        </w:rPr>
        <w:t>Price - commercial impact is established under the contract mechanism before, not after, instruction wherever practicable.</w:t>
      </w:r>
    </w:p>
    <w:p>
      <w:pPr>
        <w:pStyle w:val="ListBullet"/>
        <w:spacing w:after="60"/>
        <w:ind w:left="340"/>
      </w:pPr>
      <w:r>
        <w:rPr>
          <w:rFonts w:ascii="Segoe UI" w:hAnsi="Segoe UI"/>
          <w:color w:val="1D3245"/>
          <w:sz w:val="20"/>
        </w:rPr>
        <w:t>Authorise - approved at the level set by the authority matrix below.</w:t>
      </w:r>
    </w:p>
    <w:p>
      <w:pPr>
        <w:pStyle w:val="ListBullet"/>
        <w:spacing w:after="60"/>
        <w:ind w:left="340"/>
      </w:pPr>
      <w:r>
        <w:rPr>
          <w:rFonts w:ascii="Segoe UI" w:hAnsi="Segoe UI"/>
          <w:color w:val="1D3245"/>
          <w:sz w:val="20"/>
        </w:rPr>
        <w:t>Instruct - issued formally under the contract by the person authorised to do so.</w:t>
      </w:r>
    </w:p>
    <w:p>
      <w:pPr>
        <w:pStyle w:val="ListBullet"/>
        <w:spacing w:after="60"/>
        <w:ind w:left="340"/>
      </w:pPr>
      <w:r>
        <w:rPr>
          <w:rFonts w:ascii="Segoe UI" w:hAnsi="Segoe UI"/>
          <w:color w:val="1D3245"/>
          <w:sz w:val="20"/>
        </w:rPr>
        <w:t>Baseline - approved changes are incorporated into the schedule, cost and scope baselines at the next control cycle.</w:t>
      </w:r>
    </w:p>
    <w:p>
      <w:pPr>
        <w:pStyle w:val="ListBullet"/>
        <w:spacing w:after="60"/>
        <w:ind w:left="340"/>
      </w:pPr>
      <w:r>
        <w:rPr>
          <w:rFonts w:ascii="Segoe UI" w:hAnsi="Segoe UI"/>
          <w:color w:val="1D3245"/>
          <w:sz w:val="20"/>
        </w:rPr>
        <w:t>Communicate - the change is communicated to every affected party, including designers and the operator.</w:t>
      </w:r>
    </w:p>
    <w:p>
      <w:pPr>
        <w:pStyle w:val="Heading2"/>
      </w:pPr>
      <w:r>
        <w:t>3.8  Scope change authority matrix</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95"/>
        <w:gridCol w:w="1644"/>
        <w:gridCol w:w="1644"/>
        <w:gridCol w:w="1928"/>
        <w:gridCol w:w="1701"/>
      </w:tblGrid>
      <w:tr>
        <w:trPr>
          <w:tblHeader w:val="true"/>
          <w:cantSplit w:val="true"/>
        </w:trPr>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Change value or impact</w:t>
            </w:r>
          </w:p>
        </w:tc>
        <w:tc>
          <w:tcPr>
            <w:tcW w:type="dxa" w:w="164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Assessed by</w:t>
            </w:r>
          </w:p>
        </w:tc>
        <w:tc>
          <w:tcPr>
            <w:tcW w:type="dxa" w:w="164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Recommended by</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Approved by</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Notified to</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No cost or time impact; clarification only</w:t>
            </w:r>
          </w:p>
        </w:tc>
        <w:tc>
          <w:tcPr>
            <w:tcW w:type="dxa" w:w="1644"/>
            <w:tcMar>
              <w:top w:w="40" w:type="dxa"/>
              <w:left w:w="110" w:type="dxa"/>
              <w:bottom w:w="40" w:type="dxa"/>
              <w:right w:w="110" w:type="dxa"/>
            </w:tcMar>
          </w:tcPr>
          <w:p>
            <w:pPr>
              <w:pStyle w:val="MasttTableCell"/>
              <w:spacing w:before="20" w:after="20"/>
            </w:pPr>
            <w:r/>
            <w:r>
              <w:rPr>
                <w:rFonts w:ascii="Segoe UI" w:hAnsi="Segoe UI"/>
                <w:color w:val="1D3245"/>
                <w:sz w:val="17"/>
              </w:rPr>
              <w:t>Package Manager</w:t>
            </w:r>
          </w:p>
        </w:tc>
        <w:tc>
          <w:tcPr>
            <w:tcW w:type="dxa" w:w="1644"/>
            <w:tcMar>
              <w:top w:w="40" w:type="dxa"/>
              <w:left w:w="110" w:type="dxa"/>
              <w:bottom w:w="40" w:type="dxa"/>
              <w:right w:w="110" w:type="dxa"/>
            </w:tcMar>
          </w:tcPr>
          <w:p>
            <w:pPr>
              <w:pStyle w:val="MasttTableCell"/>
              <w:spacing w:before="20" w:after="20"/>
            </w:pPr>
            <w:r/>
            <w:r>
              <w:rPr>
                <w:rFonts w:ascii="Segoe UI" w:hAnsi="Segoe UI"/>
                <w:color w:val="1D3245"/>
                <w:sz w:val="17"/>
              </w:rPr>
              <w:t> - </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Change register</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Up to [X] and no impact on completion date</w:t>
            </w:r>
          </w:p>
        </w:tc>
        <w:tc>
          <w:tcPr>
            <w:tcW w:type="dxa" w:w="16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Discipline lead</w:t>
            </w:r>
          </w:p>
        </w:tc>
        <w:tc>
          <w:tcPr>
            <w:tcW w:type="dxa" w:w="16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Up to [Y] or up to [n] days of float consumed</w:t>
            </w:r>
          </w:p>
        </w:tc>
        <w:tc>
          <w:tcPr>
            <w:tcW w:type="dxa" w:w="164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64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Project Director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Up to [Z] or any change to the completion date</w:t>
            </w:r>
          </w:p>
        </w:tc>
        <w:tc>
          <w:tcPr>
            <w:tcW w:type="dxa" w:w="16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16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Board</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Above [Z], any change to approved benefits, or any change to the funding envelope</w:t>
            </w:r>
          </w:p>
        </w:tc>
        <w:tc>
          <w:tcPr>
            <w:tcW w:type="dxa" w:w="164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644"/>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Project Board / investment authority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All parties</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Any change affecting statutory compliance or safety in design</w:t>
            </w:r>
          </w:p>
        </w:tc>
        <w:tc>
          <w:tcPr>
            <w:tcW w:type="dxa" w:w="16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c>
          <w:tcPr>
            <w:tcW w:type="dxa" w:w="16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 (with HSE endorsement)</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r>
    </w:tbl>
    <w:p>
      <w:pPr>
        <w:rPr>
          <w:sz w:val="8"/>
        </w:rPr>
        <w:spacing w:after="40" w:before="0" w:line="240" w:lineRule="auto"/>
      </w:pPr>
    </w:p>
    <w:p>
      <w:pPr>
        <w:pStyle w:val="MasttCaption"/>
        <w:spacing w:after="180"/>
      </w:pPr>
      <w:r>
        <w:rPr>
          <w:color w:val="8E98A2"/>
          <w:sz w:val="16"/>
        </w:rPr>
        <w:t>Insert the monetary thresholds [X], [Y] and [Z] from the client's delegation of authority. Thresholds must reconcile exactly with Section 4.6 and Section 9.12.</w:t>
      </w:r>
    </w:p>
    <w:p>
      <w:pPr>
        <w:pStyle w:val="Heading2"/>
      </w:pPr>
      <w:r>
        <w:t>3.9  Scope interfaces and exclusions</w:t>
      </w:r>
    </w:p>
    <w:p>
      <w:pPr>
        <w:pStyle w:val="MasttBody"/>
      </w:pPr>
      <w:r>
        <w:t>Scope boundaries between packages, between the project and the existing asset, and between the project and third parties are managed as interfaces under Section 15. Every exclusion in Section 3.3 must have a corresponding entry in the interface register or an accepted risk in the risk register.</w:t>
      </w:r>
    </w:p>
    <w:p>
      <w:pPr>
        <w:pStyle w:val="Heading2"/>
      </w:pPr>
      <w:r>
        <w:t>3.10  Assumptions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An assumption is something taken to be true for planning purposes that has not been verified. Each one is a risk in waiting. Give every assumption an owner and a date by which it must be confirmed or converted to a risk.</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624"/>
        <w:gridCol w:w="2495"/>
        <w:gridCol w:w="1701"/>
        <w:gridCol w:w="1361"/>
        <w:gridCol w:w="1247"/>
        <w:gridCol w:w="1984"/>
      </w:tblGrid>
      <w:tr>
        <w:trPr>
          <w:tblHeader w:val="true"/>
          <w:cantSplit w:val="true"/>
        </w:trPr>
        <w:tc>
          <w:tcPr>
            <w:tcW w:type="dxa" w:w="62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Assumption</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Basis</w:t>
            </w:r>
          </w:p>
        </w:tc>
        <w:tc>
          <w:tcPr>
            <w:tcW w:type="dxa" w:w="13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2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Validate by</w:t>
            </w:r>
          </w:p>
        </w:tc>
        <w:tc>
          <w:tcPr>
            <w:tcW w:type="dxa" w:w="198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Impact if invalid</w:t>
            </w:r>
          </w:p>
        </w:tc>
      </w:tr>
      <w:tr>
        <w:trPr>
          <w:cantSplit w:val="true"/>
        </w:trPr>
        <w:tc>
          <w:tcPr>
            <w:tcW w:type="dxa" w:w="624"/>
            <w:tcMar>
              <w:top w:w="40" w:type="dxa"/>
              <w:left w:w="110" w:type="dxa"/>
              <w:bottom w:w="40" w:type="dxa"/>
              <w:right w:w="110" w:type="dxa"/>
            </w:tcMar>
          </w:tcPr>
          <w:p>
            <w:pPr>
              <w:pStyle w:val="MasttTableCell"/>
              <w:spacing w:before="20" w:after="20"/>
            </w:pPr>
            <w:r/>
            <w:r>
              <w:rPr>
                <w:rFonts w:ascii="Segoe UI" w:hAnsi="Segoe UI"/>
                <w:b/>
                <w:color w:val="1D3245"/>
                <w:sz w:val="17"/>
              </w:rPr>
              <w:t>A01</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84"/>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A02</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tcPr>
          <w:p>
            <w:pPr>
              <w:pStyle w:val="MasttTableCell"/>
              <w:spacing w:before="20" w:after="20"/>
            </w:pPr>
            <w:r/>
            <w:r>
              <w:rPr>
                <w:rFonts w:ascii="Segoe UI" w:hAnsi="Segoe UI"/>
                <w:b/>
                <w:color w:val="1D3245"/>
                <w:sz w:val="17"/>
              </w:rPr>
              <w:t>A03</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84"/>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A04</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tcPr>
          <w:p>
            <w:pPr>
              <w:pStyle w:val="MasttTableCell"/>
              <w:spacing w:before="20" w:after="20"/>
            </w:pPr>
            <w:r/>
            <w:r>
              <w:rPr>
                <w:rFonts w:ascii="Segoe UI" w:hAnsi="Segoe UI"/>
                <w:b/>
                <w:color w:val="1D3245"/>
                <w:sz w:val="17"/>
              </w:rPr>
              <w:t>A05</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84"/>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A06</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3.11  Constraints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624"/>
        <w:gridCol w:w="2608"/>
        <w:gridCol w:w="1361"/>
        <w:gridCol w:w="1701"/>
        <w:gridCol w:w="3118"/>
      </w:tblGrid>
      <w:tr>
        <w:trPr>
          <w:tblHeader w:val="true"/>
          <w:cantSplit w:val="true"/>
        </w:trPr>
        <w:tc>
          <w:tcPr>
            <w:tcW w:type="dxa" w:w="62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Constraint</w:t>
            </w:r>
          </w:p>
        </w:tc>
        <w:tc>
          <w:tcPr>
            <w:tcW w:type="dxa" w:w="13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Type</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Source</w:t>
            </w:r>
          </w:p>
        </w:tc>
        <w:tc>
          <w:tcPr>
            <w:tcW w:type="dxa" w:w="311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Management approach</w:t>
            </w:r>
          </w:p>
        </w:tc>
      </w:tr>
      <w:tr>
        <w:trPr>
          <w:cantSplit w:val="true"/>
        </w:trPr>
        <w:tc>
          <w:tcPr>
            <w:tcW w:type="dxa" w:w="624"/>
            <w:tcMar>
              <w:top w:w="40" w:type="dxa"/>
              <w:left w:w="110" w:type="dxa"/>
              <w:bottom w:w="40" w:type="dxa"/>
              <w:right w:w="110" w:type="dxa"/>
            </w:tcMar>
          </w:tcPr>
          <w:p>
            <w:pPr>
              <w:pStyle w:val="MasttTableCell"/>
              <w:spacing w:before="20" w:after="20"/>
            </w:pPr>
            <w:r/>
            <w:r>
              <w:rPr>
                <w:rFonts w:ascii="Segoe UI" w:hAnsi="Segoe UI"/>
                <w:b/>
                <w:color w:val="1D3245"/>
                <w:sz w:val="17"/>
              </w:rPr>
              <w:t>C01</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Time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C02</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 funding</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tcPr>
          <w:p>
            <w:pPr>
              <w:pStyle w:val="MasttTableCell"/>
              <w:spacing w:before="20" w:after="20"/>
            </w:pPr>
            <w:r/>
            <w:r>
              <w:rPr>
                <w:rFonts w:ascii="Segoe UI" w:hAnsi="Segoe UI"/>
                <w:b/>
                <w:color w:val="1D3245"/>
                <w:sz w:val="17"/>
              </w:rPr>
              <w:t>C03</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Site access / possession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C04</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Statutory / consent</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tcPr>
          <w:p>
            <w:pPr>
              <w:pStyle w:val="MasttTableCell"/>
              <w:spacing w:before="20" w:after="20"/>
            </w:pPr>
            <w:r/>
            <w:r>
              <w:rPr>
                <w:rFonts w:ascii="Segoe UI" w:hAnsi="Segoe UI"/>
                <w:b/>
                <w:color w:val="1D3245"/>
                <w:sz w:val="17"/>
              </w:rPr>
              <w:t>C05</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Operational continuity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C06</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Resource / market capacity</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tcPr>
          <w:p>
            <w:pPr>
              <w:pStyle w:val="MasttTableCell"/>
              <w:spacing w:before="20" w:after="20"/>
            </w:pPr>
            <w:r/>
            <w:r>
              <w:rPr>
                <w:rFonts w:ascii="Segoe UI" w:hAnsi="Segoe UI"/>
                <w:b/>
                <w:color w:val="1D3245"/>
                <w:sz w:val="17"/>
              </w:rPr>
              <w:t>C07</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Technical / interface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62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1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4.  Project governance and organisation</w:t>
      </w:r>
    </w:p>
    <w:p>
      <w:pPr>
        <w:pStyle w:val="Heading2"/>
      </w:pPr>
      <w:r>
        <w:t>4.1  Governance framework</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Governance exists to make decisions at the pace the project needs, with the right people accountable. Test every forum you propose against three questions: what decision does it make, who cannot make that decision without it, and what does it produce? If a forum has no decision rights, it is a meeting, not governance - say so.</w:t>
            </w:r>
          </w:p>
        </w:tc>
      </w:tr>
    </w:tbl>
    <w:p>
      <w:pPr>
        <w:rPr>
          <w:sz w:val="8"/>
        </w:rPr>
        <w:spacing w:after="40" w:before="0" w:line="240" w:lineRule="auto"/>
      </w:pPr>
    </w:p>
    <w:p>
      <w:pPr>
        <w:pStyle w:val="MasttBody"/>
      </w:pPr>
      <w:r>
        <w:t>The governance framework separates three distinct roles: direction (the Sponsor and Project Board, accountable for the investment and the benefits), management (the Project Director and Project Manager, accountable for delivery within tolerance), and assurance (independent of both, accountable for confirming that controls work).</w:t>
      </w:r>
    </w:p>
    <w:p>
      <w:pPr>
        <w:pStyle w:val="Heading2"/>
      </w:pPr>
      <w:r>
        <w:t>4.2  Governance forums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1" w:type="dxa"/>
      </w:tblPr>
      <w:tblGrid>
        <w:gridCol w:w="1464"/>
        <w:gridCol w:w="1270"/>
        <w:gridCol w:w="1425"/>
        <w:gridCol w:w="1133"/>
        <w:gridCol w:w="1347"/>
        <w:gridCol w:w="1425"/>
        <w:gridCol w:w="1347"/>
      </w:tblGrid>
      <w:tr>
        <w:trPr>
          <w:tblHeader w:val="true"/>
          <w:cantSplit w:val="true"/>
        </w:trPr>
        <w:tc>
          <w:tcPr>
            <w:tcW w:type="dxa" w:w="146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Forum</w:t>
            </w:r>
          </w:p>
        </w:tc>
        <w:tc>
          <w:tcPr>
            <w:tcW w:type="dxa" w:w="12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Purpose</w:t>
            </w:r>
          </w:p>
        </w:tc>
        <w:tc>
          <w:tcPr>
            <w:tcW w:type="dxa" w:w="142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Membership</w:t>
            </w:r>
          </w:p>
        </w:tc>
        <w:tc>
          <w:tcPr>
            <w:tcW w:type="dxa" w:w="113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Frequency</w:t>
            </w:r>
          </w:p>
        </w:tc>
        <w:tc>
          <w:tcPr>
            <w:tcW w:type="dxa" w:w="13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Quorum</w:t>
            </w:r>
          </w:p>
        </w:tc>
        <w:tc>
          <w:tcPr>
            <w:tcW w:type="dxa" w:w="142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Decision rights</w:t>
            </w:r>
          </w:p>
        </w:tc>
        <w:tc>
          <w:tcPr>
            <w:tcW w:type="dxa" w:w="13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Outputs</w:t>
            </w:r>
          </w:p>
        </w:tc>
      </w:tr>
      <w:tr>
        <w:trPr>
          <w:cantSplit w:val="true"/>
        </w:trPr>
        <w:tc>
          <w:tcPr>
            <w:tcW w:type="dxa" w:w="1464"/>
            <w:tcMar>
              <w:top w:w="40" w:type="dxa"/>
              <w:left w:w="110" w:type="dxa"/>
              <w:bottom w:w="40" w:type="dxa"/>
              <w:right w:w="110" w:type="dxa"/>
            </w:tcMar>
          </w:tcPr>
          <w:p>
            <w:pPr>
              <w:pStyle w:val="MasttTableCell"/>
              <w:spacing w:before="20" w:after="20"/>
            </w:pPr>
            <w:r/>
            <w:r>
              <w:rPr>
                <w:rFonts w:ascii="Segoe UI" w:hAnsi="Segoe UI"/>
                <w:b/>
                <w:color w:val="1D3245"/>
                <w:sz w:val="14"/>
              </w:rPr>
              <w:t>Project Board / Steering Committee</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4"/>
              </w:rPr>
              <w:t>Direct the investment, approve baselines and stage gates</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Sponsor (chair), Project Director, client business owner, operations representative, finance</w:t>
            </w:r>
          </w:p>
        </w:tc>
        <w:tc>
          <w:tcPr>
            <w:tcW w:type="dxa" w:w="1133"/>
            <w:tcMar>
              <w:top w:w="40" w:type="dxa"/>
              <w:left w:w="110" w:type="dxa"/>
              <w:bottom w:w="40" w:type="dxa"/>
              <w:right w:w="110" w:type="dxa"/>
            </w:tcMar>
          </w:tcPr>
          <w:p>
            <w:pPr>
              <w:pStyle w:val="MasttTableCell"/>
              <w:spacing w:before="20" w:after="20"/>
            </w:pPr>
            <w:r/>
            <w:r>
              <w:rPr>
                <w:rFonts w:ascii="Segoe UI" w:hAnsi="Segoe UI"/>
                <w:color w:val="1D3245"/>
                <w:sz w:val="14"/>
              </w:rPr>
              <w:t>Monthly</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Chair + 3 including finance</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Approve baseline change beyond PM tolerance; approve stage gate progression</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Minutes, decisions register, approved baseline</w:t>
            </w:r>
          </w:p>
        </w:tc>
      </w:tr>
      <w:tr>
        <w:trPr>
          <w:cantSplit w:val="true"/>
        </w:trPr>
        <w:tc>
          <w:tcPr>
            <w:tcW w:type="dxa" w:w="14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Project Control Group</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Manage delivery performance, risk and change</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Project Director (chair), Project Manager, Commercial Manager, Design Manager, HSE Manager, Planner</w:t>
            </w:r>
          </w:p>
        </w:tc>
        <w:tc>
          <w:tcPr>
            <w:tcW w:type="dxa" w:w="11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Fortnightly</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Chair + 3</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Approve change within delegated limits; endorse recommendations to the Board</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Actions, change decisions, risk decisions</w:t>
            </w:r>
          </w:p>
        </w:tc>
      </w:tr>
      <w:tr>
        <w:trPr>
          <w:cantSplit w:val="true"/>
        </w:trPr>
        <w:tc>
          <w:tcPr>
            <w:tcW w:type="dxa" w:w="1464"/>
            <w:tcMar>
              <w:top w:w="40" w:type="dxa"/>
              <w:left w:w="110" w:type="dxa"/>
              <w:bottom w:w="40" w:type="dxa"/>
              <w:right w:w="110" w:type="dxa"/>
            </w:tcMar>
          </w:tcPr>
          <w:p>
            <w:pPr>
              <w:pStyle w:val="MasttTableCell"/>
              <w:spacing w:before="20" w:after="20"/>
            </w:pPr>
            <w:r/>
            <w:r>
              <w:rPr>
                <w:rFonts w:ascii="Segoe UI" w:hAnsi="Segoe UI"/>
                <w:b/>
                <w:color w:val="1D3245"/>
                <w:sz w:val="14"/>
              </w:rPr>
              <w:t>Project Delivery Team meeting</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4"/>
              </w:rPr>
              <w:t>Coordinate day-to-day delivery and resolve blockers</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Project Manager (chair), package managers, discipline leads</w:t>
            </w:r>
          </w:p>
        </w:tc>
        <w:tc>
          <w:tcPr>
            <w:tcW w:type="dxa" w:w="1133"/>
            <w:tcMar>
              <w:top w:w="40" w:type="dxa"/>
              <w:left w:w="110" w:type="dxa"/>
              <w:bottom w:w="40" w:type="dxa"/>
              <w:right w:w="110" w:type="dxa"/>
            </w:tcMar>
          </w:tcPr>
          <w:p>
            <w:pPr>
              <w:pStyle w:val="MasttTableCell"/>
              <w:spacing w:before="20" w:after="20"/>
            </w:pPr>
            <w:r/>
            <w:r>
              <w:rPr>
                <w:rFonts w:ascii="Segoe UI" w:hAnsi="Segoe UI"/>
                <w:color w:val="1D3245"/>
                <w:sz w:val="14"/>
              </w:rPr>
              <w:t>Weekly</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Chair + 2</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Operational decisions within the plan</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Actions, look-ahead, issues log</w:t>
            </w:r>
          </w:p>
        </w:tc>
      </w:tr>
      <w:tr>
        <w:trPr>
          <w:cantSplit w:val="true"/>
        </w:trPr>
        <w:tc>
          <w:tcPr>
            <w:tcW w:type="dxa" w:w="14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Design Coordination Meeting</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Resolve design coordination, RFIs and clashes</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Design Manager (chair), lead consultants, contractor design lead, information manager</w:t>
            </w:r>
          </w:p>
        </w:tc>
        <w:tc>
          <w:tcPr>
            <w:tcW w:type="dxa" w:w="11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Weekly during design</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Chair + lead disciplines</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Design direction within the approved brief</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Clash report, RFI status, decisions</w:t>
            </w:r>
          </w:p>
        </w:tc>
      </w:tr>
      <w:tr>
        <w:trPr>
          <w:cantSplit w:val="true"/>
        </w:trPr>
        <w:tc>
          <w:tcPr>
            <w:tcW w:type="dxa" w:w="1464"/>
            <w:tcMar>
              <w:top w:w="40" w:type="dxa"/>
              <w:left w:w="110" w:type="dxa"/>
              <w:bottom w:w="40" w:type="dxa"/>
              <w:right w:w="110" w:type="dxa"/>
            </w:tcMar>
          </w:tcPr>
          <w:p>
            <w:pPr>
              <w:pStyle w:val="MasttTableCell"/>
              <w:spacing w:before="20" w:after="20"/>
            </w:pPr>
            <w:r/>
            <w:r>
              <w:rPr>
                <w:rFonts w:ascii="Segoe UI" w:hAnsi="Segoe UI"/>
                <w:b/>
                <w:color w:val="1D3245"/>
                <w:sz w:val="14"/>
              </w:rPr>
              <w:t>Risk Review Workshop</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4"/>
              </w:rPr>
              <w:t>Review and re-assess risk and opportunity</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Risk Manager (facilitator), Project Manager, discipline leads, key contractors</w:t>
            </w:r>
          </w:p>
        </w:tc>
        <w:tc>
          <w:tcPr>
            <w:tcW w:type="dxa" w:w="1133"/>
            <w:tcMar>
              <w:top w:w="40" w:type="dxa"/>
              <w:left w:w="110" w:type="dxa"/>
              <w:bottom w:w="40" w:type="dxa"/>
              <w:right w:w="110" w:type="dxa"/>
            </w:tcMar>
          </w:tcPr>
          <w:p>
            <w:pPr>
              <w:pStyle w:val="MasttTableCell"/>
              <w:spacing w:before="20" w:after="20"/>
            </w:pPr>
            <w:r/>
            <w:r>
              <w:rPr>
                <w:rFonts w:ascii="Segoe UI" w:hAnsi="Segoe UI"/>
                <w:color w:val="1D3245"/>
                <w:sz w:val="14"/>
              </w:rPr>
              <w:t>Monthly</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Facilitator + 4</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Assign treatments and owners; recommend contingency drawdown</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Updated risk register, treatment actions</w:t>
            </w:r>
          </w:p>
        </w:tc>
      </w:tr>
      <w:tr>
        <w:trPr>
          <w:cantSplit w:val="true"/>
        </w:trPr>
        <w:tc>
          <w:tcPr>
            <w:tcW w:type="dxa" w:w="14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Health, Safety and Wellbeing Committee</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Oversee HSE performance and assurance</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HSE Manager (chair), Project Manager, contractor HSE leads, worker representatives</w:t>
            </w:r>
          </w:p>
        </w:tc>
        <w:tc>
          <w:tcPr>
            <w:tcW w:type="dxa" w:w="11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Monthly</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Chair + worker representative</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Direct corrective action; stop-work authority</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HSE actions, incident review, performance report</w:t>
            </w:r>
          </w:p>
        </w:tc>
      </w:tr>
      <w:tr>
        <w:trPr>
          <w:cantSplit w:val="true"/>
        </w:trPr>
        <w:tc>
          <w:tcPr>
            <w:tcW w:type="dxa" w:w="1464"/>
            <w:tcMar>
              <w:top w:w="40" w:type="dxa"/>
              <w:left w:w="110" w:type="dxa"/>
              <w:bottom w:w="40" w:type="dxa"/>
              <w:right w:w="110" w:type="dxa"/>
            </w:tcMar>
          </w:tcPr>
          <w:p>
            <w:pPr>
              <w:pStyle w:val="MasttTableCell"/>
              <w:spacing w:before="20" w:after="20"/>
            </w:pPr>
            <w:r/>
            <w:r>
              <w:rPr>
                <w:rFonts w:ascii="Segoe UI" w:hAnsi="Segoe UI"/>
                <w:b/>
                <w:color w:val="1D3245"/>
                <w:sz w:val="14"/>
              </w:rPr>
              <w:t>Commercial and Contract Meeting</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4"/>
              </w:rPr>
              <w:t>Administer the contract, valuations, claims and notices</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Commercial Manager (chair), Project Manager, contractor commercial lead</w:t>
            </w:r>
          </w:p>
        </w:tc>
        <w:tc>
          <w:tcPr>
            <w:tcW w:type="dxa" w:w="1133"/>
            <w:tcMar>
              <w:top w:w="40" w:type="dxa"/>
              <w:left w:w="110" w:type="dxa"/>
              <w:bottom w:w="40" w:type="dxa"/>
              <w:right w:w="110" w:type="dxa"/>
            </w:tcMar>
          </w:tcPr>
          <w:p>
            <w:pPr>
              <w:pStyle w:val="MasttTableCell"/>
              <w:spacing w:before="20" w:after="20"/>
            </w:pPr>
            <w:r/>
            <w:r>
              <w:rPr>
                <w:rFonts w:ascii="Segoe UI" w:hAnsi="Segoe UI"/>
                <w:color w:val="1D3245"/>
                <w:sz w:val="14"/>
              </w:rPr>
              <w:t>Monthly</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Chair + contractor lead</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Certify payments and determine entitlement within delegation</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Payment certificates, notices register</w:t>
            </w:r>
          </w:p>
        </w:tc>
      </w:tr>
      <w:tr>
        <w:trPr>
          <w:cantSplit w:val="true"/>
        </w:trPr>
        <w:tc>
          <w:tcPr>
            <w:tcW w:type="dxa" w:w="14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Stakeholder and Communications Group</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Coordinate engagement and community response</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Comms Lead (chair), Project Manager, client comms, contractor comms</w:t>
            </w:r>
          </w:p>
        </w:tc>
        <w:tc>
          <w:tcPr>
            <w:tcW w:type="dxa" w:w="11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Monthly</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Chair + 2</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Approve external communications within policy</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Engagement log, approved communications</w:t>
            </w:r>
          </w:p>
        </w:tc>
      </w:tr>
      <w:tr>
        <w:trPr>
          <w:cantSplit w:val="true"/>
        </w:trPr>
        <w:tc>
          <w:tcPr>
            <w:tcW w:type="dxa" w:w="1464"/>
            <w:tcMar>
              <w:top w:w="40" w:type="dxa"/>
              <w:left w:w="110" w:type="dxa"/>
              <w:bottom w:w="40" w:type="dxa"/>
              <w:right w:w="110" w:type="dxa"/>
            </w:tcMar>
          </w:tcPr>
          <w:p>
            <w:pPr>
              <w:pStyle w:val="MasttTableCell"/>
              <w:spacing w:before="20" w:after="20"/>
            </w:pPr>
            <w:r/>
            <w:r>
              <w:rPr>
                <w:rFonts w:ascii="Segoe UI" w:hAnsi="Segoe UI"/>
                <w:b/>
                <w:color w:val="1D3245"/>
                <w:sz w:val="14"/>
              </w:rPr>
              <w:t>Operational Readiness Group</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4"/>
              </w:rPr>
              <w:t>Prepare the operator to accept and run the asset</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Operations Representative (chair), Project Manager, Commissioning Manager, FM lead</w:t>
            </w:r>
          </w:p>
        </w:tc>
        <w:tc>
          <w:tcPr>
            <w:tcW w:type="dxa" w:w="1133"/>
            <w:tcMar>
              <w:top w:w="40" w:type="dxa"/>
              <w:left w:w="110" w:type="dxa"/>
              <w:bottom w:w="40" w:type="dxa"/>
              <w:right w:w="110" w:type="dxa"/>
            </w:tcMar>
          </w:tcPr>
          <w:p>
            <w:pPr>
              <w:pStyle w:val="MasttTableCell"/>
              <w:spacing w:before="20" w:after="20"/>
            </w:pPr>
            <w:r/>
            <w:r>
              <w:rPr>
                <w:rFonts w:ascii="Segoe UI" w:hAnsi="Segoe UI"/>
                <w:color w:val="1D3245"/>
                <w:sz w:val="14"/>
              </w:rPr>
              <w:t>Monthly, weekly from 6 months before completion</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Chair + 2</w:t>
            </w:r>
          </w:p>
        </w:tc>
        <w:tc>
          <w:tcPr>
            <w:tcW w:type="dxa" w:w="1425"/>
            <w:tcMar>
              <w:top w:w="40" w:type="dxa"/>
              <w:left w:w="110" w:type="dxa"/>
              <w:bottom w:w="40" w:type="dxa"/>
              <w:right w:w="110" w:type="dxa"/>
            </w:tcMar>
          </w:tcPr>
          <w:p>
            <w:pPr>
              <w:pStyle w:val="MasttTableCell"/>
              <w:spacing w:before="20" w:after="20"/>
            </w:pPr>
            <w:r/>
            <w:r>
              <w:rPr>
                <w:rFonts w:ascii="Segoe UI" w:hAnsi="Segoe UI"/>
                <w:color w:val="1D3245"/>
                <w:sz w:val="14"/>
              </w:rPr>
              <w:t>Accept readiness deliverables</w:t>
            </w:r>
          </w:p>
        </w:tc>
        <w:tc>
          <w:tcPr>
            <w:tcW w:type="dxa" w:w="1347"/>
            <w:tcMar>
              <w:top w:w="40" w:type="dxa"/>
              <w:left w:w="110" w:type="dxa"/>
              <w:bottom w:w="40" w:type="dxa"/>
              <w:right w:w="110" w:type="dxa"/>
            </w:tcMar>
          </w:tcPr>
          <w:p>
            <w:pPr>
              <w:pStyle w:val="MasttTableCell"/>
              <w:spacing w:before="20" w:after="20"/>
            </w:pPr>
            <w:r/>
            <w:r>
              <w:rPr>
                <w:rFonts w:ascii="Segoe UI" w:hAnsi="Segoe UI"/>
                <w:color w:val="1D3245"/>
                <w:sz w:val="14"/>
              </w:rPr>
              <w:t>Readiness checklist status, training plan</w:t>
            </w:r>
          </w:p>
        </w:tc>
      </w:tr>
      <w:tr>
        <w:trPr>
          <w:cantSplit w:val="true"/>
        </w:trPr>
        <w:tc>
          <w:tcPr>
            <w:tcW w:type="dxa" w:w="14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Assurance and Gateway Review</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Independent review of readiness to proceed</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Independent reviewers appointed by the PMO</w:t>
            </w:r>
          </w:p>
        </w:tc>
        <w:tc>
          <w:tcPr>
            <w:tcW w:type="dxa" w:w="11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At each gate</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As appointed</w:t>
            </w:r>
          </w:p>
        </w:tc>
        <w:tc>
          <w:tcPr>
            <w:tcW w:type="dxa" w:w="14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Recommend proceed / proceed with conditions / do not proceed</w:t>
            </w:r>
          </w:p>
        </w:tc>
        <w:tc>
          <w:tcPr>
            <w:tcW w:type="dxa" w:w="13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Gateway report and actions</w:t>
            </w:r>
          </w:p>
        </w:tc>
      </w:tr>
    </w:tbl>
    <w:p>
      <w:pPr>
        <w:rPr>
          <w:sz w:val="8"/>
        </w:rPr>
        <w:spacing w:after="40" w:before="0" w:line="240" w:lineRule="auto"/>
      </w:pPr>
    </w:p>
    <w:p>
      <w:pPr>
        <w:pStyle w:val="Heading2"/>
      </w:pPr>
      <w:r>
        <w:t>4.3  Project organisation</w:t>
      </w:r>
    </w:p>
    <w:p>
      <w:pPr>
        <w:pStyle w:val="MasttBody"/>
      </w:pPr>
      <w:r>
        <w:t>Insert the project organisation chart below. Show reporting lines, functional lines and the boundary between the client organisation, the delivery team and the supply chain. Mark each role as full-time, part-time or on-call, and show the date each role mobilises.</w:t>
      </w:r>
    </w:p>
    <w:tbl>
      <w:tblPr>
        <w:tblW w:type="auto" w:w="0"/>
        <w:tblLook w:firstColumn="1" w:firstRow="1" w:lastColumn="0" w:lastRow="0" w:noHBand="0" w:noVBand="1" w:val="04A0"/>
        <w:tblBorders>
          <w:top w:val="single" w:sz="4" w:space="0" w:color="C9D4E0"/>
          <w:left w:val="single" w:sz="4" w:space="0" w:color="C9D4E0"/>
          <w:bottom w:val="single" w:sz="4" w:space="0" w:color="C9D4E0"/>
          <w:right w:val="single" w:sz="4" w:space="0" w:color="C9D4E0"/>
        </w:tblBorders>
        <w:tblLayout w:type="fixed"/>
        <w:tblW w:w="9412" w:type="dxa"/>
      </w:tblPr>
      <w:tblGrid>
        <w:gridCol w:w="9412"/>
      </w:tblGrid>
      <w:tr>
        <w:trPr>
          <w:trHeight w:val="4535" w:hRule="atLeast"/>
        </w:trPr>
        <w:tc>
          <w:tcPr>
            <w:tcW w:type="dxa" w:w="9411"/>
            <w:shd w:val="clear" w:color="auto" w:fill="F6F9FC"/>
            <w:tcMar>
              <w:top w:w="200" w:type="dxa"/>
              <w:left w:w="160" w:type="dxa"/>
              <w:bottom w:w="200" w:type="dxa"/>
              <w:right w:w="160" w:type="dxa"/>
            </w:tcMar>
          </w:tcPr>
          <w:p>
            <w:pPr>
              <w:pStyle w:val="MasttInput"/>
              <w:jc w:val="center"/>
            </w:pPr>
            <w:r/>
            <w:r>
              <w:rPr>
                <w:rFonts w:ascii="Segoe UI" w:hAnsi="Segoe UI"/>
                <w:i/>
                <w:color w:val="8E98A2"/>
                <w:sz w:val="18"/>
              </w:rPr>
              <w:t>[Insert project organisation chart - client, delivery team, consultants and contractors, showing reporting and functional lines]</w:t>
            </w:r>
          </w:p>
        </w:tc>
      </w:tr>
    </w:tbl>
    <w:p>
      <w:pPr>
        <w:spacing w:after="80"/>
      </w:pPr>
    </w:p>
    <w:p>
      <w:pPr>
        <w:pStyle w:val="Heading2"/>
      </w:pPr>
      <w:r>
        <w:t>4.4  Roles and responsibilities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Every role needs one accountable person, not a committee. Where a role is shared or part-time, say what proportion of time is committed and who covers it in absence. Vacant roles must be shown as vacant with a mobilisation date - hiding them is how projects start behind.</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58"/>
        <w:gridCol w:w="2948"/>
        <w:gridCol w:w="2948"/>
        <w:gridCol w:w="1758"/>
      </w:tblGrid>
      <w:tr>
        <w:trPr>
          <w:tblHeader w:val="true"/>
          <w:cantSplit w:val="true"/>
        </w:trPr>
        <w:tc>
          <w:tcPr>
            <w:tcW w:type="dxa" w:w="17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Role</w:t>
            </w:r>
          </w:p>
        </w:tc>
        <w:tc>
          <w:tcPr>
            <w:tcW w:type="dxa" w:w="294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Accountable for</w:t>
            </w:r>
          </w:p>
        </w:tc>
        <w:tc>
          <w:tcPr>
            <w:tcW w:type="dxa" w:w="294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Key authorities</w:t>
            </w:r>
          </w:p>
        </w:tc>
        <w:tc>
          <w:tcPr>
            <w:tcW w:type="dxa" w:w="17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Reports to</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Project Sponsor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The investment, the benefits and the business case; removing organisational obstacles</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Approves the PEP, baselines and gate progression; approves change above the Director's limit</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Investment authority / executive</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Project Board / Steering Committee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Direction, oversight and resolution of matters beyond the Sponsor's delegation</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Approves stage gates and funding release</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Executive</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Project Director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Delivery within the approved baseline and tolerances; commercial outcome</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Approves change within delegation; appoints and removes key personnel</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Project Manager</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Day-to-day delivery, this plan, and integration of all disciplines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Instructs the team; approves change within delegation; issues contract notices as authorised</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Client Representative / Superintendent</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Formal client role under the contract</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Issues instructions, certifies and determines as the contract provides</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Project Director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Commercial / Contracts Manager</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Procurement, cost, contract administration and claims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Certifies payment within delegation; issues commercial notices</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Cost Manager / Quantity Surveyor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Estimating, cost planning, valuation and cost reporting</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Recommends valuations and forecasts</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Planner / Scheduler</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Schedule integrity, baseline control and critical path analysis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Controls the schedule baseline; validates contractor programmes</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Design Manager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Design delivery, coordination, compliance with the brief and design change discipline</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Accepts design deliverables; chairs design coordination</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Lead Designer / Design Consultants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that is safe, compliant, coordinated and buildable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decisions within the approved brief</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Information Manager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Information standard, CDE, model federation and asset data</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Sets and enforces the information standard</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HSE Manager</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Safety, health and wellbeing systems and assurance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Stop-work authority; approves high-risk activity permits</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Quality Manager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Quality system, ITPs, NCRs and audit programme</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Approves ITPs; releases hold points; issues NCRs</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Environmental / Sustainability Lead</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Environmental compliance, consents and sustainability targets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Stop-work authority for environmental incidents</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Risk Manager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Risk process integrity, register quality and quantitative analysis</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Facilitates assessment; recommends contingency</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Stakeholder / Communications Lead</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Engagement, community relations and media</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Approves external communications within policy</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Commissioning Manager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Commissioning strategy, integrated testing and performance verification</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Accepts commissioning evidence</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Operations / Asset Representative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Operability, maintainability and operational readiness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Accepts the asset on behalf of operations</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business owner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Contractor's Project Manager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Execution of the contract works</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Directs the contractor's resources and supply chain</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Contractor's management</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Package Managers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Delivery of an assigned package to cost, time and quality</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Manages package scope within the baseline</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1757"/>
            <w:tcMar>
              <w:top w:w="40" w:type="dxa"/>
              <w:left w:w="110" w:type="dxa"/>
              <w:bottom w:w="40" w:type="dxa"/>
              <w:right w:w="110" w:type="dxa"/>
            </w:tcMar>
          </w:tcPr>
          <w:p>
            <w:pPr>
              <w:pStyle w:val="MasttTableCell"/>
              <w:spacing w:before="20" w:after="20"/>
            </w:pPr>
            <w:r/>
            <w:r>
              <w:rPr>
                <w:rFonts w:ascii="Segoe UI" w:hAnsi="Segoe UI"/>
                <w:b/>
                <w:color w:val="1D3245"/>
                <w:sz w:val="17"/>
              </w:rPr>
              <w:t>Document Controller</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Document control, registers and records management</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Enforces numbering, status and distribution</w:t>
            </w:r>
          </w:p>
        </w:tc>
        <w:tc>
          <w:tcPr>
            <w:tcW w:type="dxa" w:w="1757"/>
            <w:tcMar>
              <w:top w:w="40" w:type="dxa"/>
              <w:left w:w="110" w:type="dxa"/>
              <w:bottom w:w="40" w:type="dxa"/>
              <w:right w:w="110" w:type="dxa"/>
            </w:tcMar>
          </w:tcPr>
          <w:p>
            <w:pPr>
              <w:pStyle w:val="MasttTableCell"/>
              <w:spacing w:before="20" w:after="20"/>
            </w:pPr>
            <w:r/>
            <w:r>
              <w:rPr>
                <w:rFonts w:ascii="Segoe UI" w:hAnsi="Segoe UI"/>
                <w:color w:val="1D3245"/>
                <w:sz w:val="17"/>
              </w:rPr>
              <w:t>Information Manager</w:t>
            </w:r>
          </w:p>
        </w:tc>
      </w:tr>
      <w:tr>
        <w:trPr>
          <w:cantSplit w:val="true"/>
        </w:trPr>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Independent Reviewer / Assurance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Objective assessment of readiness and control effectiveness</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Recommends gate outcomes</w:t>
            </w:r>
          </w:p>
        </w:tc>
        <w:tc>
          <w:tcPr>
            <w:tcW w:type="dxa" w:w="17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PMO / Sponsor</w:t>
            </w:r>
          </w:p>
        </w:tc>
      </w:tr>
    </w:tbl>
    <w:p>
      <w:pPr>
        <w:rPr>
          <w:sz w:val="8"/>
        </w:rPr>
        <w:spacing w:after="40" w:before="0" w:line="240" w:lineRule="auto"/>
      </w:pPr>
    </w:p>
    <w:p>
      <w:pPr>
        <w:pStyle w:val="Heading2"/>
      </w:pPr>
      <w:r>
        <w:t>4.5  Responsibility assignment (RACI)</w:t>
      </w:r>
    </w:p>
    <w:p>
      <w:pPr>
        <w:pStyle w:val="MasttBody"/>
      </w:pPr>
      <w:r>
        <w:t>R = Responsible (does the work); A = Accountable (one only, owns the outcome); C = Consulted (two-way); I = Informed (one-way). Every row has exactly one A. Where a project role is not applicable, mark the cell ' - ' rather than leaving it blank.</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3402"/>
        <w:gridCol w:w="601"/>
        <w:gridCol w:w="601"/>
        <w:gridCol w:w="601"/>
        <w:gridCol w:w="601"/>
        <w:gridCol w:w="601"/>
        <w:gridCol w:w="601"/>
        <w:gridCol w:w="601"/>
        <w:gridCol w:w="601"/>
        <w:gridCol w:w="601"/>
        <w:gridCol w:w="601"/>
      </w:tblGrid>
      <w:tr>
        <w:trPr>
          <w:tblHeader w:val="true"/>
          <w:cantSplit w:val="true"/>
        </w:trPr>
        <w:tc>
          <w:tcPr>
            <w:tcW w:type="dxa" w:w="34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Activity</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SPO</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PD</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PM</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CM</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DM</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PL</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HSE</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QM</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IM</w:t>
            </w:r>
          </w:p>
        </w:tc>
        <w:tc>
          <w:tcPr>
            <w:tcW w:type="dxa" w:w="6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CON</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Approve the business case and funding</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Own and maintain this PEP</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Define and approve the design brief</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design delivery and coordination</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Approve design deliverables</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Develop the procurement strategy</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 - </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Run tender and evaluation</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 - </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Award contracts</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 - </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Develop and baseline the schedule</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Report schedule performance</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Prepare and maintain the cost plan</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Certify payments</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Forecast cost at completion</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the risk register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Approve contingency drawdown</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Assess and authorise change</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Manage the quality system and ITPs</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Release hold and witness points</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 - </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 - </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 - </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Manage safety in design</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site HSE performance</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Investigate incidents</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Obtain approvals, consents and permits</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Manage environmental and sustainability targets</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stakeholders and communications</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Set the information standard and manage the CDE</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interfaces</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Manage commissioning and testing</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Accept handover on behalf of operations</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Close out the contract</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Capture and share lessons learned</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w:t>
            </w:r>
          </w:p>
        </w:tc>
      </w:tr>
      <w:tr>
        <w:trPr>
          <w:cantSplit w:val="true"/>
        </w:trPr>
        <w:tc>
          <w:tcPr>
            <w:tcW w:type="dxa" w:w="3402"/>
            <w:tcMar>
              <w:top w:w="40" w:type="dxa"/>
              <w:left w:w="110" w:type="dxa"/>
              <w:bottom w:w="40" w:type="dxa"/>
              <w:right w:w="110" w:type="dxa"/>
            </w:tcMar>
          </w:tcPr>
          <w:p>
            <w:pPr>
              <w:pStyle w:val="MasttTableCell"/>
              <w:spacing w:before="20" w:after="20"/>
            </w:pPr>
            <w:r/>
            <w:r>
              <w:rPr>
                <w:rFonts w:ascii="Segoe UI" w:hAnsi="Segoe UI"/>
                <w:b/>
                <w:color w:val="1D3245"/>
                <w:sz w:val="16"/>
              </w:rPr>
              <w:t>Report benefits realisation</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A</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C</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R</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I</w:t>
            </w:r>
          </w:p>
        </w:tc>
        <w:tc>
          <w:tcPr>
            <w:tcW w:type="dxa" w:w="601"/>
            <w:tcMar>
              <w:top w:w="40" w:type="dxa"/>
              <w:left w:w="110" w:type="dxa"/>
              <w:bottom w:w="40" w:type="dxa"/>
              <w:right w:w="110" w:type="dxa"/>
            </w:tcMar>
          </w:tcPr>
          <w:p>
            <w:pPr>
              <w:pStyle w:val="MasttTableCell"/>
              <w:spacing w:before="20" w:after="20"/>
            </w:pPr>
            <w:r/>
            <w:r>
              <w:rPr>
                <w:rFonts w:ascii="Segoe UI" w:hAnsi="Segoe UI"/>
                <w:color w:val="1D3245"/>
                <w:sz w:val="16"/>
              </w:rPr>
              <w:t> - </w:t>
            </w:r>
          </w:p>
        </w:tc>
      </w:tr>
    </w:tbl>
    <w:p>
      <w:pPr>
        <w:rPr>
          <w:sz w:val="8"/>
        </w:rPr>
        <w:spacing w:after="40" w:before="0" w:line="240" w:lineRule="auto"/>
      </w:pPr>
    </w:p>
    <w:p>
      <w:pPr>
        <w:pStyle w:val="MasttCaption"/>
        <w:spacing w:after="180"/>
      </w:pPr>
      <w:r>
        <w:rPr>
          <w:color w:val="8E98A2"/>
          <w:sz w:val="16"/>
        </w:rPr>
        <w:t>SPO Sponsor · PD Project Director · PM Project Manager · CM Commercial Manager · DM Design Manager · PL Planner · HSE HSE Manager · QM Quality Manager · IM Information Manager · CON Contractor</w:t>
      </w:r>
    </w:p>
    <w:p>
      <w:pPr>
        <w:pStyle w:val="Heading2"/>
      </w:pPr>
      <w:r>
        <w:t>4.6  Delegation of authority and financial approval thresholds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These thresholds must be copied from the client's delegation instrument, not invented. Confirm the currency, whether the figures are inclusive or exclusive of tax, and whether they apply per transaction or cumulatively per package.</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608"/>
        <w:gridCol w:w="1701"/>
        <w:gridCol w:w="1701"/>
        <w:gridCol w:w="1701"/>
        <w:gridCol w:w="1701"/>
      </w:tblGrid>
      <w:tr>
        <w:trPr>
          <w:tblHeader w:val="true"/>
          <w:cantSplit w:val="true"/>
        </w:trPr>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Authority</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Project Manager</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Project Director</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Sponsor</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Project Board</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Approve a variation / change order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[X]</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[Z]</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Above [Z]</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Release contingency</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[X]</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[Y]</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[Z]</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Above [Z]</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Release management reserve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Nil</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Nil</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Recommend</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Approve</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Certify a progress payment</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[X]</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[Y]</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[Z]</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Above [Z]</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Award a contract or purchase order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[X]</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[Z]</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Above [Z]</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Grant an extension of time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[n] days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Up to [n] days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Beyond</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Beyond</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Accept a departure from specification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Nil</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With designer concurrence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Material departures</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Departures affecting performance</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Approve rebaseline of the schedule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Recommend</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tolerance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Beyond tolerance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Beyond Sponsor tolerance</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Settle a claim or dispute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Recommend</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Up to [Z]</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Above [Z]</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Appoint or remove key personnel</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Recommend</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 (PM/PD)</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Noted</w:t>
            </w:r>
          </w:p>
        </w:tc>
      </w:tr>
    </w:tbl>
    <w:p>
      <w:pPr>
        <w:rPr>
          <w:sz w:val="8"/>
        </w:rPr>
        <w:spacing w:after="40" w:before="0" w:line="240" w:lineRule="auto"/>
      </w:pPr>
    </w:p>
    <w:p>
      <w:pPr>
        <w:pStyle w:val="Heading2"/>
      </w:pPr>
      <w:r>
        <w:t>4.7  Escalation pathway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209"/>
        <w:gridCol w:w="2611"/>
        <w:gridCol w:w="1793"/>
        <w:gridCol w:w="1856"/>
        <w:gridCol w:w="1943"/>
      </w:tblGrid>
      <w:tr>
        <w:trPr>
          <w:tblHeader w:val="true"/>
          <w:cantSplit w:val="true"/>
        </w:trPr>
        <w:tc>
          <w:tcPr>
            <w:tcW w:type="dxa" w:w="120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Level</w:t>
            </w:r>
          </w:p>
        </w:tc>
        <w:tc>
          <w:tcPr>
            <w:tcW w:type="dxa" w:w="261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Trigger</w:t>
            </w:r>
          </w:p>
        </w:tc>
        <w:tc>
          <w:tcPr>
            <w:tcW w:type="dxa" w:w="17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Escalate to</w:t>
            </w:r>
          </w:p>
        </w:tc>
        <w:tc>
          <w:tcPr>
            <w:tcW w:type="dxa" w:w="185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Response timeframe</w:t>
            </w:r>
          </w:p>
        </w:tc>
        <w:tc>
          <w:tcPr>
            <w:tcW w:type="dxa" w:w="194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If unresolved</w:t>
            </w:r>
          </w:p>
        </w:tc>
      </w:tr>
      <w:tr>
        <w:trPr>
          <w:cantSplit w:val="true"/>
        </w:trPr>
        <w:tc>
          <w:tcPr>
            <w:tcW w:type="dxa" w:w="1209"/>
            <w:tcMar>
              <w:top w:w="40" w:type="dxa"/>
              <w:left w:w="110" w:type="dxa"/>
              <w:bottom w:w="40" w:type="dxa"/>
              <w:right w:w="110" w:type="dxa"/>
            </w:tcMar>
          </w:tcPr>
          <w:p>
            <w:pPr>
              <w:pStyle w:val="MasttTableCell"/>
              <w:spacing w:before="20" w:after="20"/>
            </w:pPr>
            <w:r/>
            <w:r>
              <w:rPr>
                <w:rFonts w:ascii="Segoe UI" w:hAnsi="Segoe UI"/>
                <w:b/>
                <w:color w:val="1D3245"/>
                <w:sz w:val="17"/>
              </w:rPr>
              <w:t>1</w:t>
            </w:r>
          </w:p>
        </w:tc>
        <w:tc>
          <w:tcPr>
            <w:tcW w:type="dxa" w:w="2611"/>
            <w:tcMar>
              <w:top w:w="40" w:type="dxa"/>
              <w:left w:w="110" w:type="dxa"/>
              <w:bottom w:w="40" w:type="dxa"/>
              <w:right w:w="110" w:type="dxa"/>
            </w:tcMar>
          </w:tcPr>
          <w:p>
            <w:pPr>
              <w:pStyle w:val="MasttTableCell"/>
              <w:spacing w:before="20" w:after="20"/>
            </w:pPr>
            <w:r/>
            <w:r>
              <w:rPr>
                <w:rFonts w:ascii="Segoe UI" w:hAnsi="Segoe UI"/>
                <w:color w:val="1D3245"/>
                <w:sz w:val="17"/>
              </w:rPr>
              <w:t>Issue blocking work at package level</w:t>
            </w:r>
          </w:p>
        </w:tc>
        <w:tc>
          <w:tcPr>
            <w:tcW w:type="dxa" w:w="1793"/>
            <w:tcMar>
              <w:top w:w="40" w:type="dxa"/>
              <w:left w:w="110" w:type="dxa"/>
              <w:bottom w:w="40" w:type="dxa"/>
              <w:right w:w="110" w:type="dxa"/>
            </w:tcMar>
          </w:tcPr>
          <w:p>
            <w:pPr>
              <w:pStyle w:val="MasttTableCell"/>
              <w:spacing w:before="20" w:after="20"/>
            </w:pPr>
            <w:r/>
            <w:r>
              <w:rPr>
                <w:rFonts w:ascii="Segoe UI" w:hAnsi="Segoe UI"/>
                <w:color w:val="1D3245"/>
                <w:sz w:val="17"/>
              </w:rPr>
              <w:t>Package Manager</w:t>
            </w:r>
          </w:p>
        </w:tc>
        <w:tc>
          <w:tcPr>
            <w:tcW w:type="dxa" w:w="1856"/>
            <w:tcMar>
              <w:top w:w="40" w:type="dxa"/>
              <w:left w:w="110" w:type="dxa"/>
              <w:bottom w:w="40" w:type="dxa"/>
              <w:right w:w="110" w:type="dxa"/>
            </w:tcMar>
          </w:tcPr>
          <w:p>
            <w:pPr>
              <w:pStyle w:val="MasttTableCell"/>
              <w:spacing w:before="20" w:after="20"/>
            </w:pPr>
            <w:r/>
            <w:r>
              <w:rPr>
                <w:rFonts w:ascii="Segoe UI" w:hAnsi="Segoe UI"/>
                <w:color w:val="1D3245"/>
                <w:sz w:val="17"/>
              </w:rPr>
              <w:t>Same working day</w:t>
            </w:r>
          </w:p>
        </w:tc>
        <w:tc>
          <w:tcPr>
            <w:tcW w:type="dxa" w:w="1942"/>
            <w:tcMar>
              <w:top w:w="40" w:type="dxa"/>
              <w:left w:w="110" w:type="dxa"/>
              <w:bottom w:w="40" w:type="dxa"/>
              <w:right w:w="110" w:type="dxa"/>
            </w:tcMar>
          </w:tcPr>
          <w:p>
            <w:pPr>
              <w:pStyle w:val="MasttTableCell"/>
              <w:spacing w:before="20" w:after="20"/>
            </w:pPr>
            <w:r/>
            <w:r>
              <w:rPr>
                <w:rFonts w:ascii="Segoe UI" w:hAnsi="Segoe UI"/>
                <w:color w:val="1D3245"/>
                <w:sz w:val="17"/>
              </w:rPr>
              <w:t>Escalate to Level 2 within 2 days</w:t>
            </w:r>
          </w:p>
        </w:tc>
      </w:tr>
      <w:tr>
        <w:trPr>
          <w:cantSplit w:val="true"/>
        </w:trPr>
        <w:tc>
          <w:tcPr>
            <w:tcW w:type="dxa" w:w="120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2</w:t>
            </w:r>
          </w:p>
        </w:tc>
        <w:tc>
          <w:tcPr>
            <w:tcW w:type="dxa" w:w="26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Issue affecting a package's cost, time or quality</w:t>
            </w:r>
          </w:p>
        </w:tc>
        <w:tc>
          <w:tcPr>
            <w:tcW w:type="dxa" w:w="17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85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2 working days</w:t>
            </w:r>
          </w:p>
        </w:tc>
        <w:tc>
          <w:tcPr>
            <w:tcW w:type="dxa" w:w="19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Escalate to Level 3 within 5 days</w:t>
            </w:r>
          </w:p>
        </w:tc>
      </w:tr>
      <w:tr>
        <w:trPr>
          <w:cantSplit w:val="true"/>
        </w:trPr>
        <w:tc>
          <w:tcPr>
            <w:tcW w:type="dxa" w:w="1209"/>
            <w:tcMar>
              <w:top w:w="40" w:type="dxa"/>
              <w:left w:w="110" w:type="dxa"/>
              <w:bottom w:w="40" w:type="dxa"/>
              <w:right w:w="110" w:type="dxa"/>
            </w:tcMar>
          </w:tcPr>
          <w:p>
            <w:pPr>
              <w:pStyle w:val="MasttTableCell"/>
              <w:spacing w:before="20" w:after="20"/>
            </w:pPr>
            <w:r/>
            <w:r>
              <w:rPr>
                <w:rFonts w:ascii="Segoe UI" w:hAnsi="Segoe UI"/>
                <w:b/>
                <w:color w:val="1D3245"/>
                <w:sz w:val="17"/>
              </w:rPr>
              <w:t>3</w:t>
            </w:r>
          </w:p>
        </w:tc>
        <w:tc>
          <w:tcPr>
            <w:tcW w:type="dxa" w:w="2611"/>
            <w:tcMar>
              <w:top w:w="40" w:type="dxa"/>
              <w:left w:w="110" w:type="dxa"/>
              <w:bottom w:w="40" w:type="dxa"/>
              <w:right w:w="110" w:type="dxa"/>
            </w:tcMar>
          </w:tcPr>
          <w:p>
            <w:pPr>
              <w:pStyle w:val="MasttTableCell"/>
              <w:spacing w:before="20" w:after="20"/>
            </w:pPr>
            <w:r/>
            <w:r>
              <w:rPr>
                <w:rFonts w:ascii="Segoe UI" w:hAnsi="Segoe UI"/>
                <w:color w:val="1D3245"/>
                <w:sz w:val="17"/>
              </w:rPr>
              <w:t>Issue threatening the project baseline or tolerance</w:t>
            </w:r>
          </w:p>
        </w:tc>
        <w:tc>
          <w:tcPr>
            <w:tcW w:type="dxa" w:w="1793"/>
            <w:tcMar>
              <w:top w:w="40" w:type="dxa"/>
              <w:left w:w="110" w:type="dxa"/>
              <w:bottom w:w="40" w:type="dxa"/>
              <w:right w:w="110" w:type="dxa"/>
            </w:tcMar>
          </w:tcPr>
          <w:p>
            <w:pPr>
              <w:pStyle w:val="MasttTableCell"/>
              <w:spacing w:before="20" w:after="20"/>
            </w:pPr>
            <w:r/>
            <w:r>
              <w:rPr>
                <w:rFonts w:ascii="Segoe UI" w:hAnsi="Segoe UI"/>
                <w:color w:val="1D3245"/>
                <w:sz w:val="17"/>
              </w:rPr>
              <w:t>Project Director</w:t>
            </w:r>
          </w:p>
        </w:tc>
        <w:tc>
          <w:tcPr>
            <w:tcW w:type="dxa" w:w="1856"/>
            <w:tcMar>
              <w:top w:w="40" w:type="dxa"/>
              <w:left w:w="110" w:type="dxa"/>
              <w:bottom w:w="40" w:type="dxa"/>
              <w:right w:w="110" w:type="dxa"/>
            </w:tcMar>
          </w:tcPr>
          <w:p>
            <w:pPr>
              <w:pStyle w:val="MasttTableCell"/>
              <w:spacing w:before="20" w:after="20"/>
            </w:pPr>
            <w:r/>
            <w:r>
              <w:rPr>
                <w:rFonts w:ascii="Segoe UI" w:hAnsi="Segoe UI"/>
                <w:color w:val="1D3245"/>
                <w:sz w:val="17"/>
              </w:rPr>
              <w:t>5 working days</w:t>
            </w:r>
          </w:p>
        </w:tc>
        <w:tc>
          <w:tcPr>
            <w:tcW w:type="dxa" w:w="1942"/>
            <w:tcMar>
              <w:top w:w="40" w:type="dxa"/>
              <w:left w:w="110" w:type="dxa"/>
              <w:bottom w:w="40" w:type="dxa"/>
              <w:right w:w="110" w:type="dxa"/>
            </w:tcMar>
          </w:tcPr>
          <w:p>
            <w:pPr>
              <w:pStyle w:val="MasttTableCell"/>
              <w:spacing w:before="20" w:after="20"/>
            </w:pPr>
            <w:r/>
            <w:r>
              <w:rPr>
                <w:rFonts w:ascii="Segoe UI" w:hAnsi="Segoe UI"/>
                <w:color w:val="1D3245"/>
                <w:sz w:val="17"/>
              </w:rPr>
              <w:t>Escalate to Level 4 at the next Board or sooner if urgent</w:t>
            </w:r>
          </w:p>
        </w:tc>
      </w:tr>
      <w:tr>
        <w:trPr>
          <w:cantSplit w:val="true"/>
        </w:trPr>
        <w:tc>
          <w:tcPr>
            <w:tcW w:type="dxa" w:w="120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4</w:t>
            </w:r>
          </w:p>
        </w:tc>
        <w:tc>
          <w:tcPr>
            <w:tcW w:type="dxa" w:w="26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Issue exceeding tolerance, affecting benefits or funding</w:t>
            </w:r>
          </w:p>
        </w:tc>
        <w:tc>
          <w:tcPr>
            <w:tcW w:type="dxa" w:w="17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 / Project Board</w:t>
            </w:r>
          </w:p>
        </w:tc>
        <w:tc>
          <w:tcPr>
            <w:tcW w:type="dxa" w:w="185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Next scheduled Board or an extraordinary session within 10 working days</w:t>
            </w:r>
          </w:p>
        </w:tc>
        <w:tc>
          <w:tcPr>
            <w:tcW w:type="dxa" w:w="19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Escalate to the investment authority</w:t>
            </w:r>
          </w:p>
        </w:tc>
      </w:tr>
      <w:tr>
        <w:trPr>
          <w:cantSplit w:val="true"/>
        </w:trPr>
        <w:tc>
          <w:tcPr>
            <w:tcW w:type="dxa" w:w="1209"/>
            <w:tcMar>
              <w:top w:w="40" w:type="dxa"/>
              <w:left w:w="110" w:type="dxa"/>
              <w:bottom w:w="40" w:type="dxa"/>
              <w:right w:w="110" w:type="dxa"/>
            </w:tcMar>
          </w:tcPr>
          <w:p>
            <w:pPr>
              <w:pStyle w:val="MasttTableCell"/>
              <w:spacing w:before="20" w:after="20"/>
            </w:pPr>
            <w:r/>
            <w:r>
              <w:rPr>
                <w:rFonts w:ascii="Segoe UI" w:hAnsi="Segoe UI"/>
                <w:b/>
                <w:color w:val="1D3245"/>
                <w:sz w:val="17"/>
              </w:rPr>
              <w:t>Immediate</w:t>
            </w:r>
          </w:p>
        </w:tc>
        <w:tc>
          <w:tcPr>
            <w:tcW w:type="dxa" w:w="2611"/>
            <w:tcMar>
              <w:top w:w="40" w:type="dxa"/>
              <w:left w:w="110" w:type="dxa"/>
              <w:bottom w:w="40" w:type="dxa"/>
              <w:right w:w="110" w:type="dxa"/>
            </w:tcMar>
          </w:tcPr>
          <w:p>
            <w:pPr>
              <w:pStyle w:val="MasttTableCell"/>
              <w:spacing w:before="20" w:after="20"/>
            </w:pPr>
            <w:r/>
            <w:r>
              <w:rPr>
                <w:rFonts w:ascii="Segoe UI" w:hAnsi="Segoe UI"/>
                <w:color w:val="1D3245"/>
                <w:sz w:val="17"/>
              </w:rPr>
              <w:t>Serious safety or environmental incident, statutory breach, or event threatening life, asset or reputation</w:t>
            </w:r>
          </w:p>
        </w:tc>
        <w:tc>
          <w:tcPr>
            <w:tcW w:type="dxa" w:w="1793"/>
            <w:tcMar>
              <w:top w:w="40" w:type="dxa"/>
              <w:left w:w="110" w:type="dxa"/>
              <w:bottom w:w="40" w:type="dxa"/>
              <w:right w:w="110" w:type="dxa"/>
            </w:tcMar>
          </w:tcPr>
          <w:p>
            <w:pPr>
              <w:pStyle w:val="MasttTableCell"/>
              <w:spacing w:before="20" w:after="20"/>
            </w:pPr>
            <w:r/>
            <w:r>
              <w:rPr>
                <w:rFonts w:ascii="Segoe UI" w:hAnsi="Segoe UI"/>
                <w:color w:val="1D3245"/>
                <w:sz w:val="17"/>
              </w:rPr>
              <w:t>HSE Manager and Project Director simultaneously; Sponsor within 1 hour</w:t>
            </w:r>
          </w:p>
        </w:tc>
        <w:tc>
          <w:tcPr>
            <w:tcW w:type="dxa" w:w="1856"/>
            <w:tcMar>
              <w:top w:w="40" w:type="dxa"/>
              <w:left w:w="110" w:type="dxa"/>
              <w:bottom w:w="40" w:type="dxa"/>
              <w:right w:w="110" w:type="dxa"/>
            </w:tcMar>
          </w:tcPr>
          <w:p>
            <w:pPr>
              <w:pStyle w:val="MasttTableCell"/>
              <w:spacing w:before="20" w:after="20"/>
            </w:pPr>
            <w:r/>
            <w:r>
              <w:rPr>
                <w:rFonts w:ascii="Segoe UI" w:hAnsi="Segoe UI"/>
                <w:color w:val="1D3245"/>
                <w:sz w:val="17"/>
              </w:rPr>
              <w:t>Immediate</w:t>
            </w:r>
          </w:p>
        </w:tc>
        <w:tc>
          <w:tcPr>
            <w:tcW w:type="dxa" w:w="1942"/>
            <w:tcMar>
              <w:top w:w="40" w:type="dxa"/>
              <w:left w:w="110" w:type="dxa"/>
              <w:bottom w:w="40" w:type="dxa"/>
              <w:right w:w="110" w:type="dxa"/>
            </w:tcMar>
          </w:tcPr>
          <w:p>
            <w:pPr>
              <w:pStyle w:val="MasttTableCell"/>
              <w:spacing w:before="20" w:after="20"/>
            </w:pPr>
            <w:r/>
            <w:r>
              <w:rPr>
                <w:rFonts w:ascii="Segoe UI" w:hAnsi="Segoe UI"/>
                <w:color w:val="1D3245"/>
                <w:sz w:val="17"/>
              </w:rPr>
              <w:t>Invoke the crisis management protocol</w:t>
            </w:r>
          </w:p>
        </w:tc>
      </w:tr>
    </w:tbl>
    <w:p>
      <w:pPr>
        <w:rPr>
          <w:sz w:val="8"/>
        </w:rPr>
        <w:spacing w:after="40" w:before="0" w:line="240" w:lineRule="auto"/>
      </w:pPr>
    </w:p>
    <w:p>
      <w:pPr>
        <w:pStyle w:val="Heading2"/>
      </w:pPr>
      <w:r>
        <w:t>4.8  Decision-making protocol</w:t>
      </w:r>
    </w:p>
    <w:p>
      <w:pPr>
        <w:pStyle w:val="ListBullet"/>
        <w:spacing w:after="60"/>
        <w:ind w:left="340"/>
      </w:pPr>
      <w:r>
        <w:rPr>
          <w:rFonts w:ascii="Segoe UI" w:hAnsi="Segoe UI"/>
          <w:color w:val="1D3245"/>
          <w:sz w:val="20"/>
        </w:rPr>
        <w:t>Decisions are made by the accountable role at the lowest level with sufficient authority and information.</w:t>
      </w:r>
    </w:p>
    <w:p>
      <w:pPr>
        <w:pStyle w:val="ListBullet"/>
        <w:spacing w:after="60"/>
        <w:ind w:left="340"/>
      </w:pPr>
      <w:r>
        <w:rPr>
          <w:rFonts w:ascii="Segoe UI" w:hAnsi="Segoe UI"/>
          <w:color w:val="1D3245"/>
          <w:sz w:val="20"/>
        </w:rPr>
        <w:t>Every decision requiring governance is presented with options, a recommendation, the cost, time, risk and benefit impact of each option, and the consequence of not deciding.</w:t>
      </w:r>
    </w:p>
    <w:p>
      <w:pPr>
        <w:pStyle w:val="ListBullet"/>
        <w:spacing w:after="60"/>
        <w:ind w:left="340"/>
      </w:pPr>
      <w:r>
        <w:rPr>
          <w:rFonts w:ascii="Segoe UI" w:hAnsi="Segoe UI"/>
          <w:color w:val="1D3245"/>
          <w:sz w:val="20"/>
        </w:rPr>
        <w:t>Papers are circulated at least 5 working days before the forum; papers tabled on the day are for noting only unless the chair rules otherwise.</w:t>
      </w:r>
    </w:p>
    <w:p>
      <w:pPr>
        <w:pStyle w:val="ListBullet"/>
        <w:spacing w:after="60"/>
        <w:ind w:left="340"/>
      </w:pPr>
      <w:r>
        <w:rPr>
          <w:rFonts w:ascii="Segoe UI" w:hAnsi="Segoe UI"/>
          <w:color w:val="1D3245"/>
          <w:sz w:val="20"/>
        </w:rPr>
        <w:t>Decisions are recorded in the decisions register with the date, the decision-maker, the rationale and the review date.</w:t>
      </w:r>
    </w:p>
    <w:p>
      <w:pPr>
        <w:pStyle w:val="ListBullet"/>
        <w:spacing w:after="60"/>
        <w:ind w:left="340"/>
      </w:pPr>
      <w:r>
        <w:rPr>
          <w:rFonts w:ascii="Segoe UI" w:hAnsi="Segoe UI"/>
          <w:color w:val="1D3245"/>
          <w:sz w:val="20"/>
        </w:rPr>
        <w:t>Where a decision is required faster than the forum cycle, the chair may make it out of session and it is ratified at the next meeting.</w:t>
      </w:r>
    </w:p>
    <w:p>
      <w:pPr>
        <w:pStyle w:val="ListBullet"/>
        <w:spacing w:after="60"/>
        <w:ind w:left="340"/>
      </w:pPr>
      <w:r>
        <w:rPr>
          <w:rFonts w:ascii="Segoe UI" w:hAnsi="Segoe UI"/>
          <w:color w:val="1D3245"/>
          <w:sz w:val="20"/>
        </w:rPr>
        <w:t>A decision is not made until it is recorded; verbal direction is confirmed in writing within 2 working days.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894"/>
        <w:gridCol w:w="1626"/>
        <w:gridCol w:w="1661"/>
        <w:gridCol w:w="1495"/>
        <w:gridCol w:w="1927"/>
        <w:gridCol w:w="835"/>
        <w:gridCol w:w="975"/>
      </w:tblGrid>
      <w:tr>
        <w:trPr>
          <w:tblHeader w:val="true"/>
          <w:cantSplit w:val="true"/>
        </w:trPr>
        <w:tc>
          <w:tcPr>
            <w:tcW w:type="dxa" w:w="8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162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Decision required</w:t>
            </w:r>
          </w:p>
        </w:tc>
        <w:tc>
          <w:tcPr>
            <w:tcW w:type="dxa" w:w="16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Options considered</w:t>
            </w:r>
          </w:p>
        </w:tc>
        <w:tc>
          <w:tcPr>
            <w:tcW w:type="dxa" w:w="1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Decision</w:t>
            </w:r>
          </w:p>
        </w:tc>
        <w:tc>
          <w:tcPr>
            <w:tcW w:type="dxa" w:w="192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Decision-maker</w:t>
            </w:r>
          </w:p>
        </w:tc>
        <w:tc>
          <w:tcPr>
            <w:tcW w:type="dxa" w:w="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Date</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Review date</w:t>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DEC-01</w:t>
            </w:r>
          </w:p>
        </w:tc>
        <w:tc>
          <w:tcPr>
            <w:tcW w:type="dxa" w:w="16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3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DEC-02</w:t>
            </w:r>
          </w:p>
        </w:tc>
        <w:tc>
          <w:tcPr>
            <w:tcW w:type="dxa" w:w="16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DEC-03</w:t>
            </w:r>
          </w:p>
        </w:tc>
        <w:tc>
          <w:tcPr>
            <w:tcW w:type="dxa" w:w="16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6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3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DEC-04</w:t>
            </w:r>
          </w:p>
        </w:tc>
        <w:tc>
          <w:tcPr>
            <w:tcW w:type="dxa" w:w="16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4.9  Assurance and gateway reviews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Assurance is not the same as reporting. It must be carried out by people independent of the delivery team, against defined criteria, with findings that the Sponsor is obliged to act on. Set the gate dates in the baseline schedule so that reviews do not become the reason for delay.</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737"/>
        <w:gridCol w:w="1912"/>
        <w:gridCol w:w="2236"/>
        <w:gridCol w:w="2567"/>
        <w:gridCol w:w="1960"/>
      </w:tblGrid>
      <w:tr>
        <w:trPr>
          <w:tblHeader w:val="true"/>
          <w:cantSplit w:val="true"/>
        </w:trPr>
        <w:tc>
          <w:tcPr>
            <w:tcW w:type="dxa" w:w="7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Gate</w:t>
            </w:r>
          </w:p>
        </w:tc>
        <w:tc>
          <w:tcPr>
            <w:tcW w:type="dxa" w:w="191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Stage boundary</w:t>
            </w:r>
          </w:p>
        </w:tc>
        <w:tc>
          <w:tcPr>
            <w:tcW w:type="dxa" w:w="223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Key question</w:t>
            </w:r>
          </w:p>
        </w:tc>
        <w:tc>
          <w:tcPr>
            <w:tcW w:type="dxa" w:w="256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Evidence required</w:t>
            </w:r>
          </w:p>
        </w:tc>
        <w:tc>
          <w:tcPr>
            <w:tcW w:type="dxa" w:w="196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Outcome authority</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G0</w:t>
            </w:r>
          </w:p>
        </w:tc>
        <w:tc>
          <w:tcPr>
            <w:tcW w:type="dxa" w:w="1912"/>
            <w:tcMar>
              <w:top w:w="40" w:type="dxa"/>
              <w:left w:w="110" w:type="dxa"/>
              <w:bottom w:w="40" w:type="dxa"/>
              <w:right w:w="110" w:type="dxa"/>
            </w:tcMar>
          </w:tcPr>
          <w:p>
            <w:pPr>
              <w:pStyle w:val="MasttTableCell"/>
              <w:spacing w:before="20" w:after="20"/>
            </w:pPr>
            <w:r/>
            <w:r>
              <w:rPr>
                <w:rFonts w:ascii="Segoe UI" w:hAnsi="Segoe UI"/>
                <w:color w:val="1D3245"/>
                <w:sz w:val="17"/>
              </w:rPr>
              <w:t>Strategic assessment complete</w:t>
            </w:r>
          </w:p>
        </w:tc>
        <w:tc>
          <w:tcPr>
            <w:tcW w:type="dxa" w:w="2236"/>
            <w:tcMar>
              <w:top w:w="40" w:type="dxa"/>
              <w:left w:w="110" w:type="dxa"/>
              <w:bottom w:w="40" w:type="dxa"/>
              <w:right w:w="110" w:type="dxa"/>
            </w:tcMar>
          </w:tcPr>
          <w:p>
            <w:pPr>
              <w:pStyle w:val="MasttTableCell"/>
              <w:spacing w:before="20" w:after="20"/>
            </w:pPr>
            <w:r/>
            <w:r>
              <w:rPr>
                <w:rFonts w:ascii="Segoe UI" w:hAnsi="Segoe UI"/>
                <w:color w:val="1D3245"/>
                <w:sz w:val="17"/>
              </w:rPr>
              <w:t>Is the need real and the strategic fit clear?</w:t>
            </w:r>
          </w:p>
        </w:tc>
        <w:tc>
          <w:tcPr>
            <w:tcW w:type="dxa" w:w="2567"/>
            <w:tcMar>
              <w:top w:w="40" w:type="dxa"/>
              <w:left w:w="110" w:type="dxa"/>
              <w:bottom w:w="40" w:type="dxa"/>
              <w:right w:w="110" w:type="dxa"/>
            </w:tcMar>
          </w:tcPr>
          <w:p>
            <w:pPr>
              <w:pStyle w:val="MasttTableCell"/>
              <w:spacing w:before="20" w:after="20"/>
            </w:pPr>
            <w:r/>
            <w:r>
              <w:rPr>
                <w:rFonts w:ascii="Segoe UI" w:hAnsi="Segoe UI"/>
                <w:color w:val="1D3245"/>
                <w:sz w:val="17"/>
              </w:rPr>
              <w:t>Business case, options analysis</w:t>
            </w:r>
          </w:p>
        </w:tc>
        <w:tc>
          <w:tcPr>
            <w:tcW w:type="dxa" w:w="1960"/>
            <w:tcMar>
              <w:top w:w="40" w:type="dxa"/>
              <w:left w:w="110" w:type="dxa"/>
              <w:bottom w:w="40" w:type="dxa"/>
              <w:right w:w="110" w:type="dxa"/>
            </w:tcMar>
          </w:tcPr>
          <w:p>
            <w:pPr>
              <w:pStyle w:val="MasttTableCell"/>
              <w:spacing w:before="20" w:after="20"/>
            </w:pPr>
            <w:r/>
            <w:r>
              <w:rPr>
                <w:rFonts w:ascii="Segoe UI" w:hAnsi="Segoe UI"/>
                <w:color w:val="1D3245"/>
                <w:sz w:val="17"/>
              </w:rPr>
              <w:t>Investment authority</w:t>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G1</w:t>
            </w:r>
          </w:p>
        </w:tc>
        <w:tc>
          <w:tcPr>
            <w:tcW w:type="dxa" w:w="19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Business case approved</w:t>
            </w:r>
          </w:p>
        </w:tc>
        <w:tc>
          <w:tcPr>
            <w:tcW w:type="dxa" w:w="22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Is the preferred option affordable and deliverable?</w:t>
            </w:r>
          </w:p>
        </w:tc>
        <w:tc>
          <w:tcPr>
            <w:tcW w:type="dxa" w:w="25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Business case, cost plan, risk assessment, PID</w:t>
            </w:r>
          </w:p>
        </w:tc>
        <w:tc>
          <w:tcPr>
            <w:tcW w:type="dxa" w:w="19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Investment authority</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G2</w:t>
            </w:r>
          </w:p>
        </w:tc>
        <w:tc>
          <w:tcPr>
            <w:tcW w:type="dxa" w:w="1912"/>
            <w:tcMar>
              <w:top w:w="40" w:type="dxa"/>
              <w:left w:w="110" w:type="dxa"/>
              <w:bottom w:w="40" w:type="dxa"/>
              <w:right w:w="110" w:type="dxa"/>
            </w:tcMar>
          </w:tcPr>
          <w:p>
            <w:pPr>
              <w:pStyle w:val="MasttTableCell"/>
              <w:spacing w:before="20" w:after="20"/>
            </w:pPr>
            <w:r/>
            <w:r>
              <w:rPr>
                <w:rFonts w:ascii="Segoe UI" w:hAnsi="Segoe UI"/>
                <w:color w:val="1D3245"/>
                <w:sz w:val="17"/>
              </w:rPr>
              <w:t>Delivery strategy confirmed</w:t>
            </w:r>
          </w:p>
        </w:tc>
        <w:tc>
          <w:tcPr>
            <w:tcW w:type="dxa" w:w="2236"/>
            <w:tcMar>
              <w:top w:w="40" w:type="dxa"/>
              <w:left w:w="110" w:type="dxa"/>
              <w:bottom w:w="40" w:type="dxa"/>
              <w:right w:w="110" w:type="dxa"/>
            </w:tcMar>
          </w:tcPr>
          <w:p>
            <w:pPr>
              <w:pStyle w:val="MasttTableCell"/>
              <w:spacing w:before="20" w:after="20"/>
            </w:pPr>
            <w:r/>
            <w:r>
              <w:rPr>
                <w:rFonts w:ascii="Segoe UI" w:hAnsi="Segoe UI"/>
                <w:color w:val="1D3245"/>
                <w:sz w:val="17"/>
              </w:rPr>
              <w:t>Is the delivery and procurement strategy sound?</w:t>
            </w:r>
          </w:p>
        </w:tc>
        <w:tc>
          <w:tcPr>
            <w:tcW w:type="dxa" w:w="2567"/>
            <w:tcMar>
              <w:top w:w="40" w:type="dxa"/>
              <w:left w:w="110" w:type="dxa"/>
              <w:bottom w:w="40" w:type="dxa"/>
              <w:right w:w="110" w:type="dxa"/>
            </w:tcMar>
          </w:tcPr>
          <w:p>
            <w:pPr>
              <w:pStyle w:val="MasttTableCell"/>
              <w:spacing w:before="20" w:after="20"/>
            </w:pPr>
            <w:r/>
            <w:r>
              <w:rPr>
                <w:rFonts w:ascii="Segoe UI" w:hAnsi="Segoe UI"/>
                <w:color w:val="1D3245"/>
                <w:sz w:val="17"/>
              </w:rPr>
              <w:t>This PEP, procurement strategy, market assessment</w:t>
            </w:r>
          </w:p>
        </w:tc>
        <w:tc>
          <w:tcPr>
            <w:tcW w:type="dxa" w:w="1960"/>
            <w:tcMar>
              <w:top w:w="40" w:type="dxa"/>
              <w:left w:w="110" w:type="dxa"/>
              <w:bottom w:w="40" w:type="dxa"/>
              <w:right w:w="110" w:type="dxa"/>
            </w:tcMar>
          </w:tcPr>
          <w:p>
            <w:pPr>
              <w:pStyle w:val="MasttTableCell"/>
              <w:spacing w:before="20" w:after="20"/>
            </w:pPr>
            <w:r/>
            <w:r>
              <w:rPr>
                <w:rFonts w:ascii="Segoe UI" w:hAnsi="Segoe UI"/>
                <w:color w:val="1D3245"/>
                <w:sz w:val="17"/>
              </w:rPr>
              <w:t>Sponsor / Board</w:t>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G3</w:t>
            </w:r>
          </w:p>
        </w:tc>
        <w:tc>
          <w:tcPr>
            <w:tcW w:type="dxa" w:w="19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complete / ready to tender</w:t>
            </w:r>
          </w:p>
        </w:tc>
        <w:tc>
          <w:tcPr>
            <w:tcW w:type="dxa" w:w="22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Is the design compliant, coordinated and buildable?</w:t>
            </w:r>
          </w:p>
        </w:tc>
        <w:tc>
          <w:tcPr>
            <w:tcW w:type="dxa" w:w="25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compliance matrix, cost plan, consents</w:t>
            </w:r>
          </w:p>
        </w:tc>
        <w:tc>
          <w:tcPr>
            <w:tcW w:type="dxa" w:w="19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Board</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G4</w:t>
            </w:r>
          </w:p>
        </w:tc>
        <w:tc>
          <w:tcPr>
            <w:tcW w:type="dxa" w:w="1912"/>
            <w:tcMar>
              <w:top w:w="40" w:type="dxa"/>
              <w:left w:w="110" w:type="dxa"/>
              <w:bottom w:w="40" w:type="dxa"/>
              <w:right w:w="110" w:type="dxa"/>
            </w:tcMar>
          </w:tcPr>
          <w:p>
            <w:pPr>
              <w:pStyle w:val="MasttTableCell"/>
              <w:spacing w:before="20" w:after="20"/>
            </w:pPr>
            <w:r/>
            <w:r>
              <w:rPr>
                <w:rFonts w:ascii="Segoe UI" w:hAnsi="Segoe UI"/>
                <w:color w:val="1D3245"/>
                <w:sz w:val="17"/>
              </w:rPr>
              <w:t>Ready to award / start on site</w:t>
            </w:r>
          </w:p>
        </w:tc>
        <w:tc>
          <w:tcPr>
            <w:tcW w:type="dxa" w:w="2236"/>
            <w:tcMar>
              <w:top w:w="40" w:type="dxa"/>
              <w:left w:w="110" w:type="dxa"/>
              <w:bottom w:w="40" w:type="dxa"/>
              <w:right w:w="110" w:type="dxa"/>
            </w:tcMar>
          </w:tcPr>
          <w:p>
            <w:pPr>
              <w:pStyle w:val="MasttTableCell"/>
              <w:spacing w:before="20" w:after="20"/>
            </w:pPr>
            <w:r/>
            <w:r>
              <w:rPr>
                <w:rFonts w:ascii="Segoe UI" w:hAnsi="Segoe UI"/>
                <w:color w:val="1D3245"/>
                <w:sz w:val="17"/>
              </w:rPr>
              <w:t>Is the price, programme and risk allocation acceptable?</w:t>
            </w:r>
          </w:p>
        </w:tc>
        <w:tc>
          <w:tcPr>
            <w:tcW w:type="dxa" w:w="2567"/>
            <w:tcMar>
              <w:top w:w="40" w:type="dxa"/>
              <w:left w:w="110" w:type="dxa"/>
              <w:bottom w:w="40" w:type="dxa"/>
              <w:right w:w="110" w:type="dxa"/>
            </w:tcMar>
          </w:tcPr>
          <w:p>
            <w:pPr>
              <w:pStyle w:val="MasttTableCell"/>
              <w:spacing w:before="20" w:after="20"/>
            </w:pPr>
            <w:r/>
            <w:r>
              <w:rPr>
                <w:rFonts w:ascii="Segoe UI" w:hAnsi="Segoe UI"/>
                <w:color w:val="1D3245"/>
                <w:sz w:val="17"/>
              </w:rPr>
              <w:t>Evaluation report, contract, updated risk and contingency</w:t>
            </w:r>
          </w:p>
        </w:tc>
        <w:tc>
          <w:tcPr>
            <w:tcW w:type="dxa" w:w="1960"/>
            <w:tcMar>
              <w:top w:w="40" w:type="dxa"/>
              <w:left w:w="110" w:type="dxa"/>
              <w:bottom w:w="40" w:type="dxa"/>
              <w:right w:w="110" w:type="dxa"/>
            </w:tcMar>
          </w:tcPr>
          <w:p>
            <w:pPr>
              <w:pStyle w:val="MasttTableCell"/>
              <w:spacing w:before="20" w:after="20"/>
            </w:pPr>
            <w:r/>
            <w:r>
              <w:rPr>
                <w:rFonts w:ascii="Segoe UI" w:hAnsi="Segoe UI"/>
                <w:color w:val="1D3245"/>
                <w:sz w:val="17"/>
              </w:rPr>
              <w:t>Board / investment authority</w:t>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G5</w:t>
            </w:r>
          </w:p>
        </w:tc>
        <w:tc>
          <w:tcPr>
            <w:tcW w:type="dxa" w:w="19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Ready for commissioning</w:t>
            </w:r>
          </w:p>
        </w:tc>
        <w:tc>
          <w:tcPr>
            <w:tcW w:type="dxa" w:w="22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Is the work complete and testing ready to proceed?</w:t>
            </w:r>
          </w:p>
        </w:tc>
        <w:tc>
          <w:tcPr>
            <w:tcW w:type="dxa" w:w="25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ITP status, NCR position, commissioning plan</w:t>
            </w:r>
          </w:p>
        </w:tc>
        <w:tc>
          <w:tcPr>
            <w:tcW w:type="dxa" w:w="19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G6</w:t>
            </w:r>
          </w:p>
        </w:tc>
        <w:tc>
          <w:tcPr>
            <w:tcW w:type="dxa" w:w="1912"/>
            <w:tcMar>
              <w:top w:w="40" w:type="dxa"/>
              <w:left w:w="110" w:type="dxa"/>
              <w:bottom w:w="40" w:type="dxa"/>
              <w:right w:w="110" w:type="dxa"/>
            </w:tcMar>
          </w:tcPr>
          <w:p>
            <w:pPr>
              <w:pStyle w:val="MasttTableCell"/>
              <w:spacing w:before="20" w:after="20"/>
            </w:pPr>
            <w:r/>
            <w:r>
              <w:rPr>
                <w:rFonts w:ascii="Segoe UI" w:hAnsi="Segoe UI"/>
                <w:color w:val="1D3245"/>
                <w:sz w:val="17"/>
              </w:rPr>
              <w:t>Ready for handover</w:t>
            </w:r>
          </w:p>
        </w:tc>
        <w:tc>
          <w:tcPr>
            <w:tcW w:type="dxa" w:w="2236"/>
            <w:tcMar>
              <w:top w:w="40" w:type="dxa"/>
              <w:left w:w="110" w:type="dxa"/>
              <w:bottom w:w="40" w:type="dxa"/>
              <w:right w:w="110" w:type="dxa"/>
            </w:tcMar>
          </w:tcPr>
          <w:p>
            <w:pPr>
              <w:pStyle w:val="MasttTableCell"/>
              <w:spacing w:before="20" w:after="20"/>
            </w:pPr>
            <w:r/>
            <w:r>
              <w:rPr>
                <w:rFonts w:ascii="Segoe UI" w:hAnsi="Segoe UI"/>
                <w:color w:val="1D3245"/>
                <w:sz w:val="17"/>
              </w:rPr>
              <w:t>Is the operator ready to accept and operate?</w:t>
            </w:r>
          </w:p>
        </w:tc>
        <w:tc>
          <w:tcPr>
            <w:tcW w:type="dxa" w:w="2567"/>
            <w:tcMar>
              <w:top w:w="40" w:type="dxa"/>
              <w:left w:w="110" w:type="dxa"/>
              <w:bottom w:w="40" w:type="dxa"/>
              <w:right w:w="110" w:type="dxa"/>
            </w:tcMar>
          </w:tcPr>
          <w:p>
            <w:pPr>
              <w:pStyle w:val="MasttTableCell"/>
              <w:spacing w:before="20" w:after="20"/>
            </w:pPr>
            <w:r/>
            <w:r>
              <w:rPr>
                <w:rFonts w:ascii="Segoe UI" w:hAnsi="Segoe UI"/>
                <w:color w:val="1D3245"/>
                <w:sz w:val="17"/>
              </w:rPr>
              <w:t>Readiness checklist, asset data, training, certificates</w:t>
            </w:r>
          </w:p>
        </w:tc>
        <w:tc>
          <w:tcPr>
            <w:tcW w:type="dxa" w:w="1960"/>
            <w:tcMar>
              <w:top w:w="40" w:type="dxa"/>
              <w:left w:w="110" w:type="dxa"/>
              <w:bottom w:w="40" w:type="dxa"/>
              <w:right w:w="110" w:type="dxa"/>
            </w:tcMar>
          </w:tcPr>
          <w:p>
            <w:pPr>
              <w:pStyle w:val="MasttTableCell"/>
              <w:spacing w:before="20" w:after="20"/>
            </w:pPr>
            <w:r/>
            <w:r>
              <w:rPr>
                <w:rFonts w:ascii="Segoe UI" w:hAnsi="Segoe UI"/>
                <w:color w:val="1D3245"/>
                <w:sz w:val="17"/>
              </w:rPr>
              <w:t>Sponsor / operations</w:t>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G7</w:t>
            </w:r>
          </w:p>
        </w:tc>
        <w:tc>
          <w:tcPr>
            <w:tcW w:type="dxa" w:w="19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Closeout and benefits</w:t>
            </w:r>
          </w:p>
        </w:tc>
        <w:tc>
          <w:tcPr>
            <w:tcW w:type="dxa" w:w="22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Were the benefits delivered and what did we learn?</w:t>
            </w:r>
          </w:p>
        </w:tc>
        <w:tc>
          <w:tcPr>
            <w:tcW w:type="dxa" w:w="25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Closeout report, benefits review, lessons register</w:t>
            </w:r>
          </w:p>
        </w:tc>
        <w:tc>
          <w:tcPr>
            <w:tcW w:type="dxa" w:w="19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r>
    </w:tbl>
    <w:p>
      <w:pPr>
        <w:rPr>
          <w:sz w:val="8"/>
        </w:rPr>
        <w:spacing w:after="40" w:before="0" w:line="240" w:lineRule="auto"/>
      </w:pPr>
    </w:p>
    <w:p>
      <w:pPr>
        <w:pStyle w:val="MasttBody"/>
      </w:pPr>
      <w:r>
        <w:t>Gateway findings are assigned an owner and a due date and are tracked to closure in the actions register. A red or amber-red gate outcome suspends progression until the Sponsor accepts a remediation plan.</w:t>
      </w:r>
    </w:p>
    <w:p>
      <w:r>
        <w:br w:type="page"/>
      </w:r>
    </w:p>
    <w:p>
      <w:pPr>
        <w:pStyle w:val="Heading1"/>
        <w:pBdr>
          <w:bottom w:val="single" w:sz="6" w:space="4" w:color="C9D4E0"/>
        </w:pBdr>
      </w:pPr>
      <w:r>
        <w:t>5.  Stakeholder management and communications</w:t>
      </w:r>
    </w:p>
    <w:p>
      <w:pPr>
        <w:pStyle w:val="Heading2"/>
      </w:pPr>
      <w:r>
        <w:t>5.1  Approach</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Stakeholder management is a delivery control, not a public relations exercise. Most schedule loss on complex projects comes from consent, approval and access decisions made by people outside the project team. Identify who can stop the project, engage them before you need them, and record every commitment you make.</w:t>
            </w:r>
          </w:p>
        </w:tc>
      </w:tr>
    </w:tbl>
    <w:p>
      <w:pPr>
        <w:rPr>
          <w:sz w:val="8"/>
        </w:rPr>
        <w:spacing w:after="40" w:before="0" w:line="240" w:lineRule="auto"/>
      </w:pPr>
    </w:p>
    <w:p>
      <w:pPr>
        <w:pStyle w:val="MasttBody"/>
      </w:pPr>
      <w:r>
        <w:t>Stakeholders are identified at initiation and reviewed at every stage gate and whenever the works enter a new area or phase. Analysis uses power and interest, supplemented by an assessment of each stakeholder's attitude and the specific decisions or approvals they control.</w:t>
      </w:r>
    </w:p>
    <w:p>
      <w:pPr>
        <w:pStyle w:val="Heading2"/>
      </w:pPr>
      <w:r>
        <w:t>5.2  Stakeholder analysis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814"/>
        <w:gridCol w:w="2495"/>
        <w:gridCol w:w="3402"/>
        <w:gridCol w:w="1701"/>
      </w:tblGrid>
      <w:tr>
        <w:trPr>
          <w:tblHeader w:val="true"/>
          <w:cantSplit w:val="true"/>
        </w:trPr>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Position</w:t>
            </w:r>
          </w:p>
        </w:tc>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Characteristics</w:t>
            </w:r>
          </w:p>
        </w:tc>
        <w:tc>
          <w:tcPr>
            <w:tcW w:type="dxa" w:w="34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Engagement strategy</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Typical cadence</w:t>
            </w:r>
          </w:p>
        </w:tc>
      </w:tr>
      <w:tr>
        <w:trPr>
          <w:cantSplit w:val="true"/>
        </w:trPr>
        <w:tc>
          <w:tcPr>
            <w:tcW w:type="dxa" w:w="1814"/>
            <w:tcMar>
              <w:top w:w="40" w:type="dxa"/>
              <w:left w:w="110" w:type="dxa"/>
              <w:bottom w:w="40" w:type="dxa"/>
              <w:right w:w="110" w:type="dxa"/>
            </w:tcMar>
          </w:tcPr>
          <w:p>
            <w:pPr>
              <w:pStyle w:val="MasttTableCell"/>
              <w:spacing w:before="20" w:after="20"/>
            </w:pPr>
            <w:r/>
            <w:r>
              <w:rPr>
                <w:rFonts w:ascii="Segoe UI" w:hAnsi="Segoe UI"/>
                <w:b/>
                <w:color w:val="1D3245"/>
                <w:sz w:val="17"/>
              </w:rPr>
              <w:t>High power / high interest</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Can stop or materially change the project and are actively engaged</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Manage closely - direct, senior-level, two-way engagement with named relationship owners</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Weekly to fortnightly</w:t>
            </w:r>
          </w:p>
        </w:tc>
      </w:tr>
      <w:tr>
        <w:trPr>
          <w:cantSplit w:val="true"/>
        </w:trPr>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High power / low interest</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Can stop the project but are not currently engaged</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Keep satisfied - brief early, avoid surprises, escalate only what matters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1814"/>
            <w:tcMar>
              <w:top w:w="40" w:type="dxa"/>
              <w:left w:w="110" w:type="dxa"/>
              <w:bottom w:w="40" w:type="dxa"/>
              <w:right w:w="110" w:type="dxa"/>
            </w:tcMar>
          </w:tcPr>
          <w:p>
            <w:pPr>
              <w:pStyle w:val="MasttTableCell"/>
              <w:spacing w:before="20" w:after="20"/>
            </w:pPr>
            <w:r/>
            <w:r>
              <w:rPr>
                <w:rFonts w:ascii="Segoe UI" w:hAnsi="Segoe UI"/>
                <w:b/>
                <w:color w:val="1D3245"/>
                <w:sz w:val="17"/>
              </w:rPr>
              <w:t>Low power / high interest</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Strongly affected and vocal but cannot directly stop the project</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Keep informed - regular, honest, accessible information and responsive complaint handling</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Fortnightly to monthly</w:t>
            </w:r>
          </w:p>
        </w:tc>
      </w:tr>
      <w:tr>
        <w:trPr>
          <w:cantSplit w:val="true"/>
        </w:trPr>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Low power / low interest</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Marginally affected</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Monitor - general information channels, review position at each stage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Quarterly</w:t>
            </w:r>
          </w:p>
        </w:tc>
      </w:tr>
    </w:tbl>
    <w:p>
      <w:pPr>
        <w:rPr>
          <w:sz w:val="8"/>
        </w:rPr>
        <w:spacing w:after="40" w:before="0" w:line="240" w:lineRule="auto"/>
      </w:pPr>
    </w:p>
    <w:p>
      <w:pPr>
        <w:pStyle w:val="Heading2"/>
      </w:pPr>
      <w:r>
        <w:t>5.3  Stakeholder register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649"/>
        <w:gridCol w:w="1607"/>
        <w:gridCol w:w="1500"/>
        <w:gridCol w:w="786"/>
        <w:gridCol w:w="1101"/>
        <w:gridCol w:w="1101"/>
        <w:gridCol w:w="1146"/>
        <w:gridCol w:w="1521"/>
      </w:tblGrid>
      <w:tr>
        <w:trPr>
          <w:tblHeader w:val="true"/>
          <w:cantSplit w:val="true"/>
        </w:trPr>
        <w:tc>
          <w:tcPr>
            <w:tcW w:type="dxa" w:w="6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Ref</w:t>
            </w:r>
          </w:p>
        </w:tc>
        <w:tc>
          <w:tcPr>
            <w:tcW w:type="dxa" w:w="160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Stakeholder</w:t>
            </w:r>
          </w:p>
        </w:tc>
        <w:tc>
          <w:tcPr>
            <w:tcW w:type="dxa" w:w="150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Interest / requirement</w:t>
            </w:r>
          </w:p>
        </w:tc>
        <w:tc>
          <w:tcPr>
            <w:tcW w:type="dxa" w:w="7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Power</w:t>
            </w:r>
          </w:p>
        </w:tc>
        <w:tc>
          <w:tcPr>
            <w:tcW w:type="dxa" w:w="11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Interest</w:t>
            </w:r>
          </w:p>
        </w:tc>
        <w:tc>
          <w:tcPr>
            <w:tcW w:type="dxa" w:w="11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Attitude</w:t>
            </w:r>
          </w:p>
        </w:tc>
        <w:tc>
          <w:tcPr>
            <w:tcW w:type="dxa" w:w="114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Strategy</w:t>
            </w:r>
          </w:p>
        </w:tc>
        <w:tc>
          <w:tcPr>
            <w:tcW w:type="dxa" w:w="15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Relationship owner</w:t>
            </w:r>
          </w:p>
        </w:tc>
      </w:tr>
      <w:tr>
        <w:trPr>
          <w:cantSplit w:val="true"/>
        </w:trPr>
        <w:tc>
          <w:tcPr>
            <w:tcW w:type="dxa" w:w="649"/>
            <w:tcMar>
              <w:top w:w="40" w:type="dxa"/>
              <w:left w:w="110" w:type="dxa"/>
              <w:bottom w:w="40" w:type="dxa"/>
              <w:right w:w="110" w:type="dxa"/>
            </w:tcMar>
          </w:tcPr>
          <w:p>
            <w:pPr>
              <w:pStyle w:val="MasttTableCell"/>
              <w:spacing w:before="20" w:after="20"/>
            </w:pPr>
            <w:r/>
            <w:r>
              <w:rPr>
                <w:rFonts w:ascii="Segoe UI" w:hAnsi="Segoe UI"/>
                <w:b/>
                <w:color w:val="1D3245"/>
                <w:sz w:val="15"/>
              </w:rPr>
              <w:t>SH01</w:t>
            </w:r>
          </w:p>
        </w:tc>
        <w:tc>
          <w:tcPr>
            <w:tcW w:type="dxa" w:w="1607"/>
            <w:tcMar>
              <w:top w:w="40" w:type="dxa"/>
              <w:left w:w="110" w:type="dxa"/>
              <w:bottom w:w="40" w:type="dxa"/>
              <w:right w:w="110" w:type="dxa"/>
            </w:tcMar>
          </w:tcPr>
          <w:p>
            <w:pPr>
              <w:pStyle w:val="MasttTableCell"/>
              <w:spacing w:before="20" w:after="20"/>
            </w:pPr>
            <w:r/>
            <w:r>
              <w:rPr>
                <w:rFonts w:ascii="Segoe UI" w:hAnsi="Segoe UI"/>
                <w:color w:val="1D3245"/>
                <w:sz w:val="15"/>
              </w:rPr>
              <w:t>Project Sponsor and executive</w:t>
            </w:r>
          </w:p>
        </w:tc>
        <w:tc>
          <w:tcPr>
            <w:tcW w:type="dxa" w:w="15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Supportive</w:t>
            </w:r>
          </w:p>
        </w:tc>
        <w:tc>
          <w:tcPr>
            <w:tcW w:type="dxa" w:w="1146"/>
            <w:tcMar>
              <w:top w:w="40" w:type="dxa"/>
              <w:left w:w="110" w:type="dxa"/>
              <w:bottom w:w="40" w:type="dxa"/>
              <w:right w:w="110" w:type="dxa"/>
            </w:tcMar>
          </w:tcPr>
          <w:p>
            <w:pPr>
              <w:pStyle w:val="MasttTableCell"/>
              <w:spacing w:before="20" w:after="20"/>
            </w:pPr>
            <w:r/>
            <w:r>
              <w:rPr>
                <w:rFonts w:ascii="Segoe UI" w:hAnsi="Segoe UI"/>
                <w:color w:val="1D3245"/>
                <w:sz w:val="15"/>
              </w:rPr>
              <w:t>Manage closely</w:t>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SH02</w:t>
            </w:r>
          </w:p>
        </w:tc>
        <w:tc>
          <w:tcPr>
            <w:tcW w:type="dxa" w:w="16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Asset owner / operator</w:t>
            </w:r>
          </w:p>
        </w:tc>
        <w:tc>
          <w:tcPr>
            <w:tcW w:type="dxa" w:w="15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Manage closely</w:t>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tcPr>
          <w:p>
            <w:pPr>
              <w:pStyle w:val="MasttTableCell"/>
              <w:spacing w:before="20" w:after="20"/>
            </w:pPr>
            <w:r/>
            <w:r>
              <w:rPr>
                <w:rFonts w:ascii="Segoe UI" w:hAnsi="Segoe UI"/>
                <w:b/>
                <w:color w:val="1D3245"/>
                <w:sz w:val="15"/>
              </w:rPr>
              <w:t>SH03</w:t>
            </w:r>
          </w:p>
        </w:tc>
        <w:tc>
          <w:tcPr>
            <w:tcW w:type="dxa" w:w="1607"/>
            <w:tcMar>
              <w:top w:w="40" w:type="dxa"/>
              <w:left w:w="110" w:type="dxa"/>
              <w:bottom w:w="40" w:type="dxa"/>
              <w:right w:w="110" w:type="dxa"/>
            </w:tcMar>
          </w:tcPr>
          <w:p>
            <w:pPr>
              <w:pStyle w:val="MasttTableCell"/>
              <w:spacing w:before="20" w:after="20"/>
            </w:pPr>
            <w:r/>
            <w:r>
              <w:rPr>
                <w:rFonts w:ascii="Segoe UI" w:hAnsi="Segoe UI"/>
                <w:color w:val="1D3245"/>
                <w:sz w:val="15"/>
              </w:rPr>
              <w:t>End users and occupants</w:t>
            </w:r>
          </w:p>
        </w:tc>
        <w:tc>
          <w:tcPr>
            <w:tcW w:type="dxa" w:w="15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tcPr>
          <w:p>
            <w:pPr>
              <w:pStyle w:val="MasttTableCell"/>
              <w:spacing w:before="20" w:after="20"/>
            </w:pPr>
            <w:r/>
            <w:r>
              <w:rPr>
                <w:rFonts w:ascii="Segoe UI" w:hAnsi="Segoe UI"/>
                <w:color w:val="1D3245"/>
                <w:sz w:val="15"/>
              </w:rPr>
              <w:t>Keep informed</w:t>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SH04</w:t>
            </w:r>
          </w:p>
        </w:tc>
        <w:tc>
          <w:tcPr>
            <w:tcW w:type="dxa" w:w="16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Consent and permitting authority</w:t>
            </w:r>
          </w:p>
        </w:tc>
        <w:tc>
          <w:tcPr>
            <w:tcW w:type="dxa" w:w="15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Keep satisfied</w:t>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tcPr>
          <w:p>
            <w:pPr>
              <w:pStyle w:val="MasttTableCell"/>
              <w:spacing w:before="20" w:after="20"/>
            </w:pPr>
            <w:r/>
            <w:r>
              <w:rPr>
                <w:rFonts w:ascii="Segoe UI" w:hAnsi="Segoe UI"/>
                <w:b/>
                <w:color w:val="1D3245"/>
                <w:sz w:val="15"/>
              </w:rPr>
              <w:t>SH05</w:t>
            </w:r>
          </w:p>
        </w:tc>
        <w:tc>
          <w:tcPr>
            <w:tcW w:type="dxa" w:w="1607"/>
            <w:tcMar>
              <w:top w:w="40" w:type="dxa"/>
              <w:left w:w="110" w:type="dxa"/>
              <w:bottom w:w="40" w:type="dxa"/>
              <w:right w:w="110" w:type="dxa"/>
            </w:tcMar>
          </w:tcPr>
          <w:p>
            <w:pPr>
              <w:pStyle w:val="MasttTableCell"/>
              <w:spacing w:before="20" w:after="20"/>
            </w:pPr>
            <w:r/>
            <w:r>
              <w:rPr>
                <w:rFonts w:ascii="Segoe UI" w:hAnsi="Segoe UI"/>
                <w:color w:val="1D3245"/>
                <w:sz w:val="15"/>
              </w:rPr>
              <w:t>Building control / regulator</w:t>
            </w:r>
          </w:p>
        </w:tc>
        <w:tc>
          <w:tcPr>
            <w:tcW w:type="dxa" w:w="15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tcPr>
          <w:p>
            <w:pPr>
              <w:pStyle w:val="MasttTableCell"/>
              <w:spacing w:before="20" w:after="20"/>
            </w:pPr>
            <w:r/>
            <w:r>
              <w:rPr>
                <w:rFonts w:ascii="Segoe UI" w:hAnsi="Segoe UI"/>
                <w:color w:val="1D3245"/>
                <w:sz w:val="15"/>
              </w:rPr>
              <w:t>Keep satisfied</w:t>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SH06</w:t>
            </w:r>
          </w:p>
        </w:tc>
        <w:tc>
          <w:tcPr>
            <w:tcW w:type="dxa" w:w="16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Utility and service providers</w:t>
            </w:r>
          </w:p>
        </w:tc>
        <w:tc>
          <w:tcPr>
            <w:tcW w:type="dxa" w:w="15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Low</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Keep satisfied</w:t>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tcPr>
          <w:p>
            <w:pPr>
              <w:pStyle w:val="MasttTableCell"/>
              <w:spacing w:before="20" w:after="20"/>
            </w:pPr>
            <w:r/>
            <w:r>
              <w:rPr>
                <w:rFonts w:ascii="Segoe UI" w:hAnsi="Segoe UI"/>
                <w:b/>
                <w:color w:val="1D3245"/>
                <w:sz w:val="15"/>
              </w:rPr>
              <w:t>SH07</w:t>
            </w:r>
          </w:p>
        </w:tc>
        <w:tc>
          <w:tcPr>
            <w:tcW w:type="dxa" w:w="1607"/>
            <w:tcMar>
              <w:top w:w="40" w:type="dxa"/>
              <w:left w:w="110" w:type="dxa"/>
              <w:bottom w:w="40" w:type="dxa"/>
              <w:right w:w="110" w:type="dxa"/>
            </w:tcMar>
          </w:tcPr>
          <w:p>
            <w:pPr>
              <w:pStyle w:val="MasttTableCell"/>
              <w:spacing w:before="20" w:after="20"/>
            </w:pPr>
            <w:r/>
            <w:r>
              <w:rPr>
                <w:rFonts w:ascii="Segoe UI" w:hAnsi="Segoe UI"/>
                <w:color w:val="1D3245"/>
                <w:sz w:val="15"/>
              </w:rPr>
              <w:t>Adjacent property owners</w:t>
            </w:r>
          </w:p>
        </w:tc>
        <w:tc>
          <w:tcPr>
            <w:tcW w:type="dxa" w:w="15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tcPr>
          <w:p>
            <w:pPr>
              <w:pStyle w:val="MasttTableCell"/>
              <w:spacing w:before="20" w:after="20"/>
            </w:pPr>
            <w:r/>
            <w:r>
              <w:rPr>
                <w:rFonts w:ascii="Segoe UI" w:hAnsi="Segoe UI"/>
                <w:color w:val="1D3245"/>
                <w:sz w:val="15"/>
              </w:rPr>
              <w:t>Keep informed</w:t>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SH08</w:t>
            </w:r>
          </w:p>
        </w:tc>
        <w:tc>
          <w:tcPr>
            <w:tcW w:type="dxa" w:w="16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Local community and residents</w:t>
            </w:r>
          </w:p>
        </w:tc>
        <w:tc>
          <w:tcPr>
            <w:tcW w:type="dxa" w:w="15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Low</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Keep informed</w:t>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tcPr>
          <w:p>
            <w:pPr>
              <w:pStyle w:val="MasttTableCell"/>
              <w:spacing w:before="20" w:after="20"/>
            </w:pPr>
            <w:r/>
            <w:r>
              <w:rPr>
                <w:rFonts w:ascii="Segoe UI" w:hAnsi="Segoe UI"/>
                <w:b/>
                <w:color w:val="1D3245"/>
                <w:sz w:val="15"/>
              </w:rPr>
              <w:t>SH09</w:t>
            </w:r>
          </w:p>
        </w:tc>
        <w:tc>
          <w:tcPr>
            <w:tcW w:type="dxa" w:w="1607"/>
            <w:tcMar>
              <w:top w:w="40" w:type="dxa"/>
              <w:left w:w="110" w:type="dxa"/>
              <w:bottom w:w="40" w:type="dxa"/>
              <w:right w:w="110" w:type="dxa"/>
            </w:tcMar>
          </w:tcPr>
          <w:p>
            <w:pPr>
              <w:pStyle w:val="MasttTableCell"/>
              <w:spacing w:before="20" w:after="20"/>
            </w:pPr>
            <w:r/>
            <w:r>
              <w:rPr>
                <w:rFonts w:ascii="Segoe UI" w:hAnsi="Segoe UI"/>
                <w:color w:val="1D3245"/>
                <w:sz w:val="15"/>
              </w:rPr>
              <w:t>Emergency services</w:t>
            </w:r>
          </w:p>
        </w:tc>
        <w:tc>
          <w:tcPr>
            <w:tcW w:type="dxa" w:w="15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tcPr>
          <w:p>
            <w:pPr>
              <w:pStyle w:val="MasttTableCell"/>
              <w:spacing w:before="20" w:after="20"/>
            </w:pPr>
            <w:r/>
            <w:r>
              <w:rPr>
                <w:rFonts w:ascii="Segoe UI" w:hAnsi="Segoe UI"/>
                <w:color w:val="1D3245"/>
                <w:sz w:val="15"/>
              </w:rPr>
              <w:t>Keep satisfied</w:t>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SH10</w:t>
            </w:r>
          </w:p>
        </w:tc>
        <w:tc>
          <w:tcPr>
            <w:tcW w:type="dxa" w:w="16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Funding body / lender</w:t>
            </w:r>
          </w:p>
        </w:tc>
        <w:tc>
          <w:tcPr>
            <w:tcW w:type="dxa" w:w="15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Manage closely</w:t>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tcPr>
          <w:p>
            <w:pPr>
              <w:pStyle w:val="MasttTableCell"/>
              <w:spacing w:before="20" w:after="20"/>
            </w:pPr>
            <w:r/>
            <w:r>
              <w:rPr>
                <w:rFonts w:ascii="Segoe UI" w:hAnsi="Segoe UI"/>
                <w:b/>
                <w:color w:val="1D3245"/>
                <w:sz w:val="15"/>
              </w:rPr>
              <w:t>SH11</w:t>
            </w:r>
          </w:p>
        </w:tc>
        <w:tc>
          <w:tcPr>
            <w:tcW w:type="dxa" w:w="1607"/>
            <w:tcMar>
              <w:top w:w="40" w:type="dxa"/>
              <w:left w:w="110" w:type="dxa"/>
              <w:bottom w:w="40" w:type="dxa"/>
              <w:right w:w="110" w:type="dxa"/>
            </w:tcMar>
          </w:tcPr>
          <w:p>
            <w:pPr>
              <w:pStyle w:val="MasttTableCell"/>
              <w:spacing w:before="20" w:after="20"/>
            </w:pPr>
            <w:r/>
            <w:r>
              <w:rPr>
                <w:rFonts w:ascii="Segoe UI" w:hAnsi="Segoe UI"/>
                <w:color w:val="1D3245"/>
                <w:sz w:val="15"/>
              </w:rPr>
              <w:t>Contractors and supply chain</w:t>
            </w:r>
          </w:p>
        </w:tc>
        <w:tc>
          <w:tcPr>
            <w:tcW w:type="dxa" w:w="15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tcPr>
          <w:p>
            <w:pPr>
              <w:pStyle w:val="MasttTableCell"/>
              <w:spacing w:before="20" w:after="20"/>
            </w:pPr>
            <w:r/>
            <w:r>
              <w:rPr>
                <w:rFonts w:ascii="Segoe UI" w:hAnsi="Segoe UI"/>
                <w:color w:val="1D3245"/>
                <w:sz w:val="15"/>
              </w:rPr>
              <w:t>Manage closely</w:t>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SH12</w:t>
            </w:r>
          </w:p>
        </w:tc>
        <w:tc>
          <w:tcPr>
            <w:tcW w:type="dxa" w:w="16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Media</w:t>
            </w:r>
          </w:p>
        </w:tc>
        <w:tc>
          <w:tcPr>
            <w:tcW w:type="dxa" w:w="15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Variable</w:t>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Monitor</w:t>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tcPr>
          <w:p>
            <w:pPr>
              <w:pStyle w:val="MasttTableCell"/>
              <w:spacing w:before="20" w:after="20"/>
            </w:pPr>
            <w:r/>
            <w:r>
              <w:rPr>
                <w:rFonts w:ascii="Segoe UI" w:hAnsi="Segoe UI"/>
                <w:b/>
                <w:color w:val="1D3245"/>
                <w:sz w:val="15"/>
              </w:rPr>
              <w:t>SH13</w:t>
            </w:r>
          </w:p>
        </w:tc>
        <w:tc>
          <w:tcPr>
            <w:tcW w:type="dxa" w:w="1607"/>
            <w:tcMar>
              <w:top w:w="40" w:type="dxa"/>
              <w:left w:w="110" w:type="dxa"/>
              <w:bottom w:w="40" w:type="dxa"/>
              <w:right w:w="110" w:type="dxa"/>
            </w:tcMar>
          </w:tcPr>
          <w:p>
            <w:pPr>
              <w:pStyle w:val="MasttTableCell"/>
              <w:spacing w:before="20" w:after="20"/>
            </w:pPr>
            <w:r/>
            <w:r>
              <w:rPr>
                <w:rFonts w:ascii="Segoe UI" w:hAnsi="Segoe UI"/>
                <w:color w:val="1D3245"/>
                <w:sz w:val="15"/>
              </w:rPr>
              <w:t>Trade unions / worker representatives</w:t>
            </w:r>
          </w:p>
        </w:tc>
        <w:tc>
          <w:tcPr>
            <w:tcW w:type="dxa" w:w="15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t>Medium</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t>High</w:t>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tcPr>
          <w:p>
            <w:pPr>
              <w:pStyle w:val="MasttTableCell"/>
              <w:spacing w:before="20" w:after="20"/>
            </w:pPr>
            <w:r/>
            <w:r>
              <w:rPr>
                <w:rFonts w:ascii="Segoe UI" w:hAnsi="Segoe UI"/>
                <w:color w:val="1D3245"/>
                <w:sz w:val="15"/>
              </w:rPr>
              <w:t>Keep informed</w:t>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4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r>
          </w:p>
        </w:tc>
        <w:tc>
          <w:tcPr>
            <w:tcW w:type="dxa" w:w="16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5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bl>
    <w:p>
      <w:pPr>
        <w:rPr>
          <w:sz w:val="8"/>
        </w:rPr>
        <w:spacing w:after="40" w:before="0" w:line="240" w:lineRule="auto"/>
      </w:pPr>
    </w:p>
    <w:p>
      <w:pPr>
        <w:pStyle w:val="Heading2"/>
      </w:pPr>
      <w:r>
        <w:t>5.4  Communications matrix</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Every row should answer: if this communication did not happen, what decision would be made badly or late? Delete anything that fails that test - over-reporting destroys the credibility of the reports that matter.</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1454"/>
        <w:gridCol w:w="1944"/>
        <w:gridCol w:w="1660"/>
        <w:gridCol w:w="1420"/>
        <w:gridCol w:w="1594"/>
        <w:gridCol w:w="1341"/>
      </w:tblGrid>
      <w:tr>
        <w:trPr>
          <w:tblHeader w:val="true"/>
          <w:cantSplit w:val="true"/>
        </w:trPr>
        <w:tc>
          <w:tcPr>
            <w:tcW w:type="dxa" w:w="14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Audience</w:t>
            </w:r>
          </w:p>
        </w:tc>
        <w:tc>
          <w:tcPr>
            <w:tcW w:type="dxa" w:w="194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Message / content</w:t>
            </w:r>
          </w:p>
        </w:tc>
        <w:tc>
          <w:tcPr>
            <w:tcW w:type="dxa" w:w="166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Channel</w:t>
            </w:r>
          </w:p>
        </w:tc>
        <w:tc>
          <w:tcPr>
            <w:tcW w:type="dxa" w:w="142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c>
          <w:tcPr>
            <w:tcW w:type="dxa" w:w="15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3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Format</w:t>
            </w:r>
          </w:p>
        </w:tc>
      </w:tr>
      <w:tr>
        <w:trPr>
          <w:cantSplit w:val="true"/>
        </w:trPr>
        <w:tc>
          <w:tcPr>
            <w:tcW w:type="dxa" w:w="1454"/>
            <w:tcMar>
              <w:top w:w="40" w:type="dxa"/>
              <w:left w:w="110" w:type="dxa"/>
              <w:bottom w:w="40" w:type="dxa"/>
              <w:right w:w="110" w:type="dxa"/>
            </w:tcMar>
          </w:tcPr>
          <w:p>
            <w:pPr>
              <w:pStyle w:val="MasttTableCell"/>
              <w:spacing w:before="20" w:after="20"/>
            </w:pPr>
            <w:r/>
            <w:r>
              <w:rPr>
                <w:rFonts w:ascii="Segoe UI" w:hAnsi="Segoe UI"/>
                <w:b/>
                <w:color w:val="1D3245"/>
                <w:sz w:val="17"/>
              </w:rPr>
              <w:t>Project Board</w:t>
            </w:r>
          </w:p>
        </w:tc>
        <w:tc>
          <w:tcPr>
            <w:tcW w:type="dxa" w:w="1943"/>
            <w:tcMar>
              <w:top w:w="40" w:type="dxa"/>
              <w:left w:w="110" w:type="dxa"/>
              <w:bottom w:w="40" w:type="dxa"/>
              <w:right w:w="110" w:type="dxa"/>
            </w:tcMar>
          </w:tcPr>
          <w:p>
            <w:pPr>
              <w:pStyle w:val="MasttTableCell"/>
              <w:spacing w:before="20" w:after="20"/>
            </w:pPr>
            <w:r/>
            <w:r>
              <w:rPr>
                <w:rFonts w:ascii="Segoe UI" w:hAnsi="Segoe UI"/>
                <w:color w:val="1D3245"/>
                <w:sz w:val="17"/>
              </w:rPr>
              <w:t>Performance against baseline, risk, change, decisions required</w:t>
            </w:r>
          </w:p>
        </w:tc>
        <w:tc>
          <w:tcPr>
            <w:tcW w:type="dxa" w:w="1660"/>
            <w:tcMar>
              <w:top w:w="40" w:type="dxa"/>
              <w:left w:w="110" w:type="dxa"/>
              <w:bottom w:w="40" w:type="dxa"/>
              <w:right w:w="110" w:type="dxa"/>
            </w:tcMar>
          </w:tcPr>
          <w:p>
            <w:pPr>
              <w:pStyle w:val="MasttTableCell"/>
              <w:spacing w:before="20" w:after="20"/>
            </w:pPr>
            <w:r/>
            <w:r>
              <w:rPr>
                <w:rFonts w:ascii="Segoe UI" w:hAnsi="Segoe UI"/>
                <w:color w:val="1D3245"/>
                <w:sz w:val="17"/>
              </w:rPr>
              <w:t>Board pack and meeting</w:t>
            </w:r>
          </w:p>
        </w:tc>
        <w:tc>
          <w:tcPr>
            <w:tcW w:type="dxa" w:w="1420"/>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341"/>
            <w:tcMar>
              <w:top w:w="40" w:type="dxa"/>
              <w:left w:w="110" w:type="dxa"/>
              <w:bottom w:w="40" w:type="dxa"/>
              <w:right w:w="110" w:type="dxa"/>
            </w:tcMar>
          </w:tcPr>
          <w:p>
            <w:pPr>
              <w:pStyle w:val="MasttTableCell"/>
              <w:spacing w:before="20" w:after="20"/>
            </w:pPr>
            <w:r/>
            <w:r>
              <w:rPr>
                <w:rFonts w:ascii="Segoe UI" w:hAnsi="Segoe UI"/>
                <w:color w:val="1D3245"/>
                <w:sz w:val="17"/>
              </w:rPr>
              <w:t>PDF pack + dashboard</w:t>
            </w:r>
          </w:p>
        </w:tc>
      </w:tr>
      <w:tr>
        <w:trPr>
          <w:cantSplit w:val="true"/>
        </w:trPr>
        <w:tc>
          <w:tcPr>
            <w:tcW w:type="dxa" w:w="14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Sponsor</w:t>
            </w:r>
          </w:p>
        </w:tc>
        <w:tc>
          <w:tcPr>
            <w:tcW w:type="dxa" w:w="19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Exceptions, decisions required, early warnings</w:t>
            </w:r>
          </w:p>
        </w:tc>
        <w:tc>
          <w:tcPr>
            <w:tcW w:type="dxa" w:w="16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Direct briefing</w:t>
            </w:r>
          </w:p>
        </w:tc>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Weekly</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3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Verbal + one-page note</w:t>
            </w:r>
          </w:p>
        </w:tc>
      </w:tr>
      <w:tr>
        <w:trPr>
          <w:cantSplit w:val="true"/>
        </w:trPr>
        <w:tc>
          <w:tcPr>
            <w:tcW w:type="dxa" w:w="1454"/>
            <w:tcMar>
              <w:top w:w="40" w:type="dxa"/>
              <w:left w:w="110" w:type="dxa"/>
              <w:bottom w:w="40" w:type="dxa"/>
              <w:right w:w="110" w:type="dxa"/>
            </w:tcMar>
          </w:tcPr>
          <w:p>
            <w:pPr>
              <w:pStyle w:val="MasttTableCell"/>
              <w:spacing w:before="20" w:after="20"/>
            </w:pPr>
            <w:r/>
            <w:r>
              <w:rPr>
                <w:rFonts w:ascii="Segoe UI" w:hAnsi="Segoe UI"/>
                <w:b/>
                <w:color w:val="1D3245"/>
                <w:sz w:val="17"/>
              </w:rPr>
              <w:t>Delivery team</w:t>
            </w:r>
          </w:p>
        </w:tc>
        <w:tc>
          <w:tcPr>
            <w:tcW w:type="dxa" w:w="1943"/>
            <w:tcMar>
              <w:top w:w="40" w:type="dxa"/>
              <w:left w:w="110" w:type="dxa"/>
              <w:bottom w:w="40" w:type="dxa"/>
              <w:right w:w="110" w:type="dxa"/>
            </w:tcMar>
          </w:tcPr>
          <w:p>
            <w:pPr>
              <w:pStyle w:val="MasttTableCell"/>
              <w:spacing w:before="20" w:after="20"/>
            </w:pPr>
            <w:r/>
            <w:r>
              <w:rPr>
                <w:rFonts w:ascii="Segoe UI" w:hAnsi="Segoe UI"/>
                <w:color w:val="1D3245"/>
                <w:sz w:val="17"/>
              </w:rPr>
              <w:t>Priorities, look-ahead, blockers, safety message</w:t>
            </w:r>
          </w:p>
        </w:tc>
        <w:tc>
          <w:tcPr>
            <w:tcW w:type="dxa" w:w="1660"/>
            <w:tcMar>
              <w:top w:w="40" w:type="dxa"/>
              <w:left w:w="110" w:type="dxa"/>
              <w:bottom w:w="40" w:type="dxa"/>
              <w:right w:w="110" w:type="dxa"/>
            </w:tcMar>
          </w:tcPr>
          <w:p>
            <w:pPr>
              <w:pStyle w:val="MasttTableCell"/>
              <w:spacing w:before="20" w:after="20"/>
            </w:pPr>
            <w:r/>
            <w:r>
              <w:rPr>
                <w:rFonts w:ascii="Segoe UI" w:hAnsi="Segoe UI"/>
                <w:color w:val="1D3245"/>
                <w:sz w:val="17"/>
              </w:rPr>
              <w:t>Team meeting</w:t>
            </w:r>
          </w:p>
        </w:tc>
        <w:tc>
          <w:tcPr>
            <w:tcW w:type="dxa" w:w="1420"/>
            <w:tcMar>
              <w:top w:w="40" w:type="dxa"/>
              <w:left w:w="110" w:type="dxa"/>
              <w:bottom w:w="40" w:type="dxa"/>
              <w:right w:w="110" w:type="dxa"/>
            </w:tcMar>
          </w:tcPr>
          <w:p>
            <w:pPr>
              <w:pStyle w:val="MasttTableCell"/>
              <w:spacing w:before="20" w:after="20"/>
            </w:pPr>
            <w:r/>
            <w:r>
              <w:rPr>
                <w:rFonts w:ascii="Segoe UI" w:hAnsi="Segoe UI"/>
                <w:color w:val="1D3245"/>
                <w:sz w:val="17"/>
              </w:rPr>
              <w:t>Weekly</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341"/>
            <w:tcMar>
              <w:top w:w="40" w:type="dxa"/>
              <w:left w:w="110" w:type="dxa"/>
              <w:bottom w:w="40" w:type="dxa"/>
              <w:right w:w="110" w:type="dxa"/>
            </w:tcMar>
          </w:tcPr>
          <w:p>
            <w:pPr>
              <w:pStyle w:val="MasttTableCell"/>
              <w:spacing w:before="20" w:after="20"/>
            </w:pPr>
            <w:r/>
            <w:r>
              <w:rPr>
                <w:rFonts w:ascii="Segoe UI" w:hAnsi="Segoe UI"/>
                <w:color w:val="1D3245"/>
                <w:sz w:val="17"/>
              </w:rPr>
              <w:t>Agenda and actions</w:t>
            </w:r>
          </w:p>
        </w:tc>
      </w:tr>
      <w:tr>
        <w:trPr>
          <w:cantSplit w:val="true"/>
        </w:trPr>
        <w:tc>
          <w:tcPr>
            <w:tcW w:type="dxa" w:w="14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 team</w:t>
            </w:r>
          </w:p>
        </w:tc>
        <w:tc>
          <w:tcPr>
            <w:tcW w:type="dxa" w:w="19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status, RFIs, clashes, decisions</w:t>
            </w:r>
          </w:p>
        </w:tc>
        <w:tc>
          <w:tcPr>
            <w:tcW w:type="dxa" w:w="16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Coordination meeting + CDE</w:t>
            </w:r>
          </w:p>
        </w:tc>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Weekly</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c>
          <w:tcPr>
            <w:tcW w:type="dxa" w:w="13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Minutes, clash report</w:t>
            </w:r>
          </w:p>
        </w:tc>
      </w:tr>
      <w:tr>
        <w:trPr>
          <w:cantSplit w:val="true"/>
        </w:trPr>
        <w:tc>
          <w:tcPr>
            <w:tcW w:type="dxa" w:w="1454"/>
            <w:tcMar>
              <w:top w:w="40" w:type="dxa"/>
              <w:left w:w="110" w:type="dxa"/>
              <w:bottom w:w="40" w:type="dxa"/>
              <w:right w:w="110" w:type="dxa"/>
            </w:tcMar>
          </w:tcPr>
          <w:p>
            <w:pPr>
              <w:pStyle w:val="MasttTableCell"/>
              <w:spacing w:before="20" w:after="20"/>
            </w:pPr>
            <w:r/>
            <w:r>
              <w:rPr>
                <w:rFonts w:ascii="Segoe UI" w:hAnsi="Segoe UI"/>
                <w:b/>
                <w:color w:val="1D3245"/>
                <w:sz w:val="17"/>
              </w:rPr>
              <w:t>Contractors</w:t>
            </w:r>
          </w:p>
        </w:tc>
        <w:tc>
          <w:tcPr>
            <w:tcW w:type="dxa" w:w="1943"/>
            <w:tcMar>
              <w:top w:w="40" w:type="dxa"/>
              <w:left w:w="110" w:type="dxa"/>
              <w:bottom w:w="40" w:type="dxa"/>
              <w:right w:w="110" w:type="dxa"/>
            </w:tcMar>
          </w:tcPr>
          <w:p>
            <w:pPr>
              <w:pStyle w:val="MasttTableCell"/>
              <w:spacing w:before="20" w:after="20"/>
            </w:pPr>
            <w:r/>
            <w:r>
              <w:rPr>
                <w:rFonts w:ascii="Segoe UI" w:hAnsi="Segoe UI"/>
                <w:color w:val="1D3245"/>
                <w:sz w:val="17"/>
              </w:rPr>
              <w:t>Instructions, programme, quality and HSE requirements</w:t>
            </w:r>
          </w:p>
        </w:tc>
        <w:tc>
          <w:tcPr>
            <w:tcW w:type="dxa" w:w="1660"/>
            <w:tcMar>
              <w:top w:w="40" w:type="dxa"/>
              <w:left w:w="110" w:type="dxa"/>
              <w:bottom w:w="40" w:type="dxa"/>
              <w:right w:w="110" w:type="dxa"/>
            </w:tcMar>
          </w:tcPr>
          <w:p>
            <w:pPr>
              <w:pStyle w:val="MasttTableCell"/>
              <w:spacing w:before="20" w:after="20"/>
            </w:pPr>
            <w:r/>
            <w:r>
              <w:rPr>
                <w:rFonts w:ascii="Segoe UI" w:hAnsi="Segoe UI"/>
                <w:color w:val="1D3245"/>
                <w:sz w:val="17"/>
              </w:rPr>
              <w:t>Site meeting + formal correspondence</w:t>
            </w:r>
          </w:p>
        </w:tc>
        <w:tc>
          <w:tcPr>
            <w:tcW w:type="dxa" w:w="1420"/>
            <w:tcMar>
              <w:top w:w="40" w:type="dxa"/>
              <w:left w:w="110" w:type="dxa"/>
              <w:bottom w:w="40" w:type="dxa"/>
              <w:right w:w="110" w:type="dxa"/>
            </w:tcMar>
          </w:tcPr>
          <w:p>
            <w:pPr>
              <w:pStyle w:val="MasttTableCell"/>
              <w:spacing w:before="20" w:after="20"/>
            </w:pPr>
            <w:r/>
            <w:r>
              <w:rPr>
                <w:rFonts w:ascii="Segoe UI" w:hAnsi="Segoe UI"/>
                <w:color w:val="1D3245"/>
                <w:sz w:val="17"/>
              </w:rPr>
              <w:t>Weekly / as required</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341"/>
            <w:tcMar>
              <w:top w:w="40" w:type="dxa"/>
              <w:left w:w="110" w:type="dxa"/>
              <w:bottom w:w="40" w:type="dxa"/>
              <w:right w:w="110" w:type="dxa"/>
            </w:tcMar>
          </w:tcPr>
          <w:p>
            <w:pPr>
              <w:pStyle w:val="MasttTableCell"/>
              <w:spacing w:before="20" w:after="20"/>
            </w:pPr>
            <w:r/>
            <w:r>
              <w:rPr>
                <w:rFonts w:ascii="Segoe UI" w:hAnsi="Segoe UI"/>
                <w:color w:val="1D3245"/>
                <w:sz w:val="17"/>
              </w:rPr>
              <w:t>Minutes, formal notices</w:t>
            </w:r>
          </w:p>
        </w:tc>
      </w:tr>
      <w:tr>
        <w:trPr>
          <w:cantSplit w:val="true"/>
        </w:trPr>
        <w:tc>
          <w:tcPr>
            <w:tcW w:type="dxa" w:w="14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Operations and end users</w:t>
            </w:r>
          </w:p>
        </w:tc>
        <w:tc>
          <w:tcPr>
            <w:tcW w:type="dxa" w:w="19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Readiness, training, disruption, handover dates</w:t>
            </w:r>
          </w:p>
        </w:tc>
        <w:tc>
          <w:tcPr>
            <w:tcW w:type="dxa" w:w="16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Readiness group + user briefings</w:t>
            </w:r>
          </w:p>
        </w:tc>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 Representative</w:t>
            </w:r>
          </w:p>
        </w:tc>
        <w:tc>
          <w:tcPr>
            <w:tcW w:type="dxa" w:w="13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Briefing pack</w:t>
            </w:r>
          </w:p>
        </w:tc>
      </w:tr>
      <w:tr>
        <w:trPr>
          <w:cantSplit w:val="true"/>
        </w:trPr>
        <w:tc>
          <w:tcPr>
            <w:tcW w:type="dxa" w:w="1454"/>
            <w:tcMar>
              <w:top w:w="40" w:type="dxa"/>
              <w:left w:w="110" w:type="dxa"/>
              <w:bottom w:w="40" w:type="dxa"/>
              <w:right w:w="110" w:type="dxa"/>
            </w:tcMar>
          </w:tcPr>
          <w:p>
            <w:pPr>
              <w:pStyle w:val="MasttTableCell"/>
              <w:spacing w:before="20" w:after="20"/>
            </w:pPr>
            <w:r/>
            <w:r>
              <w:rPr>
                <w:rFonts w:ascii="Segoe UI" w:hAnsi="Segoe UI"/>
                <w:b/>
                <w:color w:val="1D3245"/>
                <w:sz w:val="17"/>
              </w:rPr>
              <w:t>Authorities and regulators</w:t>
            </w:r>
          </w:p>
        </w:tc>
        <w:tc>
          <w:tcPr>
            <w:tcW w:type="dxa" w:w="1943"/>
            <w:tcMar>
              <w:top w:w="40" w:type="dxa"/>
              <w:left w:w="110" w:type="dxa"/>
              <w:bottom w:w="40" w:type="dxa"/>
              <w:right w:w="110" w:type="dxa"/>
            </w:tcMar>
          </w:tcPr>
          <w:p>
            <w:pPr>
              <w:pStyle w:val="MasttTableCell"/>
              <w:spacing w:before="20" w:after="20"/>
            </w:pPr>
            <w:r/>
            <w:r>
              <w:rPr>
                <w:rFonts w:ascii="Segoe UI" w:hAnsi="Segoe UI"/>
                <w:color w:val="1D3245"/>
                <w:sz w:val="17"/>
              </w:rPr>
              <w:t>Compliance, notifications, permit status</w:t>
            </w:r>
          </w:p>
        </w:tc>
        <w:tc>
          <w:tcPr>
            <w:tcW w:type="dxa" w:w="1660"/>
            <w:tcMar>
              <w:top w:w="40" w:type="dxa"/>
              <w:left w:w="110" w:type="dxa"/>
              <w:bottom w:w="40" w:type="dxa"/>
              <w:right w:w="110" w:type="dxa"/>
            </w:tcMar>
          </w:tcPr>
          <w:p>
            <w:pPr>
              <w:pStyle w:val="MasttTableCell"/>
              <w:spacing w:before="20" w:after="20"/>
            </w:pPr>
            <w:r/>
            <w:r>
              <w:rPr>
                <w:rFonts w:ascii="Segoe UI" w:hAnsi="Segoe UI"/>
                <w:color w:val="1D3245"/>
                <w:sz w:val="17"/>
              </w:rPr>
              <w:t>Formal correspondence and meetings</w:t>
            </w:r>
          </w:p>
        </w:tc>
        <w:tc>
          <w:tcPr>
            <w:tcW w:type="dxa" w:w="1420"/>
            <w:tcMar>
              <w:top w:w="40" w:type="dxa"/>
              <w:left w:w="110" w:type="dxa"/>
              <w:bottom w:w="40" w:type="dxa"/>
              <w:right w:w="110" w:type="dxa"/>
            </w:tcMar>
          </w:tcPr>
          <w:p>
            <w:pPr>
              <w:pStyle w:val="MasttTableCell"/>
              <w:spacing w:before="20" w:after="20"/>
            </w:pPr>
            <w:r/>
            <w:r>
              <w:rPr>
                <w:rFonts w:ascii="Segoe UI" w:hAnsi="Segoe UI"/>
                <w:color w:val="1D3245"/>
                <w:sz w:val="17"/>
              </w:rPr>
              <w:t>As required by consent conditions</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Planning Lead</w:t>
            </w:r>
          </w:p>
        </w:tc>
        <w:tc>
          <w:tcPr>
            <w:tcW w:type="dxa" w:w="1341"/>
            <w:tcMar>
              <w:top w:w="40" w:type="dxa"/>
              <w:left w:w="110" w:type="dxa"/>
              <w:bottom w:w="40" w:type="dxa"/>
              <w:right w:w="110" w:type="dxa"/>
            </w:tcMar>
          </w:tcPr>
          <w:p>
            <w:pPr>
              <w:pStyle w:val="MasttTableCell"/>
              <w:spacing w:before="20" w:after="20"/>
            </w:pPr>
            <w:r/>
            <w:r>
              <w:rPr>
                <w:rFonts w:ascii="Segoe UI" w:hAnsi="Segoe UI"/>
                <w:color w:val="1D3245"/>
                <w:sz w:val="17"/>
              </w:rPr>
              <w:t>Formal letter / portal submission</w:t>
            </w:r>
          </w:p>
        </w:tc>
      </w:tr>
      <w:tr>
        <w:trPr>
          <w:cantSplit w:val="true"/>
        </w:trPr>
        <w:tc>
          <w:tcPr>
            <w:tcW w:type="dxa" w:w="14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Adjacent owners and residents</w:t>
            </w:r>
          </w:p>
        </w:tc>
        <w:tc>
          <w:tcPr>
            <w:tcW w:type="dxa" w:w="19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Works notices, disruption, complaints response</w:t>
            </w:r>
          </w:p>
        </w:tc>
        <w:tc>
          <w:tcPr>
            <w:tcW w:type="dxa" w:w="16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Letter drop, email, site notice board</w:t>
            </w:r>
          </w:p>
        </w:tc>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each disruptive activity, minimum 7 days</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Comms Lead</w:t>
            </w:r>
          </w:p>
        </w:tc>
        <w:tc>
          <w:tcPr>
            <w:tcW w:type="dxa" w:w="13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Notice + contact number</w:t>
            </w:r>
          </w:p>
        </w:tc>
      </w:tr>
      <w:tr>
        <w:trPr>
          <w:cantSplit w:val="true"/>
        </w:trPr>
        <w:tc>
          <w:tcPr>
            <w:tcW w:type="dxa" w:w="1454"/>
            <w:tcMar>
              <w:top w:w="40" w:type="dxa"/>
              <w:left w:w="110" w:type="dxa"/>
              <w:bottom w:w="40" w:type="dxa"/>
              <w:right w:w="110" w:type="dxa"/>
            </w:tcMar>
          </w:tcPr>
          <w:p>
            <w:pPr>
              <w:pStyle w:val="MasttTableCell"/>
              <w:spacing w:before="20" w:after="20"/>
            </w:pPr>
            <w:r/>
            <w:r>
              <w:rPr>
                <w:rFonts w:ascii="Segoe UI" w:hAnsi="Segoe UI"/>
                <w:b/>
                <w:color w:val="1D3245"/>
                <w:sz w:val="17"/>
              </w:rPr>
              <w:t>Wider community</w:t>
            </w:r>
          </w:p>
        </w:tc>
        <w:tc>
          <w:tcPr>
            <w:tcW w:type="dxa" w:w="1943"/>
            <w:tcMar>
              <w:top w:w="40" w:type="dxa"/>
              <w:left w:w="110" w:type="dxa"/>
              <w:bottom w:w="40" w:type="dxa"/>
              <w:right w:w="110" w:type="dxa"/>
            </w:tcMar>
          </w:tcPr>
          <w:p>
            <w:pPr>
              <w:pStyle w:val="MasttTableCell"/>
              <w:spacing w:before="20" w:after="20"/>
            </w:pPr>
            <w:r/>
            <w:r>
              <w:rPr>
                <w:rFonts w:ascii="Segoe UI" w:hAnsi="Segoe UI"/>
                <w:color w:val="1D3245"/>
                <w:sz w:val="17"/>
              </w:rPr>
              <w:t>Progress, benefits, opportunities</w:t>
            </w:r>
          </w:p>
        </w:tc>
        <w:tc>
          <w:tcPr>
            <w:tcW w:type="dxa" w:w="1660"/>
            <w:tcMar>
              <w:top w:w="40" w:type="dxa"/>
              <w:left w:w="110" w:type="dxa"/>
              <w:bottom w:w="40" w:type="dxa"/>
              <w:right w:w="110" w:type="dxa"/>
            </w:tcMar>
          </w:tcPr>
          <w:p>
            <w:pPr>
              <w:pStyle w:val="MasttTableCell"/>
              <w:spacing w:before="20" w:after="20"/>
            </w:pPr>
            <w:r/>
            <w:r>
              <w:rPr>
                <w:rFonts w:ascii="Segoe UI" w:hAnsi="Segoe UI"/>
                <w:color w:val="1D3245"/>
                <w:sz w:val="17"/>
              </w:rPr>
              <w:t>Website, newsletter, community sessions</w:t>
            </w:r>
          </w:p>
        </w:tc>
        <w:tc>
          <w:tcPr>
            <w:tcW w:type="dxa" w:w="1420"/>
            <w:tcMar>
              <w:top w:w="40" w:type="dxa"/>
              <w:left w:w="110" w:type="dxa"/>
              <w:bottom w:w="40" w:type="dxa"/>
              <w:right w:w="110" w:type="dxa"/>
            </w:tcMar>
          </w:tcPr>
          <w:p>
            <w:pPr>
              <w:pStyle w:val="MasttTableCell"/>
              <w:spacing w:before="20" w:after="20"/>
            </w:pPr>
            <w:r/>
            <w:r>
              <w:rPr>
                <w:rFonts w:ascii="Segoe UI" w:hAnsi="Segoe UI"/>
                <w:color w:val="1D3245"/>
                <w:sz w:val="17"/>
              </w:rPr>
              <w:t>Quarterly</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Comms Lead</w:t>
            </w:r>
          </w:p>
        </w:tc>
        <w:tc>
          <w:tcPr>
            <w:tcW w:type="dxa" w:w="1341"/>
            <w:tcMar>
              <w:top w:w="40" w:type="dxa"/>
              <w:left w:w="110" w:type="dxa"/>
              <w:bottom w:w="40" w:type="dxa"/>
              <w:right w:w="110" w:type="dxa"/>
            </w:tcMar>
          </w:tcPr>
          <w:p>
            <w:pPr>
              <w:pStyle w:val="MasttTableCell"/>
              <w:spacing w:before="20" w:after="20"/>
            </w:pPr>
            <w:r/>
            <w:r>
              <w:rPr>
                <w:rFonts w:ascii="Segoe UI" w:hAnsi="Segoe UI"/>
                <w:color w:val="1D3245"/>
                <w:sz w:val="17"/>
              </w:rPr>
              <w:t>Newsletter, web update</w:t>
            </w:r>
          </w:p>
        </w:tc>
      </w:tr>
      <w:tr>
        <w:trPr>
          <w:cantSplit w:val="true"/>
        </w:trPr>
        <w:tc>
          <w:tcPr>
            <w:tcW w:type="dxa" w:w="14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Media</w:t>
            </w:r>
          </w:p>
        </w:tc>
        <w:tc>
          <w:tcPr>
            <w:tcW w:type="dxa" w:w="19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Approved position only</w:t>
            </w:r>
          </w:p>
        </w:tc>
        <w:tc>
          <w:tcPr>
            <w:tcW w:type="dxa" w:w="16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media office</w:t>
            </w:r>
          </w:p>
        </w:tc>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As required</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communications</w:t>
            </w:r>
          </w:p>
        </w:tc>
        <w:tc>
          <w:tcPr>
            <w:tcW w:type="dxa" w:w="13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Approved statement</w:t>
            </w:r>
          </w:p>
        </w:tc>
      </w:tr>
      <w:tr>
        <w:trPr>
          <w:cantSplit w:val="true"/>
        </w:trPr>
        <w:tc>
          <w:tcPr>
            <w:tcW w:type="dxa" w:w="1454"/>
            <w:tcMar>
              <w:top w:w="40" w:type="dxa"/>
              <w:left w:w="110" w:type="dxa"/>
              <w:bottom w:w="40" w:type="dxa"/>
              <w:right w:w="110" w:type="dxa"/>
            </w:tcMar>
          </w:tcPr>
          <w:p>
            <w:pPr>
              <w:pStyle w:val="MasttTableCell"/>
              <w:spacing w:before="20" w:after="20"/>
            </w:pPr>
            <w:r/>
            <w:r>
              <w:rPr>
                <w:rFonts w:ascii="Segoe UI" w:hAnsi="Segoe UI"/>
                <w:b/>
                <w:color w:val="1D3245"/>
                <w:sz w:val="17"/>
              </w:rPr>
              <w:t>Supply chain / market</w:t>
            </w:r>
          </w:p>
        </w:tc>
        <w:tc>
          <w:tcPr>
            <w:tcW w:type="dxa" w:w="1943"/>
            <w:tcMar>
              <w:top w:w="40" w:type="dxa"/>
              <w:left w:w="110" w:type="dxa"/>
              <w:bottom w:w="40" w:type="dxa"/>
              <w:right w:w="110" w:type="dxa"/>
            </w:tcMar>
          </w:tcPr>
          <w:p>
            <w:pPr>
              <w:pStyle w:val="MasttTableCell"/>
              <w:spacing w:before="20" w:after="20"/>
            </w:pPr>
            <w:r/>
            <w:r>
              <w:rPr>
                <w:rFonts w:ascii="Segoe UI" w:hAnsi="Segoe UI"/>
                <w:color w:val="1D3245"/>
                <w:sz w:val="17"/>
              </w:rPr>
              <w:t>Upcoming packages and prequalification</w:t>
            </w:r>
          </w:p>
        </w:tc>
        <w:tc>
          <w:tcPr>
            <w:tcW w:type="dxa" w:w="1660"/>
            <w:tcMar>
              <w:top w:w="40" w:type="dxa"/>
              <w:left w:w="110" w:type="dxa"/>
              <w:bottom w:w="40" w:type="dxa"/>
              <w:right w:w="110" w:type="dxa"/>
            </w:tcMar>
          </w:tcPr>
          <w:p>
            <w:pPr>
              <w:pStyle w:val="MasttTableCell"/>
              <w:spacing w:before="20" w:after="20"/>
            </w:pPr>
            <w:r/>
            <w:r>
              <w:rPr>
                <w:rFonts w:ascii="Segoe UI" w:hAnsi="Segoe UI"/>
                <w:color w:val="1D3245"/>
                <w:sz w:val="17"/>
              </w:rPr>
              <w:t>Industry briefing, tender portal</w:t>
            </w:r>
          </w:p>
        </w:tc>
        <w:tc>
          <w:tcPr>
            <w:tcW w:type="dxa" w:w="1420"/>
            <w:tcMar>
              <w:top w:w="40" w:type="dxa"/>
              <w:left w:w="110" w:type="dxa"/>
              <w:bottom w:w="40" w:type="dxa"/>
              <w:right w:w="110" w:type="dxa"/>
            </w:tcMar>
          </w:tcPr>
          <w:p>
            <w:pPr>
              <w:pStyle w:val="MasttTableCell"/>
              <w:spacing w:before="20" w:after="20"/>
            </w:pPr>
            <w:r/>
            <w:r>
              <w:rPr>
                <w:rFonts w:ascii="Segoe UI" w:hAnsi="Segoe UI"/>
                <w:color w:val="1D3245"/>
                <w:sz w:val="17"/>
              </w:rPr>
              <w:t>Before each market approach</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341"/>
            <w:tcMar>
              <w:top w:w="40" w:type="dxa"/>
              <w:left w:w="110" w:type="dxa"/>
              <w:bottom w:w="40" w:type="dxa"/>
              <w:right w:w="110" w:type="dxa"/>
            </w:tcMar>
          </w:tcPr>
          <w:p>
            <w:pPr>
              <w:pStyle w:val="MasttTableCell"/>
              <w:spacing w:before="20" w:after="20"/>
            </w:pPr>
            <w:r/>
            <w:r>
              <w:rPr>
                <w:rFonts w:ascii="Segoe UI" w:hAnsi="Segoe UI"/>
                <w:color w:val="1D3245"/>
                <w:sz w:val="17"/>
              </w:rPr>
              <w:t>Notice and briefing pack</w:t>
            </w:r>
          </w:p>
        </w:tc>
      </w:tr>
      <w:tr>
        <w:trPr>
          <w:cantSplit w:val="true"/>
        </w:trPr>
        <w:tc>
          <w:tcPr>
            <w:tcW w:type="dxa" w:w="14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Workforce</w:t>
            </w:r>
          </w:p>
        </w:tc>
        <w:tc>
          <w:tcPr>
            <w:tcW w:type="dxa" w:w="19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Safety, wellbeing, project purpose</w:t>
            </w:r>
          </w:p>
        </w:tc>
        <w:tc>
          <w:tcPr>
            <w:tcW w:type="dxa" w:w="16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Toolbox talks, site notice boards</w:t>
            </w:r>
          </w:p>
        </w:tc>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Weekly</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c>
          <w:tcPr>
            <w:tcW w:type="dxa" w:w="13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Toolbox record</w:t>
            </w:r>
          </w:p>
        </w:tc>
      </w:tr>
    </w:tbl>
    <w:p>
      <w:pPr>
        <w:rPr>
          <w:sz w:val="8"/>
        </w:rPr>
        <w:spacing w:after="40" w:before="0" w:line="240" w:lineRule="auto"/>
      </w:pPr>
    </w:p>
    <w:p>
      <w:pPr>
        <w:pStyle w:val="Heading2"/>
      </w:pPr>
      <w:r>
        <w:t>5.5  Reporting calendar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835"/>
        <w:gridCol w:w="1814"/>
        <w:gridCol w:w="1474"/>
        <w:gridCol w:w="1928"/>
        <w:gridCol w:w="1361"/>
      </w:tblGrid>
      <w:tr>
        <w:trPr>
          <w:tblHeader w:val="true"/>
          <w:cantSplit w:val="true"/>
        </w:trPr>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Reporting activity</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Cut-off</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Draft due</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Issue date</w:t>
            </w:r>
          </w:p>
        </w:tc>
        <w:tc>
          <w:tcPr>
            <w:tcW w:type="dxa" w:w="13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Site progress and HSE data capture</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Friday close of business</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 - </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 - </w:t>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Cost and commitment data cut-off</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Last working day of the month</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Manager</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Schedule update and progress claim</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25th of the month</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Working day 2</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Working day 4</w:t>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Planner</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Risk register update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Working day 3</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Working day 4</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Working day 5</w:t>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Risk Manager</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Monthly project report</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Working day 5</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Working day 7</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Working day 8</w:t>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Board pack issue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5 working days before the Board</w:t>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Executive / portfolio dashboard</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Working day 8</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 - </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Working day 10</w:t>
            </w:r>
          </w:p>
        </w:tc>
        <w:tc>
          <w:tcPr>
            <w:tcW w:type="dxa" w:w="1361"/>
            <w:tcMar>
              <w:top w:w="40" w:type="dxa"/>
              <w:left w:w="110" w:type="dxa"/>
              <w:bottom w:w="40" w:type="dxa"/>
              <w:right w:w="110" w:type="dxa"/>
            </w:tcMar>
          </w:tcPr>
          <w:p>
            <w:pPr>
              <w:pStyle w:val="MasttTableCell"/>
              <w:spacing w:before="20" w:after="20"/>
            </w:pPr>
            <w:r/>
            <w:r>
              <w:rPr>
                <w:rFonts w:ascii="Segoe UI" w:hAnsi="Segoe UI"/>
                <w:color w:val="1D3245"/>
                <w:sz w:val="17"/>
              </w:rPr>
              <w:t>PMO</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Quarterly assurance report</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Quarter end</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 working days</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+15 working days</w:t>
            </w:r>
          </w:p>
        </w:tc>
        <w:tc>
          <w:tcPr>
            <w:tcW w:type="dxa" w:w="13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Assurance Lead</w:t>
            </w:r>
          </w:p>
        </w:tc>
      </w:tr>
    </w:tbl>
    <w:p>
      <w:pPr>
        <w:rPr>
          <w:sz w:val="8"/>
        </w:rPr>
        <w:spacing w:after="40" w:before="0" w:line="240" w:lineRule="auto"/>
      </w:pPr>
    </w:p>
    <w:p>
      <w:pPr>
        <w:pStyle w:val="Heading2"/>
      </w:pPr>
      <w:r>
        <w:t>5.6  Meeting schedule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73"/>
        <w:gridCol w:w="1594"/>
        <w:gridCol w:w="1905"/>
        <w:gridCol w:w="1332"/>
        <w:gridCol w:w="1213"/>
        <w:gridCol w:w="1596"/>
      </w:tblGrid>
      <w:tr>
        <w:trPr>
          <w:tblHeader w:val="true"/>
          <w:cantSplit w:val="true"/>
        </w:trPr>
        <w:tc>
          <w:tcPr>
            <w:tcW w:type="dxa" w:w="177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Meeting</w:t>
            </w:r>
          </w:p>
        </w:tc>
        <w:tc>
          <w:tcPr>
            <w:tcW w:type="dxa" w:w="15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Chair</w:t>
            </w:r>
          </w:p>
        </w:tc>
        <w:tc>
          <w:tcPr>
            <w:tcW w:type="dxa" w:w="190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Attendees</w:t>
            </w:r>
          </w:p>
        </w:tc>
        <w:tc>
          <w:tcPr>
            <w:tcW w:type="dxa" w:w="13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Duration</w:t>
            </w:r>
          </w:p>
        </w:tc>
        <w:tc>
          <w:tcPr>
            <w:tcW w:type="dxa" w:w="159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Output</w:t>
            </w:r>
          </w:p>
        </w:tc>
      </w:tr>
      <w:tr>
        <w:trPr>
          <w:cantSplit w:val="true"/>
        </w:trPr>
        <w:tc>
          <w:tcPr>
            <w:tcW w:type="dxa" w:w="1773"/>
            <w:tcMar>
              <w:top w:w="40" w:type="dxa"/>
              <w:left w:w="110" w:type="dxa"/>
              <w:bottom w:w="40" w:type="dxa"/>
              <w:right w:w="110" w:type="dxa"/>
            </w:tcMar>
          </w:tcPr>
          <w:p>
            <w:pPr>
              <w:pStyle w:val="MasttTableCell"/>
              <w:spacing w:before="20" w:after="20"/>
            </w:pPr>
            <w:r/>
            <w:r>
              <w:rPr>
                <w:rFonts w:ascii="Segoe UI" w:hAnsi="Segoe UI"/>
                <w:b/>
                <w:color w:val="1D3245"/>
                <w:sz w:val="17"/>
              </w:rPr>
              <w:t>Project Board</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904"/>
            <w:tcMar>
              <w:top w:w="40" w:type="dxa"/>
              <w:left w:w="110" w:type="dxa"/>
              <w:bottom w:w="40" w:type="dxa"/>
              <w:right w:w="110" w:type="dxa"/>
            </w:tcMar>
          </w:tcPr>
          <w:p>
            <w:pPr>
              <w:pStyle w:val="MasttTableCell"/>
              <w:spacing w:before="20" w:after="20"/>
            </w:pPr>
            <w:r/>
            <w:r>
              <w:rPr>
                <w:rFonts w:ascii="Segoe UI" w:hAnsi="Segoe UI"/>
                <w:color w:val="1D3245"/>
                <w:sz w:val="17"/>
              </w:rPr>
              <w:t>Board members</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t>90 min</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7"/>
              </w:rPr>
              <w:t>Minutes and decisions</w:t>
            </w:r>
          </w:p>
        </w:tc>
      </w:tr>
      <w:tr>
        <w:trPr>
          <w:cantSplit w:val="true"/>
        </w:trPr>
        <w:tc>
          <w:tcPr>
            <w:tcW w:type="dxa" w:w="17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Project Control Group</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9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Delivery leads</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Fortnightly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90 min</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Actions and change decisions</w:t>
            </w:r>
          </w:p>
        </w:tc>
      </w:tr>
      <w:tr>
        <w:trPr>
          <w:cantSplit w:val="true"/>
        </w:trPr>
        <w:tc>
          <w:tcPr>
            <w:tcW w:type="dxa" w:w="1773"/>
            <w:tcMar>
              <w:top w:w="40" w:type="dxa"/>
              <w:left w:w="110" w:type="dxa"/>
              <w:bottom w:w="40" w:type="dxa"/>
              <w:right w:w="110" w:type="dxa"/>
            </w:tcMar>
          </w:tcPr>
          <w:p>
            <w:pPr>
              <w:pStyle w:val="MasttTableCell"/>
              <w:spacing w:before="20" w:after="20"/>
            </w:pPr>
            <w:r/>
            <w:r>
              <w:rPr>
                <w:rFonts w:ascii="Segoe UI" w:hAnsi="Segoe UI"/>
                <w:b/>
                <w:color w:val="1D3245"/>
                <w:sz w:val="17"/>
              </w:rPr>
              <w:t>Delivery team meeting</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904"/>
            <w:tcMar>
              <w:top w:w="40" w:type="dxa"/>
              <w:left w:w="110" w:type="dxa"/>
              <w:bottom w:w="40" w:type="dxa"/>
              <w:right w:w="110" w:type="dxa"/>
            </w:tcMar>
          </w:tcPr>
          <w:p>
            <w:pPr>
              <w:pStyle w:val="MasttTableCell"/>
              <w:spacing w:before="20" w:after="20"/>
            </w:pPr>
            <w:r/>
            <w:r>
              <w:rPr>
                <w:rFonts w:ascii="Segoe UI" w:hAnsi="Segoe UI"/>
                <w:color w:val="1D3245"/>
                <w:sz w:val="17"/>
              </w:rPr>
              <w:t>Package and discipline leads</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Weekly</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t>60 min</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7"/>
              </w:rPr>
              <w:t>Actions and look-ahead</w:t>
            </w:r>
          </w:p>
        </w:tc>
      </w:tr>
      <w:tr>
        <w:trPr>
          <w:cantSplit w:val="true"/>
        </w:trPr>
        <w:tc>
          <w:tcPr>
            <w:tcW w:type="dxa" w:w="17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 coordination</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c>
          <w:tcPr>
            <w:tcW w:type="dxa" w:w="19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Consultants and contractor design</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Weekly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90 min</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Clash and RFI status</w:t>
            </w:r>
          </w:p>
        </w:tc>
      </w:tr>
      <w:tr>
        <w:trPr>
          <w:cantSplit w:val="true"/>
        </w:trPr>
        <w:tc>
          <w:tcPr>
            <w:tcW w:type="dxa" w:w="1773"/>
            <w:tcMar>
              <w:top w:w="40" w:type="dxa"/>
              <w:left w:w="110" w:type="dxa"/>
              <w:bottom w:w="40" w:type="dxa"/>
              <w:right w:w="110" w:type="dxa"/>
            </w:tcMar>
          </w:tcPr>
          <w:p>
            <w:pPr>
              <w:pStyle w:val="MasttTableCell"/>
              <w:spacing w:before="20" w:after="20"/>
            </w:pPr>
            <w:r/>
            <w:r>
              <w:rPr>
                <w:rFonts w:ascii="Segoe UI" w:hAnsi="Segoe UI"/>
                <w:b/>
                <w:color w:val="1D3245"/>
                <w:sz w:val="17"/>
              </w:rPr>
              <w:t>Site progress meeting</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904"/>
            <w:tcMar>
              <w:top w:w="40" w:type="dxa"/>
              <w:left w:w="110" w:type="dxa"/>
              <w:bottom w:w="40" w:type="dxa"/>
              <w:right w:w="110" w:type="dxa"/>
            </w:tcMar>
          </w:tcPr>
          <w:p>
            <w:pPr>
              <w:pStyle w:val="MasttTableCell"/>
              <w:spacing w:before="20" w:after="20"/>
            </w:pPr>
            <w:r/>
            <w:r>
              <w:rPr>
                <w:rFonts w:ascii="Segoe UI" w:hAnsi="Segoe UI"/>
                <w:color w:val="1D3245"/>
                <w:sz w:val="17"/>
              </w:rPr>
              <w:t>Contractor and client team</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Weekly</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t>60 min</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7"/>
              </w:rPr>
              <w:t>Progress, issues, look-ahead</w:t>
            </w:r>
          </w:p>
        </w:tc>
      </w:tr>
      <w:tr>
        <w:trPr>
          <w:cantSplit w:val="true"/>
        </w:trPr>
        <w:tc>
          <w:tcPr>
            <w:tcW w:type="dxa" w:w="17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Commercial meeting</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19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 commercial lead</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90 min</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Valuation and notices</w:t>
            </w:r>
          </w:p>
        </w:tc>
      </w:tr>
      <w:tr>
        <w:trPr>
          <w:cantSplit w:val="true"/>
        </w:trPr>
        <w:tc>
          <w:tcPr>
            <w:tcW w:type="dxa" w:w="1773"/>
            <w:tcMar>
              <w:top w:w="40" w:type="dxa"/>
              <w:left w:w="110" w:type="dxa"/>
              <w:bottom w:w="40" w:type="dxa"/>
              <w:right w:w="110" w:type="dxa"/>
            </w:tcMar>
          </w:tcPr>
          <w:p>
            <w:pPr>
              <w:pStyle w:val="MasttTableCell"/>
              <w:spacing w:before="20" w:after="20"/>
            </w:pPr>
            <w:r/>
            <w:r>
              <w:rPr>
                <w:rFonts w:ascii="Segoe UI" w:hAnsi="Segoe UI"/>
                <w:b/>
                <w:color w:val="1D3245"/>
                <w:sz w:val="17"/>
              </w:rPr>
              <w:t>Risk workshop</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Risk Manager</w:t>
            </w:r>
          </w:p>
        </w:tc>
        <w:tc>
          <w:tcPr>
            <w:tcW w:type="dxa" w:w="1904"/>
            <w:tcMar>
              <w:top w:w="40" w:type="dxa"/>
              <w:left w:w="110" w:type="dxa"/>
              <w:bottom w:w="40" w:type="dxa"/>
              <w:right w:w="110" w:type="dxa"/>
            </w:tcMar>
          </w:tcPr>
          <w:p>
            <w:pPr>
              <w:pStyle w:val="MasttTableCell"/>
              <w:spacing w:before="20" w:after="20"/>
            </w:pPr>
            <w:r/>
            <w:r>
              <w:rPr>
                <w:rFonts w:ascii="Segoe UI" w:hAnsi="Segoe UI"/>
                <w:color w:val="1D3245"/>
                <w:sz w:val="17"/>
              </w:rPr>
              <w:t>Delivery leads and key contractors</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t>120 min</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7"/>
              </w:rPr>
              <w:t>Updated register</w:t>
            </w:r>
          </w:p>
        </w:tc>
      </w:tr>
      <w:tr>
        <w:trPr>
          <w:cantSplit w:val="true"/>
        </w:trPr>
        <w:tc>
          <w:tcPr>
            <w:tcW w:type="dxa" w:w="17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HSE committee</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c>
          <w:tcPr>
            <w:tcW w:type="dxa" w:w="19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leads and worker representatives</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60 min</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actions</w:t>
            </w:r>
          </w:p>
        </w:tc>
      </w:tr>
      <w:tr>
        <w:trPr>
          <w:cantSplit w:val="true"/>
        </w:trPr>
        <w:tc>
          <w:tcPr>
            <w:tcW w:type="dxa" w:w="1773"/>
            <w:tcMar>
              <w:top w:w="40" w:type="dxa"/>
              <w:left w:w="110" w:type="dxa"/>
              <w:bottom w:w="40" w:type="dxa"/>
              <w:right w:w="110" w:type="dxa"/>
            </w:tcMar>
          </w:tcPr>
          <w:p>
            <w:pPr>
              <w:pStyle w:val="MasttTableCell"/>
              <w:spacing w:before="20" w:after="20"/>
            </w:pPr>
            <w:r/>
            <w:r>
              <w:rPr>
                <w:rFonts w:ascii="Segoe UI" w:hAnsi="Segoe UI"/>
                <w:b/>
                <w:color w:val="1D3245"/>
                <w:sz w:val="17"/>
              </w:rPr>
              <w:t>Operational readiness group</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Operations Representative</w:t>
            </w:r>
          </w:p>
        </w:tc>
        <w:tc>
          <w:tcPr>
            <w:tcW w:type="dxa" w:w="1904"/>
            <w:tcMar>
              <w:top w:w="40" w:type="dxa"/>
              <w:left w:w="110" w:type="dxa"/>
              <w:bottom w:w="40" w:type="dxa"/>
              <w:right w:w="110" w:type="dxa"/>
            </w:tcMar>
          </w:tcPr>
          <w:p>
            <w:pPr>
              <w:pStyle w:val="MasttTableCell"/>
              <w:spacing w:before="20" w:after="20"/>
            </w:pPr>
            <w:r/>
            <w:r>
              <w:rPr>
                <w:rFonts w:ascii="Segoe UI" w:hAnsi="Segoe UI"/>
                <w:color w:val="1D3245"/>
                <w:sz w:val="17"/>
              </w:rPr>
              <w:t>Operations, FM, commissioning</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t>60 min</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7"/>
              </w:rPr>
              <w:t>Readiness status</w:t>
            </w:r>
          </w:p>
        </w:tc>
      </w:tr>
      <w:tr>
        <w:trPr>
          <w:cantSplit w:val="true"/>
        </w:trPr>
        <w:tc>
          <w:tcPr>
            <w:tcW w:type="dxa" w:w="17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Interface forum</w:t>
            </w:r>
          </w:p>
        </w:tc>
        <w:tc>
          <w:tcPr>
            <w:tcW w:type="dxa" w:w="15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9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Interface owners</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60 min</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Interface register update</w:t>
            </w:r>
          </w:p>
        </w:tc>
      </w:tr>
      <w:tr>
        <w:trPr>
          <w:cantSplit w:val="true"/>
        </w:trPr>
        <w:tc>
          <w:tcPr>
            <w:tcW w:type="dxa" w:w="1773"/>
            <w:tcMar>
              <w:top w:w="40" w:type="dxa"/>
              <w:left w:w="110" w:type="dxa"/>
              <w:bottom w:w="40" w:type="dxa"/>
              <w:right w:w="110" w:type="dxa"/>
            </w:tcMar>
          </w:tcPr>
          <w:p>
            <w:pPr>
              <w:pStyle w:val="MasttTableCell"/>
              <w:spacing w:before="20" w:after="20"/>
            </w:pPr>
            <w:r/>
            <w:r>
              <w:rPr>
                <w:rFonts w:ascii="Segoe UI" w:hAnsi="Segoe UI"/>
                <w:b/>
                <w:color w:val="1D3245"/>
                <w:sz w:val="17"/>
              </w:rPr>
              <w:t>Lessons learned session</w:t>
            </w:r>
          </w:p>
        </w:tc>
        <w:tc>
          <w:tcPr>
            <w:tcW w:type="dxa" w:w="159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904"/>
            <w:tcMar>
              <w:top w:w="40" w:type="dxa"/>
              <w:left w:w="110" w:type="dxa"/>
              <w:bottom w:w="40" w:type="dxa"/>
              <w:right w:w="110" w:type="dxa"/>
            </w:tcMar>
          </w:tcPr>
          <w:p>
            <w:pPr>
              <w:pStyle w:val="MasttTableCell"/>
              <w:spacing w:before="20" w:after="20"/>
            </w:pPr>
            <w:r/>
            <w:r>
              <w:rPr>
                <w:rFonts w:ascii="Segoe UI" w:hAnsi="Segoe UI"/>
                <w:color w:val="1D3245"/>
                <w:sz w:val="17"/>
              </w:rPr>
              <w:t>Whole team</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At each stage gate</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t>120 min</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7"/>
              </w:rPr>
              <w:t>Lessons register entries</w:t>
            </w:r>
          </w:p>
        </w:tc>
      </w:tr>
    </w:tbl>
    <w:p>
      <w:pPr>
        <w:rPr>
          <w:sz w:val="8"/>
        </w:rPr>
        <w:spacing w:after="40" w:before="0" w:line="240" w:lineRule="auto"/>
      </w:pPr>
    </w:p>
    <w:p>
      <w:pPr>
        <w:pStyle w:val="Heading2"/>
      </w:pPr>
      <w:r>
        <w:t>5.7  Community and public engagement</w:t>
      </w:r>
    </w:p>
    <w:p>
      <w:pPr>
        <w:pStyle w:val="ListBullet"/>
        <w:spacing w:after="60"/>
        <w:ind w:left="340"/>
      </w:pPr>
      <w:r>
        <w:rPr>
          <w:rFonts w:ascii="Segoe UI" w:hAnsi="Segoe UI"/>
          <w:color w:val="1D3245"/>
          <w:sz w:val="20"/>
        </w:rPr>
        <w:t>Engagement begins before the first disruptive activity, not after the first complaint.</w:t>
      </w:r>
    </w:p>
    <w:p>
      <w:pPr>
        <w:pStyle w:val="ListBullet"/>
        <w:spacing w:after="60"/>
        <w:ind w:left="340"/>
      </w:pPr>
      <w:r>
        <w:rPr>
          <w:rFonts w:ascii="Segoe UI" w:hAnsi="Segoe UI"/>
          <w:color w:val="1D3245"/>
          <w:sz w:val="20"/>
        </w:rPr>
        <w:t>Notification of disruptive works - piling, demolition, road closures, out-of-hours activity, service shutdowns - is issued at least 7 days in advance, or as the consent conditions require, whichever is longer.</w:t>
      </w:r>
    </w:p>
    <w:p>
      <w:pPr>
        <w:pStyle w:val="ListBullet"/>
        <w:spacing w:after="60"/>
        <w:ind w:left="340"/>
      </w:pPr>
      <w:r>
        <w:rPr>
          <w:rFonts w:ascii="Segoe UI" w:hAnsi="Segoe UI"/>
          <w:color w:val="1D3245"/>
          <w:sz w:val="20"/>
        </w:rPr>
        <w:t>A single publicised contact number and email address is monitored during working hours, with an out-of-hours emergency number.</w:t>
      </w:r>
    </w:p>
    <w:p>
      <w:pPr>
        <w:pStyle w:val="ListBullet"/>
        <w:spacing w:after="60"/>
        <w:ind w:left="340"/>
      </w:pPr>
      <w:r>
        <w:rPr>
          <w:rFonts w:ascii="Segoe UI" w:hAnsi="Segoe UI"/>
          <w:color w:val="1D3245"/>
          <w:sz w:val="20"/>
        </w:rPr>
        <w:t>Complaints are acknowledged within 1 working day and substantively responded to within 5 working days, and are recorded in the complaints register with the root cause and corrective action.</w:t>
      </w:r>
    </w:p>
    <w:p>
      <w:pPr>
        <w:pStyle w:val="ListBullet"/>
        <w:spacing w:after="60"/>
        <w:ind w:left="340"/>
      </w:pPr>
      <w:r>
        <w:rPr>
          <w:rFonts w:ascii="Segoe UI" w:hAnsi="Segoe UI"/>
          <w:color w:val="1D3245"/>
          <w:sz w:val="20"/>
        </w:rPr>
        <w:t>Commitments made to the community are logged in the commitments register and tracked to closure like any other obligation.</w:t>
      </w:r>
    </w:p>
    <w:p>
      <w:pPr>
        <w:pStyle w:val="ListBullet"/>
        <w:spacing w:after="60"/>
        <w:ind w:left="340"/>
      </w:pPr>
      <w:r>
        <w:rPr>
          <w:rFonts w:ascii="Segoe UI" w:hAnsi="Segoe UI"/>
          <w:color w:val="1D3245"/>
          <w:sz w:val="20"/>
        </w:rPr>
        <w:t>Engagement with Indigenous, traditional owner and culturally significant interests is undertaken in accordance with the requirements and protocols applicable in the relevant jurisdiction.</w:t>
      </w:r>
    </w:p>
    <w:p>
      <w:pPr>
        <w:pStyle w:val="Heading2"/>
      </w:pPr>
      <w:r>
        <w:t>5.8  Media protocol</w:t>
      </w:r>
    </w:p>
    <w:p>
      <w:pPr>
        <w:pStyle w:val="ListBullet"/>
        <w:spacing w:after="60"/>
        <w:ind w:left="340"/>
      </w:pPr>
      <w:r>
        <w:rPr>
          <w:rFonts w:ascii="Segoe UI" w:hAnsi="Segoe UI"/>
          <w:color w:val="1D3245"/>
          <w:sz w:val="20"/>
        </w:rPr>
        <w:t>Only the client's authorised spokesperson speaks to media. No member of the project team, consultant or contractor comments on the project publicly without written authorisation.</w:t>
      </w:r>
    </w:p>
    <w:p>
      <w:pPr>
        <w:pStyle w:val="ListBullet"/>
        <w:spacing w:after="60"/>
        <w:ind w:left="340"/>
      </w:pPr>
      <w:r>
        <w:rPr>
          <w:rFonts w:ascii="Segoe UI" w:hAnsi="Segoe UI"/>
          <w:color w:val="1D3245"/>
          <w:sz w:val="20"/>
        </w:rPr>
        <w:t>All media enquiries are referred to the client communications function within 1 hour of receipt and logged.</w:t>
      </w:r>
    </w:p>
    <w:p>
      <w:pPr>
        <w:pStyle w:val="ListBullet"/>
        <w:spacing w:after="60"/>
        <w:ind w:left="340"/>
      </w:pPr>
      <w:r>
        <w:rPr>
          <w:rFonts w:ascii="Segoe UI" w:hAnsi="Segoe UI"/>
          <w:color w:val="1D3245"/>
          <w:sz w:val="20"/>
        </w:rPr>
        <w:t>In the event of an incident, no comment is made on cause, liability or casualties; the approved holding statement is used until the client communications function issues direction.</w:t>
      </w:r>
    </w:p>
    <w:p>
      <w:pPr>
        <w:pStyle w:val="ListBullet"/>
        <w:spacing w:after="60"/>
        <w:ind w:left="340"/>
      </w:pPr>
      <w:r>
        <w:rPr>
          <w:rFonts w:ascii="Segoe UI" w:hAnsi="Segoe UI"/>
          <w:color w:val="1D3245"/>
          <w:sz w:val="20"/>
        </w:rPr>
        <w:t>Site photography, filming and drone operation require prior written approval and must comply with privacy and security requirements applicable in the relevant jurisdiction.</w:t>
      </w:r>
    </w:p>
    <w:p>
      <w:pPr>
        <w:pStyle w:val="Heading2"/>
      </w:pPr>
      <w:r>
        <w:t>5.9  Records of engagement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894"/>
        <w:gridCol w:w="839"/>
        <w:gridCol w:w="1570"/>
        <w:gridCol w:w="990"/>
        <w:gridCol w:w="1521"/>
        <w:gridCol w:w="1671"/>
        <w:gridCol w:w="953"/>
        <w:gridCol w:w="975"/>
      </w:tblGrid>
      <w:tr>
        <w:trPr>
          <w:tblHeader w:val="true"/>
          <w:cantSplit w:val="true"/>
        </w:trPr>
        <w:tc>
          <w:tcPr>
            <w:tcW w:type="dxa" w:w="8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83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Date</w:t>
            </w:r>
          </w:p>
        </w:tc>
        <w:tc>
          <w:tcPr>
            <w:tcW w:type="dxa" w:w="157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Stakeholder</w:t>
            </w:r>
          </w:p>
        </w:tc>
        <w:tc>
          <w:tcPr>
            <w:tcW w:type="dxa" w:w="99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Method</w:t>
            </w:r>
          </w:p>
        </w:tc>
        <w:tc>
          <w:tcPr>
            <w:tcW w:type="dxa" w:w="15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Issues raised</w:t>
            </w:r>
          </w:p>
        </w:tc>
        <w:tc>
          <w:tcPr>
            <w:tcW w:type="dxa" w:w="167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Commitment made</w:t>
            </w:r>
          </w:p>
        </w:tc>
        <w:tc>
          <w:tcPr>
            <w:tcW w:type="dxa" w:w="95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Status</w:t>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ENG-01</w:t>
            </w:r>
          </w:p>
        </w:tc>
        <w:tc>
          <w:tcPr>
            <w:tcW w:type="dxa" w:w="83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9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5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ENG-02</w:t>
            </w:r>
          </w:p>
        </w:tc>
        <w:tc>
          <w:tcPr>
            <w:tcW w:type="dxa" w:w="8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5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ENG-03</w:t>
            </w:r>
          </w:p>
        </w:tc>
        <w:tc>
          <w:tcPr>
            <w:tcW w:type="dxa" w:w="83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9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5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ENG-04</w:t>
            </w:r>
          </w:p>
        </w:tc>
        <w:tc>
          <w:tcPr>
            <w:tcW w:type="dxa" w:w="8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5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ENG-05</w:t>
            </w:r>
          </w:p>
        </w:tc>
        <w:tc>
          <w:tcPr>
            <w:tcW w:type="dxa" w:w="83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9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5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6.  Delivery and procurement strategy</w:t>
      </w:r>
    </w:p>
    <w:p>
      <w:pPr>
        <w:pStyle w:val="Heading2"/>
      </w:pPr>
      <w:r>
        <w:t>6.1  Delivery model options and rationale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State which delivery model has been selected and why, with reference to the project's risk profile, the certainty of scope, the client's capability and capacity, and market conditions. Never assert which contract form applies until it is executed - describe the intended family of contract and the risk allocation you are seeking.</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155"/>
        <w:gridCol w:w="2106"/>
        <w:gridCol w:w="1678"/>
        <w:gridCol w:w="2142"/>
        <w:gridCol w:w="1332"/>
      </w:tblGrid>
      <w:tr>
        <w:trPr>
          <w:tblHeader w:val="true"/>
          <w:cantSplit w:val="true"/>
        </w:trPr>
        <w:tc>
          <w:tcPr>
            <w:tcW w:type="dxa" w:w="21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Delivery model</w:t>
            </w:r>
          </w:p>
        </w:tc>
        <w:tc>
          <w:tcPr>
            <w:tcW w:type="dxa" w:w="210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Best suited to</w:t>
            </w:r>
          </w:p>
        </w:tc>
        <w:tc>
          <w:tcPr>
            <w:tcW w:type="dxa" w:w="167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Client retains</w:t>
            </w:r>
          </w:p>
        </w:tc>
        <w:tc>
          <w:tcPr>
            <w:tcW w:type="dxa" w:w="21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Key risks</w:t>
            </w:r>
          </w:p>
        </w:tc>
        <w:tc>
          <w:tcPr>
            <w:tcW w:type="dxa" w:w="13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Selected?</w:t>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Traditional (design-bid-build)</w:t>
            </w:r>
          </w:p>
        </w:tc>
        <w:tc>
          <w:tcPr>
            <w:tcW w:type="dxa" w:w="2106"/>
            <w:tcMar>
              <w:top w:w="40" w:type="dxa"/>
              <w:left w:w="110" w:type="dxa"/>
              <w:bottom w:w="40" w:type="dxa"/>
              <w:right w:w="110" w:type="dxa"/>
            </w:tcMar>
          </w:tcPr>
          <w:p>
            <w:pPr>
              <w:pStyle w:val="MasttTableCell"/>
              <w:spacing w:before="20" w:after="20"/>
            </w:pPr>
            <w:r/>
            <w:r>
              <w:rPr>
                <w:rFonts w:ascii="Segoe UI" w:hAnsi="Segoe UI"/>
                <w:color w:val="1D3245"/>
                <w:sz w:val="17"/>
              </w:rPr>
              <w:t>Well-defined scope, price certainty before commitment, client control of design</w:t>
            </w:r>
          </w:p>
        </w:tc>
        <w:tc>
          <w:tcPr>
            <w:tcW w:type="dxa" w:w="1678"/>
            <w:tcMar>
              <w:top w:w="40" w:type="dxa"/>
              <w:left w:w="110" w:type="dxa"/>
              <w:bottom w:w="40" w:type="dxa"/>
              <w:right w:w="110" w:type="dxa"/>
            </w:tcMar>
          </w:tcPr>
          <w:p>
            <w:pPr>
              <w:pStyle w:val="MasttTableCell"/>
              <w:spacing w:before="20" w:after="20"/>
            </w:pPr>
            <w:r/>
            <w:r>
              <w:rPr>
                <w:rFonts w:ascii="Segoe UI" w:hAnsi="Segoe UI"/>
                <w:color w:val="1D3245"/>
                <w:sz w:val="17"/>
              </w:rPr>
              <w:t>Design risk and coordination risk</w:t>
            </w:r>
          </w:p>
        </w:tc>
        <w:tc>
          <w:tcPr>
            <w:tcW w:type="dxa" w:w="2141"/>
            <w:tcMar>
              <w:top w:w="40" w:type="dxa"/>
              <w:left w:w="110" w:type="dxa"/>
              <w:bottom w:w="40" w:type="dxa"/>
              <w:right w:w="110" w:type="dxa"/>
            </w:tcMar>
          </w:tcPr>
          <w:p>
            <w:pPr>
              <w:pStyle w:val="MasttTableCell"/>
              <w:spacing w:before="20" w:after="20"/>
            </w:pPr>
            <w:r/>
            <w:r>
              <w:rPr>
                <w:rFonts w:ascii="Segoe UI" w:hAnsi="Segoe UI"/>
                <w:color w:val="1D3245"/>
                <w:sz w:val="17"/>
              </w:rPr>
              <w:t>Design completeness; claims at the design/construction interface</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 and build</w:t>
            </w:r>
          </w:p>
        </w:tc>
        <w:tc>
          <w:tcPr>
            <w:tcW w:type="dxa" w:w="21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Scope that can be defined by output requirements; single-point responsibility</w:t>
            </w:r>
          </w:p>
        </w:tc>
        <w:tc>
          <w:tcPr>
            <w:tcW w:type="dxa" w:w="16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Requirement definition risk</w:t>
            </w:r>
          </w:p>
        </w:tc>
        <w:tc>
          <w:tcPr>
            <w:tcW w:type="dxa" w:w="21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Loss of design control; quality drift; change is expensive</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Construction management</w:t>
            </w:r>
          </w:p>
        </w:tc>
        <w:tc>
          <w:tcPr>
            <w:tcW w:type="dxa" w:w="2106"/>
            <w:tcMar>
              <w:top w:w="40" w:type="dxa"/>
              <w:left w:w="110" w:type="dxa"/>
              <w:bottom w:w="40" w:type="dxa"/>
              <w:right w:w="110" w:type="dxa"/>
            </w:tcMar>
          </w:tcPr>
          <w:p>
            <w:pPr>
              <w:pStyle w:val="MasttTableCell"/>
              <w:spacing w:before="20" w:after="20"/>
            </w:pPr>
            <w:r/>
            <w:r>
              <w:rPr>
                <w:rFonts w:ascii="Segoe UI" w:hAnsi="Segoe UI"/>
                <w:color w:val="1D3245"/>
                <w:sz w:val="17"/>
              </w:rPr>
              <w:t>Fast-track programmes, phased release, complex fit-out</w:t>
            </w:r>
          </w:p>
        </w:tc>
        <w:tc>
          <w:tcPr>
            <w:tcW w:type="dxa" w:w="1678"/>
            <w:tcMar>
              <w:top w:w="40" w:type="dxa"/>
              <w:left w:w="110" w:type="dxa"/>
              <w:bottom w:w="40" w:type="dxa"/>
              <w:right w:w="110" w:type="dxa"/>
            </w:tcMar>
          </w:tcPr>
          <w:p>
            <w:pPr>
              <w:pStyle w:val="MasttTableCell"/>
              <w:spacing w:before="20" w:after="20"/>
            </w:pPr>
            <w:r/>
            <w:r>
              <w:rPr>
                <w:rFonts w:ascii="Segoe UI" w:hAnsi="Segoe UI"/>
                <w:color w:val="1D3245"/>
                <w:sz w:val="17"/>
              </w:rPr>
              <w:t>Trade package risk and interface risk</w:t>
            </w:r>
          </w:p>
        </w:tc>
        <w:tc>
          <w:tcPr>
            <w:tcW w:type="dxa" w:w="2141"/>
            <w:tcMar>
              <w:top w:w="40" w:type="dxa"/>
              <w:left w:w="110" w:type="dxa"/>
              <w:bottom w:w="40" w:type="dxa"/>
              <w:right w:w="110" w:type="dxa"/>
            </w:tcMar>
          </w:tcPr>
          <w:p>
            <w:pPr>
              <w:pStyle w:val="MasttTableCell"/>
              <w:spacing w:before="20" w:after="20"/>
            </w:pPr>
            <w:r/>
            <w:r>
              <w:rPr>
                <w:rFonts w:ascii="Segoe UI" w:hAnsi="Segoe UI"/>
                <w:color w:val="1D3245"/>
                <w:sz w:val="17"/>
              </w:rPr>
              <w:t>Cost certainty is late; heavy client-side resourcing</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Managing contractor</w:t>
            </w:r>
          </w:p>
        </w:tc>
        <w:tc>
          <w:tcPr>
            <w:tcW w:type="dxa" w:w="21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Complex projects needing early contractor involvement with client control</w:t>
            </w:r>
          </w:p>
        </w:tc>
        <w:tc>
          <w:tcPr>
            <w:tcW w:type="dxa" w:w="16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Some scope and cost risk until packages are let</w:t>
            </w:r>
          </w:p>
        </w:tc>
        <w:tc>
          <w:tcPr>
            <w:tcW w:type="dxa" w:w="21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Two-stage price escalation; alignment of incentives</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Alliance / collaborative</w:t>
            </w:r>
          </w:p>
        </w:tc>
        <w:tc>
          <w:tcPr>
            <w:tcW w:type="dxa" w:w="2106"/>
            <w:tcMar>
              <w:top w:w="40" w:type="dxa"/>
              <w:left w:w="110" w:type="dxa"/>
              <w:bottom w:w="40" w:type="dxa"/>
              <w:right w:w="110" w:type="dxa"/>
            </w:tcMar>
          </w:tcPr>
          <w:p>
            <w:pPr>
              <w:pStyle w:val="MasttTableCell"/>
              <w:spacing w:before="20" w:after="20"/>
            </w:pPr>
            <w:r/>
            <w:r>
              <w:rPr>
                <w:rFonts w:ascii="Segoe UI" w:hAnsi="Segoe UI"/>
                <w:color w:val="1D3245"/>
                <w:sz w:val="17"/>
              </w:rPr>
              <w:t>High uncertainty, high interface complexity, need for shared risk</w:t>
            </w:r>
          </w:p>
        </w:tc>
        <w:tc>
          <w:tcPr>
            <w:tcW w:type="dxa" w:w="1678"/>
            <w:tcMar>
              <w:top w:w="40" w:type="dxa"/>
              <w:left w:w="110" w:type="dxa"/>
              <w:bottom w:w="40" w:type="dxa"/>
              <w:right w:w="110" w:type="dxa"/>
            </w:tcMar>
          </w:tcPr>
          <w:p>
            <w:pPr>
              <w:pStyle w:val="MasttTableCell"/>
              <w:spacing w:before="20" w:after="20"/>
            </w:pPr>
            <w:r/>
            <w:r>
              <w:rPr>
                <w:rFonts w:ascii="Segoe UI" w:hAnsi="Segoe UI"/>
                <w:color w:val="1D3245"/>
                <w:sz w:val="17"/>
              </w:rPr>
              <w:t>Shared risk under a pain/gain regime</w:t>
            </w:r>
          </w:p>
        </w:tc>
        <w:tc>
          <w:tcPr>
            <w:tcW w:type="dxa" w:w="2141"/>
            <w:tcMar>
              <w:top w:w="40" w:type="dxa"/>
              <w:left w:w="110" w:type="dxa"/>
              <w:bottom w:w="40" w:type="dxa"/>
              <w:right w:w="110" w:type="dxa"/>
            </w:tcMar>
          </w:tcPr>
          <w:p>
            <w:pPr>
              <w:pStyle w:val="MasttTableCell"/>
              <w:spacing w:before="20" w:after="20"/>
            </w:pPr>
            <w:r/>
            <w:r>
              <w:rPr>
                <w:rFonts w:ascii="Segoe UI" w:hAnsi="Segoe UI"/>
                <w:color w:val="1D3245"/>
                <w:sz w:val="17"/>
              </w:rPr>
              <w:t>Cost transparency and governance overhead</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Public-private partnership</w:t>
            </w:r>
          </w:p>
        </w:tc>
        <w:tc>
          <w:tcPr>
            <w:tcW w:type="dxa" w:w="21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Long-term whole-of-life outcomes with private finance</w:t>
            </w:r>
          </w:p>
        </w:tc>
        <w:tc>
          <w:tcPr>
            <w:tcW w:type="dxa" w:w="16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Availability and demand risk as allocated</w:t>
            </w:r>
          </w:p>
        </w:tc>
        <w:tc>
          <w:tcPr>
            <w:tcW w:type="dxa" w:w="21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Long procurement, inflexibility to change</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Integrated project delivery</w:t>
            </w:r>
          </w:p>
        </w:tc>
        <w:tc>
          <w:tcPr>
            <w:tcW w:type="dxa" w:w="2106"/>
            <w:tcMar>
              <w:top w:w="40" w:type="dxa"/>
              <w:left w:w="110" w:type="dxa"/>
              <w:bottom w:w="40" w:type="dxa"/>
              <w:right w:w="110" w:type="dxa"/>
            </w:tcMar>
          </w:tcPr>
          <w:p>
            <w:pPr>
              <w:pStyle w:val="MasttTableCell"/>
              <w:spacing w:before="20" w:after="20"/>
            </w:pPr>
            <w:r/>
            <w:r>
              <w:rPr>
                <w:rFonts w:ascii="Segoe UI" w:hAnsi="Segoe UI"/>
                <w:color w:val="1D3245"/>
                <w:sz w:val="17"/>
              </w:rPr>
              <w:t>Sophisticated parties, shared information, aligned incentives</w:t>
            </w:r>
          </w:p>
        </w:tc>
        <w:tc>
          <w:tcPr>
            <w:tcW w:type="dxa" w:w="1678"/>
            <w:tcMar>
              <w:top w:w="40" w:type="dxa"/>
              <w:left w:w="110" w:type="dxa"/>
              <w:bottom w:w="40" w:type="dxa"/>
              <w:right w:w="110" w:type="dxa"/>
            </w:tcMar>
          </w:tcPr>
          <w:p>
            <w:pPr>
              <w:pStyle w:val="MasttTableCell"/>
              <w:spacing w:before="20" w:after="20"/>
            </w:pPr>
            <w:r/>
            <w:r>
              <w:rPr>
                <w:rFonts w:ascii="Segoe UI" w:hAnsi="Segoe UI"/>
                <w:color w:val="1D3245"/>
                <w:sz w:val="17"/>
              </w:rPr>
              <w:t>Shared risk and reward</w:t>
            </w:r>
          </w:p>
        </w:tc>
        <w:tc>
          <w:tcPr>
            <w:tcW w:type="dxa" w:w="2141"/>
            <w:tcMar>
              <w:top w:w="40" w:type="dxa"/>
              <w:left w:w="110" w:type="dxa"/>
              <w:bottom w:w="40" w:type="dxa"/>
              <w:right w:w="110" w:type="dxa"/>
            </w:tcMar>
          </w:tcPr>
          <w:p>
            <w:pPr>
              <w:pStyle w:val="MasttTableCell"/>
              <w:spacing w:before="20" w:after="20"/>
            </w:pPr>
            <w:r/>
            <w:r>
              <w:rPr>
                <w:rFonts w:ascii="Segoe UI" w:hAnsi="Segoe UI"/>
                <w:color w:val="1D3245"/>
                <w:sz w:val="17"/>
              </w:rPr>
              <w:t>Requires cultural and contractual maturity</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MasttInput"/>
        <w:spacing w:after="160"/>
        <w:pBdr>
          <w:left w:val="single" w:sz="12" w:space="8" w:color="DCE3EC"/>
        </w:pBdr>
        <w:ind w:left="198"/>
      </w:pPr>
      <w:r>
        <w:rPr>
          <w:rFonts w:ascii="Segoe UI" w:hAnsi="Segoe UI"/>
          <w:i/>
          <w:color w:val="8E98A2"/>
          <w:sz w:val="19"/>
        </w:rPr>
        <w:t>[State the selected delivery model, the options assessment that supported it, the date and forum at which it was approved, and the risk allocation principles being sought.]</w:t>
      </w:r>
    </w:p>
    <w:p>
      <w:pPr>
        <w:pStyle w:val="Heading2"/>
      </w:pPr>
      <w:r>
        <w:t>6.2  Packaging strategy</w:t>
      </w:r>
    </w:p>
    <w:p>
      <w:pPr>
        <w:pStyle w:val="MasttBody"/>
      </w:pPr>
      <w:r>
        <w:t>Packaging determines how many interfaces the project must manage and who carries them. Fewer, larger packages reduce interface risk but narrow the market and reduce competitive tension; more, smaller packages do the opposite. Set the packaging strategy against the project's principal risk.</w:t>
      </w:r>
    </w:p>
    <w:p>
      <w:pPr>
        <w:pStyle w:val="ListBullet"/>
        <w:spacing w:after="60"/>
        <w:ind w:left="340"/>
      </w:pPr>
      <w:r>
        <w:rPr>
          <w:rFonts w:ascii="Segoe UI" w:hAnsi="Segoe UI"/>
          <w:color w:val="1D3245"/>
          <w:sz w:val="20"/>
        </w:rPr>
        <w:t>Package boundaries are drawn at natural physical or system breaks, not at organisational convenience.</w:t>
      </w:r>
    </w:p>
    <w:p>
      <w:pPr>
        <w:pStyle w:val="ListBullet"/>
        <w:spacing w:after="60"/>
        <w:ind w:left="340"/>
      </w:pPr>
      <w:r>
        <w:rPr>
          <w:rFonts w:ascii="Segoe UI" w:hAnsi="Segoe UI"/>
          <w:color w:val="1D3245"/>
          <w:sz w:val="20"/>
        </w:rPr>
        <w:t>Every package boundary generates an entry in the interface register (Section 15).</w:t>
      </w:r>
    </w:p>
    <w:p>
      <w:pPr>
        <w:pStyle w:val="ListBullet"/>
        <w:spacing w:after="60"/>
        <w:ind w:left="340"/>
      </w:pPr>
      <w:r>
        <w:rPr>
          <w:rFonts w:ascii="Segoe UI" w:hAnsi="Segoe UI"/>
          <w:color w:val="1D3245"/>
          <w:sz w:val="20"/>
        </w:rPr>
        <w:t>Long-lead items are identified and separately procured or reserved before the main package where the programme requires it.</w:t>
      </w:r>
    </w:p>
    <w:p>
      <w:pPr>
        <w:pStyle w:val="ListBullet"/>
        <w:spacing w:after="60"/>
        <w:ind w:left="340"/>
      </w:pPr>
      <w:r>
        <w:rPr>
          <w:rFonts w:ascii="Segoe UI" w:hAnsi="Segoe UI"/>
          <w:color w:val="1D3245"/>
          <w:sz w:val="20"/>
        </w:rPr>
        <w:t>Enabling and early works are packaged to allow site activity to start while the main design completes, where the risk of abortive work is acceptable.</w:t>
      </w:r>
    </w:p>
    <w:p>
      <w:pPr>
        <w:pStyle w:val="ListBullet"/>
        <w:spacing w:after="60"/>
        <w:ind w:left="340"/>
      </w:pPr>
      <w:r>
        <w:rPr>
          <w:rFonts w:ascii="Segoe UI" w:hAnsi="Segoe UI"/>
          <w:color w:val="1D3245"/>
          <w:sz w:val="20"/>
        </w:rPr>
        <w:t>The number of packages is tested against the client's capacity to administer them.</w:t>
      </w:r>
    </w:p>
    <w:p>
      <w:pPr>
        <w:pStyle w:val="Heading2"/>
      </w:pPr>
      <w:r>
        <w:t>6.3  Procurement plan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045"/>
        <w:gridCol w:w="1749"/>
        <w:gridCol w:w="856"/>
        <w:gridCol w:w="1493"/>
        <w:gridCol w:w="1406"/>
        <w:gridCol w:w="1086"/>
        <w:gridCol w:w="856"/>
        <w:gridCol w:w="922"/>
      </w:tblGrid>
      <w:tr>
        <w:trPr>
          <w:tblHeader w:val="true"/>
          <w:cantSplit w:val="true"/>
        </w:trPr>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Package</w:t>
            </w:r>
          </w:p>
        </w:tc>
        <w:tc>
          <w:tcPr>
            <w:tcW w:type="dxa" w:w="17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Scope summary</w:t>
            </w:r>
          </w:p>
        </w:tc>
        <w:tc>
          <w:tcPr>
            <w:tcW w:type="dxa" w:w="85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Est. value</w:t>
            </w:r>
          </w:p>
        </w:tc>
        <w:tc>
          <w:tcPr>
            <w:tcW w:type="dxa" w:w="14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Procurement route</w:t>
            </w:r>
          </w:p>
        </w:tc>
        <w:tc>
          <w:tcPr>
            <w:tcW w:type="dxa" w:w="140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Intended contract family</w:t>
            </w:r>
          </w:p>
        </w:tc>
        <w:tc>
          <w:tcPr>
            <w:tcW w:type="dxa" w:w="10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Tender release</w:t>
            </w:r>
          </w:p>
        </w:tc>
        <w:tc>
          <w:tcPr>
            <w:tcW w:type="dxa" w:w="85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Award</w:t>
            </w:r>
          </w:p>
        </w:tc>
        <w:tc>
          <w:tcPr>
            <w:tcW w:type="dxa" w:w="92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Start on site</w:t>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P01</w:t>
            </w:r>
          </w:p>
        </w:tc>
        <w:tc>
          <w:tcPr>
            <w:tcW w:type="dxa" w:w="1749"/>
            <w:tcMar>
              <w:top w:w="40" w:type="dxa"/>
              <w:left w:w="110" w:type="dxa"/>
              <w:bottom w:w="40" w:type="dxa"/>
              <w:right w:w="110" w:type="dxa"/>
            </w:tcMar>
          </w:tcPr>
          <w:p>
            <w:pPr>
              <w:pStyle w:val="MasttTableCell"/>
              <w:spacing w:before="20" w:after="20"/>
            </w:pPr>
            <w:r/>
            <w:r>
              <w:rPr>
                <w:rFonts w:ascii="Segoe UI" w:hAnsi="Segoe UI"/>
                <w:color w:val="1D3245"/>
                <w:sz w:val="16"/>
              </w:rPr>
              <w:t>Early works and site establishment</w:t>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t>Open / selective</w:t>
            </w:r>
          </w:p>
        </w:tc>
        <w:tc>
          <w:tcPr>
            <w:tcW w:type="dxa" w:w="1406"/>
            <w:tcMar>
              <w:top w:w="40" w:type="dxa"/>
              <w:left w:w="110" w:type="dxa"/>
              <w:bottom w:w="40" w:type="dxa"/>
              <w:right w:w="110" w:type="dxa"/>
            </w:tcMar>
          </w:tcPr>
          <w:p>
            <w:pPr>
              <w:pStyle w:val="MasttTableCell"/>
              <w:spacing w:before="20" w:after="20"/>
            </w:pPr>
            <w:r/>
            <w:r>
              <w:rPr>
                <w:rFonts w:ascii="Segoe UI" w:hAnsi="Segoe UI"/>
                <w:color w:val="1D3245"/>
                <w:sz w:val="16"/>
              </w:rPr>
              <w:t>Lump sum</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P02</w:t>
            </w:r>
          </w:p>
        </w:tc>
        <w:tc>
          <w:tcPr>
            <w:tcW w:type="dxa" w:w="17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Demolition and remediation</w:t>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Selective</w:t>
            </w:r>
          </w:p>
        </w:tc>
        <w:tc>
          <w:tcPr>
            <w:tcW w:type="dxa" w:w="14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Schedule of rates</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P03</w:t>
            </w:r>
          </w:p>
        </w:tc>
        <w:tc>
          <w:tcPr>
            <w:tcW w:type="dxa" w:w="1749"/>
            <w:tcMar>
              <w:top w:w="40" w:type="dxa"/>
              <w:left w:w="110" w:type="dxa"/>
              <w:bottom w:w="40" w:type="dxa"/>
              <w:right w:w="110" w:type="dxa"/>
            </w:tcMar>
          </w:tcPr>
          <w:p>
            <w:pPr>
              <w:pStyle w:val="MasttTableCell"/>
              <w:spacing w:before="20" w:after="20"/>
            </w:pPr>
            <w:r/>
            <w:r>
              <w:rPr>
                <w:rFonts w:ascii="Segoe UI" w:hAnsi="Segoe UI"/>
                <w:color w:val="1D3245"/>
                <w:sz w:val="16"/>
              </w:rPr>
              <w:t>Design consultancy services</w:t>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t>Quality-price</w:t>
            </w:r>
          </w:p>
        </w:tc>
        <w:tc>
          <w:tcPr>
            <w:tcW w:type="dxa" w:w="1406"/>
            <w:tcMar>
              <w:top w:w="40" w:type="dxa"/>
              <w:left w:w="110" w:type="dxa"/>
              <w:bottom w:w="40" w:type="dxa"/>
              <w:right w:w="110" w:type="dxa"/>
            </w:tcMar>
          </w:tcPr>
          <w:p>
            <w:pPr>
              <w:pStyle w:val="MasttTableCell"/>
              <w:spacing w:before="20" w:after="20"/>
            </w:pPr>
            <w:r/>
            <w:r>
              <w:rPr>
                <w:rFonts w:ascii="Segoe UI" w:hAnsi="Segoe UI"/>
                <w:color w:val="1D3245"/>
                <w:sz w:val="16"/>
              </w:rPr>
              <w:t>Services agreement</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P04</w:t>
            </w:r>
          </w:p>
        </w:tc>
        <w:tc>
          <w:tcPr>
            <w:tcW w:type="dxa" w:w="17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Main works contract</w:t>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Selective / two-stage</w:t>
            </w:r>
          </w:p>
        </w:tc>
        <w:tc>
          <w:tcPr>
            <w:tcW w:type="dxa" w:w="14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To be confirmed</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P05</w:t>
            </w:r>
          </w:p>
        </w:tc>
        <w:tc>
          <w:tcPr>
            <w:tcW w:type="dxa" w:w="1749"/>
            <w:tcMar>
              <w:top w:w="40" w:type="dxa"/>
              <w:left w:w="110" w:type="dxa"/>
              <w:bottom w:w="40" w:type="dxa"/>
              <w:right w:w="110" w:type="dxa"/>
            </w:tcMar>
          </w:tcPr>
          <w:p>
            <w:pPr>
              <w:pStyle w:val="MasttTableCell"/>
              <w:spacing w:before="20" w:after="20"/>
            </w:pPr>
            <w:r/>
            <w:r>
              <w:rPr>
                <w:rFonts w:ascii="Segoe UI" w:hAnsi="Segoe UI"/>
                <w:color w:val="1D3245"/>
                <w:sz w:val="16"/>
              </w:rPr>
              <w:t>Long-lead plant and equipment</w:t>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t>Direct / reserved</w:t>
            </w:r>
          </w:p>
        </w:tc>
        <w:tc>
          <w:tcPr>
            <w:tcW w:type="dxa" w:w="1406"/>
            <w:tcMar>
              <w:top w:w="40" w:type="dxa"/>
              <w:left w:w="110" w:type="dxa"/>
              <w:bottom w:w="40" w:type="dxa"/>
              <w:right w:w="110" w:type="dxa"/>
            </w:tcMar>
          </w:tcPr>
          <w:p>
            <w:pPr>
              <w:pStyle w:val="MasttTableCell"/>
              <w:spacing w:before="20" w:after="20"/>
            </w:pPr>
            <w:r/>
            <w:r>
              <w:rPr>
                <w:rFonts w:ascii="Segoe UI" w:hAnsi="Segoe UI"/>
                <w:color w:val="1D3245"/>
                <w:sz w:val="16"/>
              </w:rPr>
              <w:t>Supply agreement</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P06</w:t>
            </w:r>
          </w:p>
        </w:tc>
        <w:tc>
          <w:tcPr>
            <w:tcW w:type="dxa" w:w="17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Building services and specialist systems</w:t>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Selective</w:t>
            </w:r>
          </w:p>
        </w:tc>
        <w:tc>
          <w:tcPr>
            <w:tcW w:type="dxa" w:w="14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Subcontract</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P07</w:t>
            </w:r>
          </w:p>
        </w:tc>
        <w:tc>
          <w:tcPr>
            <w:tcW w:type="dxa" w:w="1749"/>
            <w:tcMar>
              <w:top w:w="40" w:type="dxa"/>
              <w:left w:w="110" w:type="dxa"/>
              <w:bottom w:w="40" w:type="dxa"/>
              <w:right w:w="110" w:type="dxa"/>
            </w:tcMar>
          </w:tcPr>
          <w:p>
            <w:pPr>
              <w:pStyle w:val="MasttTableCell"/>
              <w:spacing w:before="20" w:after="20"/>
            </w:pPr>
            <w:r/>
            <w:r>
              <w:rPr>
                <w:rFonts w:ascii="Segoe UI" w:hAnsi="Segoe UI"/>
                <w:color w:val="1D3245"/>
                <w:sz w:val="16"/>
              </w:rPr>
              <w:t>Fit-out and loose furniture</w:t>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t>Panel / framework</w:t>
            </w:r>
          </w:p>
        </w:tc>
        <w:tc>
          <w:tcPr>
            <w:tcW w:type="dxa" w:w="1406"/>
            <w:tcMar>
              <w:top w:w="40" w:type="dxa"/>
              <w:left w:w="110" w:type="dxa"/>
              <w:bottom w:w="40" w:type="dxa"/>
              <w:right w:w="110" w:type="dxa"/>
            </w:tcMar>
          </w:tcPr>
          <w:p>
            <w:pPr>
              <w:pStyle w:val="MasttTableCell"/>
              <w:spacing w:before="20" w:after="20"/>
            </w:pPr>
            <w:r/>
            <w:r>
              <w:rPr>
                <w:rFonts w:ascii="Segoe UI" w:hAnsi="Segoe UI"/>
                <w:color w:val="1D3245"/>
                <w:sz w:val="16"/>
              </w:rPr>
              <w:t>Supply and install</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P08</w:t>
            </w:r>
          </w:p>
        </w:tc>
        <w:tc>
          <w:tcPr>
            <w:tcW w:type="dxa" w:w="17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Commissioning and independent verification</w:t>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Quality-price</w:t>
            </w:r>
          </w:p>
        </w:tc>
        <w:tc>
          <w:tcPr>
            <w:tcW w:type="dxa" w:w="14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Services agreement</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P09</w:t>
            </w:r>
          </w:p>
        </w:tc>
        <w:tc>
          <w:tcPr>
            <w:tcW w:type="dxa" w:w="1749"/>
            <w:tcMar>
              <w:top w:w="40" w:type="dxa"/>
              <w:left w:w="110" w:type="dxa"/>
              <w:bottom w:w="40" w:type="dxa"/>
              <w:right w:w="110" w:type="dxa"/>
            </w:tcMar>
          </w:tcPr>
          <w:p>
            <w:pPr>
              <w:pStyle w:val="MasttTableCell"/>
              <w:spacing w:before="20" w:after="20"/>
            </w:pPr>
            <w:r/>
            <w:r>
              <w:rPr>
                <w:rFonts w:ascii="Segoe UI" w:hAnsi="Segoe UI"/>
                <w:color w:val="1D3245"/>
                <w:sz w:val="16"/>
              </w:rPr>
              <w:t>External works and landscaping</w:t>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t>Selective</w:t>
            </w:r>
          </w:p>
        </w:tc>
        <w:tc>
          <w:tcPr>
            <w:tcW w:type="dxa" w:w="1406"/>
            <w:tcMar>
              <w:top w:w="40" w:type="dxa"/>
              <w:left w:w="110" w:type="dxa"/>
              <w:bottom w:w="40" w:type="dxa"/>
              <w:right w:w="110" w:type="dxa"/>
            </w:tcMar>
          </w:tcPr>
          <w:p>
            <w:pPr>
              <w:pStyle w:val="MasttTableCell"/>
              <w:spacing w:before="20" w:after="20"/>
            </w:pPr>
            <w:r/>
            <w:r>
              <w:rPr>
                <w:rFonts w:ascii="Segoe UI" w:hAnsi="Segoe UI"/>
                <w:color w:val="1D3245"/>
                <w:sz w:val="16"/>
              </w:rPr>
              <w:t>Lump sum</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r>
          </w:p>
        </w:tc>
        <w:tc>
          <w:tcPr>
            <w:tcW w:type="dxa" w:w="17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bl>
    <w:p>
      <w:pPr>
        <w:rPr>
          <w:sz w:val="8"/>
        </w:rPr>
        <w:spacing w:after="40" w:before="0" w:line="240" w:lineRule="auto"/>
      </w:pPr>
    </w:p>
    <w:p>
      <w:pPr>
        <w:pStyle w:val="Heading2"/>
      </w:pPr>
      <w:r>
        <w:t>6.4  Prequalification and evaluation</w:t>
      </w:r>
    </w:p>
    <w:p>
      <w:pPr>
        <w:pStyle w:val="MasttBody"/>
      </w:pPr>
      <w:r>
        <w:t>Prequalification tests capability and capacity before price is considered. Evaluation criteria and weightings are approved before the market approach and are not changed once tenders are received.</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129"/>
        <w:gridCol w:w="1784"/>
        <w:gridCol w:w="1359"/>
        <w:gridCol w:w="4140"/>
      </w:tblGrid>
      <w:tr>
        <w:trPr>
          <w:tblHeader w:val="true"/>
          <w:cantSplit w:val="true"/>
        </w:trPr>
        <w:tc>
          <w:tcPr>
            <w:tcW w:type="dxa" w:w="21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Criterion</w:t>
            </w:r>
          </w:p>
        </w:tc>
        <w:tc>
          <w:tcPr>
            <w:tcW w:type="dxa" w:w="178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Assessed at</w:t>
            </w:r>
          </w:p>
        </w:tc>
        <w:tc>
          <w:tcPr>
            <w:tcW w:type="dxa" w:w="135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Typical weighting</w:t>
            </w:r>
          </w:p>
        </w:tc>
        <w:tc>
          <w:tcPr>
            <w:tcW w:type="dxa" w:w="414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Evidence</w:t>
            </w:r>
          </w:p>
        </w:tc>
      </w:tr>
      <w:tr>
        <w:trPr>
          <w:cantSplit w:val="true"/>
        </w:trPr>
        <w:tc>
          <w:tcPr>
            <w:tcW w:type="dxa" w:w="2128"/>
            <w:tcMar>
              <w:top w:w="40" w:type="dxa"/>
              <w:left w:w="110" w:type="dxa"/>
              <w:bottom w:w="40" w:type="dxa"/>
              <w:right w:w="110" w:type="dxa"/>
            </w:tcMar>
          </w:tcPr>
          <w:p>
            <w:pPr>
              <w:pStyle w:val="MasttTableCell"/>
              <w:spacing w:before="20" w:after="20"/>
            </w:pPr>
            <w:r/>
            <w:r>
              <w:rPr>
                <w:rFonts w:ascii="Segoe UI" w:hAnsi="Segoe UI"/>
                <w:b/>
                <w:color w:val="1D3245"/>
                <w:sz w:val="17"/>
              </w:rPr>
              <w:t>Financial capacity and stability</w:t>
            </w:r>
          </w:p>
        </w:tc>
        <w:tc>
          <w:tcPr>
            <w:tcW w:type="dxa" w:w="1784"/>
            <w:tcMar>
              <w:top w:w="40" w:type="dxa"/>
              <w:left w:w="110" w:type="dxa"/>
              <w:bottom w:w="40" w:type="dxa"/>
              <w:right w:w="110" w:type="dxa"/>
            </w:tcMar>
          </w:tcPr>
          <w:p>
            <w:pPr>
              <w:pStyle w:val="MasttTableCell"/>
              <w:spacing w:before="20" w:after="20"/>
            </w:pPr>
            <w:r/>
            <w:r>
              <w:rPr>
                <w:rFonts w:ascii="Segoe UI" w:hAnsi="Segoe UI"/>
                <w:color w:val="1D3245"/>
                <w:sz w:val="17"/>
              </w:rPr>
              <w:t>Prequalification</w:t>
            </w:r>
          </w:p>
        </w:tc>
        <w:tc>
          <w:tcPr>
            <w:tcW w:type="dxa" w:w="1359"/>
            <w:tcMar>
              <w:top w:w="40" w:type="dxa"/>
              <w:left w:w="110" w:type="dxa"/>
              <w:bottom w:w="40" w:type="dxa"/>
              <w:right w:w="110" w:type="dxa"/>
            </w:tcMar>
          </w:tcPr>
          <w:p>
            <w:pPr>
              <w:pStyle w:val="MasttTableCell"/>
              <w:spacing w:before="20" w:after="20"/>
            </w:pPr>
            <w:r/>
            <w:r>
              <w:rPr>
                <w:rFonts w:ascii="Segoe UI" w:hAnsi="Segoe UI"/>
                <w:color w:val="1D3245"/>
                <w:sz w:val="17"/>
              </w:rPr>
              <w:t>Pass / fail</w:t>
            </w:r>
          </w:p>
        </w:tc>
        <w:tc>
          <w:tcPr>
            <w:tcW w:type="dxa" w:w="4140"/>
            <w:tcMar>
              <w:top w:w="40" w:type="dxa"/>
              <w:left w:w="110" w:type="dxa"/>
              <w:bottom w:w="40" w:type="dxa"/>
              <w:right w:w="110" w:type="dxa"/>
            </w:tcMar>
          </w:tcPr>
          <w:p>
            <w:pPr>
              <w:pStyle w:val="MasttTableCell"/>
              <w:spacing w:before="20" w:after="20"/>
            </w:pPr>
            <w:r/>
            <w:r>
              <w:rPr>
                <w:rFonts w:ascii="Segoe UI" w:hAnsi="Segoe UI"/>
                <w:color w:val="1D3245"/>
                <w:sz w:val="17"/>
              </w:rPr>
              <w:t>Audited accounts, credit assessment, capacity headroom</w:t>
            </w:r>
          </w:p>
        </w:tc>
      </w:tr>
      <w:tr>
        <w:trPr>
          <w:cantSplit w:val="true"/>
        </w:trPr>
        <w:tc>
          <w:tcPr>
            <w:tcW w:type="dxa" w:w="21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Safety record and management system</w:t>
            </w:r>
          </w:p>
        </w:tc>
        <w:tc>
          <w:tcPr>
            <w:tcW w:type="dxa" w:w="17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Prequalification</w:t>
            </w:r>
          </w:p>
        </w:tc>
        <w:tc>
          <w:tcPr>
            <w:tcW w:type="dxa" w:w="13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Pass / fail</w:t>
            </w:r>
          </w:p>
        </w:tc>
        <w:tc>
          <w:tcPr>
            <w:tcW w:type="dxa" w:w="41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Certification, incident statistics, system review</w:t>
            </w:r>
          </w:p>
        </w:tc>
      </w:tr>
      <w:tr>
        <w:trPr>
          <w:cantSplit w:val="true"/>
        </w:trPr>
        <w:tc>
          <w:tcPr>
            <w:tcW w:type="dxa" w:w="2128"/>
            <w:tcMar>
              <w:top w:w="40" w:type="dxa"/>
              <w:left w:w="110" w:type="dxa"/>
              <w:bottom w:w="40" w:type="dxa"/>
              <w:right w:w="110" w:type="dxa"/>
            </w:tcMar>
          </w:tcPr>
          <w:p>
            <w:pPr>
              <w:pStyle w:val="MasttTableCell"/>
              <w:spacing w:before="20" w:after="20"/>
            </w:pPr>
            <w:r/>
            <w:r>
              <w:rPr>
                <w:rFonts w:ascii="Segoe UI" w:hAnsi="Segoe UI"/>
                <w:b/>
                <w:color w:val="1D3245"/>
                <w:sz w:val="17"/>
              </w:rPr>
              <w:t>Relevant experience and past performance</w:t>
            </w:r>
          </w:p>
        </w:tc>
        <w:tc>
          <w:tcPr>
            <w:tcW w:type="dxa" w:w="1784"/>
            <w:tcMar>
              <w:top w:w="40" w:type="dxa"/>
              <w:left w:w="110" w:type="dxa"/>
              <w:bottom w:w="40" w:type="dxa"/>
              <w:right w:w="110" w:type="dxa"/>
            </w:tcMar>
          </w:tcPr>
          <w:p>
            <w:pPr>
              <w:pStyle w:val="MasttTableCell"/>
              <w:spacing w:before="20" w:after="20"/>
            </w:pPr>
            <w:r/>
            <w:r>
              <w:rPr>
                <w:rFonts w:ascii="Segoe UI" w:hAnsi="Segoe UI"/>
                <w:color w:val="1D3245"/>
                <w:sz w:val="17"/>
              </w:rPr>
              <w:t>Prequalification and tender</w:t>
            </w:r>
          </w:p>
        </w:tc>
        <w:tc>
          <w:tcPr>
            <w:tcW w:type="dxa" w:w="1359"/>
            <w:tcMar>
              <w:top w:w="40" w:type="dxa"/>
              <w:left w:w="110" w:type="dxa"/>
              <w:bottom w:w="40" w:type="dxa"/>
              <w:right w:w="110" w:type="dxa"/>
            </w:tcMar>
          </w:tcPr>
          <w:p>
            <w:pPr>
              <w:pStyle w:val="MasttTableCell"/>
              <w:spacing w:before="20" w:after="20"/>
            </w:pPr>
            <w:r/>
            <w:r>
              <w:rPr>
                <w:rFonts w:ascii="Segoe UI" w:hAnsi="Segoe UI"/>
                <w:color w:val="1D3245"/>
                <w:sz w:val="17"/>
              </w:rPr>
              <w:t>15-25%</w:t>
            </w:r>
          </w:p>
        </w:tc>
        <w:tc>
          <w:tcPr>
            <w:tcW w:type="dxa" w:w="4140"/>
            <w:tcMar>
              <w:top w:w="40" w:type="dxa"/>
              <w:left w:w="110" w:type="dxa"/>
              <w:bottom w:w="40" w:type="dxa"/>
              <w:right w:w="110" w:type="dxa"/>
            </w:tcMar>
          </w:tcPr>
          <w:p>
            <w:pPr>
              <w:pStyle w:val="MasttTableCell"/>
              <w:spacing w:before="20" w:after="20"/>
            </w:pPr>
            <w:r/>
            <w:r>
              <w:rPr>
                <w:rFonts w:ascii="Segoe UI" w:hAnsi="Segoe UI"/>
                <w:color w:val="1D3245"/>
                <w:sz w:val="17"/>
              </w:rPr>
              <w:t>Project references, referee checks</w:t>
            </w:r>
          </w:p>
        </w:tc>
      </w:tr>
      <w:tr>
        <w:trPr>
          <w:cantSplit w:val="true"/>
        </w:trPr>
        <w:tc>
          <w:tcPr>
            <w:tcW w:type="dxa" w:w="21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Proposed team and key personnel</w:t>
            </w:r>
          </w:p>
        </w:tc>
        <w:tc>
          <w:tcPr>
            <w:tcW w:type="dxa" w:w="17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Tender</w:t>
            </w:r>
          </w:p>
        </w:tc>
        <w:tc>
          <w:tcPr>
            <w:tcW w:type="dxa" w:w="13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10-20%</w:t>
            </w:r>
          </w:p>
        </w:tc>
        <w:tc>
          <w:tcPr>
            <w:tcW w:type="dxa" w:w="41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CVs, commitment of named individuals, availability</w:t>
            </w:r>
          </w:p>
        </w:tc>
      </w:tr>
      <w:tr>
        <w:trPr>
          <w:cantSplit w:val="true"/>
        </w:trPr>
        <w:tc>
          <w:tcPr>
            <w:tcW w:type="dxa" w:w="2128"/>
            <w:tcMar>
              <w:top w:w="40" w:type="dxa"/>
              <w:left w:w="110" w:type="dxa"/>
              <w:bottom w:w="40" w:type="dxa"/>
              <w:right w:w="110" w:type="dxa"/>
            </w:tcMar>
          </w:tcPr>
          <w:p>
            <w:pPr>
              <w:pStyle w:val="MasttTableCell"/>
              <w:spacing w:before="20" w:after="20"/>
            </w:pPr>
            <w:r/>
            <w:r>
              <w:rPr>
                <w:rFonts w:ascii="Segoe UI" w:hAnsi="Segoe UI"/>
                <w:b/>
                <w:color w:val="1D3245"/>
                <w:sz w:val="17"/>
              </w:rPr>
              <w:t>Methodology and programme</w:t>
            </w:r>
          </w:p>
        </w:tc>
        <w:tc>
          <w:tcPr>
            <w:tcW w:type="dxa" w:w="1784"/>
            <w:tcMar>
              <w:top w:w="40" w:type="dxa"/>
              <w:left w:w="110" w:type="dxa"/>
              <w:bottom w:w="40" w:type="dxa"/>
              <w:right w:w="110" w:type="dxa"/>
            </w:tcMar>
          </w:tcPr>
          <w:p>
            <w:pPr>
              <w:pStyle w:val="MasttTableCell"/>
              <w:spacing w:before="20" w:after="20"/>
            </w:pPr>
            <w:r/>
            <w:r>
              <w:rPr>
                <w:rFonts w:ascii="Segoe UI" w:hAnsi="Segoe UI"/>
                <w:color w:val="1D3245"/>
                <w:sz w:val="17"/>
              </w:rPr>
              <w:t>Tender</w:t>
            </w:r>
          </w:p>
        </w:tc>
        <w:tc>
          <w:tcPr>
            <w:tcW w:type="dxa" w:w="1359"/>
            <w:tcMar>
              <w:top w:w="40" w:type="dxa"/>
              <w:left w:w="110" w:type="dxa"/>
              <w:bottom w:w="40" w:type="dxa"/>
              <w:right w:w="110" w:type="dxa"/>
            </w:tcMar>
          </w:tcPr>
          <w:p>
            <w:pPr>
              <w:pStyle w:val="MasttTableCell"/>
              <w:spacing w:before="20" w:after="20"/>
            </w:pPr>
            <w:r/>
            <w:r>
              <w:rPr>
                <w:rFonts w:ascii="Segoe UI" w:hAnsi="Segoe UI"/>
                <w:color w:val="1D3245"/>
                <w:sz w:val="17"/>
              </w:rPr>
              <w:t>10-20%</w:t>
            </w:r>
          </w:p>
        </w:tc>
        <w:tc>
          <w:tcPr>
            <w:tcW w:type="dxa" w:w="4140"/>
            <w:tcMar>
              <w:top w:w="40" w:type="dxa"/>
              <w:left w:w="110" w:type="dxa"/>
              <w:bottom w:w="40" w:type="dxa"/>
              <w:right w:w="110" w:type="dxa"/>
            </w:tcMar>
          </w:tcPr>
          <w:p>
            <w:pPr>
              <w:pStyle w:val="MasttTableCell"/>
              <w:spacing w:before="20" w:after="20"/>
            </w:pPr>
            <w:r/>
            <w:r>
              <w:rPr>
                <w:rFonts w:ascii="Segoe UI" w:hAnsi="Segoe UI"/>
                <w:color w:val="1D3245"/>
                <w:sz w:val="17"/>
              </w:rPr>
              <w:t>Method statement, programme, resource histogram</w:t>
            </w:r>
          </w:p>
        </w:tc>
      </w:tr>
      <w:tr>
        <w:trPr>
          <w:cantSplit w:val="true"/>
        </w:trPr>
        <w:tc>
          <w:tcPr>
            <w:tcW w:type="dxa" w:w="21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Quality and technical compliance</w:t>
            </w:r>
          </w:p>
        </w:tc>
        <w:tc>
          <w:tcPr>
            <w:tcW w:type="dxa" w:w="17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Tender</w:t>
            </w:r>
          </w:p>
        </w:tc>
        <w:tc>
          <w:tcPr>
            <w:tcW w:type="dxa" w:w="13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5-15%</w:t>
            </w:r>
          </w:p>
        </w:tc>
        <w:tc>
          <w:tcPr>
            <w:tcW w:type="dxa" w:w="41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Compliance schedule, departures register</w:t>
            </w:r>
          </w:p>
        </w:tc>
      </w:tr>
      <w:tr>
        <w:trPr>
          <w:cantSplit w:val="true"/>
        </w:trPr>
        <w:tc>
          <w:tcPr>
            <w:tcW w:type="dxa" w:w="2128"/>
            <w:tcMar>
              <w:top w:w="40" w:type="dxa"/>
              <w:left w:w="110" w:type="dxa"/>
              <w:bottom w:w="40" w:type="dxa"/>
              <w:right w:w="110" w:type="dxa"/>
            </w:tcMar>
          </w:tcPr>
          <w:p>
            <w:pPr>
              <w:pStyle w:val="MasttTableCell"/>
              <w:spacing w:before="20" w:after="20"/>
            </w:pPr>
            <w:r/>
            <w:r>
              <w:rPr>
                <w:rFonts w:ascii="Segoe UI" w:hAnsi="Segoe UI"/>
                <w:b/>
                <w:color w:val="1D3245"/>
                <w:sz w:val="17"/>
              </w:rPr>
              <w:t>Sustainability and social value</w:t>
            </w:r>
          </w:p>
        </w:tc>
        <w:tc>
          <w:tcPr>
            <w:tcW w:type="dxa" w:w="1784"/>
            <w:tcMar>
              <w:top w:w="40" w:type="dxa"/>
              <w:left w:w="110" w:type="dxa"/>
              <w:bottom w:w="40" w:type="dxa"/>
              <w:right w:w="110" w:type="dxa"/>
            </w:tcMar>
          </w:tcPr>
          <w:p>
            <w:pPr>
              <w:pStyle w:val="MasttTableCell"/>
              <w:spacing w:before="20" w:after="20"/>
            </w:pPr>
            <w:r/>
            <w:r>
              <w:rPr>
                <w:rFonts w:ascii="Segoe UI" w:hAnsi="Segoe UI"/>
                <w:color w:val="1D3245"/>
                <w:sz w:val="17"/>
              </w:rPr>
              <w:t>Tender</w:t>
            </w:r>
          </w:p>
        </w:tc>
        <w:tc>
          <w:tcPr>
            <w:tcW w:type="dxa" w:w="1359"/>
            <w:tcMar>
              <w:top w:w="40" w:type="dxa"/>
              <w:left w:w="110" w:type="dxa"/>
              <w:bottom w:w="40" w:type="dxa"/>
              <w:right w:w="110" w:type="dxa"/>
            </w:tcMar>
          </w:tcPr>
          <w:p>
            <w:pPr>
              <w:pStyle w:val="MasttTableCell"/>
              <w:spacing w:before="20" w:after="20"/>
            </w:pPr>
            <w:r/>
            <w:r>
              <w:rPr>
                <w:rFonts w:ascii="Segoe UI" w:hAnsi="Segoe UI"/>
                <w:color w:val="1D3245"/>
                <w:sz w:val="17"/>
              </w:rPr>
              <w:t>5-15%</w:t>
            </w:r>
          </w:p>
        </w:tc>
        <w:tc>
          <w:tcPr>
            <w:tcW w:type="dxa" w:w="4140"/>
            <w:tcMar>
              <w:top w:w="40" w:type="dxa"/>
              <w:left w:w="110" w:type="dxa"/>
              <w:bottom w:w="40" w:type="dxa"/>
              <w:right w:w="110" w:type="dxa"/>
            </w:tcMar>
          </w:tcPr>
          <w:p>
            <w:pPr>
              <w:pStyle w:val="MasttTableCell"/>
              <w:spacing w:before="20" w:after="20"/>
            </w:pPr>
            <w:r/>
            <w:r>
              <w:rPr>
                <w:rFonts w:ascii="Segoe UI" w:hAnsi="Segoe UI"/>
                <w:color w:val="1D3245"/>
                <w:sz w:val="17"/>
              </w:rPr>
              <w:t>Carbon plan, local content and workforce commitments</w:t>
            </w:r>
          </w:p>
        </w:tc>
      </w:tr>
      <w:tr>
        <w:trPr>
          <w:cantSplit w:val="true"/>
        </w:trPr>
        <w:tc>
          <w:tcPr>
            <w:tcW w:type="dxa" w:w="21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Risk allocation and contractual position</w:t>
            </w:r>
          </w:p>
        </w:tc>
        <w:tc>
          <w:tcPr>
            <w:tcW w:type="dxa" w:w="17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Tender</w:t>
            </w:r>
          </w:p>
        </w:tc>
        <w:tc>
          <w:tcPr>
            <w:tcW w:type="dxa" w:w="13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Pass / fail or weighted</w:t>
            </w:r>
          </w:p>
        </w:tc>
        <w:tc>
          <w:tcPr>
            <w:tcW w:type="dxa" w:w="41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Departures from the conditions of contract</w:t>
            </w:r>
          </w:p>
        </w:tc>
      </w:tr>
      <w:tr>
        <w:trPr>
          <w:cantSplit w:val="true"/>
        </w:trPr>
        <w:tc>
          <w:tcPr>
            <w:tcW w:type="dxa" w:w="2128"/>
            <w:tcMar>
              <w:top w:w="40" w:type="dxa"/>
              <w:left w:w="110" w:type="dxa"/>
              <w:bottom w:w="40" w:type="dxa"/>
              <w:right w:w="110" w:type="dxa"/>
            </w:tcMar>
          </w:tcPr>
          <w:p>
            <w:pPr>
              <w:pStyle w:val="MasttTableCell"/>
              <w:spacing w:before="20" w:after="20"/>
            </w:pPr>
            <w:r/>
            <w:r>
              <w:rPr>
                <w:rFonts w:ascii="Segoe UI" w:hAnsi="Segoe UI"/>
                <w:b/>
                <w:color w:val="1D3245"/>
                <w:sz w:val="17"/>
              </w:rPr>
              <w:t>Price</w:t>
            </w:r>
          </w:p>
        </w:tc>
        <w:tc>
          <w:tcPr>
            <w:tcW w:type="dxa" w:w="1784"/>
            <w:tcMar>
              <w:top w:w="40" w:type="dxa"/>
              <w:left w:w="110" w:type="dxa"/>
              <w:bottom w:w="40" w:type="dxa"/>
              <w:right w:w="110" w:type="dxa"/>
            </w:tcMar>
          </w:tcPr>
          <w:p>
            <w:pPr>
              <w:pStyle w:val="MasttTableCell"/>
              <w:spacing w:before="20" w:after="20"/>
            </w:pPr>
            <w:r/>
            <w:r>
              <w:rPr>
                <w:rFonts w:ascii="Segoe UI" w:hAnsi="Segoe UI"/>
                <w:color w:val="1D3245"/>
                <w:sz w:val="17"/>
              </w:rPr>
              <w:t>Tender</w:t>
            </w:r>
          </w:p>
        </w:tc>
        <w:tc>
          <w:tcPr>
            <w:tcW w:type="dxa" w:w="1359"/>
            <w:tcMar>
              <w:top w:w="40" w:type="dxa"/>
              <w:left w:w="110" w:type="dxa"/>
              <w:bottom w:w="40" w:type="dxa"/>
              <w:right w:w="110" w:type="dxa"/>
            </w:tcMar>
          </w:tcPr>
          <w:p>
            <w:pPr>
              <w:pStyle w:val="MasttTableCell"/>
              <w:spacing w:before="20" w:after="20"/>
            </w:pPr>
            <w:r/>
            <w:r>
              <w:rPr>
                <w:rFonts w:ascii="Segoe UI" w:hAnsi="Segoe UI"/>
                <w:color w:val="1D3245"/>
                <w:sz w:val="17"/>
              </w:rPr>
              <w:t>30-60%</w:t>
            </w:r>
          </w:p>
        </w:tc>
        <w:tc>
          <w:tcPr>
            <w:tcW w:type="dxa" w:w="4140"/>
            <w:tcMar>
              <w:top w:w="40" w:type="dxa"/>
              <w:left w:w="110" w:type="dxa"/>
              <w:bottom w:w="40" w:type="dxa"/>
              <w:right w:w="110" w:type="dxa"/>
            </w:tcMar>
          </w:tcPr>
          <w:p>
            <w:pPr>
              <w:pStyle w:val="MasttTableCell"/>
              <w:spacing w:before="20" w:after="20"/>
            </w:pPr>
            <w:r/>
            <w:r>
              <w:rPr>
                <w:rFonts w:ascii="Segoe UI" w:hAnsi="Segoe UI"/>
                <w:color w:val="1D3245"/>
                <w:sz w:val="17"/>
              </w:rPr>
              <w:t>Priced schedule, rates, provisional sums</w:t>
            </w:r>
          </w:p>
        </w:tc>
      </w:tr>
    </w:tbl>
    <w:p>
      <w:pPr>
        <w:rPr>
          <w:sz w:val="8"/>
        </w:rPr>
        <w:spacing w:after="40" w:before="0" w:line="240" w:lineRule="auto"/>
      </w:pPr>
    </w:p>
    <w:p>
      <w:pPr>
        <w:pStyle w:val="ListBullet"/>
        <w:spacing w:after="60"/>
        <w:ind w:left="340"/>
      </w:pPr>
      <w:r>
        <w:rPr>
          <w:rFonts w:ascii="Segoe UI" w:hAnsi="Segoe UI"/>
          <w:color w:val="1D3245"/>
          <w:sz w:val="20"/>
        </w:rPr>
        <w:t>Evaluation is undertaken by a panel with declared conflicts of interest and a documented consensus method.</w:t>
      </w:r>
    </w:p>
    <w:p>
      <w:pPr>
        <w:pStyle w:val="ListBullet"/>
        <w:spacing w:after="60"/>
        <w:ind w:left="340"/>
      </w:pPr>
      <w:r>
        <w:rPr>
          <w:rFonts w:ascii="Segoe UI" w:hAnsi="Segoe UI"/>
          <w:color w:val="1D3245"/>
          <w:sz w:val="20"/>
        </w:rPr>
        <w:t>Non-conforming and alternative tenders are only considered where the tender documents expressly permit them and a conforming tender is also submitted.</w:t>
      </w:r>
    </w:p>
    <w:p>
      <w:pPr>
        <w:pStyle w:val="ListBullet"/>
        <w:spacing w:after="60"/>
        <w:ind w:left="340"/>
      </w:pPr>
      <w:r>
        <w:rPr>
          <w:rFonts w:ascii="Segoe UI" w:hAnsi="Segoe UI"/>
          <w:color w:val="1D3245"/>
          <w:sz w:val="20"/>
        </w:rPr>
        <w:t>Clarifications are issued to all tenderers simultaneously.</w:t>
      </w:r>
    </w:p>
    <w:p>
      <w:pPr>
        <w:pStyle w:val="ListBullet"/>
        <w:spacing w:after="60"/>
        <w:ind w:left="340"/>
      </w:pPr>
      <w:r>
        <w:rPr>
          <w:rFonts w:ascii="Segoe UI" w:hAnsi="Segoe UI"/>
          <w:color w:val="1D3245"/>
          <w:sz w:val="20"/>
        </w:rPr>
        <w:t>The evaluation report records the score, the rationale and the recommendation, and is retained for the period required by the client's records policy.</w:t>
      </w:r>
    </w:p>
    <w:p>
      <w:pPr>
        <w:pStyle w:val="Heading2"/>
      </w:pPr>
      <w:r>
        <w:t>6.5  Contract administration responsibilities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722"/>
        <w:gridCol w:w="2381"/>
        <w:gridCol w:w="1928"/>
        <w:gridCol w:w="2381"/>
      </w:tblGrid>
      <w:tr>
        <w:trPr>
          <w:tblHeader w:val="true"/>
          <w:cantSplit w:val="true"/>
        </w:trPr>
        <w:tc>
          <w:tcPr>
            <w:tcW w:type="dxa" w:w="27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Function</w:t>
            </w:r>
          </w:p>
        </w:tc>
        <w:tc>
          <w:tcPr>
            <w:tcW w:type="dxa" w:w="23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Client-side owner</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Delegation</w:t>
            </w:r>
          </w:p>
        </w:tc>
        <w:tc>
          <w:tcPr>
            <w:tcW w:type="dxa" w:w="23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Record kept in</w:t>
            </w:r>
          </w:p>
        </w:tc>
      </w:tr>
      <w:tr>
        <w:trPr>
          <w:cantSplit w:val="true"/>
        </w:trPr>
        <w:tc>
          <w:tcPr>
            <w:tcW w:type="dxa" w:w="2721"/>
            <w:tcMar>
              <w:top w:w="40" w:type="dxa"/>
              <w:left w:w="110" w:type="dxa"/>
              <w:bottom w:w="40" w:type="dxa"/>
              <w:right w:w="110" w:type="dxa"/>
            </w:tcMar>
          </w:tcPr>
          <w:p>
            <w:pPr>
              <w:pStyle w:val="MasttTableCell"/>
              <w:spacing w:before="20" w:after="20"/>
            </w:pPr>
            <w:r/>
            <w:r>
              <w:rPr>
                <w:rFonts w:ascii="Segoe UI" w:hAnsi="Segoe UI"/>
                <w:b/>
                <w:color w:val="1D3245"/>
                <w:sz w:val="17"/>
              </w:rPr>
              <w:t>Issue of instructions and directions</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Client Representative</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Within delegation</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Instruction register</w:t>
            </w:r>
          </w:p>
        </w:tc>
      </w:tr>
      <w:tr>
        <w:trPr>
          <w:cantSplit w:val="true"/>
        </w:trPr>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Assessment of variations</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Recommend</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Change register</w:t>
            </w:r>
          </w:p>
        </w:tc>
      </w:tr>
      <w:tr>
        <w:trPr>
          <w:cantSplit w:val="true"/>
        </w:trPr>
        <w:tc>
          <w:tcPr>
            <w:tcW w:type="dxa" w:w="2721"/>
            <w:tcMar>
              <w:top w:w="40" w:type="dxa"/>
              <w:left w:w="110" w:type="dxa"/>
              <w:bottom w:w="40" w:type="dxa"/>
              <w:right w:w="110" w:type="dxa"/>
            </w:tcMar>
          </w:tcPr>
          <w:p>
            <w:pPr>
              <w:pStyle w:val="MasttTableCell"/>
              <w:spacing w:before="20" w:after="20"/>
            </w:pPr>
            <w:r/>
            <w:r>
              <w:rPr>
                <w:rFonts w:ascii="Segoe UI" w:hAnsi="Segoe UI"/>
                <w:b/>
                <w:color w:val="1D3245"/>
                <w:sz w:val="17"/>
              </w:rPr>
              <w:t>Certification of payment</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Client Representative / Commercial Manager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Within delegation</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Payment register</w:t>
            </w:r>
          </w:p>
        </w:tc>
      </w:tr>
      <w:tr>
        <w:trPr>
          <w:cantSplit w:val="true"/>
        </w:trPr>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Assessment of extension of time</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 with Planner</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Recommend</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EOT register</w:t>
            </w:r>
          </w:p>
        </w:tc>
      </w:tr>
      <w:tr>
        <w:trPr>
          <w:cantSplit w:val="true"/>
        </w:trPr>
        <w:tc>
          <w:tcPr>
            <w:tcW w:type="dxa" w:w="2721"/>
            <w:tcMar>
              <w:top w:w="40" w:type="dxa"/>
              <w:left w:w="110" w:type="dxa"/>
              <w:bottom w:w="40" w:type="dxa"/>
              <w:right w:w="110" w:type="dxa"/>
            </w:tcMar>
          </w:tcPr>
          <w:p>
            <w:pPr>
              <w:pStyle w:val="MasttTableCell"/>
              <w:spacing w:before="20" w:after="20"/>
            </w:pPr>
            <w:r/>
            <w:r>
              <w:rPr>
                <w:rFonts w:ascii="Segoe UI" w:hAnsi="Segoe UI"/>
                <w:b/>
                <w:color w:val="1D3245"/>
                <w:sz w:val="17"/>
              </w:rPr>
              <w:t>Issue and receipt of contractual notices</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Full</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Notices register</w:t>
            </w:r>
          </w:p>
        </w:tc>
      </w:tr>
      <w:tr>
        <w:trPr>
          <w:cantSplit w:val="true"/>
        </w:trPr>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Determination of claims</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Representative</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delegation</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Claims register</w:t>
            </w:r>
          </w:p>
        </w:tc>
      </w:tr>
      <w:tr>
        <w:trPr>
          <w:cantSplit w:val="true"/>
        </w:trPr>
        <w:tc>
          <w:tcPr>
            <w:tcW w:type="dxa" w:w="2721"/>
            <w:tcMar>
              <w:top w:w="40" w:type="dxa"/>
              <w:left w:w="110" w:type="dxa"/>
              <w:bottom w:w="40" w:type="dxa"/>
              <w:right w:w="110" w:type="dxa"/>
            </w:tcMar>
          </w:tcPr>
          <w:p>
            <w:pPr>
              <w:pStyle w:val="MasttTableCell"/>
              <w:spacing w:before="20" w:after="20"/>
            </w:pPr>
            <w:r/>
            <w:r>
              <w:rPr>
                <w:rFonts w:ascii="Segoe UI" w:hAnsi="Segoe UI"/>
                <w:b/>
                <w:color w:val="1D3245"/>
                <w:sz w:val="17"/>
              </w:rPr>
              <w:t>Release of securities and bonds</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With Director approval</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Securities register</w:t>
            </w:r>
          </w:p>
        </w:tc>
      </w:tr>
      <w:tr>
        <w:trPr>
          <w:cantSplit w:val="true"/>
        </w:trPr>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Certification of completion</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Representative</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Full</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Completion records</w:t>
            </w:r>
          </w:p>
        </w:tc>
      </w:tr>
    </w:tbl>
    <w:p>
      <w:pPr>
        <w:rPr>
          <w:sz w:val="8"/>
        </w:rPr>
        <w:spacing w:after="40" w:before="0" w:line="240" w:lineRule="auto"/>
      </w:pPr>
    </w:p>
    <w:p>
      <w:pPr>
        <w:pStyle w:val="Heading2"/>
      </w:pPr>
      <w:r>
        <w:t>6.6  Supply chain and local content</w:t>
      </w:r>
    </w:p>
    <w:p>
      <w:pPr>
        <w:pStyle w:val="ListBullet"/>
        <w:spacing w:after="60"/>
        <w:ind w:left="340"/>
      </w:pPr>
      <w:r>
        <w:rPr>
          <w:rFonts w:ascii="Segoe UI" w:hAnsi="Segoe UI"/>
          <w:color w:val="1D3245"/>
          <w:sz w:val="20"/>
        </w:rPr>
        <w:t>Supply chain capacity and single points of failure are assessed before the market approach; critical suppliers are identified and monitored.</w:t>
      </w:r>
    </w:p>
    <w:p>
      <w:pPr>
        <w:pStyle w:val="ListBullet"/>
        <w:spacing w:after="60"/>
        <w:ind w:left="340"/>
      </w:pPr>
      <w:r>
        <w:rPr>
          <w:rFonts w:ascii="Segoe UI" w:hAnsi="Segoe UI"/>
          <w:color w:val="1D3245"/>
          <w:sz w:val="20"/>
        </w:rPr>
        <w:t>Local content, local employment and small-business participation commitments are specified in the tender documents, priced, and reported monthly against the commitments register.</w:t>
      </w:r>
    </w:p>
    <w:p>
      <w:pPr>
        <w:pStyle w:val="ListBullet"/>
        <w:spacing w:after="60"/>
        <w:ind w:left="340"/>
      </w:pPr>
      <w:r>
        <w:rPr>
          <w:rFonts w:ascii="Segoe UI" w:hAnsi="Segoe UI"/>
          <w:color w:val="1D3245"/>
          <w:sz w:val="20"/>
        </w:rPr>
        <w:t>Flow-down obligations for safety, quality, environment, information management, payment terms and ethical sourcing are mandated to every tier of the supply chain.</w:t>
      </w:r>
    </w:p>
    <w:p>
      <w:pPr>
        <w:pStyle w:val="ListBullet"/>
        <w:spacing w:after="60"/>
        <w:ind w:left="340"/>
      </w:pPr>
      <w:r>
        <w:rPr>
          <w:rFonts w:ascii="Segoe UI" w:hAnsi="Segoe UI"/>
          <w:color w:val="1D3245"/>
          <w:sz w:val="20"/>
        </w:rPr>
        <w:t>Subcontractor payment security arrangements applicable in the relevant jurisdiction are confirmed and monitored.</w:t>
      </w:r>
    </w:p>
    <w:p>
      <w:pPr>
        <w:pStyle w:val="Heading2"/>
      </w:pPr>
      <w:r>
        <w:t>6.7  Market engagement</w:t>
      </w:r>
    </w:p>
    <w:p>
      <w:pPr>
        <w:pStyle w:val="MasttBody"/>
      </w:pPr>
      <w:r>
        <w:t>Early, structured market engagement improves pricing and reduces programme risk. It must be conducted so that no participant gains an advantage and no participant is excluded from the subsequent tender.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381"/>
        <w:gridCol w:w="3062"/>
        <w:gridCol w:w="2268"/>
        <w:gridCol w:w="1701"/>
      </w:tblGrid>
      <w:tr>
        <w:trPr>
          <w:tblHeader w:val="true"/>
          <w:cantSplit w:val="true"/>
        </w:trPr>
        <w:tc>
          <w:tcPr>
            <w:tcW w:type="dxa" w:w="23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Activity</w:t>
            </w:r>
          </w:p>
        </w:tc>
        <w:tc>
          <w:tcPr>
            <w:tcW w:type="dxa" w:w="30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Purpose</w:t>
            </w:r>
          </w:p>
        </w:tc>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Timing</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2381"/>
            <w:tcMar>
              <w:top w:w="40" w:type="dxa"/>
              <w:left w:w="110" w:type="dxa"/>
              <w:bottom w:w="40" w:type="dxa"/>
              <w:right w:w="110" w:type="dxa"/>
            </w:tcMar>
          </w:tcPr>
          <w:p>
            <w:pPr>
              <w:pStyle w:val="MasttTableCell"/>
              <w:spacing w:before="20" w:after="20"/>
            </w:pPr>
            <w:r/>
            <w:r>
              <w:rPr>
                <w:rFonts w:ascii="Segoe UI" w:hAnsi="Segoe UI"/>
                <w:b/>
                <w:color w:val="1D3245"/>
                <w:sz w:val="17"/>
              </w:rPr>
              <w:t>Market sounding / capability survey</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Test appetite, capacity and risk appetite</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Before delivery strategy approval</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r>
      <w:tr>
        <w:trPr>
          <w:cantSplit w:val="true"/>
        </w:trPr>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Industry briefing</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Explain scope, programme and requirements</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6-8 weeks before tender release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r>
      <w:tr>
        <w:trPr>
          <w:cantSplit w:val="true"/>
        </w:trPr>
        <w:tc>
          <w:tcPr>
            <w:tcW w:type="dxa" w:w="2381"/>
            <w:tcMar>
              <w:top w:w="40" w:type="dxa"/>
              <w:left w:w="110" w:type="dxa"/>
              <w:bottom w:w="40" w:type="dxa"/>
              <w:right w:w="110" w:type="dxa"/>
            </w:tcMar>
          </w:tcPr>
          <w:p>
            <w:pPr>
              <w:pStyle w:val="MasttTableCell"/>
              <w:spacing w:before="20" w:after="20"/>
            </w:pPr>
            <w:r/>
            <w:r>
              <w:rPr>
                <w:rFonts w:ascii="Segoe UI" w:hAnsi="Segoe UI"/>
                <w:b/>
                <w:color w:val="1D3245"/>
                <w:sz w:val="17"/>
              </w:rPr>
              <w:t>Expression of interest / prequalification</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Establish a capable tender list</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8-12 weeks before tender release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r>
      <w:tr>
        <w:trPr>
          <w:cantSplit w:val="true"/>
        </w:trPr>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Tender period interactive sessions</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Resolve ambiguity and improve tender quality</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During tender period</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2381"/>
            <w:tcMar>
              <w:top w:w="40" w:type="dxa"/>
              <w:left w:w="110" w:type="dxa"/>
              <w:bottom w:w="40" w:type="dxa"/>
              <w:right w:w="110" w:type="dxa"/>
            </w:tcMar>
          </w:tcPr>
          <w:p>
            <w:pPr>
              <w:pStyle w:val="MasttTableCell"/>
              <w:spacing w:before="20" w:after="20"/>
            </w:pPr>
            <w:r/>
            <w:r>
              <w:rPr>
                <w:rFonts w:ascii="Segoe UI" w:hAnsi="Segoe UI"/>
                <w:b/>
                <w:color w:val="1D3245"/>
                <w:sz w:val="17"/>
              </w:rPr>
              <w:t>Post-award debrief</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Maintain market confidence and improve future tenders</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Within 20 working days of award</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r>
    </w:tbl>
    <w:p>
      <w:pPr>
        <w:rPr>
          <w:sz w:val="8"/>
        </w:rPr>
        <w:spacing w:after="40" w:before="0" w:line="240" w:lineRule="auto"/>
      </w:pPr>
    </w:p>
    <w:p>
      <w:pPr>
        <w:pStyle w:val="Heading2"/>
      </w:pPr>
      <w:r>
        <w:t>6.8  Probity</w:t>
      </w:r>
    </w:p>
    <w:p>
      <w:pPr>
        <w:pStyle w:val="ListBullet"/>
        <w:spacing w:after="60"/>
        <w:ind w:left="340"/>
      </w:pPr>
      <w:r>
        <w:rPr>
          <w:rFonts w:ascii="Segoe UI" w:hAnsi="Segoe UI"/>
          <w:color w:val="1D3245"/>
          <w:sz w:val="20"/>
        </w:rPr>
        <w:t>All participants declare actual, potential and perceived conflicts of interest before any evaluation activity, and update declarations as circumstances change.</w:t>
      </w:r>
    </w:p>
    <w:p>
      <w:pPr>
        <w:pStyle w:val="ListBullet"/>
        <w:spacing w:after="60"/>
        <w:ind w:left="340"/>
      </w:pPr>
      <w:r>
        <w:rPr>
          <w:rFonts w:ascii="Segoe UI" w:hAnsi="Segoe UI"/>
          <w:color w:val="1D3245"/>
          <w:sz w:val="20"/>
        </w:rPr>
        <w:t>Confidentiality undertakings are signed by everyone with access to tender information.</w:t>
      </w:r>
    </w:p>
    <w:p>
      <w:pPr>
        <w:pStyle w:val="ListBullet"/>
        <w:spacing w:after="60"/>
        <w:ind w:left="340"/>
      </w:pPr>
      <w:r>
        <w:rPr>
          <w:rFonts w:ascii="Segoe UI" w:hAnsi="Segoe UI"/>
          <w:color w:val="1D3245"/>
          <w:sz w:val="20"/>
        </w:rPr>
        <w:t>Communication with tenderers during the tender period is only through the nominated contact and the tender portal.</w:t>
      </w:r>
    </w:p>
    <w:p>
      <w:pPr>
        <w:pStyle w:val="ListBullet"/>
        <w:spacing w:after="60"/>
        <w:ind w:left="340"/>
      </w:pPr>
      <w:r>
        <w:rPr>
          <w:rFonts w:ascii="Segoe UI" w:hAnsi="Segoe UI"/>
          <w:color w:val="1D3245"/>
          <w:sz w:val="20"/>
        </w:rPr>
        <w:t>An independent probity adviser is appointed where the value, sensitivity or complexity of the procurement warrants it.</w:t>
      </w:r>
    </w:p>
    <w:p>
      <w:pPr>
        <w:pStyle w:val="ListBullet"/>
        <w:spacing w:after="60"/>
        <w:ind w:left="340"/>
      </w:pPr>
      <w:r>
        <w:rPr>
          <w:rFonts w:ascii="Segoe UI" w:hAnsi="Segoe UI"/>
          <w:color w:val="1D3245"/>
          <w:sz w:val="20"/>
        </w:rPr>
        <w:t>Gifts, benefits and hospitality are declined or declared in accordance with the client's policy.</w:t>
      </w:r>
    </w:p>
    <w:p>
      <w:pPr>
        <w:pStyle w:val="ListBullet"/>
        <w:spacing w:after="60"/>
        <w:ind w:left="340"/>
      </w:pPr>
      <w:r>
        <w:rPr>
          <w:rFonts w:ascii="Segoe UI" w:hAnsi="Segoe UI"/>
          <w:color w:val="1D3245"/>
          <w:sz w:val="20"/>
        </w:rPr>
        <w:t>Records of every probity-relevant event are retained for the period required in the relevant jurisdiction.</w:t>
      </w:r>
    </w:p>
    <w:p>
      <w:r>
        <w:br w:type="page"/>
      </w:r>
    </w:p>
    <w:p>
      <w:pPr>
        <w:pStyle w:val="Heading1"/>
        <w:pBdr>
          <w:bottom w:val="single" w:sz="6" w:space="4" w:color="C9D4E0"/>
        </w:pBdr>
      </w:pPr>
      <w:r>
        <w:t>7.  Design management</w:t>
      </w:r>
    </w:p>
    <w:p>
      <w:pPr>
        <w:pStyle w:val="Heading2"/>
      </w:pPr>
      <w:r>
        <w:t>7.1  Design stages and deliverables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Map your project onto a recognised stage framework - RIBA Plan of Work stages 0-7 or the equivalent used in your jurisdiction - and define what must be complete at the end of each stage. The single most common cause of cost growth is proceeding to the next stage on an incomplete previous stage.</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889"/>
        <w:gridCol w:w="2117"/>
        <w:gridCol w:w="3194"/>
        <w:gridCol w:w="1451"/>
        <w:gridCol w:w="761"/>
      </w:tblGrid>
      <w:tr>
        <w:trPr>
          <w:tblHeader w:val="true"/>
          <w:cantSplit w:val="true"/>
        </w:trPr>
        <w:tc>
          <w:tcPr>
            <w:tcW w:type="dxa" w:w="18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Stage</w:t>
            </w:r>
          </w:p>
        </w:tc>
        <w:tc>
          <w:tcPr>
            <w:tcW w:type="dxa" w:w="211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Purpose</w:t>
            </w:r>
          </w:p>
        </w:tc>
        <w:tc>
          <w:tcPr>
            <w:tcW w:type="dxa" w:w="31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Key deliverables</w:t>
            </w:r>
          </w:p>
        </w:tc>
        <w:tc>
          <w:tcPr>
            <w:tcW w:type="dxa" w:w="145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Design completion</w:t>
            </w:r>
          </w:p>
        </w:tc>
        <w:tc>
          <w:tcPr>
            <w:tcW w:type="dxa" w:w="7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Gate</w:t>
            </w:r>
          </w:p>
        </w:tc>
      </w:tr>
      <w:tr>
        <w:trPr>
          <w:cantSplit w:val="true"/>
        </w:trPr>
        <w:tc>
          <w:tcPr>
            <w:tcW w:type="dxa" w:w="1888"/>
            <w:tcMar>
              <w:top w:w="40" w:type="dxa"/>
              <w:left w:w="110" w:type="dxa"/>
              <w:bottom w:w="40" w:type="dxa"/>
              <w:right w:w="110" w:type="dxa"/>
            </w:tcMar>
          </w:tcPr>
          <w:p>
            <w:pPr>
              <w:pStyle w:val="MasttTableCell"/>
              <w:spacing w:before="20" w:after="20"/>
            </w:pPr>
            <w:r/>
            <w:r>
              <w:rPr>
                <w:rFonts w:ascii="Segoe UI" w:hAnsi="Segoe UI"/>
                <w:b/>
                <w:color w:val="1D3245"/>
                <w:sz w:val="17"/>
              </w:rPr>
              <w:t>0 Strategic definition</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7"/>
              </w:rPr>
              <w:t>Confirm the business need and best means of achieving it</w:t>
            </w:r>
          </w:p>
        </w:tc>
        <w:tc>
          <w:tcPr>
            <w:tcW w:type="dxa" w:w="3194"/>
            <w:tcMar>
              <w:top w:w="40" w:type="dxa"/>
              <w:left w:w="110" w:type="dxa"/>
              <w:bottom w:w="40" w:type="dxa"/>
              <w:right w:w="110" w:type="dxa"/>
            </w:tcMar>
          </w:tcPr>
          <w:p>
            <w:pPr>
              <w:pStyle w:val="MasttTableCell"/>
              <w:spacing w:before="20" w:after="20"/>
            </w:pPr>
            <w:r/>
            <w:r>
              <w:rPr>
                <w:rFonts w:ascii="Segoe UI" w:hAnsi="Segoe UI"/>
                <w:color w:val="1D3245"/>
                <w:sz w:val="17"/>
              </w:rPr>
              <w:t>Strategic brief, options appraisal</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 - </w:t>
            </w:r>
          </w:p>
        </w:tc>
        <w:tc>
          <w:tcPr>
            <w:tcW w:type="dxa" w:w="761"/>
            <w:tcMar>
              <w:top w:w="40" w:type="dxa"/>
              <w:left w:w="110" w:type="dxa"/>
              <w:bottom w:w="40" w:type="dxa"/>
              <w:right w:w="110" w:type="dxa"/>
            </w:tcMar>
          </w:tcPr>
          <w:p>
            <w:pPr>
              <w:pStyle w:val="MasttTableCell"/>
              <w:spacing w:before="20" w:after="20"/>
            </w:pPr>
            <w:r/>
            <w:r>
              <w:rPr>
                <w:rFonts w:ascii="Segoe UI" w:hAnsi="Segoe UI"/>
                <w:color w:val="1D3245"/>
                <w:sz w:val="17"/>
              </w:rPr>
              <w:t>G0</w:t>
            </w:r>
          </w:p>
        </w:tc>
      </w:tr>
      <w:tr>
        <w:trPr>
          <w:cantSplit w:val="true"/>
        </w:trPr>
        <w:tc>
          <w:tcPr>
            <w:tcW w:type="dxa" w:w="18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1 Preparation and brief</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Establish the project brief and feasibility</w:t>
            </w:r>
          </w:p>
        </w:tc>
        <w:tc>
          <w:tcPr>
            <w:tcW w:type="dxa" w:w="31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brief, site information, feasibility studies, initial cost plan</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7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G1</w:t>
            </w:r>
          </w:p>
        </w:tc>
      </w:tr>
      <w:tr>
        <w:trPr>
          <w:cantSplit w:val="true"/>
        </w:trPr>
        <w:tc>
          <w:tcPr>
            <w:tcW w:type="dxa" w:w="1888"/>
            <w:tcMar>
              <w:top w:w="40" w:type="dxa"/>
              <w:left w:w="110" w:type="dxa"/>
              <w:bottom w:w="40" w:type="dxa"/>
              <w:right w:w="110" w:type="dxa"/>
            </w:tcMar>
          </w:tcPr>
          <w:p>
            <w:pPr>
              <w:pStyle w:val="MasttTableCell"/>
              <w:spacing w:before="20" w:after="20"/>
            </w:pPr>
            <w:r/>
            <w:r>
              <w:rPr>
                <w:rFonts w:ascii="Segoe UI" w:hAnsi="Segoe UI"/>
                <w:b/>
                <w:color w:val="1D3245"/>
                <w:sz w:val="17"/>
              </w:rPr>
              <w:t>2 Concept design</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7"/>
              </w:rPr>
              <w:t>Establish the architectural and engineering concept</w:t>
            </w:r>
          </w:p>
        </w:tc>
        <w:tc>
          <w:tcPr>
            <w:tcW w:type="dxa" w:w="3194"/>
            <w:tcMar>
              <w:top w:w="40" w:type="dxa"/>
              <w:left w:w="110" w:type="dxa"/>
              <w:bottom w:w="40" w:type="dxa"/>
              <w:right w:w="110" w:type="dxa"/>
            </w:tcMar>
          </w:tcPr>
          <w:p>
            <w:pPr>
              <w:pStyle w:val="MasttTableCell"/>
              <w:spacing w:before="20" w:after="20"/>
            </w:pPr>
            <w:r/>
            <w:r>
              <w:rPr>
                <w:rFonts w:ascii="Segoe UI" w:hAnsi="Segoe UI"/>
                <w:color w:val="1D3245"/>
                <w:sz w:val="17"/>
              </w:rPr>
              <w:t>Concept drawings, outline specification, cost plan 1, concept-stage carbon assessment</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~30%</w:t>
            </w:r>
          </w:p>
        </w:tc>
        <w:tc>
          <w:tcPr>
            <w:tcW w:type="dxa" w:w="761"/>
            <w:tcMar>
              <w:top w:w="40" w:type="dxa"/>
              <w:left w:w="110" w:type="dxa"/>
              <w:bottom w:w="40" w:type="dxa"/>
              <w:right w:w="110" w:type="dxa"/>
            </w:tcMar>
          </w:tcPr>
          <w:p>
            <w:pPr>
              <w:pStyle w:val="MasttTableCell"/>
              <w:spacing w:before="20" w:after="20"/>
            </w:pPr>
            <w:r/>
            <w:r>
              <w:rPr>
                <w:rFonts w:ascii="Segoe UI" w:hAnsi="Segoe UI"/>
                <w:color w:val="1D3245"/>
                <w:sz w:val="17"/>
              </w:rPr>
              <w:t>G2</w:t>
            </w:r>
          </w:p>
        </w:tc>
      </w:tr>
      <w:tr>
        <w:trPr>
          <w:cantSplit w:val="true"/>
        </w:trPr>
        <w:tc>
          <w:tcPr>
            <w:tcW w:type="dxa" w:w="18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3 Spatial coordination / developed design</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Coordinate the design spatially and confirm compliance</w:t>
            </w:r>
          </w:p>
        </w:tc>
        <w:tc>
          <w:tcPr>
            <w:tcW w:type="dxa" w:w="31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Coordinated models and drawings, developed specification, cost plan 2, consent submission</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~60%</w:t>
            </w:r>
          </w:p>
        </w:tc>
        <w:tc>
          <w:tcPr>
            <w:tcW w:type="dxa" w:w="7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G3</w:t>
            </w:r>
          </w:p>
        </w:tc>
      </w:tr>
      <w:tr>
        <w:trPr>
          <w:cantSplit w:val="true"/>
        </w:trPr>
        <w:tc>
          <w:tcPr>
            <w:tcW w:type="dxa" w:w="1888"/>
            <w:tcMar>
              <w:top w:w="40" w:type="dxa"/>
              <w:left w:w="110" w:type="dxa"/>
              <w:bottom w:w="40" w:type="dxa"/>
              <w:right w:w="110" w:type="dxa"/>
            </w:tcMar>
          </w:tcPr>
          <w:p>
            <w:pPr>
              <w:pStyle w:val="MasttTableCell"/>
              <w:spacing w:before="20" w:after="20"/>
            </w:pPr>
            <w:r/>
            <w:r>
              <w:rPr>
                <w:rFonts w:ascii="Segoe UI" w:hAnsi="Segoe UI"/>
                <w:b/>
                <w:color w:val="1D3245"/>
                <w:sz w:val="17"/>
              </w:rPr>
              <w:t>4 Technical design</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7"/>
              </w:rPr>
              <w:t>Produce all information required to construct</w:t>
            </w:r>
          </w:p>
        </w:tc>
        <w:tc>
          <w:tcPr>
            <w:tcW w:type="dxa" w:w="3194"/>
            <w:tcMar>
              <w:top w:w="40" w:type="dxa"/>
              <w:left w:w="110" w:type="dxa"/>
              <w:bottom w:w="40" w:type="dxa"/>
              <w:right w:w="110" w:type="dxa"/>
            </w:tcMar>
          </w:tcPr>
          <w:p>
            <w:pPr>
              <w:pStyle w:val="MasttTableCell"/>
              <w:spacing w:before="20" w:after="20"/>
            </w:pPr>
            <w:r/>
            <w:r>
              <w:rPr>
                <w:rFonts w:ascii="Segoe UI" w:hAnsi="Segoe UI"/>
                <w:color w:val="1D3245"/>
                <w:sz w:val="17"/>
              </w:rPr>
              <w:t>Technical drawings, full specification, schedules, tender documentation</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100%</w:t>
            </w:r>
          </w:p>
        </w:tc>
        <w:tc>
          <w:tcPr>
            <w:tcW w:type="dxa" w:w="761"/>
            <w:tcMar>
              <w:top w:w="40" w:type="dxa"/>
              <w:left w:w="110" w:type="dxa"/>
              <w:bottom w:w="40" w:type="dxa"/>
              <w:right w:w="110" w:type="dxa"/>
            </w:tcMar>
          </w:tcPr>
          <w:p>
            <w:pPr>
              <w:pStyle w:val="MasttTableCell"/>
              <w:spacing w:before="20" w:after="20"/>
            </w:pPr>
            <w:r/>
            <w:r>
              <w:rPr>
                <w:rFonts w:ascii="Segoe UI" w:hAnsi="Segoe UI"/>
                <w:color w:val="1D3245"/>
                <w:sz w:val="17"/>
              </w:rPr>
              <w:t>G4</w:t>
            </w:r>
          </w:p>
        </w:tc>
      </w:tr>
      <w:tr>
        <w:trPr>
          <w:cantSplit w:val="true"/>
        </w:trPr>
        <w:tc>
          <w:tcPr>
            <w:tcW w:type="dxa" w:w="18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5 Manufacturing and construction</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Construct, supported by contractor design</w:t>
            </w:r>
          </w:p>
        </w:tc>
        <w:tc>
          <w:tcPr>
            <w:tcW w:type="dxa" w:w="31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Shop drawings, contractor design portions, AFC issue, as-built development</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7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G5</w:t>
            </w:r>
          </w:p>
        </w:tc>
      </w:tr>
      <w:tr>
        <w:trPr>
          <w:cantSplit w:val="true"/>
        </w:trPr>
        <w:tc>
          <w:tcPr>
            <w:tcW w:type="dxa" w:w="1888"/>
            <w:tcMar>
              <w:top w:w="40" w:type="dxa"/>
              <w:left w:w="110" w:type="dxa"/>
              <w:bottom w:w="40" w:type="dxa"/>
              <w:right w:w="110" w:type="dxa"/>
            </w:tcMar>
          </w:tcPr>
          <w:p>
            <w:pPr>
              <w:pStyle w:val="MasttTableCell"/>
              <w:spacing w:before="20" w:after="20"/>
            </w:pPr>
            <w:r/>
            <w:r>
              <w:rPr>
                <w:rFonts w:ascii="Segoe UI" w:hAnsi="Segoe UI"/>
                <w:b/>
                <w:color w:val="1D3245"/>
                <w:sz w:val="17"/>
              </w:rPr>
              <w:t>6 Handover</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7"/>
              </w:rPr>
              <w:t>Complete, commission and hand over</w:t>
            </w:r>
          </w:p>
        </w:tc>
        <w:tc>
          <w:tcPr>
            <w:tcW w:type="dxa" w:w="3194"/>
            <w:tcMar>
              <w:top w:w="40" w:type="dxa"/>
              <w:left w:w="110" w:type="dxa"/>
              <w:bottom w:w="40" w:type="dxa"/>
              <w:right w:w="110" w:type="dxa"/>
            </w:tcMar>
          </w:tcPr>
          <w:p>
            <w:pPr>
              <w:pStyle w:val="MasttTableCell"/>
              <w:spacing w:before="20" w:after="20"/>
            </w:pPr>
            <w:r/>
            <w:r>
              <w:rPr>
                <w:rFonts w:ascii="Segoe UI" w:hAnsi="Segoe UI"/>
                <w:color w:val="1D3245"/>
                <w:sz w:val="17"/>
              </w:rPr>
              <w:t>As-built information, O&amp;M manuals, asset data</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 - </w:t>
            </w:r>
          </w:p>
        </w:tc>
        <w:tc>
          <w:tcPr>
            <w:tcW w:type="dxa" w:w="761"/>
            <w:tcMar>
              <w:top w:w="40" w:type="dxa"/>
              <w:left w:w="110" w:type="dxa"/>
              <w:bottom w:w="40" w:type="dxa"/>
              <w:right w:w="110" w:type="dxa"/>
            </w:tcMar>
          </w:tcPr>
          <w:p>
            <w:pPr>
              <w:pStyle w:val="MasttTableCell"/>
              <w:spacing w:before="20" w:after="20"/>
            </w:pPr>
            <w:r/>
            <w:r>
              <w:rPr>
                <w:rFonts w:ascii="Segoe UI" w:hAnsi="Segoe UI"/>
                <w:color w:val="1D3245"/>
                <w:sz w:val="17"/>
              </w:rPr>
              <w:t>G6</w:t>
            </w:r>
          </w:p>
        </w:tc>
      </w:tr>
      <w:tr>
        <w:trPr>
          <w:cantSplit w:val="true"/>
        </w:trPr>
        <w:tc>
          <w:tcPr>
            <w:tcW w:type="dxa" w:w="18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7 Use</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Operate, tune and review performance</w:t>
            </w:r>
          </w:p>
        </w:tc>
        <w:tc>
          <w:tcPr>
            <w:tcW w:type="dxa" w:w="31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Post-occupancy evaluation, performance review</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 - </w:t>
            </w:r>
          </w:p>
        </w:tc>
        <w:tc>
          <w:tcPr>
            <w:tcW w:type="dxa" w:w="7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G7</w:t>
            </w:r>
          </w:p>
        </w:tc>
      </w:tr>
    </w:tbl>
    <w:p>
      <w:pPr>
        <w:rPr>
          <w:sz w:val="8"/>
        </w:rPr>
        <w:spacing w:after="40" w:before="0" w:line="240" w:lineRule="auto"/>
      </w:pPr>
    </w:p>
    <w:p>
      <w:pPr>
        <w:pStyle w:val="Heading2"/>
      </w:pPr>
      <w:r>
        <w:t>7.2  Design responsibility matrix</w:t>
      </w:r>
    </w:p>
    <w:p>
      <w:pPr>
        <w:pStyle w:val="MasttBody"/>
      </w:pPr>
      <w:r>
        <w:t>The design responsibility matrix records, element by element, who designs it, who checks it, who approves it and who warrants it. It is produced before the market approach and updated on award and on any novation.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574"/>
        <w:gridCol w:w="1672"/>
        <w:gridCol w:w="1677"/>
        <w:gridCol w:w="1682"/>
        <w:gridCol w:w="1808"/>
      </w:tblGrid>
      <w:tr>
        <w:trPr>
          <w:tblHeader w:val="true"/>
          <w:cantSplit w:val="true"/>
        </w:trPr>
        <w:tc>
          <w:tcPr>
            <w:tcW w:type="dxa" w:w="257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Element</w:t>
            </w:r>
          </w:p>
        </w:tc>
        <w:tc>
          <w:tcPr>
            <w:tcW w:type="dxa" w:w="167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Design by</w:t>
            </w:r>
          </w:p>
        </w:tc>
        <w:tc>
          <w:tcPr>
            <w:tcW w:type="dxa" w:w="167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Checked by</w:t>
            </w:r>
          </w:p>
        </w:tc>
        <w:tc>
          <w:tcPr>
            <w:tcW w:type="dxa" w:w="168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Approved by</w:t>
            </w:r>
          </w:p>
        </w:tc>
        <w:tc>
          <w:tcPr>
            <w:tcW w:type="dxa" w:w="18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Warranty / certification</w:t>
            </w:r>
          </w:p>
        </w:tc>
      </w:tr>
      <w:tr>
        <w:trPr>
          <w:cantSplit w:val="true"/>
        </w:trPr>
        <w:tc>
          <w:tcPr>
            <w:tcW w:type="dxa" w:w="2573"/>
            <w:tcMar>
              <w:top w:w="40" w:type="dxa"/>
              <w:left w:w="110" w:type="dxa"/>
              <w:bottom w:w="40" w:type="dxa"/>
              <w:right w:w="110" w:type="dxa"/>
            </w:tcMar>
          </w:tcPr>
          <w:p>
            <w:pPr>
              <w:pStyle w:val="MasttTableCell"/>
              <w:spacing w:before="20" w:after="20"/>
            </w:pPr>
            <w:r/>
            <w:r>
              <w:rPr>
                <w:rFonts w:ascii="Segoe UI" w:hAnsi="Segoe UI"/>
                <w:b/>
                <w:color w:val="1D3245"/>
                <w:sz w:val="17"/>
              </w:rPr>
              <w:t>Architectural fabric and finishes</w:t>
            </w:r>
          </w:p>
        </w:tc>
        <w:tc>
          <w:tcPr>
            <w:tcW w:type="dxa" w:w="16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Structural frame and substructure</w:t>
            </w:r>
          </w:p>
        </w:tc>
        <w:tc>
          <w:tcPr>
            <w:tcW w:type="dxa" w:w="16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tcPr>
          <w:p>
            <w:pPr>
              <w:pStyle w:val="MasttTableCell"/>
              <w:spacing w:before="20" w:after="20"/>
            </w:pPr>
            <w:r/>
            <w:r>
              <w:rPr>
                <w:rFonts w:ascii="Segoe UI" w:hAnsi="Segoe UI"/>
                <w:b/>
                <w:color w:val="1D3245"/>
                <w:sz w:val="17"/>
              </w:rPr>
              <w:t>Geotechnical and civil works</w:t>
            </w:r>
          </w:p>
        </w:tc>
        <w:tc>
          <w:tcPr>
            <w:tcW w:type="dxa" w:w="16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Façade and building envelope</w:t>
            </w:r>
          </w:p>
        </w:tc>
        <w:tc>
          <w:tcPr>
            <w:tcW w:type="dxa" w:w="16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tcPr>
          <w:p>
            <w:pPr>
              <w:pStyle w:val="MasttTableCell"/>
              <w:spacing w:before="20" w:after="20"/>
            </w:pPr>
            <w:r/>
            <w:r>
              <w:rPr>
                <w:rFonts w:ascii="Segoe UI" w:hAnsi="Segoe UI"/>
                <w:b/>
                <w:color w:val="1D3245"/>
                <w:sz w:val="17"/>
              </w:rPr>
              <w:t>Mechanical services</w:t>
            </w:r>
          </w:p>
        </w:tc>
        <w:tc>
          <w:tcPr>
            <w:tcW w:type="dxa" w:w="16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Electrical services and power</w:t>
            </w:r>
          </w:p>
        </w:tc>
        <w:tc>
          <w:tcPr>
            <w:tcW w:type="dxa" w:w="16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tcPr>
          <w:p>
            <w:pPr>
              <w:pStyle w:val="MasttTableCell"/>
              <w:spacing w:before="20" w:after="20"/>
            </w:pPr>
            <w:r/>
            <w:r>
              <w:rPr>
                <w:rFonts w:ascii="Segoe UI" w:hAnsi="Segoe UI"/>
                <w:b/>
                <w:color w:val="1D3245"/>
                <w:sz w:val="17"/>
              </w:rPr>
              <w:t>Hydraulic and public health services</w:t>
            </w:r>
          </w:p>
        </w:tc>
        <w:tc>
          <w:tcPr>
            <w:tcW w:type="dxa" w:w="16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Fire engineering and life safety</w:t>
            </w:r>
          </w:p>
        </w:tc>
        <w:tc>
          <w:tcPr>
            <w:tcW w:type="dxa" w:w="16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tcPr>
          <w:p>
            <w:pPr>
              <w:pStyle w:val="MasttTableCell"/>
              <w:spacing w:before="20" w:after="20"/>
            </w:pPr>
            <w:r/>
            <w:r>
              <w:rPr>
                <w:rFonts w:ascii="Segoe UI" w:hAnsi="Segoe UI"/>
                <w:b/>
                <w:color w:val="1D3245"/>
                <w:sz w:val="17"/>
              </w:rPr>
              <w:t>Vertical transportation</w:t>
            </w:r>
          </w:p>
        </w:tc>
        <w:tc>
          <w:tcPr>
            <w:tcW w:type="dxa" w:w="16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Controls, BMS and digital systems</w:t>
            </w:r>
          </w:p>
        </w:tc>
        <w:tc>
          <w:tcPr>
            <w:tcW w:type="dxa" w:w="16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tcPr>
          <w:p>
            <w:pPr>
              <w:pStyle w:val="MasttTableCell"/>
              <w:spacing w:before="20" w:after="20"/>
            </w:pPr>
            <w:r/>
            <w:r>
              <w:rPr>
                <w:rFonts w:ascii="Segoe UI" w:hAnsi="Segoe UI"/>
                <w:b/>
                <w:color w:val="1D3245"/>
                <w:sz w:val="17"/>
              </w:rPr>
              <w:t>Security and access control</w:t>
            </w:r>
          </w:p>
        </w:tc>
        <w:tc>
          <w:tcPr>
            <w:tcW w:type="dxa" w:w="16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Specialist / process equipment</w:t>
            </w:r>
          </w:p>
        </w:tc>
        <w:tc>
          <w:tcPr>
            <w:tcW w:type="dxa" w:w="16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tcPr>
          <w:p>
            <w:pPr>
              <w:pStyle w:val="MasttTableCell"/>
              <w:spacing w:before="20" w:after="20"/>
            </w:pPr>
            <w:r/>
            <w:r>
              <w:rPr>
                <w:rFonts w:ascii="Segoe UI" w:hAnsi="Segoe UI"/>
                <w:b/>
                <w:color w:val="1D3245"/>
                <w:sz w:val="17"/>
              </w:rPr>
              <w:t>Temporary works</w:t>
            </w:r>
          </w:p>
        </w:tc>
        <w:tc>
          <w:tcPr>
            <w:tcW w:type="dxa" w:w="16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Landscape and external works</w:t>
            </w:r>
          </w:p>
        </w:tc>
        <w:tc>
          <w:tcPr>
            <w:tcW w:type="dxa" w:w="16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7.3  Design brief and requirements traceability</w:t>
      </w:r>
    </w:p>
    <w:p>
      <w:pPr>
        <w:pStyle w:val="ListBullet"/>
        <w:spacing w:after="60"/>
        <w:ind w:left="340"/>
      </w:pPr>
      <w:r>
        <w:rPr>
          <w:rFonts w:ascii="Segoe UI" w:hAnsi="Segoe UI"/>
          <w:color w:val="1D3245"/>
          <w:sz w:val="20"/>
        </w:rPr>
        <w:t>Every requirement in the design brief is uniquely numbered and carries a source, a priority (mandatory / desirable) and an owner.</w:t>
      </w:r>
    </w:p>
    <w:p>
      <w:pPr>
        <w:pStyle w:val="ListBullet"/>
        <w:spacing w:after="60"/>
        <w:ind w:left="340"/>
      </w:pPr>
      <w:r>
        <w:rPr>
          <w:rFonts w:ascii="Segoe UI" w:hAnsi="Segoe UI"/>
          <w:color w:val="1D3245"/>
          <w:sz w:val="20"/>
        </w:rPr>
        <w:t>A requirements traceability matrix links each requirement to the design element that satisfies it, the verification method and the evidence at handover.</w:t>
      </w:r>
    </w:p>
    <w:p>
      <w:pPr>
        <w:pStyle w:val="ListBullet"/>
        <w:spacing w:after="60"/>
        <w:ind w:left="340"/>
      </w:pPr>
      <w:r>
        <w:rPr>
          <w:rFonts w:ascii="Segoe UI" w:hAnsi="Segoe UI"/>
          <w:color w:val="1D3245"/>
          <w:sz w:val="20"/>
        </w:rPr>
        <w:t>The matrix is reviewed at every design gate; a stage cannot be closed with unresolved mandatory requirements.</w:t>
      </w:r>
    </w:p>
    <w:p>
      <w:pPr>
        <w:pStyle w:val="ListBullet"/>
        <w:spacing w:after="60"/>
        <w:ind w:left="340"/>
      </w:pPr>
      <w:r>
        <w:rPr>
          <w:rFonts w:ascii="Segoe UI" w:hAnsi="Segoe UI"/>
          <w:color w:val="1D3245"/>
          <w:sz w:val="20"/>
        </w:rPr>
        <w:t>Changes to the brief are managed under Section 18, not by design development.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998"/>
        <w:gridCol w:w="1991"/>
        <w:gridCol w:w="1057"/>
        <w:gridCol w:w="1213"/>
        <w:gridCol w:w="1465"/>
        <w:gridCol w:w="1689"/>
        <w:gridCol w:w="998"/>
      </w:tblGrid>
      <w:tr>
        <w:trPr>
          <w:tblHeader w:val="true"/>
          <w:cantSplit w:val="true"/>
        </w:trPr>
        <w:tc>
          <w:tcPr>
            <w:tcW w:type="dxa" w:w="99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Req ID</w:t>
            </w:r>
          </w:p>
        </w:tc>
        <w:tc>
          <w:tcPr>
            <w:tcW w:type="dxa" w:w="199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Requirement</w:t>
            </w:r>
          </w:p>
        </w:tc>
        <w:tc>
          <w:tcPr>
            <w:tcW w:type="dxa" w:w="10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Source</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Priority</w:t>
            </w:r>
          </w:p>
        </w:tc>
        <w:tc>
          <w:tcPr>
            <w:tcW w:type="dxa" w:w="146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Satisfied by</w:t>
            </w:r>
          </w:p>
        </w:tc>
        <w:tc>
          <w:tcPr>
            <w:tcW w:type="dxa" w:w="168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Verification method</w:t>
            </w:r>
          </w:p>
        </w:tc>
        <w:tc>
          <w:tcPr>
            <w:tcW w:type="dxa" w:w="99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Status</w:t>
            </w:r>
          </w:p>
        </w:tc>
      </w:tr>
      <w:tr>
        <w:trPr>
          <w:cantSplit w:val="true"/>
        </w:trPr>
        <w:tc>
          <w:tcPr>
            <w:tcW w:type="dxa" w:w="998"/>
            <w:tcMar>
              <w:top w:w="40" w:type="dxa"/>
              <w:left w:w="110" w:type="dxa"/>
              <w:bottom w:w="40" w:type="dxa"/>
              <w:right w:w="110" w:type="dxa"/>
            </w:tcMar>
          </w:tcPr>
          <w:p>
            <w:pPr>
              <w:pStyle w:val="MasttTableCell"/>
              <w:spacing w:before="20" w:after="20"/>
            </w:pPr>
            <w:r/>
            <w:r>
              <w:rPr>
                <w:rFonts w:ascii="Segoe UI" w:hAnsi="Segoe UI"/>
                <w:b/>
                <w:color w:val="1D3245"/>
                <w:sz w:val="17"/>
              </w:rPr>
              <w:t>REQ-001</w:t>
            </w:r>
          </w:p>
        </w:tc>
        <w:tc>
          <w:tcPr>
            <w:tcW w:type="dxa" w:w="199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6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9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99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REQ-002</w:t>
            </w:r>
          </w:p>
        </w:tc>
        <w:tc>
          <w:tcPr>
            <w:tcW w:type="dxa" w:w="19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998"/>
            <w:tcMar>
              <w:top w:w="40" w:type="dxa"/>
              <w:left w:w="110" w:type="dxa"/>
              <w:bottom w:w="40" w:type="dxa"/>
              <w:right w:w="110" w:type="dxa"/>
            </w:tcMar>
          </w:tcPr>
          <w:p>
            <w:pPr>
              <w:pStyle w:val="MasttTableCell"/>
              <w:spacing w:before="20" w:after="20"/>
            </w:pPr>
            <w:r/>
            <w:r>
              <w:rPr>
                <w:rFonts w:ascii="Segoe UI" w:hAnsi="Segoe UI"/>
                <w:b/>
                <w:color w:val="1D3245"/>
                <w:sz w:val="17"/>
              </w:rPr>
              <w:t>REQ-003</w:t>
            </w:r>
          </w:p>
        </w:tc>
        <w:tc>
          <w:tcPr>
            <w:tcW w:type="dxa" w:w="199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6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8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9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99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REQ-004</w:t>
            </w:r>
          </w:p>
        </w:tc>
        <w:tc>
          <w:tcPr>
            <w:tcW w:type="dxa" w:w="19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8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7.4  Design review and approval</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Design review is a control, not a courtesy. Set the review period, the comment format and the closure discipline in advance, and hold to them. Comments that are not closed with a documented response become claims and defects.</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53"/>
        <w:gridCol w:w="2207"/>
        <w:gridCol w:w="2016"/>
        <w:gridCol w:w="1561"/>
        <w:gridCol w:w="1575"/>
      </w:tblGrid>
      <w:tr>
        <w:trPr>
          <w:tblHeader w:val="true"/>
          <w:cantSplit w:val="true"/>
        </w:trPr>
        <w:tc>
          <w:tcPr>
            <w:tcW w:type="dxa" w:w="20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Review type</w:t>
            </w:r>
          </w:p>
        </w:tc>
        <w:tc>
          <w:tcPr>
            <w:tcW w:type="dxa" w:w="220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Purpose</w:t>
            </w:r>
          </w:p>
        </w:tc>
        <w:tc>
          <w:tcPr>
            <w:tcW w:type="dxa" w:w="201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Participants</w:t>
            </w:r>
          </w:p>
        </w:tc>
        <w:tc>
          <w:tcPr>
            <w:tcW w:type="dxa" w:w="15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Timing</w:t>
            </w:r>
          </w:p>
        </w:tc>
        <w:tc>
          <w:tcPr>
            <w:tcW w:type="dxa" w:w="15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Output</w:t>
            </w:r>
          </w:p>
        </w:tc>
      </w:tr>
      <w:tr>
        <w:trPr>
          <w:cantSplit w:val="true"/>
        </w:trPr>
        <w:tc>
          <w:tcPr>
            <w:tcW w:type="dxa" w:w="2053"/>
            <w:tcMar>
              <w:top w:w="40" w:type="dxa"/>
              <w:left w:w="110" w:type="dxa"/>
              <w:bottom w:w="40" w:type="dxa"/>
              <w:right w:w="110" w:type="dxa"/>
            </w:tcMar>
          </w:tcPr>
          <w:p>
            <w:pPr>
              <w:pStyle w:val="MasttTableCell"/>
              <w:spacing w:before="20" w:after="20"/>
            </w:pPr>
            <w:r/>
            <w:r>
              <w:rPr>
                <w:rFonts w:ascii="Segoe UI" w:hAnsi="Segoe UI"/>
                <w:b/>
                <w:color w:val="1D3245"/>
                <w:sz w:val="17"/>
              </w:rPr>
              <w:t>Brief compliance review</w:t>
            </w:r>
          </w:p>
        </w:tc>
        <w:tc>
          <w:tcPr>
            <w:tcW w:type="dxa" w:w="2207"/>
            <w:tcMar>
              <w:top w:w="40" w:type="dxa"/>
              <w:left w:w="110" w:type="dxa"/>
              <w:bottom w:w="40" w:type="dxa"/>
              <w:right w:w="110" w:type="dxa"/>
            </w:tcMar>
          </w:tcPr>
          <w:p>
            <w:pPr>
              <w:pStyle w:val="MasttTableCell"/>
              <w:spacing w:before="20" w:after="20"/>
            </w:pPr>
            <w:r/>
            <w:r>
              <w:rPr>
                <w:rFonts w:ascii="Segoe UI" w:hAnsi="Segoe UI"/>
                <w:color w:val="1D3245"/>
                <w:sz w:val="17"/>
              </w:rPr>
              <w:t>Confirm the design meets mandatory requirements</w:t>
            </w:r>
          </w:p>
        </w:tc>
        <w:tc>
          <w:tcPr>
            <w:tcW w:type="dxa" w:w="2016"/>
            <w:tcMar>
              <w:top w:w="40" w:type="dxa"/>
              <w:left w:w="110" w:type="dxa"/>
              <w:bottom w:w="40" w:type="dxa"/>
              <w:right w:w="110" w:type="dxa"/>
            </w:tcMar>
          </w:tcPr>
          <w:p>
            <w:pPr>
              <w:pStyle w:val="MasttTableCell"/>
              <w:spacing w:before="20" w:after="20"/>
            </w:pPr>
            <w:r/>
            <w:r>
              <w:rPr>
                <w:rFonts w:ascii="Segoe UI" w:hAnsi="Segoe UI"/>
                <w:color w:val="1D3245"/>
                <w:sz w:val="17"/>
              </w:rPr>
              <w:t>Design Manager, client user representatives</w:t>
            </w:r>
          </w:p>
        </w:tc>
        <w:tc>
          <w:tcPr>
            <w:tcW w:type="dxa" w:w="1561"/>
            <w:tcMar>
              <w:top w:w="40" w:type="dxa"/>
              <w:left w:w="110" w:type="dxa"/>
              <w:bottom w:w="40" w:type="dxa"/>
              <w:right w:w="110" w:type="dxa"/>
            </w:tcMar>
          </w:tcPr>
          <w:p>
            <w:pPr>
              <w:pStyle w:val="MasttTableCell"/>
              <w:spacing w:before="20" w:after="20"/>
            </w:pPr>
            <w:r/>
            <w:r>
              <w:rPr>
                <w:rFonts w:ascii="Segoe UI" w:hAnsi="Segoe UI"/>
                <w:color w:val="1D3245"/>
                <w:sz w:val="17"/>
              </w:rPr>
              <w:t>End of each stage</w:t>
            </w:r>
          </w:p>
        </w:tc>
        <w:tc>
          <w:tcPr>
            <w:tcW w:type="dxa" w:w="1574"/>
            <w:tcMar>
              <w:top w:w="40" w:type="dxa"/>
              <w:left w:w="110" w:type="dxa"/>
              <w:bottom w:w="40" w:type="dxa"/>
              <w:right w:w="110" w:type="dxa"/>
            </w:tcMar>
          </w:tcPr>
          <w:p>
            <w:pPr>
              <w:pStyle w:val="MasttTableCell"/>
              <w:spacing w:before="20" w:after="20"/>
            </w:pPr>
            <w:r/>
            <w:r>
              <w:rPr>
                <w:rFonts w:ascii="Segoe UI" w:hAnsi="Segoe UI"/>
                <w:color w:val="1D3245"/>
                <w:sz w:val="17"/>
              </w:rPr>
              <w:t>Compliance matrix</w:t>
            </w:r>
          </w:p>
        </w:tc>
      </w:tr>
      <w:tr>
        <w:trPr>
          <w:cantSplit w:val="true"/>
        </w:trPr>
        <w:tc>
          <w:tcPr>
            <w:tcW w:type="dxa" w:w="205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Technical / peer review</w:t>
            </w:r>
          </w:p>
        </w:tc>
        <w:tc>
          <w:tcPr>
            <w:tcW w:type="dxa" w:w="22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Confirm technical adequacy and standards compliance</w:t>
            </w:r>
          </w:p>
        </w:tc>
        <w:tc>
          <w:tcPr>
            <w:tcW w:type="dxa" w:w="20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Independent discipline reviewers</w:t>
            </w:r>
          </w:p>
        </w:tc>
        <w:tc>
          <w:tcPr>
            <w:tcW w:type="dxa" w:w="15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Stages 2, 3 and 4</w:t>
            </w:r>
          </w:p>
        </w:tc>
        <w:tc>
          <w:tcPr>
            <w:tcW w:type="dxa" w:w="15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Review report and comment register</w:t>
            </w:r>
          </w:p>
        </w:tc>
      </w:tr>
      <w:tr>
        <w:trPr>
          <w:cantSplit w:val="true"/>
        </w:trPr>
        <w:tc>
          <w:tcPr>
            <w:tcW w:type="dxa" w:w="2053"/>
            <w:tcMar>
              <w:top w:w="40" w:type="dxa"/>
              <w:left w:w="110" w:type="dxa"/>
              <w:bottom w:w="40" w:type="dxa"/>
              <w:right w:w="110" w:type="dxa"/>
            </w:tcMar>
          </w:tcPr>
          <w:p>
            <w:pPr>
              <w:pStyle w:val="MasttTableCell"/>
              <w:spacing w:before="20" w:after="20"/>
            </w:pPr>
            <w:r/>
            <w:r>
              <w:rPr>
                <w:rFonts w:ascii="Segoe UI" w:hAnsi="Segoe UI"/>
                <w:b/>
                <w:color w:val="1D3245"/>
                <w:sz w:val="17"/>
              </w:rPr>
              <w:t>Interdisciplinary coordination review</w:t>
            </w:r>
          </w:p>
        </w:tc>
        <w:tc>
          <w:tcPr>
            <w:tcW w:type="dxa" w:w="2207"/>
            <w:tcMar>
              <w:top w:w="40" w:type="dxa"/>
              <w:left w:w="110" w:type="dxa"/>
              <w:bottom w:w="40" w:type="dxa"/>
              <w:right w:w="110" w:type="dxa"/>
            </w:tcMar>
          </w:tcPr>
          <w:p>
            <w:pPr>
              <w:pStyle w:val="MasttTableCell"/>
              <w:spacing w:before="20" w:after="20"/>
            </w:pPr>
            <w:r/>
            <w:r>
              <w:rPr>
                <w:rFonts w:ascii="Segoe UI" w:hAnsi="Segoe UI"/>
                <w:color w:val="1D3245"/>
                <w:sz w:val="17"/>
              </w:rPr>
              <w:t>Confirm the design is spatially and functionally coordinated</w:t>
            </w:r>
          </w:p>
        </w:tc>
        <w:tc>
          <w:tcPr>
            <w:tcW w:type="dxa" w:w="2016"/>
            <w:tcMar>
              <w:top w:w="40" w:type="dxa"/>
              <w:left w:w="110" w:type="dxa"/>
              <w:bottom w:w="40" w:type="dxa"/>
              <w:right w:w="110" w:type="dxa"/>
            </w:tcMar>
          </w:tcPr>
          <w:p>
            <w:pPr>
              <w:pStyle w:val="MasttTableCell"/>
              <w:spacing w:before="20" w:after="20"/>
            </w:pPr>
            <w:r/>
            <w:r>
              <w:rPr>
                <w:rFonts w:ascii="Segoe UI" w:hAnsi="Segoe UI"/>
                <w:color w:val="1D3245"/>
                <w:sz w:val="17"/>
              </w:rPr>
              <w:t>All disciplines, Information Manager</w:t>
            </w:r>
          </w:p>
        </w:tc>
        <w:tc>
          <w:tcPr>
            <w:tcW w:type="dxa" w:w="1561"/>
            <w:tcMar>
              <w:top w:w="40" w:type="dxa"/>
              <w:left w:w="110" w:type="dxa"/>
              <w:bottom w:w="40" w:type="dxa"/>
              <w:right w:w="110" w:type="dxa"/>
            </w:tcMar>
          </w:tcPr>
          <w:p>
            <w:pPr>
              <w:pStyle w:val="MasttTableCell"/>
              <w:spacing w:before="20" w:after="20"/>
            </w:pPr>
            <w:r/>
            <w:r>
              <w:rPr>
                <w:rFonts w:ascii="Segoe UI" w:hAnsi="Segoe UI"/>
                <w:color w:val="1D3245"/>
                <w:sz w:val="17"/>
              </w:rPr>
              <w:t>Every model federation cycle</w:t>
            </w:r>
          </w:p>
        </w:tc>
        <w:tc>
          <w:tcPr>
            <w:tcW w:type="dxa" w:w="1574"/>
            <w:tcMar>
              <w:top w:w="40" w:type="dxa"/>
              <w:left w:w="110" w:type="dxa"/>
              <w:bottom w:w="40" w:type="dxa"/>
              <w:right w:w="110" w:type="dxa"/>
            </w:tcMar>
          </w:tcPr>
          <w:p>
            <w:pPr>
              <w:pStyle w:val="MasttTableCell"/>
              <w:spacing w:before="20" w:after="20"/>
            </w:pPr>
            <w:r/>
            <w:r>
              <w:rPr>
                <w:rFonts w:ascii="Segoe UI" w:hAnsi="Segoe UI"/>
                <w:color w:val="1D3245"/>
                <w:sz w:val="17"/>
              </w:rPr>
              <w:t>Clash report</w:t>
            </w:r>
          </w:p>
        </w:tc>
      </w:tr>
      <w:tr>
        <w:trPr>
          <w:cantSplit w:val="true"/>
        </w:trPr>
        <w:tc>
          <w:tcPr>
            <w:tcW w:type="dxa" w:w="205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Buildability / constructability review</w:t>
            </w:r>
          </w:p>
        </w:tc>
        <w:tc>
          <w:tcPr>
            <w:tcW w:type="dxa" w:w="22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Confirm the design can be built safely, efficiently and in sequence</w:t>
            </w:r>
          </w:p>
        </w:tc>
        <w:tc>
          <w:tcPr>
            <w:tcW w:type="dxa" w:w="20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 or construction adviser, HSE Manager</w:t>
            </w:r>
          </w:p>
        </w:tc>
        <w:tc>
          <w:tcPr>
            <w:tcW w:type="dxa" w:w="15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Stages 2, 3 and 4</w:t>
            </w:r>
          </w:p>
        </w:tc>
        <w:tc>
          <w:tcPr>
            <w:tcW w:type="dxa" w:w="15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Buildability report</w:t>
            </w:r>
          </w:p>
        </w:tc>
      </w:tr>
      <w:tr>
        <w:trPr>
          <w:cantSplit w:val="true"/>
        </w:trPr>
        <w:tc>
          <w:tcPr>
            <w:tcW w:type="dxa" w:w="2053"/>
            <w:tcMar>
              <w:top w:w="40" w:type="dxa"/>
              <w:left w:w="110" w:type="dxa"/>
              <w:bottom w:w="40" w:type="dxa"/>
              <w:right w:w="110" w:type="dxa"/>
            </w:tcMar>
          </w:tcPr>
          <w:p>
            <w:pPr>
              <w:pStyle w:val="MasttTableCell"/>
              <w:spacing w:before="20" w:after="20"/>
            </w:pPr>
            <w:r/>
            <w:r>
              <w:rPr>
                <w:rFonts w:ascii="Segoe UI" w:hAnsi="Segoe UI"/>
                <w:b/>
                <w:color w:val="1D3245"/>
                <w:sz w:val="17"/>
              </w:rPr>
              <w:t>Safety in design review</w:t>
            </w:r>
          </w:p>
        </w:tc>
        <w:tc>
          <w:tcPr>
            <w:tcW w:type="dxa" w:w="2207"/>
            <w:tcMar>
              <w:top w:w="40" w:type="dxa"/>
              <w:left w:w="110" w:type="dxa"/>
              <w:bottom w:w="40" w:type="dxa"/>
              <w:right w:w="110" w:type="dxa"/>
            </w:tcMar>
          </w:tcPr>
          <w:p>
            <w:pPr>
              <w:pStyle w:val="MasttTableCell"/>
              <w:spacing w:before="20" w:after="20"/>
            </w:pPr>
            <w:r/>
            <w:r>
              <w:rPr>
                <w:rFonts w:ascii="Segoe UI" w:hAnsi="Segoe UI"/>
                <w:color w:val="1D3245"/>
                <w:sz w:val="17"/>
              </w:rPr>
              <w:t>Eliminate or reduce risk at source</w:t>
            </w:r>
          </w:p>
        </w:tc>
        <w:tc>
          <w:tcPr>
            <w:tcW w:type="dxa" w:w="2016"/>
            <w:tcMar>
              <w:top w:w="40" w:type="dxa"/>
              <w:left w:w="110" w:type="dxa"/>
              <w:bottom w:w="40" w:type="dxa"/>
              <w:right w:w="110" w:type="dxa"/>
            </w:tcMar>
          </w:tcPr>
          <w:p>
            <w:pPr>
              <w:pStyle w:val="MasttTableCell"/>
              <w:spacing w:before="20" w:after="20"/>
            </w:pPr>
            <w:r/>
            <w:r>
              <w:rPr>
                <w:rFonts w:ascii="Segoe UI" w:hAnsi="Segoe UI"/>
                <w:color w:val="1D3245"/>
                <w:sz w:val="17"/>
              </w:rPr>
              <w:t>Designers, HSE Manager, constructor, operator</w:t>
            </w:r>
          </w:p>
        </w:tc>
        <w:tc>
          <w:tcPr>
            <w:tcW w:type="dxa" w:w="1561"/>
            <w:tcMar>
              <w:top w:w="40" w:type="dxa"/>
              <w:left w:w="110" w:type="dxa"/>
              <w:bottom w:w="40" w:type="dxa"/>
              <w:right w:w="110" w:type="dxa"/>
            </w:tcMar>
          </w:tcPr>
          <w:p>
            <w:pPr>
              <w:pStyle w:val="MasttTableCell"/>
              <w:spacing w:before="20" w:after="20"/>
            </w:pPr>
            <w:r/>
            <w:r>
              <w:rPr>
                <w:rFonts w:ascii="Segoe UI" w:hAnsi="Segoe UI"/>
                <w:color w:val="1D3245"/>
                <w:sz w:val="17"/>
              </w:rPr>
              <w:t>Each stage and on material change</w:t>
            </w:r>
          </w:p>
        </w:tc>
        <w:tc>
          <w:tcPr>
            <w:tcW w:type="dxa" w:w="1574"/>
            <w:tcMar>
              <w:top w:w="40" w:type="dxa"/>
              <w:left w:w="110" w:type="dxa"/>
              <w:bottom w:w="40" w:type="dxa"/>
              <w:right w:w="110" w:type="dxa"/>
            </w:tcMar>
          </w:tcPr>
          <w:p>
            <w:pPr>
              <w:pStyle w:val="MasttTableCell"/>
              <w:spacing w:before="20" w:after="20"/>
            </w:pPr>
            <w:r/>
            <w:r>
              <w:rPr>
                <w:rFonts w:ascii="Segoe UI" w:hAnsi="Segoe UI"/>
                <w:color w:val="1D3245"/>
                <w:sz w:val="17"/>
              </w:rPr>
              <w:t>Design risk register</w:t>
            </w:r>
          </w:p>
        </w:tc>
      </w:tr>
      <w:tr>
        <w:trPr>
          <w:cantSplit w:val="true"/>
        </w:trPr>
        <w:tc>
          <w:tcPr>
            <w:tcW w:type="dxa" w:w="205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Operability and maintainability review</w:t>
            </w:r>
          </w:p>
        </w:tc>
        <w:tc>
          <w:tcPr>
            <w:tcW w:type="dxa" w:w="22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Confirm the asset can be operated and maintained</w:t>
            </w:r>
          </w:p>
        </w:tc>
        <w:tc>
          <w:tcPr>
            <w:tcW w:type="dxa" w:w="20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 FM, commissioning</w:t>
            </w:r>
          </w:p>
        </w:tc>
        <w:tc>
          <w:tcPr>
            <w:tcW w:type="dxa" w:w="15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Stages 3 and 4</w:t>
            </w:r>
          </w:p>
        </w:tc>
        <w:tc>
          <w:tcPr>
            <w:tcW w:type="dxa" w:w="15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Operability comments</w:t>
            </w:r>
          </w:p>
        </w:tc>
      </w:tr>
      <w:tr>
        <w:trPr>
          <w:cantSplit w:val="true"/>
        </w:trPr>
        <w:tc>
          <w:tcPr>
            <w:tcW w:type="dxa" w:w="2053"/>
            <w:tcMar>
              <w:top w:w="40" w:type="dxa"/>
              <w:left w:w="110" w:type="dxa"/>
              <w:bottom w:w="40" w:type="dxa"/>
              <w:right w:w="110" w:type="dxa"/>
            </w:tcMar>
          </w:tcPr>
          <w:p>
            <w:pPr>
              <w:pStyle w:val="MasttTableCell"/>
              <w:spacing w:before="20" w:after="20"/>
            </w:pPr>
            <w:r/>
            <w:r>
              <w:rPr>
                <w:rFonts w:ascii="Segoe UI" w:hAnsi="Segoe UI"/>
                <w:b/>
                <w:color w:val="1D3245"/>
                <w:sz w:val="17"/>
              </w:rPr>
              <w:t>Value management review</w:t>
            </w:r>
          </w:p>
        </w:tc>
        <w:tc>
          <w:tcPr>
            <w:tcW w:type="dxa" w:w="2207"/>
            <w:tcMar>
              <w:top w:w="40" w:type="dxa"/>
              <w:left w:w="110" w:type="dxa"/>
              <w:bottom w:w="40" w:type="dxa"/>
              <w:right w:w="110" w:type="dxa"/>
            </w:tcMar>
          </w:tcPr>
          <w:p>
            <w:pPr>
              <w:pStyle w:val="MasttTableCell"/>
              <w:spacing w:before="20" w:after="20"/>
            </w:pPr>
            <w:r/>
            <w:r>
              <w:rPr>
                <w:rFonts w:ascii="Segoe UI" w:hAnsi="Segoe UI"/>
                <w:color w:val="1D3245"/>
                <w:sz w:val="17"/>
              </w:rPr>
              <w:t>Confirm the design delivers required function at best value</w:t>
            </w:r>
          </w:p>
        </w:tc>
        <w:tc>
          <w:tcPr>
            <w:tcW w:type="dxa" w:w="2016"/>
            <w:tcMar>
              <w:top w:w="40" w:type="dxa"/>
              <w:left w:w="110" w:type="dxa"/>
              <w:bottom w:w="40" w:type="dxa"/>
              <w:right w:w="110" w:type="dxa"/>
            </w:tcMar>
          </w:tcPr>
          <w:p>
            <w:pPr>
              <w:pStyle w:val="MasttTableCell"/>
              <w:spacing w:before="20" w:after="20"/>
            </w:pPr>
            <w:r/>
            <w:r>
              <w:rPr>
                <w:rFonts w:ascii="Segoe UI" w:hAnsi="Segoe UI"/>
                <w:color w:val="1D3245"/>
                <w:sz w:val="17"/>
              </w:rPr>
              <w:t>Full team, facilitated</w:t>
            </w:r>
          </w:p>
        </w:tc>
        <w:tc>
          <w:tcPr>
            <w:tcW w:type="dxa" w:w="1561"/>
            <w:tcMar>
              <w:top w:w="40" w:type="dxa"/>
              <w:left w:w="110" w:type="dxa"/>
              <w:bottom w:w="40" w:type="dxa"/>
              <w:right w:w="110" w:type="dxa"/>
            </w:tcMar>
          </w:tcPr>
          <w:p>
            <w:pPr>
              <w:pStyle w:val="MasttTableCell"/>
              <w:spacing w:before="20" w:after="20"/>
            </w:pPr>
            <w:r/>
            <w:r>
              <w:rPr>
                <w:rFonts w:ascii="Segoe UI" w:hAnsi="Segoe UI"/>
                <w:color w:val="1D3245"/>
                <w:sz w:val="17"/>
              </w:rPr>
              <w:t>End of stages 2 and 3</w:t>
            </w:r>
          </w:p>
        </w:tc>
        <w:tc>
          <w:tcPr>
            <w:tcW w:type="dxa" w:w="1574"/>
            <w:tcMar>
              <w:top w:w="40" w:type="dxa"/>
              <w:left w:w="110" w:type="dxa"/>
              <w:bottom w:w="40" w:type="dxa"/>
              <w:right w:w="110" w:type="dxa"/>
            </w:tcMar>
          </w:tcPr>
          <w:p>
            <w:pPr>
              <w:pStyle w:val="MasttTableCell"/>
              <w:spacing w:before="20" w:after="20"/>
            </w:pPr>
            <w:r/>
            <w:r>
              <w:rPr>
                <w:rFonts w:ascii="Segoe UI" w:hAnsi="Segoe UI"/>
                <w:color w:val="1D3245"/>
                <w:sz w:val="17"/>
              </w:rPr>
              <w:t>Value register</w:t>
            </w:r>
          </w:p>
        </w:tc>
      </w:tr>
      <w:tr>
        <w:trPr>
          <w:cantSplit w:val="true"/>
        </w:trPr>
        <w:tc>
          <w:tcPr>
            <w:tcW w:type="dxa" w:w="205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Statutory and consent review</w:t>
            </w:r>
          </w:p>
        </w:tc>
        <w:tc>
          <w:tcPr>
            <w:tcW w:type="dxa" w:w="22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Confirm compliance with approvals and codes</w:t>
            </w:r>
          </w:p>
        </w:tc>
        <w:tc>
          <w:tcPr>
            <w:tcW w:type="dxa" w:w="20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Planning Lead, certifier</w:t>
            </w:r>
          </w:p>
        </w:tc>
        <w:tc>
          <w:tcPr>
            <w:tcW w:type="dxa" w:w="15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submission and before AFC</w:t>
            </w:r>
          </w:p>
        </w:tc>
        <w:tc>
          <w:tcPr>
            <w:tcW w:type="dxa" w:w="15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Compliance statement</w:t>
            </w:r>
          </w:p>
        </w:tc>
      </w:tr>
    </w:tbl>
    <w:p>
      <w:pPr>
        <w:rPr>
          <w:sz w:val="8"/>
        </w:rPr>
        <w:spacing w:after="40" w:before="0" w:line="240" w:lineRule="auto"/>
      </w:pPr>
    </w:p>
    <w:p>
      <w:pPr>
        <w:pStyle w:val="ListBullet"/>
        <w:spacing w:after="60"/>
        <w:ind w:left="340"/>
      </w:pPr>
      <w:r>
        <w:rPr>
          <w:rFonts w:ascii="Segoe UI" w:hAnsi="Segoe UI"/>
          <w:color w:val="1D3245"/>
          <w:sz w:val="20"/>
        </w:rPr>
        <w:t>Reviewers are given a defined review period - typically 10 working days for a stage deliverable and 5 for a package - measured from issue in the common data environment.</w:t>
      </w:r>
    </w:p>
    <w:p>
      <w:pPr>
        <w:pStyle w:val="ListBullet"/>
        <w:spacing w:after="60"/>
        <w:ind w:left="340"/>
      </w:pPr>
      <w:r>
        <w:rPr>
          <w:rFonts w:ascii="Segoe UI" w:hAnsi="Segoe UI"/>
          <w:color w:val="1D3245"/>
          <w:sz w:val="20"/>
        </w:rPr>
        <w:t>Comments are raised in a single consolidated comment register in the agreed format; comments raised outside the register are not actioned.</w:t>
      </w:r>
    </w:p>
    <w:p>
      <w:pPr>
        <w:pStyle w:val="ListBullet"/>
        <w:spacing w:after="60"/>
        <w:ind w:left="340"/>
      </w:pPr>
      <w:r>
        <w:rPr>
          <w:rFonts w:ascii="Segoe UI" w:hAnsi="Segoe UI"/>
          <w:color w:val="1D3245"/>
          <w:sz w:val="20"/>
        </w:rPr>
        <w:t>Each comment receives a documented response: accepted, accepted with amendment, or rejected with reason. Rejected comments are escalated to the Design Manager for resolution.</w:t>
      </w:r>
    </w:p>
    <w:p>
      <w:pPr>
        <w:pStyle w:val="ListBullet"/>
        <w:spacing w:after="60"/>
        <w:ind w:left="340"/>
      </w:pPr>
      <w:r>
        <w:rPr>
          <w:rFonts w:ascii="Segoe UI" w:hAnsi="Segoe UI"/>
          <w:color w:val="1D3245"/>
          <w:sz w:val="20"/>
        </w:rPr>
        <w:t>No design is issued for construction with open mandatory comments.</w:t>
      </w:r>
    </w:p>
    <w:p>
      <w:pPr>
        <w:pStyle w:val="Heading2"/>
      </w:pPr>
      <w:r>
        <w:t>7.5  Design freeze and change discipline</w:t>
      </w:r>
    </w:p>
    <w:p>
      <w:pPr>
        <w:pStyle w:val="MasttBody"/>
      </w:pPr>
      <w:r>
        <w:t>Design freeze is applied progressively, element by element, as each reaches the maturity required by the procurement and construction programme. After freeze, any change requires a change request under Section 18 with a full impact assessment, regardless of whether the change is cost-neutral.</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268"/>
        <w:gridCol w:w="1928"/>
        <w:gridCol w:w="1247"/>
        <w:gridCol w:w="1474"/>
        <w:gridCol w:w="2495"/>
      </w:tblGrid>
      <w:tr>
        <w:trPr>
          <w:tblHeader w:val="true"/>
          <w:cantSplit w:val="true"/>
        </w:trPr>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Element / package</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Freeze point</w:t>
            </w:r>
          </w:p>
        </w:tc>
        <w:tc>
          <w:tcPr>
            <w:tcW w:type="dxa" w:w="12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Freeze date</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Approved by</w:t>
            </w:r>
          </w:p>
        </w:tc>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Change after freeze requires</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Spatial layout and gross areas</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End of stage 3</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Sponsor approval</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Structural grid and load paths</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End of stage 3</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 approval</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Façade system</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Before façade procurement</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Project Director approval</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Services capacity and plant selection</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services procurement</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 approval</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Room data and equipment schedules</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Before fit-out procurement</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Project Manager approval</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Finishes and specification</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AFC issue</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 approval</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7.6  Value engineering and value management</w:t>
      </w:r>
    </w:p>
    <w:p>
      <w:pPr>
        <w:pStyle w:val="ListBullet"/>
        <w:spacing w:after="60"/>
        <w:ind w:left="340"/>
      </w:pPr>
      <w:r>
        <w:rPr>
          <w:rFonts w:ascii="Segoe UI" w:hAnsi="Segoe UI"/>
          <w:color w:val="1D3245"/>
          <w:sz w:val="20"/>
        </w:rPr>
        <w:t>Value management is applied at the end of stages 2 and 3 as a facilitated, function-led exercise - what must this element do, and what is the least-cost way of doing it to the required standard?</w:t>
      </w:r>
    </w:p>
    <w:p>
      <w:pPr>
        <w:pStyle w:val="ListBullet"/>
        <w:spacing w:after="60"/>
        <w:ind w:left="340"/>
      </w:pPr>
      <w:r>
        <w:rPr>
          <w:rFonts w:ascii="Segoe UI" w:hAnsi="Segoe UI"/>
          <w:color w:val="1D3245"/>
          <w:sz w:val="20"/>
        </w:rPr>
        <w:t>Value engineering proposals are recorded in a value register with the capital saving, the whole-of-life impact, the risk created and the programme impact.</w:t>
      </w:r>
    </w:p>
    <w:p>
      <w:pPr>
        <w:pStyle w:val="ListBullet"/>
        <w:spacing w:after="60"/>
        <w:ind w:left="340"/>
      </w:pPr>
      <w:r>
        <w:rPr>
          <w:rFonts w:ascii="Segoe UI" w:hAnsi="Segoe UI"/>
          <w:color w:val="1D3245"/>
          <w:sz w:val="20"/>
        </w:rPr>
        <w:t>No value engineering proposal is implemented without the designer's confirmation that performance requirements remain satisfied.</w:t>
      </w:r>
    </w:p>
    <w:p>
      <w:pPr>
        <w:pStyle w:val="ListBullet"/>
        <w:spacing w:after="60"/>
        <w:ind w:left="340"/>
      </w:pPr>
      <w:r>
        <w:rPr>
          <w:rFonts w:ascii="Segoe UI" w:hAnsi="Segoe UI"/>
          <w:color w:val="1D3245"/>
          <w:sz w:val="20"/>
        </w:rPr>
        <w:t>Proposals that reduce operational performance, maintainability or safety are rejected regardless of capital saving.</w:t>
      </w:r>
    </w:p>
    <w:p>
      <w:pPr>
        <w:pStyle w:val="ListBullet"/>
        <w:spacing w:after="60"/>
        <w:ind w:left="340"/>
      </w:pPr>
      <w:r>
        <w:rPr>
          <w:rFonts w:ascii="Segoe UI" w:hAnsi="Segoe UI"/>
          <w:color w:val="1D3245"/>
          <w:sz w:val="20"/>
        </w:rPr>
        <w:t>Accepted proposals are progressed as changes under Section 18.</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788"/>
        <w:gridCol w:w="2216"/>
        <w:gridCol w:w="1125"/>
        <w:gridCol w:w="1808"/>
        <w:gridCol w:w="1480"/>
        <w:gridCol w:w="1213"/>
        <w:gridCol w:w="781"/>
      </w:tblGrid>
      <w:tr>
        <w:trPr>
          <w:tblHeader w:val="true"/>
          <w:cantSplit w:val="true"/>
        </w:trPr>
        <w:tc>
          <w:tcPr>
            <w:tcW w:type="dxa" w:w="7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21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Proposal</w:t>
            </w:r>
          </w:p>
        </w:tc>
        <w:tc>
          <w:tcPr>
            <w:tcW w:type="dxa" w:w="112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Capital saving</w:t>
            </w:r>
          </w:p>
        </w:tc>
        <w:tc>
          <w:tcPr>
            <w:tcW w:type="dxa" w:w="18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Whole-of-life impact</w:t>
            </w:r>
          </w:p>
        </w:tc>
        <w:tc>
          <w:tcPr>
            <w:tcW w:type="dxa" w:w="148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Risk created</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Decision</w:t>
            </w:r>
          </w:p>
        </w:tc>
        <w:tc>
          <w:tcPr>
            <w:tcW w:type="dxa" w:w="7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Date</w:t>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VE-01</w:t>
            </w:r>
          </w:p>
        </w:tc>
        <w:tc>
          <w:tcPr>
            <w:tcW w:type="dxa" w:w="221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8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VE-02</w:t>
            </w:r>
          </w:p>
        </w:tc>
        <w:tc>
          <w:tcPr>
            <w:tcW w:type="dxa" w:w="22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8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VE-03</w:t>
            </w:r>
          </w:p>
        </w:tc>
        <w:tc>
          <w:tcPr>
            <w:tcW w:type="dxa" w:w="221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8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VE-04</w:t>
            </w:r>
          </w:p>
        </w:tc>
        <w:tc>
          <w:tcPr>
            <w:tcW w:type="dxa" w:w="22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8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8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7.7  Buildability and constructability</w:t>
      </w:r>
    </w:p>
    <w:p>
      <w:pPr>
        <w:pStyle w:val="ListBullet"/>
        <w:spacing w:after="60"/>
        <w:ind w:left="340"/>
      </w:pPr>
      <w:r>
        <w:rPr>
          <w:rFonts w:ascii="Segoe UI" w:hAnsi="Segoe UI"/>
          <w:color w:val="1D3245"/>
          <w:sz w:val="20"/>
        </w:rPr>
        <w:t>Construction expertise is brought into the design process no later than the end of stage 2, through early contractor involvement, a construction adviser or the client's own delivery experience.</w:t>
      </w:r>
    </w:p>
    <w:p>
      <w:pPr>
        <w:pStyle w:val="ListBullet"/>
        <w:spacing w:after="60"/>
        <w:ind w:left="340"/>
      </w:pPr>
      <w:r>
        <w:rPr>
          <w:rFonts w:ascii="Segoe UI" w:hAnsi="Segoe UI"/>
          <w:color w:val="1D3245"/>
          <w:sz w:val="20"/>
        </w:rPr>
        <w:t>Buildability reviews examine sequence, access, craneage, tolerances, temporary works, standardisation, off-site manufacture, and the practicality of the specified installation methods.</w:t>
      </w:r>
    </w:p>
    <w:p>
      <w:pPr>
        <w:pStyle w:val="ListBullet"/>
        <w:spacing w:after="60"/>
        <w:ind w:left="340"/>
      </w:pPr>
      <w:r>
        <w:rPr>
          <w:rFonts w:ascii="Segoe UI" w:hAnsi="Segoe UI"/>
          <w:color w:val="1D3245"/>
          <w:sz w:val="20"/>
        </w:rPr>
        <w:t>Findings are recorded and either designed out or accepted as a construction risk with an owner.</w:t>
      </w:r>
    </w:p>
    <w:p>
      <w:pPr>
        <w:pStyle w:val="Heading2"/>
      </w:pPr>
      <w:r>
        <w:t>7.8  Design coordination and clash management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814"/>
        <w:gridCol w:w="2495"/>
        <w:gridCol w:w="3175"/>
        <w:gridCol w:w="1928"/>
      </w:tblGrid>
      <w:tr>
        <w:trPr>
          <w:tblHeader w:val="true"/>
          <w:cantSplit w:val="true"/>
        </w:trPr>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Clash class</w:t>
            </w:r>
          </w:p>
        </w:tc>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c>
          <w:tcPr>
            <w:tcW w:type="dxa" w:w="31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Resolution requirement</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1814"/>
            <w:tcMar>
              <w:top w:w="40" w:type="dxa"/>
              <w:left w:w="110" w:type="dxa"/>
              <w:bottom w:w="40" w:type="dxa"/>
              <w:right w:w="110" w:type="dxa"/>
            </w:tcMar>
          </w:tcPr>
          <w:p>
            <w:pPr>
              <w:pStyle w:val="MasttTableCell"/>
              <w:spacing w:before="20" w:after="20"/>
            </w:pPr>
            <w:r/>
            <w:r>
              <w:rPr>
                <w:rFonts w:ascii="Segoe UI" w:hAnsi="Segoe UI"/>
                <w:b/>
                <w:color w:val="1D3245"/>
                <w:sz w:val="17"/>
              </w:rPr>
              <w:t>Class 1 - hard clash</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Physical intersection of elements</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Zero tolerance; resolved before the next federation cycle</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Originating discipline</w:t>
            </w:r>
          </w:p>
        </w:tc>
      </w:tr>
      <w:tr>
        <w:trPr>
          <w:cantSplit w:val="true"/>
        </w:trPr>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Class 2 - clearance clash</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Insufficient clearance for installation, access or maintenance</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Resolved before the stage gate</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r>
      <w:tr>
        <w:trPr>
          <w:cantSplit w:val="true"/>
        </w:trPr>
        <w:tc>
          <w:tcPr>
            <w:tcW w:type="dxa" w:w="1814"/>
            <w:tcMar>
              <w:top w:w="40" w:type="dxa"/>
              <w:left w:w="110" w:type="dxa"/>
              <w:bottom w:w="40" w:type="dxa"/>
              <w:right w:w="110" w:type="dxa"/>
            </w:tcMar>
          </w:tcPr>
          <w:p>
            <w:pPr>
              <w:pStyle w:val="MasttTableCell"/>
              <w:spacing w:before="20" w:after="20"/>
            </w:pPr>
            <w:r/>
            <w:r>
              <w:rPr>
                <w:rFonts w:ascii="Segoe UI" w:hAnsi="Segoe UI"/>
                <w:b/>
                <w:color w:val="1D3245"/>
                <w:sz w:val="17"/>
              </w:rPr>
              <w:t>Class 3 - workflow clash</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Sequence or constructability conflict</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Resolved before the affected package is issued for construction</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Contractor / Design Manager</w:t>
            </w:r>
          </w:p>
        </w:tc>
      </w:tr>
      <w:tr>
        <w:trPr>
          <w:cantSplit w:val="true"/>
        </w:trPr>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Class 4 - information clash</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Inconsistency between model, drawings and specification</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Resolved before the deliverable is accepted</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Information Manager</w:t>
            </w:r>
          </w:p>
        </w:tc>
      </w:tr>
    </w:tbl>
    <w:p>
      <w:pPr>
        <w:rPr>
          <w:sz w:val="8"/>
        </w:rPr>
        <w:spacing w:after="40" w:before="0" w:line="240" w:lineRule="auto"/>
      </w:pPr>
    </w:p>
    <w:p>
      <w:pPr>
        <w:pStyle w:val="MasttBody"/>
      </w:pPr>
      <w:r>
        <w:t>Federated model coordination is run on a fixed cycle - typically fortnightly during stages 3 and 4 - with a published clash report, an assigned owner for each clash and a due date. Clash counts and closure rates are reported as a design health indicator.</w:t>
      </w:r>
    </w:p>
    <w:p>
      <w:pPr>
        <w:pStyle w:val="Heading2"/>
      </w:pPr>
      <w:r>
        <w:t>7.9  Standards and codes compliance</w:t>
      </w:r>
    </w:p>
    <w:p>
      <w:pPr>
        <w:pStyle w:val="MasttBody"/>
      </w:pPr>
      <w:r>
        <w:t>The design must comply with the codes, standards and regulations applicable in the jurisdiction in which the works are constructed, and with any client standards specified in the brief. Record the governing edition of each standard at the point of design freeze; later editions do not apply retrospectively unless the applicable regulatory regime requires it.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41"/>
        <w:gridCol w:w="3175"/>
        <w:gridCol w:w="1474"/>
        <w:gridCol w:w="2722"/>
      </w:tblGrid>
      <w:tr>
        <w:trPr>
          <w:tblHeader w:val="true"/>
          <w:cantSplit w:val="true"/>
        </w:trPr>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Discipline</w:t>
            </w:r>
          </w:p>
        </w:tc>
        <w:tc>
          <w:tcPr>
            <w:tcW w:type="dxa" w:w="31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Governing code / standard</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Edition / date</w:t>
            </w:r>
          </w:p>
        </w:tc>
        <w:tc>
          <w:tcPr>
            <w:tcW w:type="dxa" w:w="27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Compliance evidence</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7.10  Design assurance and independent verification</w:t>
      </w:r>
    </w:p>
    <w:p>
      <w:pPr>
        <w:pStyle w:val="ListBullet"/>
        <w:spacing w:after="60"/>
        <w:ind w:left="340"/>
      </w:pPr>
      <w:r>
        <w:rPr>
          <w:rFonts w:ascii="Segoe UI" w:hAnsi="Segoe UI"/>
          <w:color w:val="1D3245"/>
          <w:sz w:val="20"/>
        </w:rPr>
        <w:t>Design assurance is proportionate to consequence: independent verification is mandatory for structural, geotechnical, fire engineering, façade and life-safety systems.</w:t>
      </w:r>
    </w:p>
    <w:p>
      <w:pPr>
        <w:pStyle w:val="ListBullet"/>
        <w:spacing w:after="60"/>
        <w:ind w:left="340"/>
      </w:pPr>
      <w:r>
        <w:rPr>
          <w:rFonts w:ascii="Segoe UI" w:hAnsi="Segoe UI"/>
          <w:color w:val="1D3245"/>
          <w:sz w:val="20"/>
        </w:rPr>
        <w:t>Independent verifiers are appointed directly by the client and are not subcontracted to the designer whose work they review.</w:t>
      </w:r>
    </w:p>
    <w:p>
      <w:pPr>
        <w:pStyle w:val="ListBullet"/>
        <w:spacing w:after="60"/>
        <w:ind w:left="340"/>
      </w:pPr>
      <w:r>
        <w:rPr>
          <w:rFonts w:ascii="Segoe UI" w:hAnsi="Segoe UI"/>
          <w:color w:val="1D3245"/>
          <w:sz w:val="20"/>
        </w:rPr>
        <w:t>Verification findings are categorised (critical / major / minor) and closed before the affected element is issued for construction.</w:t>
      </w:r>
    </w:p>
    <w:p>
      <w:pPr>
        <w:pStyle w:val="ListBullet"/>
        <w:spacing w:after="60"/>
        <w:ind w:left="340"/>
      </w:pPr>
      <w:r>
        <w:rPr>
          <w:rFonts w:ascii="Segoe UI" w:hAnsi="Segoe UI"/>
          <w:color w:val="1D3245"/>
          <w:sz w:val="20"/>
        </w:rPr>
        <w:t>Design certificates required in the applicable jurisdiction are collected progressively, not at handover.</w:t>
      </w:r>
    </w:p>
    <w:p>
      <w:pPr>
        <w:pStyle w:val="Heading2"/>
      </w:pPr>
      <w:r>
        <w:t>7.11  Novation</w:t>
      </w:r>
    </w:p>
    <w:p>
      <w:pPr>
        <w:pStyle w:val="MasttBody"/>
      </w:pPr>
      <w:r>
        <w:t>Where consultants are novated to the contractor, the following must be settled before novation and recorded here: the scope and fee novated; the continuing duty of care and collateral warranties to the client; the status of design completed before novation; the client's right to be consulted on design changes after novation; and the arrangements for the client to retain independent design advice.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25"/>
        <w:gridCol w:w="1213"/>
        <w:gridCol w:w="1357"/>
        <w:gridCol w:w="2910"/>
        <w:gridCol w:w="1908"/>
      </w:tblGrid>
      <w:tr>
        <w:trPr>
          <w:tblHeader w:val="true"/>
          <w:cantSplit w:val="true"/>
        </w:trPr>
        <w:tc>
          <w:tcPr>
            <w:tcW w:type="dxa" w:w="202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Consultant</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Novated?</w:t>
            </w:r>
          </w:p>
        </w:tc>
        <w:tc>
          <w:tcPr>
            <w:tcW w:type="dxa" w:w="13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Novation date</w:t>
            </w:r>
          </w:p>
        </w:tc>
        <w:tc>
          <w:tcPr>
            <w:tcW w:type="dxa" w:w="290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Retained client-side scope</w:t>
            </w:r>
          </w:p>
        </w:tc>
        <w:tc>
          <w:tcPr>
            <w:tcW w:type="dxa" w:w="19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Warranty in place</w:t>
            </w:r>
          </w:p>
        </w:tc>
      </w:tr>
      <w:tr>
        <w:trPr>
          <w:cantSplit w:val="true"/>
        </w:trPr>
        <w:tc>
          <w:tcPr>
            <w:tcW w:type="dxa" w:w="2025"/>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90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02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9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025"/>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90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02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9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025"/>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90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0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02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9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8.  Schedule management</w:t>
      </w:r>
    </w:p>
    <w:p>
      <w:pPr>
        <w:pStyle w:val="Heading2"/>
      </w:pPr>
      <w:r>
        <w:t>8.1  Approach</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State how the schedule is built, who owns it, and what makes it credible. A schedule that is not resource-loaded, logic-driven and regularly re-forecast is a picture, not a control. Name the software and the calendar conventions, because they determine what can be exchanged with contractors.</w:t>
            </w:r>
          </w:p>
        </w:tc>
      </w:tr>
    </w:tbl>
    <w:p>
      <w:pPr>
        <w:rPr>
          <w:sz w:val="8"/>
        </w:rPr>
        <w:spacing w:after="40" w:before="0" w:line="240" w:lineRule="auto"/>
      </w:pPr>
    </w:p>
    <w:p>
      <w:pPr>
        <w:pStyle w:val="MasttBody"/>
      </w:pPr>
      <w:r>
        <w:t>The project uses a critical path method schedule, developed from the work breakdown structure, resource-loaded at the level required for progress measurement, and maintained on a monthly update cycle with weekly short-interval control.</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835"/>
        <w:gridCol w:w="6577"/>
      </w:tblGrid>
      <w:tr>
        <w:trPr>
          <w:tblHeader w:val="true"/>
          <w:cantSplit w:val="true"/>
        </w:trPr>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Element</w:t>
            </w:r>
          </w:p>
        </w:tc>
        <w:tc>
          <w:tcPr>
            <w:tcW w:type="dxa" w:w="657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Detail</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Scheduling software and version</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Schedule owner</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Planner, under the Project Manager</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Calendar convention</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Working days, [n]-day week, with declared public holidays and weather-affected calendars</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Data date and update cycle</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 data date on the [25th]</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Progress measurement</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Physical percent complete against defined rules of credit</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Contractor programme submission</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As required by the contract; reviewed within 10 working days</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Schedule quality metrics</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Logic density, open ends, negative float, constraint count, long durations, high float</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Archive</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Every accepted update is archived and retained for the life of the project plus the period required by the records policy</w:t>
            </w:r>
          </w:p>
        </w:tc>
      </w:tr>
    </w:tbl>
    <w:p>
      <w:pPr>
        <w:rPr>
          <w:sz w:val="8"/>
        </w:rPr>
        <w:spacing w:after="40" w:before="0" w:line="240" w:lineRule="auto"/>
      </w:pPr>
    </w:p>
    <w:p>
      <w:pPr>
        <w:pStyle w:val="Heading2"/>
      </w:pPr>
      <w:r>
        <w:t>8.2  Schedule levels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856"/>
        <w:gridCol w:w="1864"/>
        <w:gridCol w:w="2871"/>
        <w:gridCol w:w="1451"/>
        <w:gridCol w:w="1348"/>
        <w:gridCol w:w="1022"/>
      </w:tblGrid>
      <w:tr>
        <w:trPr>
          <w:tblHeader w:val="true"/>
          <w:cantSplit w:val="true"/>
        </w:trPr>
        <w:tc>
          <w:tcPr>
            <w:tcW w:type="dxa" w:w="85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Level</w:t>
            </w:r>
          </w:p>
        </w:tc>
        <w:tc>
          <w:tcPr>
            <w:tcW w:type="dxa" w:w="186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Name</w:t>
            </w:r>
          </w:p>
        </w:tc>
        <w:tc>
          <w:tcPr>
            <w:tcW w:type="dxa" w:w="287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Detail</w:t>
            </w:r>
          </w:p>
        </w:tc>
        <w:tc>
          <w:tcPr>
            <w:tcW w:type="dxa" w:w="145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34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Audience</w:t>
            </w:r>
          </w:p>
        </w:tc>
        <w:tc>
          <w:tcPr>
            <w:tcW w:type="dxa" w:w="102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Update cycle</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1</w:t>
            </w:r>
          </w:p>
        </w:tc>
        <w:tc>
          <w:tcPr>
            <w:tcW w:type="dxa" w:w="1864"/>
            <w:tcMar>
              <w:top w:w="40" w:type="dxa"/>
              <w:left w:w="110" w:type="dxa"/>
              <w:bottom w:w="40" w:type="dxa"/>
              <w:right w:w="110" w:type="dxa"/>
            </w:tcMar>
          </w:tcPr>
          <w:p>
            <w:pPr>
              <w:pStyle w:val="MasttTableCell"/>
              <w:spacing w:before="20" w:after="20"/>
            </w:pPr>
            <w:r/>
            <w:r>
              <w:rPr>
                <w:rFonts w:ascii="Segoe UI" w:hAnsi="Segoe UI"/>
                <w:color w:val="1D3245"/>
                <w:sz w:val="17"/>
              </w:rPr>
              <w:t>Executive summary schedule</w:t>
            </w:r>
          </w:p>
        </w:tc>
        <w:tc>
          <w:tcPr>
            <w:tcW w:type="dxa" w:w="2870"/>
            <w:tcMar>
              <w:top w:w="40" w:type="dxa"/>
              <w:left w:w="110" w:type="dxa"/>
              <w:bottom w:w="40" w:type="dxa"/>
              <w:right w:w="110" w:type="dxa"/>
            </w:tcMar>
          </w:tcPr>
          <w:p>
            <w:pPr>
              <w:pStyle w:val="MasttTableCell"/>
              <w:spacing w:before="20" w:after="20"/>
            </w:pPr>
            <w:r/>
            <w:r>
              <w:rPr>
                <w:rFonts w:ascii="Segoe UI" w:hAnsi="Segoe UI"/>
                <w:color w:val="1D3245"/>
                <w:sz w:val="17"/>
              </w:rPr>
              <w:t>Phases and principal milestones on a single page</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348"/>
            <w:tcMar>
              <w:top w:w="40" w:type="dxa"/>
              <w:left w:w="110" w:type="dxa"/>
              <w:bottom w:w="40" w:type="dxa"/>
              <w:right w:w="110" w:type="dxa"/>
            </w:tcMar>
          </w:tcPr>
          <w:p>
            <w:pPr>
              <w:pStyle w:val="MasttTableCell"/>
              <w:spacing w:before="20" w:after="20"/>
            </w:pPr>
            <w:r/>
            <w:r>
              <w:rPr>
                <w:rFonts w:ascii="Segoe UI" w:hAnsi="Segoe UI"/>
                <w:color w:val="1D3245"/>
                <w:sz w:val="17"/>
              </w:rPr>
              <w:t>Board and Sponsor</w:t>
            </w:r>
          </w:p>
        </w:tc>
        <w:tc>
          <w:tcPr>
            <w:tcW w:type="dxa" w:w="102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2</w:t>
            </w:r>
          </w:p>
        </w:tc>
        <w:tc>
          <w:tcPr>
            <w:tcW w:type="dxa" w:w="1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Management schedule</w:t>
            </w:r>
          </w:p>
        </w:tc>
        <w:tc>
          <w:tcPr>
            <w:tcW w:type="dxa" w:w="28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Work packages, key milestones, interfaces and dependencies</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Planner</w:t>
            </w:r>
          </w:p>
        </w:tc>
        <w:tc>
          <w:tcPr>
            <w:tcW w:type="dxa" w:w="13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Control Group</w:t>
            </w:r>
          </w:p>
        </w:tc>
        <w:tc>
          <w:tcPr>
            <w:tcW w:type="dxa" w:w="10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3</w:t>
            </w:r>
          </w:p>
        </w:tc>
        <w:tc>
          <w:tcPr>
            <w:tcW w:type="dxa" w:w="1864"/>
            <w:tcMar>
              <w:top w:w="40" w:type="dxa"/>
              <w:left w:w="110" w:type="dxa"/>
              <w:bottom w:w="40" w:type="dxa"/>
              <w:right w:w="110" w:type="dxa"/>
            </w:tcMar>
          </w:tcPr>
          <w:p>
            <w:pPr>
              <w:pStyle w:val="MasttTableCell"/>
              <w:spacing w:before="20" w:after="20"/>
            </w:pPr>
            <w:r/>
            <w:r>
              <w:rPr>
                <w:rFonts w:ascii="Segoe UI" w:hAnsi="Segoe UI"/>
                <w:color w:val="1D3245"/>
                <w:sz w:val="17"/>
              </w:rPr>
              <w:t>Control schedule</w:t>
            </w:r>
          </w:p>
        </w:tc>
        <w:tc>
          <w:tcPr>
            <w:tcW w:type="dxa" w:w="2870"/>
            <w:tcMar>
              <w:top w:w="40" w:type="dxa"/>
              <w:left w:w="110" w:type="dxa"/>
              <w:bottom w:w="40" w:type="dxa"/>
              <w:right w:w="110" w:type="dxa"/>
            </w:tcMar>
          </w:tcPr>
          <w:p>
            <w:pPr>
              <w:pStyle w:val="MasttTableCell"/>
              <w:spacing w:before="20" w:after="20"/>
            </w:pPr>
            <w:r/>
            <w:r>
              <w:rPr>
                <w:rFonts w:ascii="Segoe UI" w:hAnsi="Segoe UI"/>
                <w:color w:val="1D3245"/>
                <w:sz w:val="17"/>
              </w:rPr>
              <w:t>Deliverable-level activities, resource-loaded, fully logic-linked</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Planner with package managers</w:t>
            </w:r>
          </w:p>
        </w:tc>
        <w:tc>
          <w:tcPr>
            <w:tcW w:type="dxa" w:w="1348"/>
            <w:tcMar>
              <w:top w:w="40" w:type="dxa"/>
              <w:left w:w="110" w:type="dxa"/>
              <w:bottom w:w="40" w:type="dxa"/>
              <w:right w:w="110" w:type="dxa"/>
            </w:tcMar>
          </w:tcPr>
          <w:p>
            <w:pPr>
              <w:pStyle w:val="MasttTableCell"/>
              <w:spacing w:before="20" w:after="20"/>
            </w:pPr>
            <w:r/>
            <w:r>
              <w:rPr>
                <w:rFonts w:ascii="Segoe UI" w:hAnsi="Segoe UI"/>
                <w:color w:val="1D3245"/>
                <w:sz w:val="17"/>
              </w:rPr>
              <w:t>Delivery team</w:t>
            </w:r>
          </w:p>
        </w:tc>
        <w:tc>
          <w:tcPr>
            <w:tcW w:type="dxa" w:w="1022"/>
            <w:tcMar>
              <w:top w:w="40" w:type="dxa"/>
              <w:left w:w="110" w:type="dxa"/>
              <w:bottom w:w="40" w:type="dxa"/>
              <w:right w:w="110" w:type="dxa"/>
            </w:tcMar>
          </w:tcPr>
          <w:p>
            <w:pPr>
              <w:pStyle w:val="MasttTableCell"/>
              <w:spacing w:before="20" w:after="20"/>
            </w:pPr>
            <w:r/>
            <w:r>
              <w:rPr>
                <w:rFonts w:ascii="Segoe UI" w:hAnsi="Segoe UI"/>
                <w:color w:val="1D3245"/>
                <w:sz w:val="17"/>
              </w:rPr>
              <w:t>Monthly, with weekly progress</w:t>
            </w:r>
          </w:p>
        </w:tc>
      </w:tr>
      <w:tr>
        <w:trPr>
          <w:cantSplit w:val="true"/>
        </w:trPr>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4</w:t>
            </w:r>
          </w:p>
        </w:tc>
        <w:tc>
          <w:tcPr>
            <w:tcW w:type="dxa" w:w="1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Execution / look-ahead schedule</w:t>
            </w:r>
          </w:p>
        </w:tc>
        <w:tc>
          <w:tcPr>
            <w:tcW w:type="dxa" w:w="28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Task-level detail for the next 3-6 weeks, constraint-analysed</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 / package manager</w:t>
            </w:r>
          </w:p>
        </w:tc>
        <w:tc>
          <w:tcPr>
            <w:tcW w:type="dxa" w:w="13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Site team</w:t>
            </w:r>
          </w:p>
        </w:tc>
        <w:tc>
          <w:tcPr>
            <w:tcW w:type="dxa" w:w="10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Weekly</w:t>
            </w:r>
          </w:p>
        </w:tc>
      </w:tr>
    </w:tbl>
    <w:p>
      <w:pPr>
        <w:rPr>
          <w:sz w:val="8"/>
        </w:rPr>
        <w:spacing w:after="40" w:before="0" w:line="240" w:lineRule="auto"/>
      </w:pPr>
    </w:p>
    <w:p>
      <w:pPr>
        <w:pStyle w:val="Heading2"/>
      </w:pPr>
      <w:r>
        <w:t>8.3  WBS, OBS and CBS alignment</w:t>
      </w:r>
    </w:p>
    <w:p>
      <w:pPr>
        <w:pStyle w:val="MasttBody"/>
      </w:pPr>
      <w:r>
        <w:t>Schedule activities, cost accounts and organisational responsibilities are aligned through a single coding structure. Every Level 3 activity carries the WBS code, the control account code and the responsible organisation code, so that time and cost performance can be reported from the same source and reconciled.</w:t>
      </w:r>
    </w:p>
    <w:p>
      <w:pPr>
        <w:pStyle w:val="ListBullet"/>
        <w:spacing w:after="60"/>
        <w:ind w:left="340"/>
      </w:pPr>
      <w:r>
        <w:rPr>
          <w:rFonts w:ascii="Segoe UI" w:hAnsi="Segoe UI"/>
          <w:color w:val="1D3245"/>
          <w:sz w:val="20"/>
        </w:rPr>
        <w:t>WBS - what is being delivered (scope).</w:t>
      </w:r>
    </w:p>
    <w:p>
      <w:pPr>
        <w:pStyle w:val="ListBullet"/>
        <w:spacing w:after="60"/>
        <w:ind w:left="340"/>
      </w:pPr>
      <w:r>
        <w:rPr>
          <w:rFonts w:ascii="Segoe UI" w:hAnsi="Segoe UI"/>
          <w:color w:val="1D3245"/>
          <w:sz w:val="20"/>
        </w:rPr>
        <w:t>OBS - who is accountable for delivering it (organisation).</w:t>
      </w:r>
    </w:p>
    <w:p>
      <w:pPr>
        <w:pStyle w:val="ListBullet"/>
        <w:spacing w:after="60"/>
        <w:ind w:left="340"/>
      </w:pPr>
      <w:r>
        <w:rPr>
          <w:rFonts w:ascii="Segoe UI" w:hAnsi="Segoe UI"/>
          <w:color w:val="1D3245"/>
          <w:sz w:val="20"/>
        </w:rPr>
        <w:t>CBS - how it is funded and where cost is booked (cost).</w:t>
      </w:r>
    </w:p>
    <w:p>
      <w:pPr>
        <w:pStyle w:val="ListBullet"/>
        <w:spacing w:after="60"/>
        <w:ind w:left="340"/>
      </w:pPr>
      <w:r>
        <w:rPr>
          <w:rFonts w:ascii="Segoe UI" w:hAnsi="Segoe UI"/>
          <w:color w:val="1D3245"/>
          <w:sz w:val="20"/>
        </w:rPr>
        <w:t>The intersection of WBS and OBS defines the control account.</w:t>
      </w:r>
    </w:p>
    <w:p>
      <w:pPr>
        <w:pStyle w:val="ListBullet"/>
        <w:spacing w:after="60"/>
        <w:ind w:left="340"/>
      </w:pPr>
      <w:r>
        <w:rPr>
          <w:rFonts w:ascii="Segoe UI" w:hAnsi="Segoe UI"/>
          <w:color w:val="1D3245"/>
          <w:sz w:val="20"/>
        </w:rPr>
        <w:t>No activity may exist without a WBS code; no cost may be booked without a control account.</w:t>
      </w:r>
    </w:p>
    <w:p>
      <w:pPr>
        <w:pStyle w:val="Heading2"/>
      </w:pPr>
      <w:r>
        <w:t>8.4  Baseline and rebaselining</w:t>
      </w:r>
    </w:p>
    <w:p>
      <w:pPr>
        <w:pStyle w:val="ListBullet"/>
        <w:spacing w:after="60"/>
        <w:ind w:left="340"/>
      </w:pPr>
      <w:r>
        <w:rPr>
          <w:rFonts w:ascii="Segoe UI" w:hAnsi="Segoe UI"/>
          <w:color w:val="1D3245"/>
          <w:sz w:val="20"/>
        </w:rPr>
        <w:t>The baseline schedule is approved at the delivery gate and is not changed except by approved change.</w:t>
      </w:r>
    </w:p>
    <w:p>
      <w:pPr>
        <w:pStyle w:val="ListBullet"/>
        <w:spacing w:after="60"/>
        <w:ind w:left="340"/>
      </w:pPr>
      <w:r>
        <w:rPr>
          <w:rFonts w:ascii="Segoe UI" w:hAnsi="Segoe UI"/>
          <w:color w:val="1D3245"/>
          <w:sz w:val="20"/>
        </w:rPr>
        <w:t>Progress is always reported against the current approved baseline and, where a rebaseline has occurred, also against the original baseline.</w:t>
      </w:r>
    </w:p>
    <w:p>
      <w:pPr>
        <w:pStyle w:val="ListBullet"/>
        <w:spacing w:after="60"/>
        <w:ind w:left="340"/>
      </w:pPr>
      <w:r>
        <w:rPr>
          <w:rFonts w:ascii="Segoe UI" w:hAnsi="Segoe UI"/>
          <w:color w:val="1D3245"/>
          <w:sz w:val="20"/>
        </w:rPr>
        <w:t>Rebaselining is permitted only where: an approved change materially alters the scope or completion date; the baseline has become meaningless as a measurement tool; or a new contract or phase is incorporated.</w:t>
      </w:r>
    </w:p>
    <w:p>
      <w:pPr>
        <w:pStyle w:val="ListBullet"/>
        <w:spacing w:after="60"/>
        <w:ind w:left="340"/>
      </w:pPr>
      <w:r>
        <w:rPr>
          <w:rFonts w:ascii="Segoe UI" w:hAnsi="Segoe UI"/>
          <w:color w:val="1D3245"/>
          <w:sz w:val="20"/>
        </w:rPr>
        <w:t>A rebaseline requires a documented reason, a comparison to the superseded baseline, and approval at the level set in Section 4.6.</w:t>
      </w:r>
    </w:p>
    <w:p>
      <w:pPr>
        <w:pStyle w:val="ListBullet"/>
        <w:spacing w:after="60"/>
        <w:ind w:left="340"/>
      </w:pPr>
      <w:r>
        <w:rPr>
          <w:rFonts w:ascii="Segoe UI" w:hAnsi="Segoe UI"/>
          <w:color w:val="1D3245"/>
          <w:sz w:val="20"/>
        </w:rPr>
        <w:t>Rebaselining does not extinguish the record of prior performance - the original baseline is retained and reported.</w:t>
      </w:r>
    </w:p>
    <w:p>
      <w:pPr>
        <w:pStyle w:val="Heading2"/>
      </w:pPr>
      <w:r>
        <w:t>8.5  Key milestones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Milestones must be unambiguous, verifiable events with a single owner. 'Design complete' is not a milestone; 'Stage 4 technical design accepted by the Design Manager with zero open mandatory comments' is. Set a tolerance so the team knows when a slip becomes an escalation.</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608"/>
        <w:gridCol w:w="1997"/>
        <w:gridCol w:w="2090"/>
        <w:gridCol w:w="1084"/>
        <w:gridCol w:w="1964"/>
        <w:gridCol w:w="1669"/>
      </w:tblGrid>
      <w:tr>
        <w:trPr>
          <w:tblHeader w:val="true"/>
          <w:cantSplit w:val="true"/>
        </w:trPr>
        <w:tc>
          <w:tcPr>
            <w:tcW w:type="dxa" w:w="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Ref</w:t>
            </w:r>
          </w:p>
        </w:tc>
        <w:tc>
          <w:tcPr>
            <w:tcW w:type="dxa" w:w="199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Milestone</w:t>
            </w:r>
          </w:p>
        </w:tc>
        <w:tc>
          <w:tcPr>
            <w:tcW w:type="dxa" w:w="209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Definition of achievement</w:t>
            </w:r>
          </w:p>
        </w:tc>
        <w:tc>
          <w:tcPr>
            <w:tcW w:type="dxa" w:w="108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Planned date</w:t>
            </w:r>
          </w:p>
        </w:tc>
        <w:tc>
          <w:tcPr>
            <w:tcW w:type="dxa" w:w="196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Tolerance</w:t>
            </w:r>
          </w:p>
        </w:tc>
        <w:tc>
          <w:tcPr>
            <w:tcW w:type="dxa" w:w="16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Owner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M01</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PEP approved and delivery baseline set</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Signed approval page</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M02</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Design brief approved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Sponsor sign-off of the requirements schedule</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±5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Design Manager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M03</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Concept design accepted (stage 2)</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Board acceptance and cost plan 1 endorsed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Design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M04</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Consent / development approval submitted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Lodgement receipt</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±5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Planning Lead</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M05</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Developed design accepted (stage 3)</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Gate G3 passed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Design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M06</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Consent / development approval granted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Determination issued</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Authority-dependent</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Planning Lead</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M07</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Main works tender released</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Tender issued to the approved list</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±5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Commercial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M08</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Technical design complete (stage 4)</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100% documentation accepted</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Design Manager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M09</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Main works contract awarded</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Contract executed by both parties</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Commercial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M10</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Site possession granted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Access certificate issued</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Manager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M11</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Start on site</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Contractor mobilised and first permanent works activity started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±5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M12</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Enabling and demolition complete</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Handover of cleared site accepted</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Contractor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M13</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Substructure complete</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Verified survey and structural certification</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M14</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Structure topped out</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Final structural element placed</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Contractor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M15</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Building weathertight</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Envelope complete and verified by water test</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M16</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Permanent power energised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Utility connection live</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±15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Contractor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M17</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Services installation complete</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All systems installed and pre-commissioned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M18</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Commissioning start</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Systems energised and static commissioning begun</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±5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Commissioning Manager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M19</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Integrated systems testing complete</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All witnessed tests passed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Commissioning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M20</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Regulatory occupation approval obtained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Certificate issued by the relevant authority</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Planning Lead</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M21</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Practical completion / taking over</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Certificate issued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Client Representative</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M22</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Operational readiness confirmed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Readiness checklist complete and accepted</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Operations Representative</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M23</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Asset data and O&amp;M handover accepted</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Operations acceptance recorded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Information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M24</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Defects liability period ends</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Final defects certificate</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Manager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M25</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Final account agreed</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Signed final account</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±20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Commercial Manager</w:t>
            </w:r>
          </w:p>
        </w:tc>
      </w:tr>
      <w:tr>
        <w:trPr>
          <w:cantSplit w:val="true"/>
        </w:trPr>
        <w:tc>
          <w:tcPr>
            <w:tcW w:type="dxa" w:w="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M26</w:t>
            </w:r>
          </w:p>
        </w:tc>
        <w:tc>
          <w:tcPr>
            <w:tcW w:type="dxa" w:w="19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closeout report approved</w:t>
            </w:r>
          </w:p>
        </w:tc>
        <w:tc>
          <w:tcPr>
            <w:tcW w:type="dxa" w:w="209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Sponsor approval</w:t>
            </w:r>
          </w:p>
        </w:tc>
        <w:tc>
          <w:tcPr>
            <w:tcW w:type="dxa" w:w="10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±10 days</w:t>
            </w:r>
          </w:p>
        </w:tc>
        <w:tc>
          <w:tcPr>
            <w:tcW w:type="dxa" w:w="16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Manager</w:t>
            </w:r>
          </w:p>
        </w:tc>
      </w:tr>
      <w:tr>
        <w:trPr>
          <w:cantSplit w:val="true"/>
        </w:trPr>
        <w:tc>
          <w:tcPr>
            <w:tcW w:type="dxa" w:w="608"/>
            <w:tcMar>
              <w:top w:w="40" w:type="dxa"/>
              <w:left w:w="110" w:type="dxa"/>
              <w:bottom w:w="40" w:type="dxa"/>
              <w:right w:w="110" w:type="dxa"/>
            </w:tcMar>
          </w:tcPr>
          <w:p>
            <w:pPr>
              <w:pStyle w:val="MasttTableCell"/>
              <w:spacing w:before="20" w:after="20"/>
            </w:pPr>
            <w:r/>
            <w:r>
              <w:rPr>
                <w:rFonts w:ascii="Segoe UI" w:hAnsi="Segoe UI"/>
                <w:b/>
                <w:color w:val="1D3245"/>
                <w:sz w:val="16"/>
              </w:rPr>
              <w:t>M27</w:t>
            </w:r>
          </w:p>
        </w:tc>
        <w:tc>
          <w:tcPr>
            <w:tcW w:type="dxa" w:w="1997"/>
            <w:tcMar>
              <w:top w:w="40" w:type="dxa"/>
              <w:left w:w="110" w:type="dxa"/>
              <w:bottom w:w="40" w:type="dxa"/>
              <w:right w:w="110" w:type="dxa"/>
            </w:tcMar>
          </w:tcPr>
          <w:p>
            <w:pPr>
              <w:pStyle w:val="MasttTableCell"/>
              <w:spacing w:before="20" w:after="20"/>
            </w:pPr>
            <w:r/>
            <w:r>
              <w:rPr>
                <w:rFonts w:ascii="Segoe UI" w:hAnsi="Segoe UI"/>
                <w:color w:val="1D3245"/>
                <w:sz w:val="16"/>
              </w:rPr>
              <w:t>Post-implementation / benefits review complete</w:t>
            </w:r>
          </w:p>
        </w:tc>
        <w:tc>
          <w:tcPr>
            <w:tcW w:type="dxa" w:w="2090"/>
            <w:tcMar>
              <w:top w:w="40" w:type="dxa"/>
              <w:left w:w="110" w:type="dxa"/>
              <w:bottom w:w="40" w:type="dxa"/>
              <w:right w:w="110" w:type="dxa"/>
            </w:tcMar>
          </w:tcPr>
          <w:p>
            <w:pPr>
              <w:pStyle w:val="MasttTableCell"/>
              <w:spacing w:before="20" w:after="20"/>
            </w:pPr>
            <w:r/>
            <w:r>
              <w:rPr>
                <w:rFonts w:ascii="Segoe UI" w:hAnsi="Segoe UI"/>
                <w:color w:val="1D3245"/>
                <w:sz w:val="16"/>
              </w:rPr>
              <w:t>Review report accepted</w:t>
            </w:r>
          </w:p>
        </w:tc>
        <w:tc>
          <w:tcPr>
            <w:tcW w:type="dxa" w:w="108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963"/>
            <w:tcMar>
              <w:top w:w="40" w:type="dxa"/>
              <w:left w:w="110" w:type="dxa"/>
              <w:bottom w:w="40" w:type="dxa"/>
              <w:right w:w="110" w:type="dxa"/>
            </w:tcMar>
          </w:tcPr>
          <w:p>
            <w:pPr>
              <w:pStyle w:val="MasttTableCell"/>
              <w:spacing w:before="20" w:after="20"/>
            </w:pPr>
            <w:r/>
            <w:r>
              <w:rPr>
                <w:rFonts w:ascii="Segoe UI" w:hAnsi="Segoe UI"/>
                <w:color w:val="1D3245"/>
                <w:sz w:val="16"/>
              </w:rPr>
              <w:t>±20 days</w:t>
            </w:r>
          </w:p>
        </w:tc>
        <w:tc>
          <w:tcPr>
            <w:tcW w:type="dxa" w:w="1669"/>
            <w:tcMar>
              <w:top w:w="40" w:type="dxa"/>
              <w:left w:w="110" w:type="dxa"/>
              <w:bottom w:w="40" w:type="dxa"/>
              <w:right w:w="110" w:type="dxa"/>
            </w:tcMar>
          </w:tcPr>
          <w:p>
            <w:pPr>
              <w:pStyle w:val="MasttTableCell"/>
              <w:spacing w:before="20" w:after="20"/>
            </w:pPr>
            <w:r/>
            <w:r>
              <w:rPr>
                <w:rFonts w:ascii="Segoe UI" w:hAnsi="Segoe UI"/>
                <w:color w:val="1D3245"/>
                <w:sz w:val="16"/>
              </w:rPr>
              <w:t>Sponsor</w:t>
            </w:r>
          </w:p>
        </w:tc>
      </w:tr>
    </w:tbl>
    <w:p>
      <w:pPr>
        <w:rPr>
          <w:sz w:val="8"/>
        </w:rPr>
        <w:spacing w:after="40" w:before="0" w:line="240" w:lineRule="auto"/>
      </w:pPr>
    </w:p>
    <w:p>
      <w:pPr>
        <w:pStyle w:val="Heading2"/>
      </w:pPr>
      <w:r>
        <w:t>8.6  Critical path and float ownership</w:t>
      </w:r>
    </w:p>
    <w:p>
      <w:pPr>
        <w:pStyle w:val="MasttBody"/>
      </w:pPr>
      <w:r>
        <w:t>The critical path is identified in every schedule update and reported with the near-critical paths (typically activities with total float below 15 working days). Changes to the critical path between updates are explained in the narrative.</w:t>
      </w:r>
    </w:p>
    <w:p>
      <w:pPr>
        <w:pStyle w:val="ListBullet"/>
        <w:spacing w:after="60"/>
        <w:ind w:left="340"/>
      </w:pPr>
      <w:r>
        <w:rPr>
          <w:rFonts w:ascii="Segoe UI" w:hAnsi="Segoe UI"/>
          <w:color w:val="1D3245"/>
          <w:sz w:val="20"/>
        </w:rPr>
        <w:t>Float is a project resource, not the property of any one party, unless the contract expressly provides otherwise. State the contract position here once it is known.</w:t>
      </w:r>
    </w:p>
    <w:p>
      <w:pPr>
        <w:pStyle w:val="ListBullet"/>
        <w:spacing w:after="60"/>
        <w:ind w:left="340"/>
      </w:pPr>
      <w:r>
        <w:rPr>
          <w:rFonts w:ascii="Segoe UI" w:hAnsi="Segoe UI"/>
          <w:color w:val="1D3245"/>
          <w:sz w:val="20"/>
        </w:rPr>
        <w:t>Float is consumed on a first-come, first-served basis by whichever party needs it, and its consumption is reported.</w:t>
      </w:r>
    </w:p>
    <w:p>
      <w:pPr>
        <w:pStyle w:val="ListBullet"/>
        <w:spacing w:after="60"/>
        <w:ind w:left="340"/>
      </w:pPr>
      <w:r>
        <w:rPr>
          <w:rFonts w:ascii="Segoe UI" w:hAnsi="Segoe UI"/>
          <w:color w:val="1D3245"/>
          <w:sz w:val="20"/>
        </w:rPr>
        <w:t>Terminal float or a completion buffer, where used, is held by the Project Manager and released only by approved change.</w:t>
      </w:r>
    </w:p>
    <w:p>
      <w:pPr>
        <w:pStyle w:val="ListBullet"/>
        <w:spacing w:after="60"/>
        <w:ind w:left="340"/>
      </w:pPr>
      <w:r>
        <w:rPr>
          <w:rFonts w:ascii="Segoe UI" w:hAnsi="Segoe UI"/>
          <w:color w:val="1D3245"/>
          <w:sz w:val="20"/>
        </w:rPr>
        <w:t>Negative float is not permitted to persist: any negative float requires a recovery plan within 10 working days.</w:t>
      </w:r>
    </w:p>
    <w:p>
      <w:pPr>
        <w:pStyle w:val="ListBullet"/>
        <w:spacing w:after="60"/>
        <w:ind w:left="340"/>
      </w:pPr>
      <w:r>
        <w:rPr>
          <w:rFonts w:ascii="Segoe UI" w:hAnsi="Segoe UI"/>
          <w:color w:val="1D3245"/>
          <w:sz w:val="20"/>
        </w:rPr>
        <w:t>Constraints are minimised; every date constraint requires the Planner's documented justification.</w:t>
      </w:r>
    </w:p>
    <w:p>
      <w:pPr>
        <w:pStyle w:val="Heading2"/>
      </w:pPr>
      <w:r>
        <w:t>8.7  Look-ahead programmes and short-interval control</w:t>
      </w:r>
    </w:p>
    <w:p>
      <w:pPr>
        <w:pStyle w:val="ListBullet"/>
        <w:spacing w:after="60"/>
        <w:ind w:left="340"/>
      </w:pPr>
      <w:r>
        <w:rPr>
          <w:rFonts w:ascii="Segoe UI" w:hAnsi="Segoe UI"/>
          <w:color w:val="1D3245"/>
          <w:sz w:val="20"/>
        </w:rPr>
        <w:t>A rolling 6-week look-ahead is produced weekly by each package, derived from and reconciled to the Level 3 schedule.</w:t>
      </w:r>
    </w:p>
    <w:p>
      <w:pPr>
        <w:pStyle w:val="ListBullet"/>
        <w:spacing w:after="60"/>
        <w:ind w:left="340"/>
      </w:pPr>
      <w:r>
        <w:rPr>
          <w:rFonts w:ascii="Segoe UI" w:hAnsi="Segoe UI"/>
          <w:color w:val="1D3245"/>
          <w:sz w:val="20"/>
        </w:rPr>
        <w:t>Every look-ahead activity is constraint-analysed: design, approval, material, labour, plant, access, permit and predecessor.</w:t>
      </w:r>
    </w:p>
    <w:p>
      <w:pPr>
        <w:pStyle w:val="ListBullet"/>
        <w:spacing w:after="60"/>
        <w:ind w:left="340"/>
      </w:pPr>
      <w:r>
        <w:rPr>
          <w:rFonts w:ascii="Segoe UI" w:hAnsi="Segoe UI"/>
          <w:color w:val="1D3245"/>
          <w:sz w:val="20"/>
        </w:rPr>
        <w:t>Percent plan complete (activities completed as promised divided by activities promised) is measured weekly as a leading indicator of schedule reliability, with reasons for non-completion recorded and trended.</w:t>
      </w:r>
    </w:p>
    <w:p>
      <w:pPr>
        <w:pStyle w:val="Heading2"/>
      </w:pPr>
      <w:r>
        <w:t>8.8  Progress measurement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01"/>
        <w:gridCol w:w="2948"/>
        <w:gridCol w:w="4763"/>
      </w:tblGrid>
      <w:tr>
        <w:trPr>
          <w:tblHeader w:val="true"/>
          <w:cantSplit w:val="true"/>
        </w:trPr>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Method</w:t>
            </w:r>
          </w:p>
        </w:tc>
        <w:tc>
          <w:tcPr>
            <w:tcW w:type="dxa" w:w="294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Applied to</w:t>
            </w:r>
          </w:p>
        </w:tc>
        <w:tc>
          <w:tcPr>
            <w:tcW w:type="dxa" w:w="476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Rules of credit</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Units complete</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Repetitive physical work - piles, panels, fixtures</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Credit proportional to verified installed quantity</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Incremental milestone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Discrete deliverables with defined steps</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Fixed percentages at defined steps, e.g. 20/50/80/100</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Start / finish</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Short activities under one reporting period</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0% on start, 100% on completion</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Weighted milestone</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Engineering and design deliverables</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Credit at issue for review, issue for coordination, issue for construction</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Level of effort</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Management, supervision and site facilities</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Credit accrues with elapsed time; never used for physical work</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Earned value / apportioned</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Packages measured against a control account</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Credit in proportion to the parent activity</w:t>
            </w:r>
          </w:p>
        </w:tc>
      </w:tr>
    </w:tbl>
    <w:p>
      <w:pPr>
        <w:rPr>
          <w:sz w:val="8"/>
        </w:rPr>
        <w:spacing w:after="40" w:before="0" w:line="240" w:lineRule="auto"/>
      </w:pPr>
    </w:p>
    <w:p>
      <w:pPr>
        <w:pStyle w:val="MasttBody"/>
      </w:pPr>
      <w:r>
        <w:t>Physical percent complete claimed by a contractor is verified by the client team before it is accepted into the schedule or a payment valuation. Time-based or cost-based progress is not accepted as evidence of physical progress.</w:t>
      </w:r>
    </w:p>
    <w:p>
      <w:pPr>
        <w:pStyle w:val="Heading2"/>
      </w:pPr>
      <w:r>
        <w:t>8.9  Schedule risk analysis</w:t>
      </w:r>
    </w:p>
    <w:p>
      <w:pPr>
        <w:pStyle w:val="ListBullet"/>
        <w:spacing w:after="60"/>
        <w:ind w:left="340"/>
      </w:pPr>
      <w:r>
        <w:rPr>
          <w:rFonts w:ascii="Segoe UI" w:hAnsi="Segoe UI"/>
          <w:color w:val="1D3245"/>
          <w:sz w:val="20"/>
        </w:rPr>
        <w:t>A quantitative schedule risk analysis is performed at the delivery gate, before award, and at least annually thereafter, or whenever the critical path changes materially.</w:t>
      </w:r>
    </w:p>
    <w:p>
      <w:pPr>
        <w:pStyle w:val="ListBullet"/>
        <w:spacing w:after="60"/>
        <w:ind w:left="340"/>
      </w:pPr>
      <w:r>
        <w:rPr>
          <w:rFonts w:ascii="Segoe UI" w:hAnsi="Segoe UI"/>
          <w:color w:val="1D3245"/>
          <w:sz w:val="20"/>
        </w:rPr>
        <w:t>Duration uncertainty is applied to the driving activities using three-point estimates, and discrete risk events from the risk register are mapped as probabilistic branches.</w:t>
      </w:r>
    </w:p>
    <w:p>
      <w:pPr>
        <w:pStyle w:val="ListBullet"/>
        <w:spacing w:after="60"/>
        <w:ind w:left="340"/>
      </w:pPr>
      <w:r>
        <w:rPr>
          <w:rFonts w:ascii="Segoe UI" w:hAnsi="Segoe UI"/>
          <w:color w:val="1D3245"/>
          <w:sz w:val="20"/>
        </w:rPr>
        <w:t>The output is a confidence-level completion date distribution; the committed date is set at an agreed confidence level (commonly P80 for external commitments and P50 for internal targets).</w:t>
      </w:r>
    </w:p>
    <w:p>
      <w:pPr>
        <w:pStyle w:val="ListBullet"/>
        <w:spacing w:after="60"/>
        <w:ind w:left="340"/>
      </w:pPr>
      <w:r>
        <w:rPr>
          <w:rFonts w:ascii="Segoe UI" w:hAnsi="Segoe UI"/>
          <w:color w:val="1D3245"/>
          <w:sz w:val="20"/>
        </w:rPr>
        <w:t>The difference between the deterministic date and the committed date establishes the schedule contingency, which is owned and released like cost contingency.</w:t>
      </w:r>
    </w:p>
    <w:p>
      <w:pPr>
        <w:pStyle w:val="Heading2"/>
      </w:pPr>
      <w:r>
        <w:t>8.10  Delay and extension of time</w:t>
      </w:r>
    </w:p>
    <w:p>
      <w:pPr>
        <w:pStyle w:val="ListBullet"/>
        <w:spacing w:after="60"/>
        <w:ind w:left="340"/>
      </w:pPr>
      <w:r>
        <w:rPr>
          <w:rFonts w:ascii="Segoe UI" w:hAnsi="Segoe UI"/>
          <w:color w:val="1D3245"/>
          <w:sz w:val="20"/>
        </w:rPr>
        <w:t>Delay is notified in accordance with the contract's notice provisions; notice periods are recorded in the notices register in Section 17 and diarised.</w:t>
      </w:r>
    </w:p>
    <w:p>
      <w:pPr>
        <w:pStyle w:val="ListBullet"/>
        <w:spacing w:after="60"/>
        <w:ind w:left="340"/>
      </w:pPr>
      <w:r>
        <w:rPr>
          <w:rFonts w:ascii="Segoe UI" w:hAnsi="Segoe UI"/>
          <w:color w:val="1D3245"/>
          <w:sz w:val="20"/>
        </w:rPr>
        <w:t>Entitlement is assessed using a method appropriate to the circumstances - commonly time impact analysis for prospective assessment and as-planned versus as-built windows for retrospective assessment.</w:t>
      </w:r>
    </w:p>
    <w:p>
      <w:pPr>
        <w:pStyle w:val="ListBullet"/>
        <w:spacing w:after="60"/>
        <w:ind w:left="340"/>
      </w:pPr>
      <w:r>
        <w:rPr>
          <w:rFonts w:ascii="Segoe UI" w:hAnsi="Segoe UI"/>
          <w:color w:val="1D3245"/>
          <w:sz w:val="20"/>
        </w:rPr>
        <w:t>The contemporaneous records required to support or resist a claim - daily records, delay events, resource returns, weather records, progress photographs - are maintained from day one, not assembled after the event.</w:t>
      </w:r>
    </w:p>
    <w:p>
      <w:pPr>
        <w:pStyle w:val="ListBullet"/>
        <w:spacing w:after="60"/>
        <w:ind w:left="340"/>
      </w:pPr>
      <w:r>
        <w:rPr>
          <w:rFonts w:ascii="Segoe UI" w:hAnsi="Segoe UI"/>
          <w:color w:val="1D3245"/>
          <w:sz w:val="20"/>
        </w:rPr>
        <w:t>Concurrent delay is assessed in accordance with the contract and the principles applicable in the relevant jurisdiction.</w:t>
      </w:r>
    </w:p>
    <w:p>
      <w:pPr>
        <w:pStyle w:val="ListBullet"/>
        <w:spacing w:after="60"/>
        <w:ind w:left="340"/>
      </w:pPr>
      <w:r>
        <w:rPr>
          <w:rFonts w:ascii="Segoe UI" w:hAnsi="Segoe UI"/>
          <w:color w:val="1D3245"/>
          <w:sz w:val="20"/>
        </w:rPr>
        <w:t>Acceleration is only instructed in writing, with the cost and risk agreed before the acceleration begins wherever practicable.</w:t>
      </w:r>
    </w:p>
    <w:p>
      <w:pPr>
        <w:pStyle w:val="Heading2"/>
      </w:pPr>
      <w:r>
        <w:t>8.11  Schedule reporting</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41"/>
        <w:gridCol w:w="3629"/>
        <w:gridCol w:w="1474"/>
        <w:gridCol w:w="2268"/>
      </w:tblGrid>
      <w:tr>
        <w:trPr>
          <w:tblHeader w:val="true"/>
          <w:cantSplit w:val="true"/>
        </w:trPr>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Report</w:t>
            </w:r>
          </w:p>
        </w:tc>
        <w:tc>
          <w:tcPr>
            <w:tcW w:type="dxa" w:w="36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Content</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Audience</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Milestone status report</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Planned, forecast and actual dates against tolerance</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Board</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Critical path narrative</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Current and near-critical paths, changes, drivers</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 Group</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Schedule performance report</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SPI, float trend, milestone variance, recovery actions</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Control Group</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Look-ahead and constraint report</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6-week look-ahead, constraints, percent plan complete</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Weekly</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Delivery team</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Schedule quality report</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Logic, open ends, constraints, negative float, out-of-sequence</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Planner and PM</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Delay and EOT register</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Notified events, status, assessed entitlement</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w:t>
            </w:r>
          </w:p>
        </w:tc>
      </w:tr>
    </w:tbl>
    <w:p>
      <w:pPr>
        <w:rPr>
          <w:sz w:val="8"/>
        </w:rPr>
        <w:spacing w:after="40" w:before="0" w:line="240" w:lineRule="auto"/>
      </w:pPr>
    </w:p>
    <w:p>
      <w:r>
        <w:br w:type="page"/>
      </w:r>
    </w:p>
    <w:p>
      <w:pPr>
        <w:pStyle w:val="Heading1"/>
        <w:pBdr>
          <w:bottom w:val="single" w:sz="6" w:space="4" w:color="C9D4E0"/>
        </w:pBdr>
      </w:pPr>
      <w:r>
        <w:t>9.  Cost management</w:t>
      </w:r>
    </w:p>
    <w:p>
      <w:pPr>
        <w:pStyle w:val="Heading2"/>
      </w:pPr>
      <w:r>
        <w:t>9.1  Approach</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Cost control is the discipline of knowing, at any moment, what has been committed, what has been spent, what remains to be spent and what the project will finally cost. State how each of those four numbers is produced and by whom. If your forecast is derived from the budget rather than from the work remaining, you do not have a forecast.</w:t>
            </w:r>
          </w:p>
        </w:tc>
      </w:tr>
    </w:tbl>
    <w:p>
      <w:pPr>
        <w:rPr>
          <w:sz w:val="8"/>
        </w:rPr>
        <w:spacing w:after="40" w:before="0" w:line="240" w:lineRule="auto"/>
      </w:pPr>
    </w:p>
    <w:p>
      <w:pPr>
        <w:pStyle w:val="MasttBody"/>
      </w:pPr>
      <w:r>
        <w:t>Cost is controlled at the level of the control account: the intersection of a work breakdown element and an accountable organisation. Commitments are recorded when an order is placed, not when an invoice is received. The estimate at completion is rebuilt each month from actual cost to date plus an independently assessed cost to complete, and is reconciled to the previous month's forecast with every movement explained.</w:t>
      </w:r>
    </w:p>
    <w:p>
      <w:pPr>
        <w:pStyle w:val="Heading2"/>
      </w:pPr>
      <w:r>
        <w:t>9.2  Cost breakdown structure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856"/>
        <w:gridCol w:w="1907"/>
        <w:gridCol w:w="4628"/>
        <w:gridCol w:w="2021"/>
      </w:tblGrid>
      <w:tr>
        <w:trPr>
          <w:tblHeader w:val="true"/>
          <w:cantSplit w:val="true"/>
        </w:trPr>
        <w:tc>
          <w:tcPr>
            <w:tcW w:type="dxa" w:w="85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Level</w:t>
            </w:r>
          </w:p>
        </w:tc>
        <w:tc>
          <w:tcPr>
            <w:tcW w:type="dxa" w:w="190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Element</w:t>
            </w:r>
          </w:p>
        </w:tc>
        <w:tc>
          <w:tcPr>
            <w:tcW w:type="dxa" w:w="462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Content</w:t>
            </w:r>
          </w:p>
        </w:tc>
        <w:tc>
          <w:tcPr>
            <w:tcW w:type="dxa" w:w="20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1</w:t>
            </w:r>
          </w:p>
        </w:tc>
        <w:tc>
          <w:tcPr>
            <w:tcW w:type="dxa" w:w="1907"/>
            <w:tcMar>
              <w:top w:w="40" w:type="dxa"/>
              <w:left w:w="110" w:type="dxa"/>
              <w:bottom w:w="40" w:type="dxa"/>
              <w:right w:w="110" w:type="dxa"/>
            </w:tcMar>
          </w:tcPr>
          <w:p>
            <w:pPr>
              <w:pStyle w:val="MasttTableCell"/>
              <w:spacing w:before="20" w:after="20"/>
            </w:pPr>
            <w:r/>
            <w:r>
              <w:rPr>
                <w:rFonts w:ascii="Segoe UI" w:hAnsi="Segoe UI"/>
                <w:color w:val="1D3245"/>
                <w:sz w:val="17"/>
              </w:rPr>
              <w:t>Total project cost</w:t>
            </w:r>
          </w:p>
        </w:tc>
        <w:tc>
          <w:tcPr>
            <w:tcW w:type="dxa" w:w="4627"/>
            <w:tcMar>
              <w:top w:w="40" w:type="dxa"/>
              <w:left w:w="110" w:type="dxa"/>
              <w:bottom w:w="40" w:type="dxa"/>
              <w:right w:w="110" w:type="dxa"/>
            </w:tcMar>
          </w:tcPr>
          <w:p>
            <w:pPr>
              <w:pStyle w:val="MasttTableCell"/>
              <w:spacing w:before="20" w:after="20"/>
            </w:pPr>
            <w:r/>
            <w:r>
              <w:rPr>
                <w:rFonts w:ascii="Segoe UI" w:hAnsi="Segoe UI"/>
                <w:color w:val="1D3245"/>
                <w:sz w:val="17"/>
              </w:rPr>
              <w:t>The full authorised investment</w:t>
            </w:r>
          </w:p>
        </w:tc>
        <w:tc>
          <w:tcPr>
            <w:tcW w:type="dxa" w:w="2021"/>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r>
      <w:tr>
        <w:trPr>
          <w:cantSplit w:val="true"/>
        </w:trPr>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2</w:t>
            </w:r>
          </w:p>
        </w:tc>
        <w:tc>
          <w:tcPr>
            <w:tcW w:type="dxa" w:w="19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category</w:t>
            </w:r>
          </w:p>
        </w:tc>
        <w:tc>
          <w:tcPr>
            <w:tcW w:type="dxa" w:w="46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Construction; design and consultancy; client costs; land and statutory; equipment; escalation; contingency</w:t>
            </w:r>
          </w:p>
        </w:tc>
        <w:tc>
          <w:tcPr>
            <w:tcW w:type="dxa" w:w="20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3</w:t>
            </w:r>
          </w:p>
        </w:tc>
        <w:tc>
          <w:tcPr>
            <w:tcW w:type="dxa" w:w="1907"/>
            <w:tcMar>
              <w:top w:w="40" w:type="dxa"/>
              <w:left w:w="110" w:type="dxa"/>
              <w:bottom w:w="40" w:type="dxa"/>
              <w:right w:w="110" w:type="dxa"/>
            </w:tcMar>
          </w:tcPr>
          <w:p>
            <w:pPr>
              <w:pStyle w:val="MasttTableCell"/>
              <w:spacing w:before="20" w:after="20"/>
            </w:pPr>
            <w:r/>
            <w:r>
              <w:rPr>
                <w:rFonts w:ascii="Segoe UI" w:hAnsi="Segoe UI"/>
                <w:color w:val="1D3245"/>
                <w:sz w:val="17"/>
              </w:rPr>
              <w:t>Package / control account</w:t>
            </w:r>
          </w:p>
        </w:tc>
        <w:tc>
          <w:tcPr>
            <w:tcW w:type="dxa" w:w="4627"/>
            <w:tcMar>
              <w:top w:w="40" w:type="dxa"/>
              <w:left w:w="110" w:type="dxa"/>
              <w:bottom w:w="40" w:type="dxa"/>
              <w:right w:w="110" w:type="dxa"/>
            </w:tcMar>
          </w:tcPr>
          <w:p>
            <w:pPr>
              <w:pStyle w:val="MasttTableCell"/>
              <w:spacing w:before="20" w:after="20"/>
            </w:pPr>
            <w:r/>
            <w:r>
              <w:rPr>
                <w:rFonts w:ascii="Segoe UI" w:hAnsi="Segoe UI"/>
                <w:color w:val="1D3245"/>
                <w:sz w:val="17"/>
              </w:rPr>
              <w:t>Aligned one-to-one with WBS Level 3</w:t>
            </w:r>
          </w:p>
        </w:tc>
        <w:tc>
          <w:tcPr>
            <w:tcW w:type="dxa" w:w="2021"/>
            <w:tcMar>
              <w:top w:w="40" w:type="dxa"/>
              <w:left w:w="110" w:type="dxa"/>
              <w:bottom w:w="40" w:type="dxa"/>
              <w:right w:w="110" w:type="dxa"/>
            </w:tcMar>
          </w:tcPr>
          <w:p>
            <w:pPr>
              <w:pStyle w:val="MasttTableCell"/>
              <w:spacing w:before="20" w:after="20"/>
            </w:pPr>
            <w:r/>
            <w:r>
              <w:rPr>
                <w:rFonts w:ascii="Segoe UI" w:hAnsi="Segoe UI"/>
                <w:color w:val="1D3245"/>
                <w:sz w:val="17"/>
              </w:rPr>
              <w:t>Package Manager</w:t>
            </w:r>
          </w:p>
        </w:tc>
      </w:tr>
      <w:tr>
        <w:trPr>
          <w:cantSplit w:val="true"/>
        </w:trPr>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4</w:t>
            </w:r>
          </w:p>
        </w:tc>
        <w:tc>
          <w:tcPr>
            <w:tcW w:type="dxa" w:w="19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Element / trade</w:t>
            </w:r>
          </w:p>
        </w:tc>
        <w:tc>
          <w:tcPr>
            <w:tcW w:type="dxa" w:w="46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Elemental or trade breakdown for estimating and benchmarking</w:t>
            </w:r>
          </w:p>
        </w:tc>
        <w:tc>
          <w:tcPr>
            <w:tcW w:type="dxa" w:w="20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Manager</w:t>
            </w:r>
          </w:p>
        </w:tc>
      </w:tr>
      <w:tr>
        <w:trPr>
          <w:cantSplit w:val="true"/>
        </w:trPr>
        <w:tc>
          <w:tcPr>
            <w:tcW w:type="dxa" w:w="856"/>
            <w:tcMar>
              <w:top w:w="40" w:type="dxa"/>
              <w:left w:w="110" w:type="dxa"/>
              <w:bottom w:w="40" w:type="dxa"/>
              <w:right w:w="110" w:type="dxa"/>
            </w:tcMar>
          </w:tcPr>
          <w:p>
            <w:pPr>
              <w:pStyle w:val="MasttTableCell"/>
              <w:spacing w:before="20" w:after="20"/>
            </w:pPr>
            <w:r/>
            <w:r>
              <w:rPr>
                <w:rFonts w:ascii="Segoe UI" w:hAnsi="Segoe UI"/>
                <w:b/>
                <w:color w:val="1D3245"/>
                <w:sz w:val="17"/>
              </w:rPr>
              <w:t>5</w:t>
            </w:r>
          </w:p>
        </w:tc>
        <w:tc>
          <w:tcPr>
            <w:tcW w:type="dxa" w:w="1907"/>
            <w:tcMar>
              <w:top w:w="40" w:type="dxa"/>
              <w:left w:w="110" w:type="dxa"/>
              <w:bottom w:w="40" w:type="dxa"/>
              <w:right w:w="110" w:type="dxa"/>
            </w:tcMar>
          </w:tcPr>
          <w:p>
            <w:pPr>
              <w:pStyle w:val="MasttTableCell"/>
              <w:spacing w:before="20" w:after="20"/>
            </w:pPr>
            <w:r/>
            <w:r>
              <w:rPr>
                <w:rFonts w:ascii="Segoe UI" w:hAnsi="Segoe UI"/>
                <w:color w:val="1D3245"/>
                <w:sz w:val="17"/>
              </w:rPr>
              <w:t>Cost item</w:t>
            </w:r>
          </w:p>
        </w:tc>
        <w:tc>
          <w:tcPr>
            <w:tcW w:type="dxa" w:w="4627"/>
            <w:tcMar>
              <w:top w:w="40" w:type="dxa"/>
              <w:left w:w="110" w:type="dxa"/>
              <w:bottom w:w="40" w:type="dxa"/>
              <w:right w:w="110" w:type="dxa"/>
            </w:tcMar>
          </w:tcPr>
          <w:p>
            <w:pPr>
              <w:pStyle w:val="MasttTableCell"/>
              <w:spacing w:before="20" w:after="20"/>
            </w:pPr>
            <w:r/>
            <w:r>
              <w:rPr>
                <w:rFonts w:ascii="Segoe UI" w:hAnsi="Segoe UI"/>
                <w:color w:val="1D3245"/>
                <w:sz w:val="17"/>
              </w:rPr>
              <w:t>Individual measured item or resource</w:t>
            </w:r>
          </w:p>
        </w:tc>
        <w:tc>
          <w:tcPr>
            <w:tcW w:type="dxa" w:w="2021"/>
            <w:tcMar>
              <w:top w:w="40" w:type="dxa"/>
              <w:left w:w="110" w:type="dxa"/>
              <w:bottom w:w="40" w:type="dxa"/>
              <w:right w:w="110" w:type="dxa"/>
            </w:tcMar>
          </w:tcPr>
          <w:p>
            <w:pPr>
              <w:pStyle w:val="MasttTableCell"/>
              <w:spacing w:before="20" w:after="20"/>
            </w:pPr>
            <w:r/>
            <w:r>
              <w:rPr>
                <w:rFonts w:ascii="Segoe UI" w:hAnsi="Segoe UI"/>
                <w:color w:val="1D3245"/>
                <w:sz w:val="17"/>
              </w:rPr>
              <w:t>Cost Manager</w:t>
            </w:r>
          </w:p>
        </w:tc>
      </w:tr>
    </w:tbl>
    <w:p>
      <w:pPr>
        <w:rPr>
          <w:sz w:val="8"/>
        </w:rPr>
        <w:spacing w:after="40" w:before="0" w:line="240" w:lineRule="auto"/>
      </w:pPr>
    </w:p>
    <w:p>
      <w:pPr>
        <w:pStyle w:val="Heading2"/>
      </w:pPr>
      <w:r>
        <w:t>9.3  Budget baseline and control accounts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1045"/>
        <w:gridCol w:w="1606"/>
        <w:gridCol w:w="843"/>
        <w:gridCol w:w="1157"/>
        <w:gridCol w:w="1269"/>
        <w:gridCol w:w="955"/>
        <w:gridCol w:w="1157"/>
        <w:gridCol w:w="1381"/>
      </w:tblGrid>
      <w:tr>
        <w:trPr>
          <w:tblHeader w:val="true"/>
          <w:cantSplit w:val="true"/>
        </w:trPr>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Control account</w:t>
            </w:r>
          </w:p>
        </w:tc>
        <w:tc>
          <w:tcPr>
            <w:tcW w:type="dxa" w:w="160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Scope</w:t>
            </w:r>
          </w:p>
        </w:tc>
        <w:tc>
          <w:tcPr>
            <w:tcW w:type="dxa" w:w="84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Owner</w:t>
            </w:r>
          </w:p>
        </w:tc>
        <w:tc>
          <w:tcPr>
            <w:tcW w:type="dxa" w:w="11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Approved budget</w:t>
            </w:r>
          </w:p>
        </w:tc>
        <w:tc>
          <w:tcPr>
            <w:tcW w:type="dxa" w:w="12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Committed</w:t>
            </w:r>
          </w:p>
        </w:tc>
        <w:tc>
          <w:tcPr>
            <w:tcW w:type="dxa" w:w="95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Actual to date</w:t>
            </w:r>
          </w:p>
        </w:tc>
        <w:tc>
          <w:tcPr>
            <w:tcW w:type="dxa" w:w="11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Forecast to complete</w:t>
            </w:r>
          </w:p>
        </w:tc>
        <w:tc>
          <w:tcPr>
            <w:tcW w:type="dxa" w:w="13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Forecast at completion</w:t>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CA-100</w:t>
            </w:r>
          </w:p>
        </w:tc>
        <w:tc>
          <w:tcPr>
            <w:tcW w:type="dxa" w:w="1606"/>
            <w:tcMar>
              <w:top w:w="40" w:type="dxa"/>
              <w:left w:w="110" w:type="dxa"/>
              <w:bottom w:w="40" w:type="dxa"/>
              <w:right w:w="110" w:type="dxa"/>
            </w:tcMar>
          </w:tcPr>
          <w:p>
            <w:pPr>
              <w:pStyle w:val="MasttTableCell"/>
              <w:spacing w:before="20" w:after="20"/>
            </w:pPr>
            <w:r/>
            <w:r>
              <w:rPr>
                <w:rFonts w:ascii="Segoe UI" w:hAnsi="Segoe UI"/>
                <w:color w:val="1D3245"/>
                <w:sz w:val="16"/>
              </w:rPr>
              <w:t>Design and consultancy</w:t>
            </w:r>
          </w:p>
        </w:tc>
        <w:tc>
          <w:tcPr>
            <w:tcW w:type="dxa" w:w="84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CA-200</w:t>
            </w:r>
          </w:p>
        </w:tc>
        <w:tc>
          <w:tcPr>
            <w:tcW w:type="dxa" w:w="16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Statutory approvals, fees and charges</w:t>
            </w:r>
          </w:p>
        </w:tc>
        <w:tc>
          <w:tcPr>
            <w:tcW w:type="dxa" w:w="8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CA-300</w:t>
            </w:r>
          </w:p>
        </w:tc>
        <w:tc>
          <w:tcPr>
            <w:tcW w:type="dxa" w:w="1606"/>
            <w:tcMar>
              <w:top w:w="40" w:type="dxa"/>
              <w:left w:w="110" w:type="dxa"/>
              <w:bottom w:w="40" w:type="dxa"/>
              <w:right w:w="110" w:type="dxa"/>
            </w:tcMar>
          </w:tcPr>
          <w:p>
            <w:pPr>
              <w:pStyle w:val="MasttTableCell"/>
              <w:spacing w:before="20" w:after="20"/>
            </w:pPr>
            <w:r/>
            <w:r>
              <w:rPr>
                <w:rFonts w:ascii="Segoe UI" w:hAnsi="Segoe UI"/>
                <w:color w:val="1D3245"/>
                <w:sz w:val="16"/>
              </w:rPr>
              <w:t>Enabling works and demolition</w:t>
            </w:r>
          </w:p>
        </w:tc>
        <w:tc>
          <w:tcPr>
            <w:tcW w:type="dxa" w:w="84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CA-400</w:t>
            </w:r>
          </w:p>
        </w:tc>
        <w:tc>
          <w:tcPr>
            <w:tcW w:type="dxa" w:w="16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Main construction works</w:t>
            </w:r>
          </w:p>
        </w:tc>
        <w:tc>
          <w:tcPr>
            <w:tcW w:type="dxa" w:w="8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CA-500</w:t>
            </w:r>
          </w:p>
        </w:tc>
        <w:tc>
          <w:tcPr>
            <w:tcW w:type="dxa" w:w="1606"/>
            <w:tcMar>
              <w:top w:w="40" w:type="dxa"/>
              <w:left w:w="110" w:type="dxa"/>
              <w:bottom w:w="40" w:type="dxa"/>
              <w:right w:w="110" w:type="dxa"/>
            </w:tcMar>
          </w:tcPr>
          <w:p>
            <w:pPr>
              <w:pStyle w:val="MasttTableCell"/>
              <w:spacing w:before="20" w:after="20"/>
            </w:pPr>
            <w:r/>
            <w:r>
              <w:rPr>
                <w:rFonts w:ascii="Segoe UI" w:hAnsi="Segoe UI"/>
                <w:color w:val="1D3245"/>
                <w:sz w:val="16"/>
              </w:rPr>
              <w:t>Building services and specialist systems</w:t>
            </w:r>
          </w:p>
        </w:tc>
        <w:tc>
          <w:tcPr>
            <w:tcW w:type="dxa" w:w="84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CA-600</w:t>
            </w:r>
          </w:p>
        </w:tc>
        <w:tc>
          <w:tcPr>
            <w:tcW w:type="dxa" w:w="16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Fit-out, furniture and equipment</w:t>
            </w:r>
          </w:p>
        </w:tc>
        <w:tc>
          <w:tcPr>
            <w:tcW w:type="dxa" w:w="8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CA-700</w:t>
            </w:r>
          </w:p>
        </w:tc>
        <w:tc>
          <w:tcPr>
            <w:tcW w:type="dxa" w:w="1606"/>
            <w:tcMar>
              <w:top w:w="40" w:type="dxa"/>
              <w:left w:w="110" w:type="dxa"/>
              <w:bottom w:w="40" w:type="dxa"/>
              <w:right w:w="110" w:type="dxa"/>
            </w:tcMar>
          </w:tcPr>
          <w:p>
            <w:pPr>
              <w:pStyle w:val="MasttTableCell"/>
              <w:spacing w:before="20" w:after="20"/>
            </w:pPr>
            <w:r/>
            <w:r>
              <w:rPr>
                <w:rFonts w:ascii="Segoe UI" w:hAnsi="Segoe UI"/>
                <w:color w:val="1D3245"/>
                <w:sz w:val="16"/>
              </w:rPr>
              <w:t>Commissioning and operational readiness</w:t>
            </w:r>
          </w:p>
        </w:tc>
        <w:tc>
          <w:tcPr>
            <w:tcW w:type="dxa" w:w="84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CA-800</w:t>
            </w:r>
          </w:p>
        </w:tc>
        <w:tc>
          <w:tcPr>
            <w:tcW w:type="dxa" w:w="16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Client-side project costs</w:t>
            </w:r>
          </w:p>
        </w:tc>
        <w:tc>
          <w:tcPr>
            <w:tcW w:type="dxa" w:w="8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CA-900</w:t>
            </w:r>
          </w:p>
        </w:tc>
        <w:tc>
          <w:tcPr>
            <w:tcW w:type="dxa" w:w="1606"/>
            <w:tcMar>
              <w:top w:w="40" w:type="dxa"/>
              <w:left w:w="110" w:type="dxa"/>
              <w:bottom w:w="40" w:type="dxa"/>
              <w:right w:w="110" w:type="dxa"/>
            </w:tcMar>
          </w:tcPr>
          <w:p>
            <w:pPr>
              <w:pStyle w:val="MasttTableCell"/>
              <w:spacing w:before="20" w:after="20"/>
            </w:pPr>
            <w:r/>
            <w:r>
              <w:rPr>
                <w:rFonts w:ascii="Segoe UI" w:hAnsi="Segoe UI"/>
                <w:color w:val="1D3245"/>
                <w:sz w:val="16"/>
              </w:rPr>
              <w:t>Escalation allowance</w:t>
            </w:r>
          </w:p>
        </w:tc>
        <w:tc>
          <w:tcPr>
            <w:tcW w:type="dxa" w:w="84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CA-950</w:t>
            </w:r>
          </w:p>
        </w:tc>
        <w:tc>
          <w:tcPr>
            <w:tcW w:type="dxa" w:w="16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Contingency</w:t>
            </w:r>
          </w:p>
        </w:tc>
        <w:tc>
          <w:tcPr>
            <w:tcW w:type="dxa" w:w="8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tcPr>
          <w:p>
            <w:pPr>
              <w:pStyle w:val="MasttTableCell"/>
              <w:spacing w:before="20" w:after="20"/>
            </w:pPr>
            <w:r/>
            <w:r>
              <w:rPr>
                <w:rFonts w:ascii="Segoe UI" w:hAnsi="Segoe UI"/>
                <w:b/>
                <w:color w:val="1D3245"/>
                <w:sz w:val="16"/>
              </w:rPr>
              <w:t>CA-980</w:t>
            </w:r>
          </w:p>
        </w:tc>
        <w:tc>
          <w:tcPr>
            <w:tcW w:type="dxa" w:w="1606"/>
            <w:tcMar>
              <w:top w:w="40" w:type="dxa"/>
              <w:left w:w="110" w:type="dxa"/>
              <w:bottom w:w="40" w:type="dxa"/>
              <w:right w:w="110" w:type="dxa"/>
            </w:tcMar>
          </w:tcPr>
          <w:p>
            <w:pPr>
              <w:pStyle w:val="MasttTableCell"/>
              <w:spacing w:before="20" w:after="20"/>
            </w:pPr>
            <w:r/>
            <w:r>
              <w:rPr>
                <w:rFonts w:ascii="Segoe UI" w:hAnsi="Segoe UI"/>
                <w:color w:val="1D3245"/>
                <w:sz w:val="16"/>
              </w:rPr>
              <w:t>Management reserve</w:t>
            </w:r>
          </w:p>
        </w:tc>
        <w:tc>
          <w:tcPr>
            <w:tcW w:type="dxa" w:w="84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r>
          </w:p>
        </w:tc>
        <w:tc>
          <w:tcPr>
            <w:tcW w:type="dxa" w:w="16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Total</w:t>
            </w:r>
          </w:p>
        </w:tc>
        <w:tc>
          <w:tcPr>
            <w:tcW w:type="dxa" w:w="8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bl>
    <w:p>
      <w:pPr>
        <w:rPr>
          <w:sz w:val="8"/>
        </w:rPr>
        <w:spacing w:after="40" w:before="0" w:line="240" w:lineRule="auto"/>
      </w:pPr>
    </w:p>
    <w:p>
      <w:pPr>
        <w:pStyle w:val="Heading2"/>
      </w:pPr>
      <w:r>
        <w:t>9.4  Estimating basis and classes of estimate</w:t>
      </w:r>
    </w:p>
    <w:p>
      <w:pPr>
        <w:pStyle w:val="MasttBody"/>
      </w:pPr>
      <w:r>
        <w:t>Every estimate records its basis: the documents relied on, the quantities source, the pricing date, the inclusions and exclusions, the assumptions, and the accuracy range. An estimate issued without a basis of estimate is not accepted into the cost plan.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1701"/>
        <w:gridCol w:w="1247"/>
        <w:gridCol w:w="2948"/>
        <w:gridCol w:w="1588"/>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Class</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Typical stage</w:t>
            </w:r>
          </w:p>
        </w:tc>
        <w:tc>
          <w:tcPr>
            <w:tcW w:type="dxa" w:w="12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Design maturity</w:t>
            </w:r>
          </w:p>
        </w:tc>
        <w:tc>
          <w:tcPr>
            <w:tcW w:type="dxa" w:w="294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Method</w:t>
            </w:r>
          </w:p>
        </w:tc>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Expected accuracy</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Class 5 - order of magnitude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Strategic definition</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0-2%</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Capacity factored, parametric, benchmark rates</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-30% to +50%</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Class 4 - concept / feasibility</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Preparation and brief</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1-15%</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Elemental rates, functional unit rates</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-20% to +30%</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Class 3 - budget / cost plan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Concept design</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10-40%</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Elemental cost plan with measured principal quantities</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-15% to +20%</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Class 2 - control estimate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Developed design</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30-75%</w:t>
            </w:r>
          </w:p>
        </w:tc>
        <w:tc>
          <w:tcPr>
            <w:tcW w:type="dxa" w:w="294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Measured quantities with priced rates</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 to +15%</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Class 1 - check / tender estimate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Technical design</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65-100%</w:t>
            </w:r>
          </w:p>
        </w:tc>
        <w:tc>
          <w:tcPr>
            <w:tcW w:type="dxa" w:w="2948"/>
            <w:tcMar>
              <w:top w:w="40" w:type="dxa"/>
              <w:left w:w="110" w:type="dxa"/>
              <w:bottom w:w="40" w:type="dxa"/>
              <w:right w:w="110" w:type="dxa"/>
            </w:tcMar>
          </w:tcPr>
          <w:p>
            <w:pPr>
              <w:pStyle w:val="MasttTableCell"/>
              <w:spacing w:before="20" w:after="20"/>
            </w:pPr>
            <w:r/>
            <w:r>
              <w:rPr>
                <w:rFonts w:ascii="Segoe UI" w:hAnsi="Segoe UI"/>
                <w:color w:val="1D3245"/>
                <w:sz w:val="17"/>
              </w:rPr>
              <w:t>Fully measured bill or schedule of quantities</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-5% to +10%</w:t>
            </w:r>
          </w:p>
        </w:tc>
      </w:tr>
    </w:tbl>
    <w:p>
      <w:pPr>
        <w:rPr>
          <w:sz w:val="8"/>
        </w:rPr>
        <w:spacing w:after="40" w:before="0" w:line="240" w:lineRule="auto"/>
      </w:pPr>
    </w:p>
    <w:p>
      <w:pPr>
        <w:pStyle w:val="Heading2"/>
      </w:pPr>
      <w:r>
        <w:t>9.5  Cost coding</w:t>
      </w:r>
    </w:p>
    <w:p>
      <w:pPr>
        <w:pStyle w:val="ListBullet"/>
        <w:spacing w:after="60"/>
        <w:ind w:left="340"/>
      </w:pPr>
      <w:r>
        <w:rPr>
          <w:rFonts w:ascii="Segoe UI" w:hAnsi="Segoe UI"/>
          <w:color w:val="1D3245"/>
          <w:sz w:val="20"/>
        </w:rPr>
        <w:t>Every cost transaction carries a control account code, a WBS code and a cost category code.</w:t>
      </w:r>
    </w:p>
    <w:p>
      <w:pPr>
        <w:pStyle w:val="ListBullet"/>
        <w:spacing w:after="60"/>
        <w:ind w:left="340"/>
      </w:pPr>
      <w:r>
        <w:rPr>
          <w:rFonts w:ascii="Segoe UI" w:hAnsi="Segoe UI"/>
          <w:color w:val="1D3245"/>
          <w:sz w:val="20"/>
        </w:rPr>
        <w:t>Codes are issued centrally by the Cost Manager and never reused.</w:t>
      </w:r>
    </w:p>
    <w:p>
      <w:pPr>
        <w:pStyle w:val="ListBullet"/>
        <w:spacing w:after="60"/>
        <w:ind w:left="340"/>
      </w:pPr>
      <w:r>
        <w:rPr>
          <w:rFonts w:ascii="Segoe UI" w:hAnsi="Segoe UI"/>
          <w:color w:val="1D3245"/>
          <w:sz w:val="20"/>
        </w:rPr>
        <w:t>Miscoded transactions are corrected in the period identified, with the correction disclosed in the cost report.</w:t>
      </w:r>
    </w:p>
    <w:p>
      <w:pPr>
        <w:pStyle w:val="ListBullet"/>
        <w:spacing w:after="60"/>
        <w:ind w:left="340"/>
      </w:pPr>
      <w:r>
        <w:rPr>
          <w:rFonts w:ascii="Segoe UI" w:hAnsi="Segoe UI"/>
          <w:color w:val="1D3245"/>
          <w:sz w:val="20"/>
        </w:rPr>
        <w:t>The cost coding structure is agreed with the client's finance function before the first commitment so that the project ledger and the corporate ledger reconcile.</w:t>
      </w:r>
    </w:p>
    <w:p>
      <w:pPr>
        <w:pStyle w:val="Heading2"/>
      </w:pPr>
      <w:r>
        <w:t>9.6  Commitment and expenditure control</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37"/>
        <w:gridCol w:w="3663"/>
        <w:gridCol w:w="1902"/>
        <w:gridCol w:w="2110"/>
      </w:tblGrid>
      <w:tr>
        <w:trPr>
          <w:tblHeader w:val="true"/>
          <w:cantSplit w:val="true"/>
        </w:trPr>
        <w:tc>
          <w:tcPr>
            <w:tcW w:type="dxa" w:w="17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Stage</w:t>
            </w:r>
          </w:p>
        </w:tc>
        <w:tc>
          <w:tcPr>
            <w:tcW w:type="dxa" w:w="366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Control</w:t>
            </w:r>
          </w:p>
        </w:tc>
        <w:tc>
          <w:tcPr>
            <w:tcW w:type="dxa" w:w="19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211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System record</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Requisition</w:t>
            </w:r>
          </w:p>
        </w:tc>
        <w:tc>
          <w:tcPr>
            <w:tcW w:type="dxa" w:w="3663"/>
            <w:tcMar>
              <w:top w:w="40" w:type="dxa"/>
              <w:left w:w="110" w:type="dxa"/>
              <w:bottom w:w="40" w:type="dxa"/>
              <w:right w:w="110" w:type="dxa"/>
            </w:tcMar>
          </w:tcPr>
          <w:p>
            <w:pPr>
              <w:pStyle w:val="MasttTableCell"/>
              <w:spacing w:before="20" w:after="20"/>
            </w:pPr>
            <w:r/>
            <w:r>
              <w:rPr>
                <w:rFonts w:ascii="Segoe UI" w:hAnsi="Segoe UI"/>
                <w:color w:val="1D3245"/>
                <w:sz w:val="17"/>
              </w:rPr>
              <w:t>Confirm budget availability before any commitment is created</w:t>
            </w:r>
          </w:p>
        </w:tc>
        <w:tc>
          <w:tcPr>
            <w:tcW w:type="dxa" w:w="1901"/>
            <w:tcMar>
              <w:top w:w="40" w:type="dxa"/>
              <w:left w:w="110" w:type="dxa"/>
              <w:bottom w:w="40" w:type="dxa"/>
              <w:right w:w="110" w:type="dxa"/>
            </w:tcMar>
          </w:tcPr>
          <w:p>
            <w:pPr>
              <w:pStyle w:val="MasttTableCell"/>
              <w:spacing w:before="20" w:after="20"/>
            </w:pPr>
            <w:r/>
            <w:r>
              <w:rPr>
                <w:rFonts w:ascii="Segoe UI" w:hAnsi="Segoe UI"/>
                <w:color w:val="1D3245"/>
                <w:sz w:val="17"/>
              </w:rPr>
              <w:t>Package Manager</w:t>
            </w:r>
          </w:p>
        </w:tc>
        <w:tc>
          <w:tcPr>
            <w:tcW w:type="dxa" w:w="2110"/>
            <w:tcMar>
              <w:top w:w="40" w:type="dxa"/>
              <w:left w:w="110" w:type="dxa"/>
              <w:bottom w:w="40" w:type="dxa"/>
              <w:right w:w="110" w:type="dxa"/>
            </w:tcMar>
          </w:tcPr>
          <w:p>
            <w:pPr>
              <w:pStyle w:val="MasttTableCell"/>
              <w:spacing w:before="20" w:after="20"/>
            </w:pPr>
            <w:r/>
            <w:r>
              <w:rPr>
                <w:rFonts w:ascii="Segoe UI" w:hAnsi="Segoe UI"/>
                <w:color w:val="1D3245"/>
                <w:sz w:val="17"/>
              </w:rPr>
              <w:t>Requisition register</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Approval</w:t>
            </w:r>
          </w:p>
        </w:tc>
        <w:tc>
          <w:tcPr>
            <w:tcW w:type="dxa" w:w="36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 within the delegation in Section 4.6</w:t>
            </w:r>
          </w:p>
        </w:tc>
        <w:tc>
          <w:tcPr>
            <w:tcW w:type="dxa" w:w="19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Delegated approver</w:t>
            </w:r>
          </w:p>
        </w:tc>
        <w:tc>
          <w:tcPr>
            <w:tcW w:type="dxa" w:w="21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Approval record</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Commitment</w:t>
            </w:r>
          </w:p>
        </w:tc>
        <w:tc>
          <w:tcPr>
            <w:tcW w:type="dxa" w:w="3663"/>
            <w:tcMar>
              <w:top w:w="40" w:type="dxa"/>
              <w:left w:w="110" w:type="dxa"/>
              <w:bottom w:w="40" w:type="dxa"/>
              <w:right w:w="110" w:type="dxa"/>
            </w:tcMar>
          </w:tcPr>
          <w:p>
            <w:pPr>
              <w:pStyle w:val="MasttTableCell"/>
              <w:spacing w:before="20" w:after="20"/>
            </w:pPr>
            <w:r/>
            <w:r>
              <w:rPr>
                <w:rFonts w:ascii="Segoe UI" w:hAnsi="Segoe UI"/>
                <w:color w:val="1D3245"/>
                <w:sz w:val="17"/>
              </w:rPr>
              <w:t>Raise the order or execute the contract; record the full committed value</w:t>
            </w:r>
          </w:p>
        </w:tc>
        <w:tc>
          <w:tcPr>
            <w:tcW w:type="dxa" w:w="1901"/>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2110"/>
            <w:tcMar>
              <w:top w:w="40" w:type="dxa"/>
              <w:left w:w="110" w:type="dxa"/>
              <w:bottom w:w="40" w:type="dxa"/>
              <w:right w:w="110" w:type="dxa"/>
            </w:tcMar>
          </w:tcPr>
          <w:p>
            <w:pPr>
              <w:pStyle w:val="MasttTableCell"/>
              <w:spacing w:before="20" w:after="20"/>
            </w:pPr>
            <w:r/>
            <w:r>
              <w:rPr>
                <w:rFonts w:ascii="Segoe UI" w:hAnsi="Segoe UI"/>
                <w:color w:val="1D3245"/>
                <w:sz w:val="17"/>
              </w:rPr>
              <w:t>Commitment register</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Valuation</w:t>
            </w:r>
          </w:p>
        </w:tc>
        <w:tc>
          <w:tcPr>
            <w:tcW w:type="dxa" w:w="36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Assess work properly executed and materials on site</w:t>
            </w:r>
          </w:p>
        </w:tc>
        <w:tc>
          <w:tcPr>
            <w:tcW w:type="dxa" w:w="19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Manager</w:t>
            </w:r>
          </w:p>
        </w:tc>
        <w:tc>
          <w:tcPr>
            <w:tcW w:type="dxa" w:w="21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Valuation record</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Certification</w:t>
            </w:r>
          </w:p>
        </w:tc>
        <w:tc>
          <w:tcPr>
            <w:tcW w:type="dxa" w:w="3663"/>
            <w:tcMar>
              <w:top w:w="40" w:type="dxa"/>
              <w:left w:w="110" w:type="dxa"/>
              <w:bottom w:w="40" w:type="dxa"/>
              <w:right w:w="110" w:type="dxa"/>
            </w:tcMar>
          </w:tcPr>
          <w:p>
            <w:pPr>
              <w:pStyle w:val="MasttTableCell"/>
              <w:spacing w:before="20" w:after="20"/>
            </w:pPr>
            <w:r/>
            <w:r>
              <w:rPr>
                <w:rFonts w:ascii="Segoe UI" w:hAnsi="Segoe UI"/>
                <w:color w:val="1D3245"/>
                <w:sz w:val="17"/>
              </w:rPr>
              <w:t>Certify payment within the contractual timeframe</w:t>
            </w:r>
          </w:p>
        </w:tc>
        <w:tc>
          <w:tcPr>
            <w:tcW w:type="dxa" w:w="1901"/>
            <w:tcMar>
              <w:top w:w="40" w:type="dxa"/>
              <w:left w:w="110" w:type="dxa"/>
              <w:bottom w:w="40" w:type="dxa"/>
              <w:right w:w="110" w:type="dxa"/>
            </w:tcMar>
          </w:tcPr>
          <w:p>
            <w:pPr>
              <w:pStyle w:val="MasttTableCell"/>
              <w:spacing w:before="20" w:after="20"/>
            </w:pPr>
            <w:r/>
            <w:r>
              <w:rPr>
                <w:rFonts w:ascii="Segoe UI" w:hAnsi="Segoe UI"/>
                <w:color w:val="1D3245"/>
                <w:sz w:val="17"/>
              </w:rPr>
              <w:t>Client Representative</w:t>
            </w:r>
          </w:p>
        </w:tc>
        <w:tc>
          <w:tcPr>
            <w:tcW w:type="dxa" w:w="2110"/>
            <w:tcMar>
              <w:top w:w="40" w:type="dxa"/>
              <w:left w:w="110" w:type="dxa"/>
              <w:bottom w:w="40" w:type="dxa"/>
              <w:right w:w="110" w:type="dxa"/>
            </w:tcMar>
          </w:tcPr>
          <w:p>
            <w:pPr>
              <w:pStyle w:val="MasttTableCell"/>
              <w:spacing w:before="20" w:after="20"/>
            </w:pPr>
            <w:r/>
            <w:r>
              <w:rPr>
                <w:rFonts w:ascii="Segoe UI" w:hAnsi="Segoe UI"/>
                <w:color w:val="1D3245"/>
                <w:sz w:val="17"/>
              </w:rPr>
              <w:t>Payment certificate</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Payment</w:t>
            </w:r>
          </w:p>
        </w:tc>
        <w:tc>
          <w:tcPr>
            <w:tcW w:type="dxa" w:w="36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Pay within the terms required by the contract and the applicable jurisdiction</w:t>
            </w:r>
          </w:p>
        </w:tc>
        <w:tc>
          <w:tcPr>
            <w:tcW w:type="dxa" w:w="19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finance</w:t>
            </w:r>
          </w:p>
        </w:tc>
        <w:tc>
          <w:tcPr>
            <w:tcW w:type="dxa" w:w="21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Ledger</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Accrual</w:t>
            </w:r>
          </w:p>
        </w:tc>
        <w:tc>
          <w:tcPr>
            <w:tcW w:type="dxa" w:w="3663"/>
            <w:tcMar>
              <w:top w:w="40" w:type="dxa"/>
              <w:left w:w="110" w:type="dxa"/>
              <w:bottom w:w="40" w:type="dxa"/>
              <w:right w:w="110" w:type="dxa"/>
            </w:tcMar>
          </w:tcPr>
          <w:p>
            <w:pPr>
              <w:pStyle w:val="MasttTableCell"/>
              <w:spacing w:before="20" w:after="20"/>
            </w:pPr>
            <w:r/>
            <w:r>
              <w:rPr>
                <w:rFonts w:ascii="Segoe UI" w:hAnsi="Segoe UI"/>
                <w:color w:val="1D3245"/>
                <w:sz w:val="17"/>
              </w:rPr>
              <w:t>Recognise work done but not yet invoiced at each period end</w:t>
            </w:r>
          </w:p>
        </w:tc>
        <w:tc>
          <w:tcPr>
            <w:tcW w:type="dxa" w:w="1901"/>
            <w:tcMar>
              <w:top w:w="40" w:type="dxa"/>
              <w:left w:w="110" w:type="dxa"/>
              <w:bottom w:w="40" w:type="dxa"/>
              <w:right w:w="110" w:type="dxa"/>
            </w:tcMar>
          </w:tcPr>
          <w:p>
            <w:pPr>
              <w:pStyle w:val="MasttTableCell"/>
              <w:spacing w:before="20" w:after="20"/>
            </w:pPr>
            <w:r/>
            <w:r>
              <w:rPr>
                <w:rFonts w:ascii="Segoe UI" w:hAnsi="Segoe UI"/>
                <w:color w:val="1D3245"/>
                <w:sz w:val="17"/>
              </w:rPr>
              <w:t>Cost Manager</w:t>
            </w:r>
          </w:p>
        </w:tc>
        <w:tc>
          <w:tcPr>
            <w:tcW w:type="dxa" w:w="2110"/>
            <w:tcMar>
              <w:top w:w="40" w:type="dxa"/>
              <w:left w:w="110" w:type="dxa"/>
              <w:bottom w:w="40" w:type="dxa"/>
              <w:right w:w="110" w:type="dxa"/>
            </w:tcMar>
          </w:tcPr>
          <w:p>
            <w:pPr>
              <w:pStyle w:val="MasttTableCell"/>
              <w:spacing w:before="20" w:after="20"/>
            </w:pPr>
            <w:r/>
            <w:r>
              <w:rPr>
                <w:rFonts w:ascii="Segoe UI" w:hAnsi="Segoe UI"/>
                <w:color w:val="1D3245"/>
                <w:sz w:val="17"/>
              </w:rPr>
              <w:t>Cost report</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Reconciliation</w:t>
            </w:r>
          </w:p>
        </w:tc>
        <w:tc>
          <w:tcPr>
            <w:tcW w:type="dxa" w:w="36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Reconcile the project cost report to the corporate ledger monthly</w:t>
            </w:r>
          </w:p>
        </w:tc>
        <w:tc>
          <w:tcPr>
            <w:tcW w:type="dxa" w:w="19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Manager</w:t>
            </w:r>
          </w:p>
        </w:tc>
        <w:tc>
          <w:tcPr>
            <w:tcW w:type="dxa" w:w="21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Reconciliation statement</w:t>
            </w:r>
          </w:p>
        </w:tc>
      </w:tr>
    </w:tbl>
    <w:p>
      <w:pPr>
        <w:rPr>
          <w:sz w:val="8"/>
        </w:rPr>
        <w:spacing w:after="40" w:before="0" w:line="240" w:lineRule="auto"/>
      </w:pPr>
    </w:p>
    <w:p>
      <w:pPr>
        <w:pStyle w:val="Heading2"/>
      </w:pPr>
      <w:r>
        <w:t>9.7  Forecasting</w:t>
      </w:r>
    </w:p>
    <w:p>
      <w:pPr>
        <w:pStyle w:val="MasttBody"/>
      </w:pPr>
      <w:r>
        <w:t>The forecast is built from the bottom up each month. Cost to complete is assessed from the work remaining, the current rate of expenditure, known changes not yet approved, the risk exposure assessed in Section 10, and the escalation profile - not by subtracting actual cost from budget.</w:t>
      </w:r>
    </w:p>
    <w:p>
      <w:pPr>
        <w:pStyle w:val="ListBullet"/>
        <w:spacing w:after="60"/>
        <w:ind w:left="340"/>
      </w:pPr>
      <w:r>
        <w:rPr>
          <w:rFonts w:ascii="Segoe UI" w:hAnsi="Segoe UI"/>
          <w:color w:val="1D3245"/>
          <w:sz w:val="20"/>
        </w:rPr>
        <w:t>Each control account owner submits a cost to complete with a stated basis.</w:t>
      </w:r>
    </w:p>
    <w:p>
      <w:pPr>
        <w:pStyle w:val="ListBullet"/>
        <w:spacing w:after="60"/>
        <w:ind w:left="340"/>
      </w:pPr>
      <w:r>
        <w:rPr>
          <w:rFonts w:ascii="Segoe UI" w:hAnsi="Segoe UI"/>
          <w:color w:val="1D3245"/>
          <w:sz w:val="20"/>
        </w:rPr>
        <w:t>Approved changes are added to the budget; pending changes are shown separately as a forecast movement, never hidden in contingency.</w:t>
      </w:r>
    </w:p>
    <w:p>
      <w:pPr>
        <w:pStyle w:val="ListBullet"/>
        <w:spacing w:after="60"/>
        <w:ind w:left="340"/>
      </w:pPr>
      <w:r>
        <w:rPr>
          <w:rFonts w:ascii="Segoe UI" w:hAnsi="Segoe UI"/>
          <w:color w:val="1D3245"/>
          <w:sz w:val="20"/>
        </w:rPr>
        <w:t>The forecast is reconciled month on month: opening forecast, plus approved change, plus forecast movement, plus contingency drawdown, equals closing forecast. Every movement above the reporting threshold is explained by exception.</w:t>
      </w:r>
    </w:p>
    <w:p>
      <w:pPr>
        <w:pStyle w:val="ListBullet"/>
        <w:spacing w:after="60"/>
        <w:ind w:left="340"/>
      </w:pPr>
      <w:r>
        <w:rPr>
          <w:rFonts w:ascii="Segoe UI" w:hAnsi="Segoe UI"/>
          <w:color w:val="1D3245"/>
          <w:sz w:val="20"/>
        </w:rPr>
        <w:t>Trend analysis is applied to expenditure rate, change rate and contingency drawdown rate to identify deterioration before it reaches the forecast.</w:t>
      </w:r>
    </w:p>
    <w:p>
      <w:pPr>
        <w:pStyle w:val="Heading2"/>
      </w:pPr>
      <w:r>
        <w:t>9.8  Earned value metrics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Use earned value only where physical progress can be measured objectively and the baseline is stable. Applied to an unstable baseline it produces confident nonsense. Where earned value is not appropriate, say so and state what is used instead.</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41"/>
        <w:gridCol w:w="3629"/>
        <w:gridCol w:w="3742"/>
      </w:tblGrid>
      <w:tr>
        <w:trPr>
          <w:tblHeader w:val="true"/>
          <w:cantSplit w:val="true"/>
        </w:trPr>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Metric</w:t>
            </w:r>
          </w:p>
        </w:tc>
        <w:tc>
          <w:tcPr>
            <w:tcW w:type="dxa" w:w="36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Formula</w:t>
            </w:r>
          </w:p>
        </w:tc>
        <w:tc>
          <w:tcPr>
            <w:tcW w:type="dxa" w:w="374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Interpretation</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Planned value (PV)</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Budgeted cost of work scheduled</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What the baseline said should have been done by now</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Earned value (EV)</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Budget at completion × physical percent complete</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budget value of what has actually been done</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Actual cost (AC)</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Cost actually incurred for the work performed</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What has been spent to do it</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Budget at completion (BAC)</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Total approved budget for the control account</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approved cost baseline</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Cost variance (CV)</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CV = EV − AC</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Positive is under budget; negative is over budget</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Schedule variance (SV)</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SV = EV − PV</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Positive is ahead of plan; negative is behind</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Cost performance index (CPI)</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CPI = EV ÷ AC</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Below 1.00 means every unit of work costs more than budgeted</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Schedule performance index (SPI)</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SPI = EV ÷ PV</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Below 1.00 means work is being earned slower than planned</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To-complete performance index (TCPI)</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TCPI = (BAC − EV) ÷ (BAC − AC)</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The efficiency required for the rest of the work to finish on budget</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Estimate to complete (ETC)</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ETC = (BAC − EV) ÷ CPI  (or a bottom-up assessment)</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forecast cost of the work remaining</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Estimate at completion (EAC)</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EAC = AC + ETC;  EAC = BAC ÷ CPI;  EAC = AC + (BAC − EV) ÷ (CPI × SPI)</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Forecast final cost - use the method matching the cause of variance</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Variance at completion (VAC)</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VAC = BAC − EAC</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Forecast over- or under-run at completion</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Percent complete</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EV ÷ BAC × 100</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Budget-weighted physical progress</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Percent spent</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 ÷ BAC × 100</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Compared with percent complete, exposes over-spend against progress</w:t>
            </w:r>
          </w:p>
        </w:tc>
      </w:tr>
    </w:tbl>
    <w:p>
      <w:pPr>
        <w:rPr>
          <w:sz w:val="8"/>
        </w:rPr>
        <w:spacing w:after="40" w:before="0" w:line="240" w:lineRule="auto"/>
      </w:pPr>
    </w:p>
    <w:p>
      <w:pPr>
        <w:pStyle w:val="MasttBody"/>
      </w:pPr>
      <w:r>
        <w:t>Thresholds: a CPI or SPI below 0.95 at control account level requires a written variance explanation; below 0.90 requires a recovery plan approved by the Project Director. Favourable variances above 1.10 are investigated with equal rigour, as they usually indicate a measurement error.</w:t>
      </w:r>
    </w:p>
    <w:p>
      <w:pPr>
        <w:pStyle w:val="Heading2"/>
      </w:pPr>
      <w:r>
        <w:t>9.9  Variation and change order pricing</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213"/>
        <w:gridCol w:w="3785"/>
        <w:gridCol w:w="4415"/>
      </w:tblGrid>
      <w:tr>
        <w:trPr>
          <w:tblHeader w:val="true"/>
          <w:cantSplit w:val="true"/>
        </w:trPr>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Priority</w:t>
            </w:r>
          </w:p>
        </w:tc>
        <w:tc>
          <w:tcPr>
            <w:tcW w:type="dxa" w:w="378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Pricing basis</w:t>
            </w:r>
          </w:p>
        </w:tc>
        <w:tc>
          <w:tcPr>
            <w:tcW w:type="dxa" w:w="44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When used</w:t>
            </w:r>
          </w:p>
        </w:tc>
      </w:tr>
      <w:tr>
        <w:trPr>
          <w:cantSplit w:val="true"/>
        </w:trPr>
        <w:tc>
          <w:tcPr>
            <w:tcW w:type="dxa" w:w="1213"/>
            <w:tcMar>
              <w:top w:w="40" w:type="dxa"/>
              <w:left w:w="110" w:type="dxa"/>
              <w:bottom w:w="40" w:type="dxa"/>
              <w:right w:w="110" w:type="dxa"/>
            </w:tcMar>
          </w:tcPr>
          <w:p>
            <w:pPr>
              <w:pStyle w:val="MasttTableCell"/>
              <w:spacing w:before="20" w:after="20"/>
            </w:pPr>
            <w:r/>
            <w:r>
              <w:rPr>
                <w:rFonts w:ascii="Segoe UI" w:hAnsi="Segoe UI"/>
                <w:b/>
                <w:color w:val="1D3245"/>
                <w:sz w:val="17"/>
              </w:rPr>
              <w:t>1</w:t>
            </w:r>
          </w:p>
        </w:tc>
        <w:tc>
          <w:tcPr>
            <w:tcW w:type="dxa" w:w="3784"/>
            <w:tcMar>
              <w:top w:w="40" w:type="dxa"/>
              <w:left w:w="110" w:type="dxa"/>
              <w:bottom w:w="40" w:type="dxa"/>
              <w:right w:w="110" w:type="dxa"/>
            </w:tcMar>
          </w:tcPr>
          <w:p>
            <w:pPr>
              <w:pStyle w:val="MasttTableCell"/>
              <w:spacing w:before="20" w:after="20"/>
            </w:pPr>
            <w:r/>
            <w:r>
              <w:rPr>
                <w:rFonts w:ascii="Segoe UI" w:hAnsi="Segoe UI"/>
                <w:color w:val="1D3245"/>
                <w:sz w:val="17"/>
              </w:rPr>
              <w:t>Rates and prices in the contract</w:t>
            </w:r>
          </w:p>
        </w:tc>
        <w:tc>
          <w:tcPr>
            <w:tcW w:type="dxa" w:w="4414"/>
            <w:tcMar>
              <w:top w:w="40" w:type="dxa"/>
              <w:left w:w="110" w:type="dxa"/>
              <w:bottom w:w="40" w:type="dxa"/>
              <w:right w:w="110" w:type="dxa"/>
            </w:tcMar>
          </w:tcPr>
          <w:p>
            <w:pPr>
              <w:pStyle w:val="MasttTableCell"/>
              <w:spacing w:before="20" w:after="20"/>
            </w:pPr>
            <w:r/>
            <w:r>
              <w:rPr>
                <w:rFonts w:ascii="Segoe UI" w:hAnsi="Segoe UI"/>
                <w:color w:val="1D3245"/>
                <w:sz w:val="17"/>
              </w:rPr>
              <w:t>The changed work is of the same character and executed under similar conditions</w:t>
            </w:r>
          </w:p>
        </w:tc>
      </w:tr>
      <w:tr>
        <w:trPr>
          <w:cantSplit w:val="true"/>
        </w:trPr>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2</w:t>
            </w:r>
          </w:p>
        </w:tc>
        <w:tc>
          <w:tcPr>
            <w:tcW w:type="dxa" w:w="37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 rates applied by analogy, adjusted for difference in character or conditions</w:t>
            </w:r>
          </w:p>
        </w:tc>
        <w:tc>
          <w:tcPr>
            <w:tcW w:type="dxa" w:w="44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Similar work but different quantity, location or timing</w:t>
            </w:r>
          </w:p>
        </w:tc>
      </w:tr>
      <w:tr>
        <w:trPr>
          <w:cantSplit w:val="true"/>
        </w:trPr>
        <w:tc>
          <w:tcPr>
            <w:tcW w:type="dxa" w:w="1213"/>
            <w:tcMar>
              <w:top w:w="40" w:type="dxa"/>
              <w:left w:w="110" w:type="dxa"/>
              <w:bottom w:w="40" w:type="dxa"/>
              <w:right w:w="110" w:type="dxa"/>
            </w:tcMar>
          </w:tcPr>
          <w:p>
            <w:pPr>
              <w:pStyle w:val="MasttTableCell"/>
              <w:spacing w:before="20" w:after="20"/>
            </w:pPr>
            <w:r/>
            <w:r>
              <w:rPr>
                <w:rFonts w:ascii="Segoe UI" w:hAnsi="Segoe UI"/>
                <w:b/>
                <w:color w:val="1D3245"/>
                <w:sz w:val="17"/>
              </w:rPr>
              <w:t>3</w:t>
            </w:r>
          </w:p>
        </w:tc>
        <w:tc>
          <w:tcPr>
            <w:tcW w:type="dxa" w:w="3784"/>
            <w:tcMar>
              <w:top w:w="40" w:type="dxa"/>
              <w:left w:w="110" w:type="dxa"/>
              <w:bottom w:w="40" w:type="dxa"/>
              <w:right w:w="110" w:type="dxa"/>
            </w:tcMar>
          </w:tcPr>
          <w:p>
            <w:pPr>
              <w:pStyle w:val="MasttTableCell"/>
              <w:spacing w:before="20" w:after="20"/>
            </w:pPr>
            <w:r/>
            <w:r>
              <w:rPr>
                <w:rFonts w:ascii="Segoe UI" w:hAnsi="Segoe UI"/>
                <w:color w:val="1D3245"/>
                <w:sz w:val="17"/>
              </w:rPr>
              <w:t>Fair valuation / reasonable cost plus the contractual margin</w:t>
            </w:r>
          </w:p>
        </w:tc>
        <w:tc>
          <w:tcPr>
            <w:tcW w:type="dxa" w:w="4414"/>
            <w:tcMar>
              <w:top w:w="40" w:type="dxa"/>
              <w:left w:w="110" w:type="dxa"/>
              <w:bottom w:w="40" w:type="dxa"/>
              <w:right w:w="110" w:type="dxa"/>
            </w:tcMar>
          </w:tcPr>
          <w:p>
            <w:pPr>
              <w:pStyle w:val="MasttTableCell"/>
              <w:spacing w:before="20" w:after="20"/>
            </w:pPr>
            <w:r/>
            <w:r>
              <w:rPr>
                <w:rFonts w:ascii="Segoe UI" w:hAnsi="Segoe UI"/>
                <w:color w:val="1D3245"/>
                <w:sz w:val="17"/>
              </w:rPr>
              <w:t>No comparable rate exists</w:t>
            </w:r>
          </w:p>
        </w:tc>
      </w:tr>
      <w:tr>
        <w:trPr>
          <w:cantSplit w:val="true"/>
        </w:trPr>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4</w:t>
            </w:r>
          </w:p>
        </w:tc>
        <w:tc>
          <w:tcPr>
            <w:tcW w:type="dxa" w:w="37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Daywork or cost reimbursement against verified records</w:t>
            </w:r>
          </w:p>
        </w:tc>
        <w:tc>
          <w:tcPr>
            <w:tcW w:type="dxa" w:w="44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Work cannot be measured in advance; requires prior written authorisation and signed daily records</w:t>
            </w:r>
          </w:p>
        </w:tc>
      </w:tr>
      <w:tr>
        <w:trPr>
          <w:cantSplit w:val="true"/>
        </w:trPr>
        <w:tc>
          <w:tcPr>
            <w:tcW w:type="dxa" w:w="1213"/>
            <w:tcMar>
              <w:top w:w="40" w:type="dxa"/>
              <w:left w:w="110" w:type="dxa"/>
              <w:bottom w:w="40" w:type="dxa"/>
              <w:right w:w="110" w:type="dxa"/>
            </w:tcMar>
          </w:tcPr>
          <w:p>
            <w:pPr>
              <w:pStyle w:val="MasttTableCell"/>
              <w:spacing w:before="20" w:after="20"/>
            </w:pPr>
            <w:r/>
            <w:r>
              <w:rPr>
                <w:rFonts w:ascii="Segoe UI" w:hAnsi="Segoe UI"/>
                <w:b/>
                <w:color w:val="1D3245"/>
                <w:sz w:val="17"/>
              </w:rPr>
              <w:t>5</w:t>
            </w:r>
          </w:p>
        </w:tc>
        <w:tc>
          <w:tcPr>
            <w:tcW w:type="dxa" w:w="3784"/>
            <w:tcMar>
              <w:top w:w="40" w:type="dxa"/>
              <w:left w:w="110" w:type="dxa"/>
              <w:bottom w:w="40" w:type="dxa"/>
              <w:right w:w="110" w:type="dxa"/>
            </w:tcMar>
          </w:tcPr>
          <w:p>
            <w:pPr>
              <w:pStyle w:val="MasttTableCell"/>
              <w:spacing w:before="20" w:after="20"/>
            </w:pPr>
            <w:r/>
            <w:r>
              <w:rPr>
                <w:rFonts w:ascii="Segoe UI" w:hAnsi="Segoe UI"/>
                <w:color w:val="1D3245"/>
                <w:sz w:val="17"/>
              </w:rPr>
              <w:t>Competitive quotation from the supply chain</w:t>
            </w:r>
          </w:p>
        </w:tc>
        <w:tc>
          <w:tcPr>
            <w:tcW w:type="dxa" w:w="4414"/>
            <w:tcMar>
              <w:top w:w="40" w:type="dxa"/>
              <w:left w:w="110" w:type="dxa"/>
              <w:bottom w:w="40" w:type="dxa"/>
              <w:right w:w="110" w:type="dxa"/>
            </w:tcMar>
          </w:tcPr>
          <w:p>
            <w:pPr>
              <w:pStyle w:val="MasttTableCell"/>
              <w:spacing w:before="20" w:after="20"/>
            </w:pPr>
            <w:r/>
            <w:r>
              <w:rPr>
                <w:rFonts w:ascii="Segoe UI" w:hAnsi="Segoe UI"/>
                <w:color w:val="1D3245"/>
                <w:sz w:val="17"/>
              </w:rPr>
              <w:t>Specialist or subcontracted scope where market pricing is available</w:t>
            </w:r>
          </w:p>
        </w:tc>
      </w:tr>
    </w:tbl>
    <w:p>
      <w:pPr>
        <w:rPr>
          <w:sz w:val="8"/>
        </w:rPr>
        <w:spacing w:after="40" w:before="0" w:line="240" w:lineRule="auto"/>
      </w:pPr>
    </w:p>
    <w:p>
      <w:pPr>
        <w:pStyle w:val="ListBullet"/>
        <w:spacing w:after="60"/>
        <w:ind w:left="340"/>
      </w:pPr>
      <w:r>
        <w:rPr>
          <w:rFonts w:ascii="Segoe UI" w:hAnsi="Segoe UI"/>
          <w:color w:val="1D3245"/>
          <w:sz w:val="20"/>
        </w:rPr>
        <w:t>Time-related and prolongation costs are assessed separately from direct cost and are only payable where an extension of time entitlement is established.</w:t>
      </w:r>
    </w:p>
    <w:p>
      <w:pPr>
        <w:pStyle w:val="ListBullet"/>
        <w:spacing w:after="60"/>
        <w:ind w:left="340"/>
      </w:pPr>
      <w:r>
        <w:rPr>
          <w:rFonts w:ascii="Segoe UI" w:hAnsi="Segoe UI"/>
          <w:color w:val="1D3245"/>
          <w:sz w:val="20"/>
        </w:rPr>
        <w:t>Overhead and profit are applied at the contractual percentage, not re-negotiated per change.</w:t>
      </w:r>
    </w:p>
    <w:p>
      <w:pPr>
        <w:pStyle w:val="ListBullet"/>
        <w:spacing w:after="60"/>
        <w:ind w:left="340"/>
      </w:pPr>
      <w:r>
        <w:rPr>
          <w:rFonts w:ascii="Segoe UI" w:hAnsi="Segoe UI"/>
          <w:color w:val="1D3245"/>
          <w:sz w:val="20"/>
        </w:rPr>
        <w:t>Omissions are valued on the same basis as additions, including the removal of associated preliminaries where the omission changes the duration.</w:t>
      </w:r>
    </w:p>
    <w:p>
      <w:pPr>
        <w:pStyle w:val="ListBullet"/>
        <w:spacing w:after="60"/>
        <w:ind w:left="340"/>
      </w:pPr>
      <w:r>
        <w:rPr>
          <w:rFonts w:ascii="Segoe UI" w:hAnsi="Segoe UI"/>
          <w:color w:val="1D3245"/>
          <w:sz w:val="20"/>
        </w:rPr>
        <w:t>No variation is instructed without an approved budget source identified.</w:t>
      </w:r>
    </w:p>
    <w:p>
      <w:pPr>
        <w:pStyle w:val="Heading2"/>
      </w:pPr>
      <w:r>
        <w:t>9.10  Payment and valuation cycle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5330"/>
        <w:gridCol w:w="2155"/>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Day</w:t>
            </w:r>
          </w:p>
        </w:tc>
        <w:tc>
          <w:tcPr>
            <w:tcW w:type="dxa" w:w="532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Activity</w:t>
            </w:r>
          </w:p>
        </w:tc>
        <w:tc>
          <w:tcPr>
            <w:tcW w:type="dxa" w:w="21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Responsible</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Day 1 (25th of month)</w:t>
            </w:r>
          </w:p>
        </w:tc>
        <w:tc>
          <w:tcPr>
            <w:tcW w:type="dxa" w:w="5329"/>
            <w:tcMar>
              <w:top w:w="40" w:type="dxa"/>
              <w:left w:w="110" w:type="dxa"/>
              <w:bottom w:w="40" w:type="dxa"/>
              <w:right w:w="110" w:type="dxa"/>
            </w:tcMar>
          </w:tcPr>
          <w:p>
            <w:pPr>
              <w:pStyle w:val="MasttTableCell"/>
              <w:spacing w:before="20" w:after="20"/>
            </w:pPr>
            <w:r/>
            <w:r>
              <w:rPr>
                <w:rFonts w:ascii="Segoe UI" w:hAnsi="Segoe UI"/>
                <w:color w:val="1D3245"/>
                <w:sz w:val="17"/>
              </w:rPr>
              <w:t>Valuation cut-off; contractor submits the payment claim with supporting measure</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Days 2-3</w:t>
            </w:r>
          </w:p>
        </w:tc>
        <w:tc>
          <w:tcPr>
            <w:tcW w:type="dxa" w:w="53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Joint site measure and assessment of work properly executed</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Manager and contractor</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Day 4</w:t>
            </w:r>
          </w:p>
        </w:tc>
        <w:tc>
          <w:tcPr>
            <w:tcW w:type="dxa" w:w="5329"/>
            <w:tcMar>
              <w:top w:w="40" w:type="dxa"/>
              <w:left w:w="110" w:type="dxa"/>
              <w:bottom w:w="40" w:type="dxa"/>
              <w:right w:w="110" w:type="dxa"/>
            </w:tcMar>
          </w:tcPr>
          <w:p>
            <w:pPr>
              <w:pStyle w:val="MasttTableCell"/>
              <w:spacing w:before="20" w:after="20"/>
            </w:pPr>
            <w:r/>
            <w:r>
              <w:rPr>
                <w:rFonts w:ascii="Segoe UI" w:hAnsi="Segoe UI"/>
                <w:color w:val="1D3245"/>
                <w:sz w:val="17"/>
              </w:rPr>
              <w:t>Assessment of materials on site, off-site materials and vesting</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t>Cost Manager</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Day 5</w:t>
            </w:r>
          </w:p>
        </w:tc>
        <w:tc>
          <w:tcPr>
            <w:tcW w:type="dxa" w:w="53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Assessment of variations, claims and retention</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Day 6</w:t>
            </w:r>
          </w:p>
        </w:tc>
        <w:tc>
          <w:tcPr>
            <w:tcW w:type="dxa" w:w="5329"/>
            <w:tcMar>
              <w:top w:w="40" w:type="dxa"/>
              <w:left w:w="110" w:type="dxa"/>
              <w:bottom w:w="40" w:type="dxa"/>
              <w:right w:w="110" w:type="dxa"/>
            </w:tcMar>
          </w:tcPr>
          <w:p>
            <w:pPr>
              <w:pStyle w:val="MasttTableCell"/>
              <w:spacing w:before="20" w:after="20"/>
            </w:pPr>
            <w:r/>
            <w:r>
              <w:rPr>
                <w:rFonts w:ascii="Segoe UI" w:hAnsi="Segoe UI"/>
                <w:color w:val="1D3245"/>
                <w:sz w:val="17"/>
              </w:rPr>
              <w:t>Recommendation prepared and reviewed</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t>Cost Manager</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Day 7-8</w:t>
            </w:r>
          </w:p>
        </w:tc>
        <w:tc>
          <w:tcPr>
            <w:tcW w:type="dxa" w:w="53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Payment certificate issued within the contractual timeframe</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Representative</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Per contract</w:t>
            </w:r>
          </w:p>
        </w:tc>
        <w:tc>
          <w:tcPr>
            <w:tcW w:type="dxa" w:w="5329"/>
            <w:tcMar>
              <w:top w:w="40" w:type="dxa"/>
              <w:left w:w="110" w:type="dxa"/>
              <w:bottom w:w="40" w:type="dxa"/>
              <w:right w:w="110" w:type="dxa"/>
            </w:tcMar>
          </w:tcPr>
          <w:p>
            <w:pPr>
              <w:pStyle w:val="MasttTableCell"/>
              <w:spacing w:before="20" w:after="20"/>
            </w:pPr>
            <w:r/>
            <w:r>
              <w:rPr>
                <w:rFonts w:ascii="Segoe UI" w:hAnsi="Segoe UI"/>
                <w:color w:val="1D3245"/>
                <w:sz w:val="17"/>
              </w:rPr>
              <w:t>Payment made within the period required by the contract and the applicable jurisdiction</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t>Client finance</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Ongoing</w:t>
            </w:r>
          </w:p>
        </w:tc>
        <w:tc>
          <w:tcPr>
            <w:tcW w:type="dxa" w:w="53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Payment to subcontractors and suppliers in accordance with flow-down obligations and any statutory security of payment regime applicable in the jurisdiction</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w:t>
            </w:r>
          </w:p>
        </w:tc>
      </w:tr>
    </w:tbl>
    <w:p>
      <w:pPr>
        <w:rPr>
          <w:sz w:val="8"/>
        </w:rPr>
        <w:spacing w:after="40" w:before="0" w:line="240" w:lineRule="auto"/>
      </w:pPr>
    </w:p>
    <w:p>
      <w:pPr>
        <w:pStyle w:val="Heading2"/>
      </w:pPr>
      <w:r>
        <w:t>9.11  Cash flow, escalation and currency</w:t>
      </w:r>
    </w:p>
    <w:p>
      <w:pPr>
        <w:pStyle w:val="ListBullet"/>
        <w:spacing w:after="60"/>
        <w:ind w:left="340"/>
      </w:pPr>
      <w:r>
        <w:rPr>
          <w:rFonts w:ascii="Segoe UI" w:hAnsi="Segoe UI"/>
          <w:color w:val="1D3245"/>
          <w:sz w:val="20"/>
        </w:rPr>
        <w:t>An S-curve cash flow forecast is produced from the resource-loaded schedule and updated monthly; actual against forecast drawdown is reported and explained.</w:t>
      </w:r>
    </w:p>
    <w:p>
      <w:pPr>
        <w:pStyle w:val="ListBullet"/>
        <w:spacing w:after="60"/>
        <w:ind w:left="340"/>
      </w:pPr>
      <w:r>
        <w:rPr>
          <w:rFonts w:ascii="Segoe UI" w:hAnsi="Segoe UI"/>
          <w:color w:val="1D3245"/>
          <w:sz w:val="20"/>
        </w:rPr>
        <w:t>Funding drawdown requirements are advised to the client's finance function at least one quarter in advance.</w:t>
      </w:r>
    </w:p>
    <w:p>
      <w:pPr>
        <w:pStyle w:val="ListBullet"/>
        <w:spacing w:after="60"/>
        <w:ind w:left="340"/>
      </w:pPr>
      <w:r>
        <w:rPr>
          <w:rFonts w:ascii="Segoe UI" w:hAnsi="Segoe UI"/>
          <w:color w:val="1D3245"/>
          <w:sz w:val="20"/>
        </w:rPr>
        <w:t>Escalation is estimated using published cost indices appropriate to the market and asset type, applied to the expenditure profile rather than to the total, and reviewed at least every six months.</w:t>
      </w:r>
    </w:p>
    <w:p>
      <w:pPr>
        <w:pStyle w:val="ListBullet"/>
        <w:spacing w:after="60"/>
        <w:ind w:left="340"/>
      </w:pPr>
      <w:r>
        <w:rPr>
          <w:rFonts w:ascii="Segoe UI" w:hAnsi="Segoe UI"/>
          <w:color w:val="1D3245"/>
          <w:sz w:val="20"/>
        </w:rPr>
        <w:t>Where any element of cost is denominated in a foreign currency, the exposure, the hedging position and the rate assumed in the budget are recorded and reported; unhedged exposure is carried as a risk in the risk register.</w:t>
      </w:r>
    </w:p>
    <w:p>
      <w:pPr>
        <w:pStyle w:val="ListBullet"/>
        <w:spacing w:after="60"/>
        <w:ind w:left="340"/>
      </w:pPr>
      <w:r>
        <w:rPr>
          <w:rFonts w:ascii="Segoe UI" w:hAnsi="Segoe UI"/>
          <w:color w:val="1D3245"/>
          <w:sz w:val="20"/>
        </w:rPr>
        <w:t>Interest, financing and holding costs, where they form part of the investment, are forecast alongside capital cost.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118"/>
        <w:gridCol w:w="1586"/>
        <w:gridCol w:w="1472"/>
        <w:gridCol w:w="1219"/>
        <w:gridCol w:w="1472"/>
        <w:gridCol w:w="1213"/>
        <w:gridCol w:w="1333"/>
      </w:tblGrid>
      <w:tr>
        <w:trPr>
          <w:tblHeader w:val="true"/>
          <w:cantSplit w:val="true"/>
        </w:trPr>
        <w:tc>
          <w:tcPr>
            <w:tcW w:type="dxa" w:w="111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Period</w:t>
            </w:r>
          </w:p>
        </w:tc>
        <w:tc>
          <w:tcPr>
            <w:tcW w:type="dxa" w:w="15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Forecast expenditure</w:t>
            </w:r>
          </w:p>
        </w:tc>
        <w:tc>
          <w:tcPr>
            <w:tcW w:type="dxa" w:w="147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Cumulative forecast</w:t>
            </w:r>
          </w:p>
        </w:tc>
        <w:tc>
          <w:tcPr>
            <w:tcW w:type="dxa" w:w="121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Actual</w:t>
            </w:r>
          </w:p>
        </w:tc>
        <w:tc>
          <w:tcPr>
            <w:tcW w:type="dxa" w:w="147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Cumulative actual</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Variance</w:t>
            </w:r>
          </w:p>
        </w:tc>
        <w:tc>
          <w:tcPr>
            <w:tcW w:type="dxa" w:w="133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Comment</w:t>
            </w:r>
          </w:p>
        </w:tc>
      </w:tr>
      <w:tr>
        <w:trPr>
          <w:cantSplit w:val="true"/>
        </w:trPr>
        <w:tc>
          <w:tcPr>
            <w:tcW w:type="dxa" w:w="1117"/>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58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33"/>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111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15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1117"/>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58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33"/>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111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15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1117"/>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58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33"/>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111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15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9.12  Contingency and management reserve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Contingency is not a slush fund and it is not the contractor's. It exists to fund identified risk within the delivery team's control, it is drawn down against a specific risk closing, and the remaining balance must always be defensible against the remaining risk exposure. Plot planned versus actual drawdown from day one - a contingency consumed faster than the programme is the earliest reliable signal of trouble.</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01"/>
        <w:gridCol w:w="2608"/>
        <w:gridCol w:w="1588"/>
        <w:gridCol w:w="1588"/>
        <w:gridCol w:w="1928"/>
      </w:tblGrid>
      <w:tr>
        <w:trPr>
          <w:tblHeader w:val="true"/>
          <w:cantSplit w:val="true"/>
        </w:trPr>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Reserve</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Purpose</w:t>
            </w:r>
          </w:p>
        </w:tc>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Held by</w:t>
            </w:r>
          </w:p>
        </w:tc>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Released by</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Basis</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Package allowance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Known unknowns within a package, e.g. provisional items</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Package Manager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Elemental assessment</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Project contingency</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Identified risks within the Project Manager's control</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Quantitative risk analysis, typically to P50-P80</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Escalation allowance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Market movement over the expenditure profile</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Project Director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Indexed forecast</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Management reserve</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Unknown unknowns and scope emergent beyond the approved baseline</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Board</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Portfolio-level policy</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788"/>
        <w:gridCol w:w="1017"/>
        <w:gridCol w:w="3143"/>
        <w:gridCol w:w="1243"/>
        <w:gridCol w:w="1584"/>
        <w:gridCol w:w="1638"/>
      </w:tblGrid>
      <w:tr>
        <w:trPr>
          <w:tblHeader w:val="true"/>
          <w:cantSplit w:val="true"/>
        </w:trPr>
        <w:tc>
          <w:tcPr>
            <w:tcW w:type="dxa" w:w="7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101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Date</w:t>
            </w:r>
          </w:p>
        </w:tc>
        <w:tc>
          <w:tcPr>
            <w:tcW w:type="dxa" w:w="314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Risk / reason</w:t>
            </w:r>
          </w:p>
        </w:tc>
        <w:tc>
          <w:tcPr>
            <w:tcW w:type="dxa" w:w="124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Amount</w:t>
            </w:r>
          </w:p>
        </w:tc>
        <w:tc>
          <w:tcPr>
            <w:tcW w:type="dxa" w:w="158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Balance remaining</w:t>
            </w:r>
          </w:p>
        </w:tc>
        <w:tc>
          <w:tcPr>
            <w:tcW w:type="dxa" w:w="163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Approved by</w:t>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CD-01</w:t>
            </w:r>
          </w:p>
        </w:tc>
        <w:tc>
          <w:tcPr>
            <w:tcW w:type="dxa" w:w="101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4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3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CD-02</w:t>
            </w:r>
          </w:p>
        </w:tc>
        <w:tc>
          <w:tcPr>
            <w:tcW w:type="dxa" w:w="10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1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3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CD-03</w:t>
            </w:r>
          </w:p>
        </w:tc>
        <w:tc>
          <w:tcPr>
            <w:tcW w:type="dxa" w:w="101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4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38"/>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CD-04</w:t>
            </w:r>
          </w:p>
        </w:tc>
        <w:tc>
          <w:tcPr>
            <w:tcW w:type="dxa" w:w="10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31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3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CD-05</w:t>
            </w:r>
          </w:p>
        </w:tc>
        <w:tc>
          <w:tcPr>
            <w:tcW w:type="dxa" w:w="101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3142"/>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38"/>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9.13  Cost reporting suite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41"/>
        <w:gridCol w:w="3742"/>
        <w:gridCol w:w="1588"/>
        <w:gridCol w:w="2041"/>
      </w:tblGrid>
      <w:tr>
        <w:trPr>
          <w:tblHeader w:val="true"/>
          <w:cantSplit w:val="true"/>
        </w:trPr>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Report</w:t>
            </w:r>
          </w:p>
        </w:tc>
        <w:tc>
          <w:tcPr>
            <w:tcW w:type="dxa" w:w="374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Content</w:t>
            </w:r>
          </w:p>
        </w:tc>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Audience</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Cost summary report</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Budget, commitment, actual, forecast and variance by control account</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t>Board and Control Group</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Change and variation report</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Approved, pending and rejected change with cumulative impact</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 Group</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Contingency drawdown report</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Drawdown against plan and against remaining risk exposure</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t>Control Group and Sponsor</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Cash flow report</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Forecast versus actual drawdown, funding requirement</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finance</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Earned value report</w:t>
            </w:r>
          </w:p>
        </w:tc>
        <w:tc>
          <w:tcPr>
            <w:tcW w:type="dxa" w:w="3742"/>
            <w:tcMar>
              <w:top w:w="40" w:type="dxa"/>
              <w:left w:w="110" w:type="dxa"/>
              <w:bottom w:w="40" w:type="dxa"/>
              <w:right w:w="110" w:type="dxa"/>
            </w:tcMar>
          </w:tcPr>
          <w:p>
            <w:pPr>
              <w:pStyle w:val="MasttTableCell"/>
              <w:spacing w:before="20" w:after="20"/>
            </w:pPr>
            <w:r/>
            <w:r>
              <w:rPr>
                <w:rFonts w:ascii="Segoe UI" w:hAnsi="Segoe UI"/>
                <w:color w:val="1D3245"/>
                <w:sz w:val="17"/>
              </w:rPr>
              <w:t>CPI, SPI, TCPI, EAC and VAC with variance narrative</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t>Control Group</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Final account status</w:t>
            </w:r>
          </w:p>
        </w:tc>
        <w:tc>
          <w:tcPr>
            <w:tcW w:type="dxa" w:w="374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Agreed, in negotiation and disputed values</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 from practical completion</w:t>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and Sponsor</w:t>
            </w:r>
          </w:p>
        </w:tc>
      </w:tr>
    </w:tbl>
    <w:p>
      <w:pPr>
        <w:rPr>
          <w:sz w:val="8"/>
        </w:rPr>
        <w:spacing w:after="40" w:before="0" w:line="240" w:lineRule="auto"/>
      </w:pPr>
    </w:p>
    <w:p>
      <w:r>
        <w:br w:type="page"/>
      </w:r>
    </w:p>
    <w:p>
      <w:pPr>
        <w:pStyle w:val="Heading1"/>
        <w:pBdr>
          <w:bottom w:val="single" w:sz="6" w:space="4" w:color="C9D4E0"/>
        </w:pBdr>
      </w:pPr>
      <w:r>
        <w:t>10.  Risk and opportunity management</w:t>
      </w:r>
    </w:p>
    <w:p>
      <w:pPr>
        <w:pStyle w:val="Heading2"/>
      </w:pPr>
      <w:r>
        <w:t>10.1  Approach</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Align the process to ISO 31000: establish the context, identify, analyse, evaluate, treat, then monitor, review, communicate and consult throughout. The test of a risk process is not the size of the register - it is whether treatments actually change the project's exposure. Retire risks that have passed and close treatments that have been done.</w:t>
            </w:r>
          </w:p>
        </w:tc>
      </w:tr>
    </w:tbl>
    <w:p>
      <w:pPr>
        <w:rPr>
          <w:sz w:val="8"/>
        </w:rPr>
        <w:spacing w:after="40" w:before="0" w:line="240" w:lineRule="auto"/>
      </w:pPr>
    </w:p>
    <w:p>
      <w:pPr>
        <w:pStyle w:val="MasttBody"/>
      </w:pPr>
      <w:r>
        <w:t>Risk management is integrated with cost, schedule and change control. The risk register informs contingency; contingency drawdown closes risks; realised risks become issues and are managed to closure. Opportunities are managed with the same rigour as threats.</w:t>
      </w:r>
    </w:p>
    <w:p>
      <w:pPr>
        <w:pStyle w:val="Heading2"/>
      </w:pPr>
      <w:r>
        <w:t>10.2  Risk appetite and tolerance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41"/>
        <w:gridCol w:w="1247"/>
        <w:gridCol w:w="6124"/>
      </w:tblGrid>
      <w:tr>
        <w:trPr>
          <w:tblHeader w:val="true"/>
          <w:cantSplit w:val="true"/>
        </w:trPr>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Category</w:t>
            </w:r>
          </w:p>
        </w:tc>
        <w:tc>
          <w:tcPr>
            <w:tcW w:type="dxa" w:w="12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Appetite</w:t>
            </w:r>
          </w:p>
        </w:tc>
        <w:tc>
          <w:tcPr>
            <w:tcW w:type="dxa" w:w="612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Tolerance statement</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Safety and health</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Averse</w:t>
            </w:r>
          </w:p>
        </w:tc>
        <w:tc>
          <w:tcPr>
            <w:tcW w:type="dxa" w:w="6123"/>
            <w:tcMar>
              <w:top w:w="40" w:type="dxa"/>
              <w:left w:w="110" w:type="dxa"/>
              <w:bottom w:w="40" w:type="dxa"/>
              <w:right w:w="110" w:type="dxa"/>
            </w:tcMar>
          </w:tcPr>
          <w:p>
            <w:pPr>
              <w:pStyle w:val="MasttTableCell"/>
              <w:spacing w:before="20" w:after="20"/>
            </w:pPr>
            <w:r/>
            <w:r>
              <w:rPr>
                <w:rFonts w:ascii="Segoe UI" w:hAnsi="Segoe UI"/>
                <w:color w:val="1D3245"/>
                <w:sz w:val="17"/>
              </w:rPr>
              <w:t>No tolerance for any risk of serious injury or fatality. Work stops until the risk is eliminated or controlled to as low as reasonably practicable.</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Statutory and regulatory compliance</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Averse</w:t>
            </w:r>
          </w:p>
        </w:tc>
        <w:tc>
          <w:tcPr>
            <w:tcW w:type="dxa" w:w="61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 tolerance for non-compliance. Any potential breach is escalated immediately.</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Cost</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Cautious</w:t>
            </w:r>
          </w:p>
        </w:tc>
        <w:tc>
          <w:tcPr>
            <w:tcW w:type="dxa" w:w="6123"/>
            <w:tcMar>
              <w:top w:w="40" w:type="dxa"/>
              <w:left w:w="110" w:type="dxa"/>
              <w:bottom w:w="40" w:type="dxa"/>
              <w:right w:w="110" w:type="dxa"/>
            </w:tcMar>
          </w:tcPr>
          <w:p>
            <w:pPr>
              <w:pStyle w:val="MasttTableCell"/>
              <w:spacing w:before="20" w:after="20"/>
            </w:pPr>
            <w:r/>
            <w:r>
              <w:rPr>
                <w:rFonts w:ascii="Segoe UI" w:hAnsi="Segoe UI"/>
                <w:color w:val="1D3245"/>
                <w:sz w:val="17"/>
              </w:rPr>
              <w:t>Accept exposure within the approved contingency. Escalate any single risk with an expected value above [X] or aggregate exposure above the remaining contingency.</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Schedule</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Cautious</w:t>
            </w:r>
          </w:p>
        </w:tc>
        <w:tc>
          <w:tcPr>
            <w:tcW w:type="dxa" w:w="61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Accept the consumption of float on non-critical paths. Escalate any risk that could delay a contractual milestone.</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Quality and technical performance</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Cautious</w:t>
            </w:r>
          </w:p>
        </w:tc>
        <w:tc>
          <w:tcPr>
            <w:tcW w:type="dxa" w:w="6123"/>
            <w:tcMar>
              <w:top w:w="40" w:type="dxa"/>
              <w:left w:w="110" w:type="dxa"/>
              <w:bottom w:w="40" w:type="dxa"/>
              <w:right w:w="110" w:type="dxa"/>
            </w:tcMar>
          </w:tcPr>
          <w:p>
            <w:pPr>
              <w:pStyle w:val="MasttTableCell"/>
              <w:spacing w:before="20" w:after="20"/>
            </w:pPr>
            <w:r/>
            <w:r>
              <w:rPr>
                <w:rFonts w:ascii="Segoe UI" w:hAnsi="Segoe UI"/>
                <w:color w:val="1D3245"/>
                <w:sz w:val="17"/>
              </w:rPr>
              <w:t>Accept innovation where independently verified. No tolerance for departures from mandatory performance requirements.</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Environment</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Averse</w:t>
            </w:r>
          </w:p>
        </w:tc>
        <w:tc>
          <w:tcPr>
            <w:tcW w:type="dxa" w:w="61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 tolerance for a reportable environmental incident or a breach of consent conditions.</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Reputation and stakeholder</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Cautious</w:t>
            </w:r>
          </w:p>
        </w:tc>
        <w:tc>
          <w:tcPr>
            <w:tcW w:type="dxa" w:w="6123"/>
            <w:tcMar>
              <w:top w:w="40" w:type="dxa"/>
              <w:left w:w="110" w:type="dxa"/>
              <w:bottom w:w="40" w:type="dxa"/>
              <w:right w:w="110" w:type="dxa"/>
            </w:tcMar>
          </w:tcPr>
          <w:p>
            <w:pPr>
              <w:pStyle w:val="MasttTableCell"/>
              <w:spacing w:before="20" w:after="20"/>
            </w:pPr>
            <w:r/>
            <w:r>
              <w:rPr>
                <w:rFonts w:ascii="Segoe UI" w:hAnsi="Segoe UI"/>
                <w:color w:val="1D3245"/>
                <w:sz w:val="17"/>
              </w:rPr>
              <w:t>Accept short-term criticism arising from unavoidable disruption where it is properly notified and managed.</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Commercial and contractual</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Balanced</w:t>
            </w:r>
          </w:p>
        </w:tc>
        <w:tc>
          <w:tcPr>
            <w:tcW w:type="dxa" w:w="61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Accept risk that the project is better placed to manage than the market, priced accordingly.</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Innovation and new technology</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Open</w:t>
            </w:r>
          </w:p>
        </w:tc>
        <w:tc>
          <w:tcPr>
            <w:tcW w:type="dxa" w:w="6123"/>
            <w:tcMar>
              <w:top w:w="40" w:type="dxa"/>
              <w:left w:w="110" w:type="dxa"/>
              <w:bottom w:w="40" w:type="dxa"/>
              <w:right w:w="110" w:type="dxa"/>
            </w:tcMar>
          </w:tcPr>
          <w:p>
            <w:pPr>
              <w:pStyle w:val="MasttTableCell"/>
              <w:spacing w:before="20" w:after="20"/>
            </w:pPr>
            <w:r/>
            <w:r>
              <w:rPr>
                <w:rFonts w:ascii="Segoe UI" w:hAnsi="Segoe UI"/>
                <w:color w:val="1D3245"/>
                <w:sz w:val="17"/>
              </w:rPr>
              <w:t>Accept where proven alternatives exist as a fallback and the failure mode is not safety-critical.</w:t>
            </w:r>
          </w:p>
        </w:tc>
      </w:tr>
    </w:tbl>
    <w:p>
      <w:pPr>
        <w:rPr>
          <w:sz w:val="8"/>
        </w:rPr>
        <w:spacing w:after="40" w:before="0" w:line="240" w:lineRule="auto"/>
      </w:pPr>
    </w:p>
    <w:p>
      <w:pPr>
        <w:pStyle w:val="Heading2"/>
      </w:pPr>
      <w:r>
        <w:t>10.3  Risk breakdown structure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7484"/>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Level 1</w:t>
            </w:r>
          </w:p>
        </w:tc>
        <w:tc>
          <w:tcPr>
            <w:tcW w:type="dxa" w:w="748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Level 2 categories</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Strategic</w:t>
            </w:r>
          </w:p>
        </w:tc>
        <w:tc>
          <w:tcPr>
            <w:tcW w:type="dxa" w:w="7483"/>
            <w:tcMar>
              <w:top w:w="40" w:type="dxa"/>
              <w:left w:w="110" w:type="dxa"/>
              <w:bottom w:w="40" w:type="dxa"/>
              <w:right w:w="110" w:type="dxa"/>
            </w:tcMar>
          </w:tcPr>
          <w:p>
            <w:pPr>
              <w:pStyle w:val="MasttTableCell"/>
              <w:spacing w:before="20" w:after="20"/>
            </w:pPr>
            <w:r/>
            <w:r>
              <w:rPr>
                <w:rFonts w:ascii="Segoe UI" w:hAnsi="Segoe UI"/>
                <w:color w:val="1D3245"/>
                <w:sz w:val="17"/>
              </w:rPr>
              <w:t>Business case validity; funding; political and policy change; portfolio dependency; benefits</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Commercial</w:t>
            </w:r>
          </w:p>
        </w:tc>
        <w:tc>
          <w:tcPr>
            <w:tcW w:type="dxa" w:w="74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Market capacity; tender price; contractor solvency; claims and disputes; escalation; currency</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Design and technical</w:t>
            </w:r>
          </w:p>
        </w:tc>
        <w:tc>
          <w:tcPr>
            <w:tcW w:type="dxa" w:w="7483"/>
            <w:tcMar>
              <w:top w:w="40" w:type="dxa"/>
              <w:left w:w="110" w:type="dxa"/>
              <w:bottom w:w="40" w:type="dxa"/>
              <w:right w:w="110" w:type="dxa"/>
            </w:tcMar>
          </w:tcPr>
          <w:p>
            <w:pPr>
              <w:pStyle w:val="MasttTableCell"/>
              <w:spacing w:before="20" w:after="20"/>
            </w:pPr>
            <w:r/>
            <w:r>
              <w:rPr>
                <w:rFonts w:ascii="Segoe UI" w:hAnsi="Segoe UI"/>
                <w:color w:val="1D3245"/>
                <w:sz w:val="17"/>
              </w:rPr>
              <w:t>Brief change; design completeness; coordination; interface; technology; standards change</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Construction</w:t>
            </w:r>
          </w:p>
        </w:tc>
        <w:tc>
          <w:tcPr>
            <w:tcW w:type="dxa" w:w="74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Productivity; workmanship; temporary works; plant and equipment; logistics; sequencing</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Site and ground</w:t>
            </w:r>
          </w:p>
        </w:tc>
        <w:tc>
          <w:tcPr>
            <w:tcW w:type="dxa" w:w="7483"/>
            <w:tcMar>
              <w:top w:w="40" w:type="dxa"/>
              <w:left w:w="110" w:type="dxa"/>
              <w:bottom w:w="40" w:type="dxa"/>
              <w:right w:w="110" w:type="dxa"/>
            </w:tcMar>
          </w:tcPr>
          <w:p>
            <w:pPr>
              <w:pStyle w:val="MasttTableCell"/>
              <w:spacing w:before="20" w:after="20"/>
            </w:pPr>
            <w:r/>
            <w:r>
              <w:rPr>
                <w:rFonts w:ascii="Segoe UI" w:hAnsi="Segoe UI"/>
                <w:color w:val="1D3245"/>
                <w:sz w:val="17"/>
              </w:rPr>
              <w:t>Ground conditions; contamination; groundwater; unexploded ordnance; unrecorded services; archaeology</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External</w:t>
            </w:r>
          </w:p>
        </w:tc>
        <w:tc>
          <w:tcPr>
            <w:tcW w:type="dxa" w:w="74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Weather and climate; utility providers; adjacent projects; supply chain disruption; industrial action</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Statutory and approvals</w:t>
            </w:r>
          </w:p>
        </w:tc>
        <w:tc>
          <w:tcPr>
            <w:tcW w:type="dxa" w:w="7483"/>
            <w:tcMar>
              <w:top w:w="40" w:type="dxa"/>
              <w:left w:w="110" w:type="dxa"/>
              <w:bottom w:w="40" w:type="dxa"/>
              <w:right w:w="110" w:type="dxa"/>
            </w:tcMar>
          </w:tcPr>
          <w:p>
            <w:pPr>
              <w:pStyle w:val="MasttTableCell"/>
              <w:spacing w:before="20" w:after="20"/>
            </w:pPr>
            <w:r/>
            <w:r>
              <w:rPr>
                <w:rFonts w:ascii="Segoe UI" w:hAnsi="Segoe UI"/>
                <w:color w:val="1D3245"/>
                <w:sz w:val="17"/>
              </w:rPr>
              <w:t>Consent conditions; approval delay; regulatory change; certification</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Health and safety</w:t>
            </w:r>
          </w:p>
        </w:tc>
        <w:tc>
          <w:tcPr>
            <w:tcW w:type="dxa" w:w="74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High-risk activities; public interface; asbestos and hazardous materials; working at height</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Environmental and social</w:t>
            </w:r>
          </w:p>
        </w:tc>
        <w:tc>
          <w:tcPr>
            <w:tcW w:type="dxa" w:w="7483"/>
            <w:tcMar>
              <w:top w:w="40" w:type="dxa"/>
              <w:left w:w="110" w:type="dxa"/>
              <w:bottom w:w="40" w:type="dxa"/>
              <w:right w:w="110" w:type="dxa"/>
            </w:tcMar>
          </w:tcPr>
          <w:p>
            <w:pPr>
              <w:pStyle w:val="MasttTableCell"/>
              <w:spacing w:before="20" w:after="20"/>
            </w:pPr>
            <w:r/>
            <w:r>
              <w:rPr>
                <w:rFonts w:ascii="Segoe UI" w:hAnsi="Segoe UI"/>
                <w:color w:val="1D3245"/>
                <w:sz w:val="17"/>
              </w:rPr>
              <w:t>Contamination; ecology; heritage; noise and dust; community opposition</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Organisational</w:t>
            </w:r>
          </w:p>
        </w:tc>
        <w:tc>
          <w:tcPr>
            <w:tcW w:type="dxa" w:w="74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Key person dependency; resource availability; capability; governance and decision latency</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Information and digital</w:t>
            </w:r>
          </w:p>
        </w:tc>
        <w:tc>
          <w:tcPr>
            <w:tcW w:type="dxa" w:w="7483"/>
            <w:tcMar>
              <w:top w:w="40" w:type="dxa"/>
              <w:left w:w="110" w:type="dxa"/>
              <w:bottom w:w="40" w:type="dxa"/>
              <w:right w:w="110" w:type="dxa"/>
            </w:tcMar>
          </w:tcPr>
          <w:p>
            <w:pPr>
              <w:pStyle w:val="MasttTableCell"/>
              <w:spacing w:before="20" w:after="20"/>
            </w:pPr>
            <w:r/>
            <w:r>
              <w:rPr>
                <w:rFonts w:ascii="Segoe UI" w:hAnsi="Segoe UI"/>
                <w:color w:val="1D3245"/>
                <w:sz w:val="17"/>
              </w:rPr>
              <w:t>Data loss; cyber security; model quality; system interoperability</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Operational</w:t>
            </w:r>
          </w:p>
        </w:tc>
        <w:tc>
          <w:tcPr>
            <w:tcW w:type="dxa" w:w="74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Operability; asset data completeness; operational readiness; transition to service</w:t>
            </w:r>
          </w:p>
        </w:tc>
      </w:tr>
    </w:tbl>
    <w:p>
      <w:pPr>
        <w:rPr>
          <w:sz w:val="8"/>
        </w:rPr>
        <w:spacing w:after="40" w:before="0" w:line="240" w:lineRule="auto"/>
      </w:pPr>
    </w:p>
    <w:p>
      <w:pPr>
        <w:pStyle w:val="Heading2"/>
      </w:pPr>
      <w:r>
        <w:t>10.4  Likelihood scale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975"/>
        <w:gridCol w:w="1451"/>
        <w:gridCol w:w="3416"/>
        <w:gridCol w:w="1570"/>
        <w:gridCol w:w="2000"/>
      </w:tblGrid>
      <w:tr>
        <w:trPr>
          <w:tblHeader w:val="true"/>
          <w:cantSplit w:val="true"/>
        </w:trPr>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Rating</w:t>
            </w:r>
          </w:p>
        </w:tc>
        <w:tc>
          <w:tcPr>
            <w:tcW w:type="dxa" w:w="145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Descriptor</w:t>
            </w:r>
          </w:p>
        </w:tc>
        <w:tc>
          <w:tcPr>
            <w:tcW w:type="dxa" w:w="341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Qualitative definition</w:t>
            </w:r>
          </w:p>
        </w:tc>
        <w:tc>
          <w:tcPr>
            <w:tcW w:type="dxa" w:w="157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Indicative probability</w:t>
            </w:r>
          </w:p>
        </w:tc>
        <w:tc>
          <w:tcPr>
            <w:tcW w:type="dxa" w:w="200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Indicative frequency</w:t>
            </w:r>
          </w:p>
        </w:tc>
      </w:tr>
      <w:tr>
        <w:trPr>
          <w:cantSplit w:val="true"/>
        </w:trPr>
        <w:tc>
          <w:tcPr>
            <w:tcW w:type="dxa" w:w="975"/>
            <w:tcMar>
              <w:top w:w="40" w:type="dxa"/>
              <w:left w:w="110" w:type="dxa"/>
              <w:bottom w:w="40" w:type="dxa"/>
              <w:right w:w="110" w:type="dxa"/>
            </w:tcMar>
          </w:tcPr>
          <w:p>
            <w:pPr>
              <w:pStyle w:val="MasttTableCell"/>
              <w:spacing w:before="20" w:after="20"/>
            </w:pPr>
            <w:r/>
            <w:r>
              <w:rPr>
                <w:rFonts w:ascii="Segoe UI" w:hAnsi="Segoe UI"/>
                <w:b/>
                <w:color w:val="1D3245"/>
                <w:sz w:val="17"/>
              </w:rPr>
              <w:t>5</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Almost certain</w:t>
            </w:r>
          </w:p>
        </w:tc>
        <w:tc>
          <w:tcPr>
            <w:tcW w:type="dxa" w:w="3416"/>
            <w:tcMar>
              <w:top w:w="40" w:type="dxa"/>
              <w:left w:w="110" w:type="dxa"/>
              <w:bottom w:w="40" w:type="dxa"/>
              <w:right w:w="110" w:type="dxa"/>
            </w:tcMar>
          </w:tcPr>
          <w:p>
            <w:pPr>
              <w:pStyle w:val="MasttTableCell"/>
              <w:spacing w:before="20" w:after="20"/>
            </w:pPr>
            <w:r/>
            <w:r>
              <w:rPr>
                <w:rFonts w:ascii="Segoe UI" w:hAnsi="Segoe UI"/>
                <w:color w:val="1D3245"/>
                <w:sz w:val="17"/>
              </w:rPr>
              <w:t>Expected to occur in most circumstances; already occurring elsewhere on the project</w:t>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t>&gt;80%</w:t>
            </w:r>
          </w:p>
        </w:tc>
        <w:tc>
          <w:tcPr>
            <w:tcW w:type="dxa" w:w="2000"/>
            <w:tcMar>
              <w:top w:w="40" w:type="dxa"/>
              <w:left w:w="110" w:type="dxa"/>
              <w:bottom w:w="40" w:type="dxa"/>
              <w:right w:w="110" w:type="dxa"/>
            </w:tcMar>
          </w:tcPr>
          <w:p>
            <w:pPr>
              <w:pStyle w:val="MasttTableCell"/>
              <w:spacing w:before="20" w:after="20"/>
            </w:pPr>
            <w:r/>
            <w:r>
              <w:rPr>
                <w:rFonts w:ascii="Segoe UI" w:hAnsi="Segoe UI"/>
                <w:color w:val="1D3245"/>
                <w:sz w:val="17"/>
              </w:rPr>
              <w:t>More than once per quarter</w:t>
            </w:r>
          </w:p>
        </w:tc>
      </w:tr>
      <w:tr>
        <w:trPr>
          <w:cantSplit w:val="true"/>
        </w:trPr>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4</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Likely</w:t>
            </w:r>
          </w:p>
        </w:tc>
        <w:tc>
          <w:tcPr>
            <w:tcW w:type="dxa" w:w="34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Will probably occur; has occurred on comparable projects</w:t>
            </w:r>
          </w:p>
        </w:tc>
        <w:tc>
          <w:tcPr>
            <w:tcW w:type="dxa" w:w="15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50-80%</w:t>
            </w:r>
          </w:p>
        </w:tc>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Once per quarter</w:t>
            </w:r>
          </w:p>
        </w:tc>
      </w:tr>
      <w:tr>
        <w:trPr>
          <w:cantSplit w:val="true"/>
        </w:trPr>
        <w:tc>
          <w:tcPr>
            <w:tcW w:type="dxa" w:w="975"/>
            <w:tcMar>
              <w:top w:w="40" w:type="dxa"/>
              <w:left w:w="110" w:type="dxa"/>
              <w:bottom w:w="40" w:type="dxa"/>
              <w:right w:w="110" w:type="dxa"/>
            </w:tcMar>
          </w:tcPr>
          <w:p>
            <w:pPr>
              <w:pStyle w:val="MasttTableCell"/>
              <w:spacing w:before="20" w:after="20"/>
            </w:pPr>
            <w:r/>
            <w:r>
              <w:rPr>
                <w:rFonts w:ascii="Segoe UI" w:hAnsi="Segoe UI"/>
                <w:b/>
                <w:color w:val="1D3245"/>
                <w:sz w:val="17"/>
              </w:rPr>
              <w:t>3</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Possible</w:t>
            </w:r>
          </w:p>
        </w:tc>
        <w:tc>
          <w:tcPr>
            <w:tcW w:type="dxa" w:w="3416"/>
            <w:tcMar>
              <w:top w:w="40" w:type="dxa"/>
              <w:left w:w="110" w:type="dxa"/>
              <w:bottom w:w="40" w:type="dxa"/>
              <w:right w:w="110" w:type="dxa"/>
            </w:tcMar>
          </w:tcPr>
          <w:p>
            <w:pPr>
              <w:pStyle w:val="MasttTableCell"/>
              <w:spacing w:before="20" w:after="20"/>
            </w:pPr>
            <w:r/>
            <w:r>
              <w:rPr>
                <w:rFonts w:ascii="Segoe UI" w:hAnsi="Segoe UI"/>
                <w:color w:val="1D3245"/>
                <w:sz w:val="17"/>
              </w:rPr>
              <w:t>Might occur; credible pathway exists</w:t>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t>20-50%</w:t>
            </w:r>
          </w:p>
        </w:tc>
        <w:tc>
          <w:tcPr>
            <w:tcW w:type="dxa" w:w="2000"/>
            <w:tcMar>
              <w:top w:w="40" w:type="dxa"/>
              <w:left w:w="110" w:type="dxa"/>
              <w:bottom w:w="40" w:type="dxa"/>
              <w:right w:w="110" w:type="dxa"/>
            </w:tcMar>
          </w:tcPr>
          <w:p>
            <w:pPr>
              <w:pStyle w:val="MasttTableCell"/>
              <w:spacing w:before="20" w:after="20"/>
            </w:pPr>
            <w:r/>
            <w:r>
              <w:rPr>
                <w:rFonts w:ascii="Segoe UI" w:hAnsi="Segoe UI"/>
                <w:color w:val="1D3245"/>
                <w:sz w:val="17"/>
              </w:rPr>
              <w:t>Once per year</w:t>
            </w:r>
          </w:p>
        </w:tc>
      </w:tr>
      <w:tr>
        <w:trPr>
          <w:cantSplit w:val="true"/>
        </w:trPr>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2</w:t>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Unlikely</w:t>
            </w:r>
          </w:p>
        </w:tc>
        <w:tc>
          <w:tcPr>
            <w:tcW w:type="dxa" w:w="34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Could occur but is not expected</w:t>
            </w:r>
          </w:p>
        </w:tc>
        <w:tc>
          <w:tcPr>
            <w:tcW w:type="dxa" w:w="15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5-20%</w:t>
            </w:r>
          </w:p>
        </w:tc>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Once in the project life</w:t>
            </w:r>
          </w:p>
        </w:tc>
      </w:tr>
      <w:tr>
        <w:trPr>
          <w:cantSplit w:val="true"/>
        </w:trPr>
        <w:tc>
          <w:tcPr>
            <w:tcW w:type="dxa" w:w="975"/>
            <w:tcMar>
              <w:top w:w="40" w:type="dxa"/>
              <w:left w:w="110" w:type="dxa"/>
              <w:bottom w:w="40" w:type="dxa"/>
              <w:right w:w="110" w:type="dxa"/>
            </w:tcMar>
          </w:tcPr>
          <w:p>
            <w:pPr>
              <w:pStyle w:val="MasttTableCell"/>
              <w:spacing w:before="20" w:after="20"/>
            </w:pPr>
            <w:r/>
            <w:r>
              <w:rPr>
                <w:rFonts w:ascii="Segoe UI" w:hAnsi="Segoe UI"/>
                <w:b/>
                <w:color w:val="1D3245"/>
                <w:sz w:val="17"/>
              </w:rPr>
              <w:t>1</w:t>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t>Rare</w:t>
            </w:r>
          </w:p>
        </w:tc>
        <w:tc>
          <w:tcPr>
            <w:tcW w:type="dxa" w:w="3416"/>
            <w:tcMar>
              <w:top w:w="40" w:type="dxa"/>
              <w:left w:w="110" w:type="dxa"/>
              <w:bottom w:w="40" w:type="dxa"/>
              <w:right w:w="110" w:type="dxa"/>
            </w:tcMar>
          </w:tcPr>
          <w:p>
            <w:pPr>
              <w:pStyle w:val="MasttTableCell"/>
              <w:spacing w:before="20" w:after="20"/>
            </w:pPr>
            <w:r/>
            <w:r>
              <w:rPr>
                <w:rFonts w:ascii="Segoe UI" w:hAnsi="Segoe UI"/>
                <w:color w:val="1D3245"/>
                <w:sz w:val="17"/>
              </w:rPr>
              <w:t>Only in exceptional circumstances</w:t>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t>&lt;5%</w:t>
            </w:r>
          </w:p>
        </w:tc>
        <w:tc>
          <w:tcPr>
            <w:tcW w:type="dxa" w:w="2000"/>
            <w:tcMar>
              <w:top w:w="40" w:type="dxa"/>
              <w:left w:w="110" w:type="dxa"/>
              <w:bottom w:w="40" w:type="dxa"/>
              <w:right w:w="110" w:type="dxa"/>
            </w:tcMar>
          </w:tcPr>
          <w:p>
            <w:pPr>
              <w:pStyle w:val="MasttTableCell"/>
              <w:spacing w:before="20" w:after="20"/>
            </w:pPr>
            <w:r/>
            <w:r>
              <w:rPr>
                <w:rFonts w:ascii="Segoe UI" w:hAnsi="Segoe UI"/>
                <w:color w:val="1D3245"/>
                <w:sz w:val="17"/>
              </w:rPr>
              <w:t>Less than once in the project life</w:t>
            </w:r>
          </w:p>
        </w:tc>
      </w:tr>
    </w:tbl>
    <w:p>
      <w:pPr>
        <w:rPr>
          <w:sz w:val="8"/>
        </w:rPr>
        <w:spacing w:after="40" w:before="0" w:line="240" w:lineRule="auto"/>
      </w:pPr>
    </w:p>
    <w:p>
      <w:pPr>
        <w:pStyle w:val="Heading2"/>
      </w:pPr>
      <w:r>
        <w:t>10.5  Consequence scales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Calibrate the cost and time thresholds to your project's size. A consequence table copied from another project is the fastest way to produce a register full of medium risks that nobody acts on. As a rule of thumb, 'catastrophic' cost should be set near the point at which the business case fails.</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389"/>
        <w:gridCol w:w="1170"/>
        <w:gridCol w:w="1127"/>
        <w:gridCol w:w="1516"/>
        <w:gridCol w:w="1411"/>
        <w:gridCol w:w="1411"/>
        <w:gridCol w:w="1389"/>
      </w:tblGrid>
      <w:tr>
        <w:trPr>
          <w:tblHeader w:val="true"/>
          <w:cantSplit w:val="true"/>
        </w:trPr>
        <w:tc>
          <w:tcPr>
            <w:tcW w:type="dxa" w:w="138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Rating</w:t>
            </w:r>
          </w:p>
        </w:tc>
        <w:tc>
          <w:tcPr>
            <w:tcW w:type="dxa" w:w="117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Cost</w:t>
            </w:r>
          </w:p>
        </w:tc>
        <w:tc>
          <w:tcPr>
            <w:tcW w:type="dxa" w:w="112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Time</w:t>
            </w:r>
          </w:p>
        </w:tc>
        <w:tc>
          <w:tcPr>
            <w:tcW w:type="dxa" w:w="15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Safety and health</w:t>
            </w:r>
          </w:p>
        </w:tc>
        <w:tc>
          <w:tcPr>
            <w:tcW w:type="dxa" w:w="141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Environment</w:t>
            </w:r>
          </w:p>
        </w:tc>
        <w:tc>
          <w:tcPr>
            <w:tcW w:type="dxa" w:w="141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Reputation and stakeholder</w:t>
            </w:r>
          </w:p>
        </w:tc>
        <w:tc>
          <w:tcPr>
            <w:tcW w:type="dxa" w:w="138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Quality and performance</w:t>
            </w:r>
          </w:p>
        </w:tc>
      </w:tr>
      <w:tr>
        <w:trPr>
          <w:cantSplit w:val="true"/>
        </w:trPr>
        <w:tc>
          <w:tcPr>
            <w:tcW w:type="dxa" w:w="1389"/>
            <w:tcMar>
              <w:top w:w="40" w:type="dxa"/>
              <w:left w:w="110" w:type="dxa"/>
              <w:bottom w:w="40" w:type="dxa"/>
              <w:right w:w="110" w:type="dxa"/>
            </w:tcMar>
          </w:tcPr>
          <w:p>
            <w:pPr>
              <w:pStyle w:val="MasttTableCell"/>
              <w:spacing w:before="20" w:after="20"/>
            </w:pPr>
            <w:r/>
            <w:r>
              <w:rPr>
                <w:rFonts w:ascii="Segoe UI" w:hAnsi="Segoe UI"/>
                <w:b/>
                <w:color w:val="1D3245"/>
                <w:sz w:val="14"/>
              </w:rPr>
              <w:t>5 Catastrophic</w:t>
            </w:r>
          </w:p>
        </w:tc>
        <w:tc>
          <w:tcPr>
            <w:tcW w:type="dxa" w:w="1170"/>
            <w:tcMar>
              <w:top w:w="40" w:type="dxa"/>
              <w:left w:w="110" w:type="dxa"/>
              <w:bottom w:w="40" w:type="dxa"/>
              <w:right w:w="110" w:type="dxa"/>
            </w:tcMar>
          </w:tcPr>
          <w:p>
            <w:pPr>
              <w:pStyle w:val="MasttTableCell"/>
              <w:spacing w:before="20" w:after="20"/>
            </w:pPr>
            <w:r/>
            <w:r>
              <w:rPr>
                <w:rFonts w:ascii="Segoe UI" w:hAnsi="Segoe UI"/>
                <w:color w:val="1D3245"/>
                <w:sz w:val="14"/>
              </w:rPr>
              <w:t>&gt;10% of project cost or exceeds total contingency</w:t>
            </w:r>
          </w:p>
        </w:tc>
        <w:tc>
          <w:tcPr>
            <w:tcW w:type="dxa" w:w="1127"/>
            <w:tcMar>
              <w:top w:w="40" w:type="dxa"/>
              <w:left w:w="110" w:type="dxa"/>
              <w:bottom w:w="40" w:type="dxa"/>
              <w:right w:w="110" w:type="dxa"/>
            </w:tcMar>
          </w:tcPr>
          <w:p>
            <w:pPr>
              <w:pStyle w:val="MasttTableCell"/>
              <w:spacing w:before="20" w:after="20"/>
            </w:pPr>
            <w:r/>
            <w:r>
              <w:rPr>
                <w:rFonts w:ascii="Segoe UI" w:hAnsi="Segoe UI"/>
                <w:color w:val="1D3245"/>
                <w:sz w:val="14"/>
              </w:rPr>
              <w:t>&gt;6 months delay to a contractual milestone</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4"/>
              </w:rPr>
              <w:t>Fatality or permanent disabling injury</w:t>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4"/>
              </w:rPr>
              <w:t>Major long-term harm; prosecution; licence revoked</w:t>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4"/>
              </w:rPr>
              <w:t>Sustained national coverage; loss of licence to operate</w:t>
            </w:r>
          </w:p>
        </w:tc>
        <w:tc>
          <w:tcPr>
            <w:tcW w:type="dxa" w:w="1389"/>
            <w:tcMar>
              <w:top w:w="40" w:type="dxa"/>
              <w:left w:w="110" w:type="dxa"/>
              <w:bottom w:w="40" w:type="dxa"/>
              <w:right w:w="110" w:type="dxa"/>
            </w:tcMar>
          </w:tcPr>
          <w:p>
            <w:pPr>
              <w:pStyle w:val="MasttTableCell"/>
              <w:spacing w:before="20" w:after="20"/>
            </w:pPr>
            <w:r/>
            <w:r>
              <w:rPr>
                <w:rFonts w:ascii="Segoe UI" w:hAnsi="Segoe UI"/>
                <w:color w:val="1D3245"/>
                <w:sz w:val="14"/>
              </w:rPr>
              <w:t>Asset cannot meet its functional purpose; rebuild required</w:t>
            </w:r>
          </w:p>
        </w:tc>
      </w:tr>
      <w:tr>
        <w:trPr>
          <w:cantSplit w:val="true"/>
        </w:trPr>
        <w:tc>
          <w:tcPr>
            <w:tcW w:type="dxa" w:w="138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4 Major</w:t>
            </w:r>
          </w:p>
        </w:tc>
        <w:tc>
          <w:tcPr>
            <w:tcW w:type="dxa" w:w="11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5-10% of project cost</w:t>
            </w:r>
          </w:p>
        </w:tc>
        <w:tc>
          <w:tcPr>
            <w:tcW w:type="dxa" w:w="11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3-6 months delay</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Serious injury requiring hospitalisation; notifiable incident</w:t>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Significant harm; enforcement notice; remediation required</w:t>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Regional coverage; formal complaint by a major stakeholder</w:t>
            </w:r>
          </w:p>
        </w:tc>
        <w:tc>
          <w:tcPr>
            <w:tcW w:type="dxa" w:w="138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Major rework; performance materially below requirement</w:t>
            </w:r>
          </w:p>
        </w:tc>
      </w:tr>
      <w:tr>
        <w:trPr>
          <w:cantSplit w:val="true"/>
        </w:trPr>
        <w:tc>
          <w:tcPr>
            <w:tcW w:type="dxa" w:w="1389"/>
            <w:tcMar>
              <w:top w:w="40" w:type="dxa"/>
              <w:left w:w="110" w:type="dxa"/>
              <w:bottom w:w="40" w:type="dxa"/>
              <w:right w:w="110" w:type="dxa"/>
            </w:tcMar>
          </w:tcPr>
          <w:p>
            <w:pPr>
              <w:pStyle w:val="MasttTableCell"/>
              <w:spacing w:before="20" w:after="20"/>
            </w:pPr>
            <w:r/>
            <w:r>
              <w:rPr>
                <w:rFonts w:ascii="Segoe UI" w:hAnsi="Segoe UI"/>
                <w:b/>
                <w:color w:val="1D3245"/>
                <w:sz w:val="14"/>
              </w:rPr>
              <w:t>3 Moderate</w:t>
            </w:r>
          </w:p>
        </w:tc>
        <w:tc>
          <w:tcPr>
            <w:tcW w:type="dxa" w:w="1170"/>
            <w:tcMar>
              <w:top w:w="40" w:type="dxa"/>
              <w:left w:w="110" w:type="dxa"/>
              <w:bottom w:w="40" w:type="dxa"/>
              <w:right w:w="110" w:type="dxa"/>
            </w:tcMar>
          </w:tcPr>
          <w:p>
            <w:pPr>
              <w:pStyle w:val="MasttTableCell"/>
              <w:spacing w:before="20" w:after="20"/>
            </w:pPr>
            <w:r/>
            <w:r>
              <w:rPr>
                <w:rFonts w:ascii="Segoe UI" w:hAnsi="Segoe UI"/>
                <w:color w:val="1D3245"/>
                <w:sz w:val="14"/>
              </w:rPr>
              <w:t>2-5% of project cost</w:t>
            </w:r>
          </w:p>
        </w:tc>
        <w:tc>
          <w:tcPr>
            <w:tcW w:type="dxa" w:w="1127"/>
            <w:tcMar>
              <w:top w:w="40" w:type="dxa"/>
              <w:left w:w="110" w:type="dxa"/>
              <w:bottom w:w="40" w:type="dxa"/>
              <w:right w:w="110" w:type="dxa"/>
            </w:tcMar>
          </w:tcPr>
          <w:p>
            <w:pPr>
              <w:pStyle w:val="MasttTableCell"/>
              <w:spacing w:before="20" w:after="20"/>
            </w:pPr>
            <w:r/>
            <w:r>
              <w:rPr>
                <w:rFonts w:ascii="Segoe UI" w:hAnsi="Segoe UI"/>
                <w:color w:val="1D3245"/>
                <w:sz w:val="14"/>
              </w:rPr>
              <w:t>1-3 months delay</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4"/>
              </w:rPr>
              <w:t>Lost time injury; medical treatment injury</w:t>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4"/>
              </w:rPr>
              <w:t>Moderate, reversible harm; reportable to the regulator</w:t>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4"/>
              </w:rPr>
              <w:t>Local coverage; multiple sustained complaints</w:t>
            </w:r>
          </w:p>
        </w:tc>
        <w:tc>
          <w:tcPr>
            <w:tcW w:type="dxa" w:w="1389"/>
            <w:tcMar>
              <w:top w:w="40" w:type="dxa"/>
              <w:left w:w="110" w:type="dxa"/>
              <w:bottom w:w="40" w:type="dxa"/>
              <w:right w:w="110" w:type="dxa"/>
            </w:tcMar>
          </w:tcPr>
          <w:p>
            <w:pPr>
              <w:pStyle w:val="MasttTableCell"/>
              <w:spacing w:before="20" w:after="20"/>
            </w:pPr>
            <w:r/>
            <w:r>
              <w:rPr>
                <w:rFonts w:ascii="Segoe UI" w:hAnsi="Segoe UI"/>
                <w:color w:val="1D3245"/>
                <w:sz w:val="14"/>
              </w:rPr>
              <w:t>Significant rework; performance below target but acceptable</w:t>
            </w:r>
          </w:p>
        </w:tc>
      </w:tr>
      <w:tr>
        <w:trPr>
          <w:cantSplit w:val="true"/>
        </w:trPr>
        <w:tc>
          <w:tcPr>
            <w:tcW w:type="dxa" w:w="138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2 Minor</w:t>
            </w:r>
          </w:p>
        </w:tc>
        <w:tc>
          <w:tcPr>
            <w:tcW w:type="dxa" w:w="11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0.5-2% of project cost</w:t>
            </w:r>
          </w:p>
        </w:tc>
        <w:tc>
          <w:tcPr>
            <w:tcW w:type="dxa" w:w="11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2-4 weeks delay</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First aid injury; near miss with serious potential</w:t>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Minor, contained and quickly reversible harm</w:t>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Isolated complaints resolved locally</w:t>
            </w:r>
          </w:p>
        </w:tc>
        <w:tc>
          <w:tcPr>
            <w:tcW w:type="dxa" w:w="138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Local rework within the programme</w:t>
            </w:r>
          </w:p>
        </w:tc>
      </w:tr>
      <w:tr>
        <w:trPr>
          <w:cantSplit w:val="true"/>
        </w:trPr>
        <w:tc>
          <w:tcPr>
            <w:tcW w:type="dxa" w:w="1389"/>
            <w:tcMar>
              <w:top w:w="40" w:type="dxa"/>
              <w:left w:w="110" w:type="dxa"/>
              <w:bottom w:w="40" w:type="dxa"/>
              <w:right w:w="110" w:type="dxa"/>
            </w:tcMar>
          </w:tcPr>
          <w:p>
            <w:pPr>
              <w:pStyle w:val="MasttTableCell"/>
              <w:spacing w:before="20" w:after="20"/>
            </w:pPr>
            <w:r/>
            <w:r>
              <w:rPr>
                <w:rFonts w:ascii="Segoe UI" w:hAnsi="Segoe UI"/>
                <w:b/>
                <w:color w:val="1D3245"/>
                <w:sz w:val="14"/>
              </w:rPr>
              <w:t>1 Insignificant</w:t>
            </w:r>
          </w:p>
        </w:tc>
        <w:tc>
          <w:tcPr>
            <w:tcW w:type="dxa" w:w="1170"/>
            <w:tcMar>
              <w:top w:w="40" w:type="dxa"/>
              <w:left w:w="110" w:type="dxa"/>
              <w:bottom w:w="40" w:type="dxa"/>
              <w:right w:w="110" w:type="dxa"/>
            </w:tcMar>
          </w:tcPr>
          <w:p>
            <w:pPr>
              <w:pStyle w:val="MasttTableCell"/>
              <w:spacing w:before="20" w:after="20"/>
            </w:pPr>
            <w:r/>
            <w:r>
              <w:rPr>
                <w:rFonts w:ascii="Segoe UI" w:hAnsi="Segoe UI"/>
                <w:color w:val="1D3245"/>
                <w:sz w:val="14"/>
              </w:rPr>
              <w:t>&lt;0.5% of project cost</w:t>
            </w:r>
          </w:p>
        </w:tc>
        <w:tc>
          <w:tcPr>
            <w:tcW w:type="dxa" w:w="1127"/>
            <w:tcMar>
              <w:top w:w="40" w:type="dxa"/>
              <w:left w:w="110" w:type="dxa"/>
              <w:bottom w:w="40" w:type="dxa"/>
              <w:right w:w="110" w:type="dxa"/>
            </w:tcMar>
          </w:tcPr>
          <w:p>
            <w:pPr>
              <w:pStyle w:val="MasttTableCell"/>
              <w:spacing w:before="20" w:after="20"/>
            </w:pPr>
            <w:r/>
            <w:r>
              <w:rPr>
                <w:rFonts w:ascii="Segoe UI" w:hAnsi="Segoe UI"/>
                <w:color w:val="1D3245"/>
                <w:sz w:val="14"/>
              </w:rPr>
              <w:t>&lt;2 weeks delay</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4"/>
              </w:rPr>
              <w:t>No injury; hazard identified and controlled</w:t>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4"/>
              </w:rPr>
              <w:t>Negligible effect within the site boundary</w:t>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4"/>
              </w:rPr>
              <w:t>No external interest</w:t>
            </w:r>
          </w:p>
        </w:tc>
        <w:tc>
          <w:tcPr>
            <w:tcW w:type="dxa" w:w="1389"/>
            <w:tcMar>
              <w:top w:w="40" w:type="dxa"/>
              <w:left w:w="110" w:type="dxa"/>
              <w:bottom w:w="40" w:type="dxa"/>
              <w:right w:w="110" w:type="dxa"/>
            </w:tcMar>
          </w:tcPr>
          <w:p>
            <w:pPr>
              <w:pStyle w:val="MasttTableCell"/>
              <w:spacing w:before="20" w:after="20"/>
            </w:pPr>
            <w:r/>
            <w:r>
              <w:rPr>
                <w:rFonts w:ascii="Segoe UI" w:hAnsi="Segoe UI"/>
                <w:color w:val="1D3245"/>
                <w:sz w:val="14"/>
              </w:rPr>
              <w:t>Minor defect corrected in normal work</w:t>
            </w:r>
          </w:p>
        </w:tc>
      </w:tr>
    </w:tbl>
    <w:p>
      <w:pPr>
        <w:rPr>
          <w:sz w:val="8"/>
        </w:rPr>
        <w:spacing w:after="40" w:before="0" w:line="240" w:lineRule="auto"/>
      </w:pPr>
    </w:p>
    <w:p>
      <w:pPr>
        <w:pStyle w:val="Heading2"/>
      </w:pPr>
      <w:r>
        <w:t>10.6  Risk matrix</w:t>
      </w:r>
    </w:p>
    <w:p>
      <w:pPr>
        <w:pStyle w:val="MasttBody"/>
      </w:pPr>
      <w:r>
        <w:t>Inherent risk is rated before treatment; residual risk is rated assuming planned treatments are fully implemented. Both are recorded. The rating drives the escalation and review requirements in Section 10.10.</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2043"/>
        <w:gridCol w:w="1808"/>
        <w:gridCol w:w="1245"/>
        <w:gridCol w:w="1360"/>
        <w:gridCol w:w="1268"/>
        <w:gridCol w:w="1689"/>
      </w:tblGrid>
      <w:tr>
        <w:trPr>
          <w:tblHeader w:val="true"/>
          <w:cantSplit w:val="true"/>
        </w:trPr>
        <w:tc>
          <w:tcPr>
            <w:tcW w:type="dxa" w:w="204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Likelihood ↓  /  Consequence →</w:t>
            </w:r>
          </w:p>
        </w:tc>
        <w:tc>
          <w:tcPr>
            <w:tcW w:type="dxa" w:w="18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1 Insignificant</w:t>
            </w:r>
          </w:p>
        </w:tc>
        <w:tc>
          <w:tcPr>
            <w:tcW w:type="dxa" w:w="124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2 Minor</w:t>
            </w:r>
          </w:p>
        </w:tc>
        <w:tc>
          <w:tcPr>
            <w:tcW w:type="dxa" w:w="135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3 Moderate</w:t>
            </w:r>
          </w:p>
        </w:tc>
        <w:tc>
          <w:tcPr>
            <w:tcW w:type="dxa" w:w="1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4 Major</w:t>
            </w:r>
          </w:p>
        </w:tc>
        <w:tc>
          <w:tcPr>
            <w:tcW w:type="dxa" w:w="168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5 Catastrophic</w:t>
            </w:r>
          </w:p>
        </w:tc>
      </w:tr>
      <w:tr>
        <w:trPr>
          <w:cantSplit w:val="true"/>
        </w:trPr>
        <w:tc>
          <w:tcPr>
            <w:tcW w:type="dxa" w:w="2043"/>
            <w:tcMar>
              <w:top w:w="40" w:type="dxa"/>
              <w:left w:w="110" w:type="dxa"/>
              <w:bottom w:w="40" w:type="dxa"/>
              <w:right w:w="110" w:type="dxa"/>
            </w:tcMar>
          </w:tcPr>
          <w:p>
            <w:pPr>
              <w:pStyle w:val="MasttTableCell"/>
              <w:spacing w:before="20" w:after="20"/>
            </w:pPr>
            <w:r/>
            <w:r>
              <w:rPr>
                <w:rFonts w:ascii="Segoe UI" w:hAnsi="Segoe UI"/>
                <w:b/>
                <w:color w:val="1D3245"/>
                <w:sz w:val="17"/>
              </w:rPr>
              <w:t>5 Almost certain</w:t>
            </w:r>
          </w:p>
        </w:tc>
        <w:tc>
          <w:tcPr>
            <w:tcW w:type="dxa" w:w="1808"/>
            <w:tcMar>
              <w:top w:w="40" w:type="dxa"/>
              <w:left w:w="110" w:type="dxa"/>
              <w:bottom w:w="40" w:type="dxa"/>
              <w:right w:w="110" w:type="dxa"/>
            </w:tcMar>
            <w:shd w:val="clear" w:color="auto" w:fill="E4F2EC"/>
          </w:tcPr>
          <w:p>
            <w:pPr>
              <w:pStyle w:val="MasttTableCell"/>
              <w:spacing w:before="20" w:after="20"/>
            </w:pPr>
            <w:r/>
            <w:r>
              <w:rPr>
                <w:rFonts w:ascii="Segoe UI" w:hAnsi="Segoe UI"/>
                <w:color w:val="1D3245"/>
                <w:sz w:val="17"/>
              </w:rPr>
              <w:t>Medium</w:t>
            </w:r>
          </w:p>
        </w:tc>
        <w:tc>
          <w:tcPr>
            <w:tcW w:type="dxa" w:w="1244"/>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c>
          <w:tcPr>
            <w:tcW w:type="dxa" w:w="1359"/>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c>
          <w:tcPr>
            <w:tcW w:type="dxa" w:w="1268"/>
            <w:tcMar>
              <w:top w:w="40" w:type="dxa"/>
              <w:left w:w="110" w:type="dxa"/>
              <w:bottom w:w="40" w:type="dxa"/>
              <w:right w:w="110" w:type="dxa"/>
            </w:tcMar>
            <w:shd w:val="clear" w:color="auto" w:fill="FAE4E2"/>
          </w:tcPr>
          <w:p>
            <w:pPr>
              <w:pStyle w:val="MasttTableCell"/>
              <w:spacing w:before="20" w:after="20"/>
            </w:pPr>
            <w:r/>
            <w:r>
              <w:rPr>
                <w:rFonts w:ascii="Segoe UI" w:hAnsi="Segoe UI"/>
                <w:color w:val="1D3245"/>
                <w:sz w:val="17"/>
              </w:rPr>
              <w:t>Extreme</w:t>
            </w:r>
          </w:p>
        </w:tc>
        <w:tc>
          <w:tcPr>
            <w:tcW w:type="dxa" w:w="1689"/>
            <w:tcMar>
              <w:top w:w="40" w:type="dxa"/>
              <w:left w:w="110" w:type="dxa"/>
              <w:bottom w:w="40" w:type="dxa"/>
              <w:right w:w="110" w:type="dxa"/>
            </w:tcMar>
            <w:shd w:val="clear" w:color="auto" w:fill="FAE4E2"/>
          </w:tcPr>
          <w:p>
            <w:pPr>
              <w:pStyle w:val="MasttTableCell"/>
              <w:spacing w:before="20" w:after="20"/>
            </w:pPr>
            <w:r/>
            <w:r>
              <w:rPr>
                <w:rFonts w:ascii="Segoe UI" w:hAnsi="Segoe UI"/>
                <w:color w:val="1D3245"/>
                <w:sz w:val="17"/>
              </w:rPr>
              <w:t>Extreme</w:t>
            </w:r>
          </w:p>
        </w:tc>
      </w:tr>
      <w:tr>
        <w:trPr>
          <w:cantSplit w:val="true"/>
        </w:trPr>
        <w:tc>
          <w:tcPr>
            <w:tcW w:type="dxa" w:w="2043"/>
            <w:tcMar>
              <w:top w:w="40" w:type="dxa"/>
              <w:left w:w="110" w:type="dxa"/>
              <w:bottom w:w="40" w:type="dxa"/>
              <w:right w:w="110" w:type="dxa"/>
            </w:tcMar>
          </w:tcPr>
          <w:p>
            <w:pPr>
              <w:pStyle w:val="MasttTableCell"/>
              <w:spacing w:before="20" w:after="20"/>
            </w:pPr>
            <w:r/>
            <w:r>
              <w:rPr>
                <w:rFonts w:ascii="Segoe UI" w:hAnsi="Segoe UI"/>
                <w:b/>
                <w:color w:val="1D3245"/>
                <w:sz w:val="17"/>
              </w:rPr>
              <w:t>4 Likely</w:t>
            </w:r>
          </w:p>
        </w:tc>
        <w:tc>
          <w:tcPr>
            <w:tcW w:type="dxa" w:w="1808"/>
            <w:tcMar>
              <w:top w:w="40" w:type="dxa"/>
              <w:left w:w="110" w:type="dxa"/>
              <w:bottom w:w="40" w:type="dxa"/>
              <w:right w:w="110" w:type="dxa"/>
            </w:tcMar>
            <w:shd w:val="clear" w:color="auto" w:fill="E4F2EC"/>
          </w:tcPr>
          <w:p>
            <w:pPr>
              <w:pStyle w:val="MasttTableCell"/>
              <w:spacing w:before="20" w:after="20"/>
            </w:pPr>
            <w:r/>
            <w:r>
              <w:rPr>
                <w:rFonts w:ascii="Segoe UI" w:hAnsi="Segoe UI"/>
                <w:color w:val="1D3245"/>
                <w:sz w:val="17"/>
              </w:rPr>
              <w:t>Medium</w:t>
            </w:r>
          </w:p>
        </w:tc>
        <w:tc>
          <w:tcPr>
            <w:tcW w:type="dxa" w:w="1244"/>
            <w:tcMar>
              <w:top w:w="40" w:type="dxa"/>
              <w:left w:w="110" w:type="dxa"/>
              <w:bottom w:w="40" w:type="dxa"/>
              <w:right w:w="110" w:type="dxa"/>
            </w:tcMar>
            <w:shd w:val="clear" w:color="auto" w:fill="E4F2EC"/>
          </w:tcPr>
          <w:p>
            <w:pPr>
              <w:pStyle w:val="MasttTableCell"/>
              <w:spacing w:before="20" w:after="20"/>
            </w:pPr>
            <w:r/>
            <w:r>
              <w:rPr>
                <w:rFonts w:ascii="Segoe UI" w:hAnsi="Segoe UI"/>
                <w:color w:val="1D3245"/>
                <w:sz w:val="17"/>
              </w:rPr>
              <w:t>Medium</w:t>
            </w:r>
          </w:p>
        </w:tc>
        <w:tc>
          <w:tcPr>
            <w:tcW w:type="dxa" w:w="1359"/>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c>
          <w:tcPr>
            <w:tcW w:type="dxa" w:w="1268"/>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c>
          <w:tcPr>
            <w:tcW w:type="dxa" w:w="1689"/>
            <w:tcMar>
              <w:top w:w="40" w:type="dxa"/>
              <w:left w:w="110" w:type="dxa"/>
              <w:bottom w:w="40" w:type="dxa"/>
              <w:right w:w="110" w:type="dxa"/>
            </w:tcMar>
            <w:shd w:val="clear" w:color="auto" w:fill="FAE4E2"/>
          </w:tcPr>
          <w:p>
            <w:pPr>
              <w:pStyle w:val="MasttTableCell"/>
              <w:spacing w:before="20" w:after="20"/>
            </w:pPr>
            <w:r/>
            <w:r>
              <w:rPr>
                <w:rFonts w:ascii="Segoe UI" w:hAnsi="Segoe UI"/>
                <w:color w:val="1D3245"/>
                <w:sz w:val="17"/>
              </w:rPr>
              <w:t>Extreme</w:t>
            </w:r>
          </w:p>
        </w:tc>
      </w:tr>
      <w:tr>
        <w:trPr>
          <w:cantSplit w:val="true"/>
        </w:trPr>
        <w:tc>
          <w:tcPr>
            <w:tcW w:type="dxa" w:w="2043"/>
            <w:tcMar>
              <w:top w:w="40" w:type="dxa"/>
              <w:left w:w="110" w:type="dxa"/>
              <w:bottom w:w="40" w:type="dxa"/>
              <w:right w:w="110" w:type="dxa"/>
            </w:tcMar>
          </w:tcPr>
          <w:p>
            <w:pPr>
              <w:pStyle w:val="MasttTableCell"/>
              <w:spacing w:before="20" w:after="20"/>
            </w:pPr>
            <w:r/>
            <w:r>
              <w:rPr>
                <w:rFonts w:ascii="Segoe UI" w:hAnsi="Segoe UI"/>
                <w:b/>
                <w:color w:val="1D3245"/>
                <w:sz w:val="17"/>
              </w:rPr>
              <w:t>3 Possible</w:t>
            </w:r>
          </w:p>
        </w:tc>
        <w:tc>
          <w:tcPr>
            <w:tcW w:type="dxa" w:w="1808"/>
            <w:tcMar>
              <w:top w:w="40" w:type="dxa"/>
              <w:left w:w="110" w:type="dxa"/>
              <w:bottom w:w="40" w:type="dxa"/>
              <w:right w:w="110" w:type="dxa"/>
            </w:tcMar>
            <w:shd w:val="clear" w:color="auto" w:fill="EFF2F5"/>
          </w:tcPr>
          <w:p>
            <w:pPr>
              <w:pStyle w:val="MasttTableCell"/>
              <w:spacing w:before="20" w:after="20"/>
            </w:pPr>
            <w:r/>
            <w:r>
              <w:rPr>
                <w:rFonts w:ascii="Segoe UI" w:hAnsi="Segoe UI"/>
                <w:color w:val="1D3245"/>
                <w:sz w:val="17"/>
              </w:rPr>
              <w:t>Low</w:t>
            </w:r>
          </w:p>
        </w:tc>
        <w:tc>
          <w:tcPr>
            <w:tcW w:type="dxa" w:w="1244"/>
            <w:tcMar>
              <w:top w:w="40" w:type="dxa"/>
              <w:left w:w="110" w:type="dxa"/>
              <w:bottom w:w="40" w:type="dxa"/>
              <w:right w:w="110" w:type="dxa"/>
            </w:tcMar>
            <w:shd w:val="clear" w:color="auto" w:fill="E4F2EC"/>
          </w:tcPr>
          <w:p>
            <w:pPr>
              <w:pStyle w:val="MasttTableCell"/>
              <w:spacing w:before="20" w:after="20"/>
            </w:pPr>
            <w:r/>
            <w:r>
              <w:rPr>
                <w:rFonts w:ascii="Segoe UI" w:hAnsi="Segoe UI"/>
                <w:color w:val="1D3245"/>
                <w:sz w:val="17"/>
              </w:rPr>
              <w:t>Medium</w:t>
            </w:r>
          </w:p>
        </w:tc>
        <w:tc>
          <w:tcPr>
            <w:tcW w:type="dxa" w:w="1359"/>
            <w:tcMar>
              <w:top w:w="40" w:type="dxa"/>
              <w:left w:w="110" w:type="dxa"/>
              <w:bottom w:w="40" w:type="dxa"/>
              <w:right w:w="110" w:type="dxa"/>
            </w:tcMar>
            <w:shd w:val="clear" w:color="auto" w:fill="E4F2EC"/>
          </w:tcPr>
          <w:p>
            <w:pPr>
              <w:pStyle w:val="MasttTableCell"/>
              <w:spacing w:before="20" w:after="20"/>
            </w:pPr>
            <w:r/>
            <w:r>
              <w:rPr>
                <w:rFonts w:ascii="Segoe UI" w:hAnsi="Segoe UI"/>
                <w:color w:val="1D3245"/>
                <w:sz w:val="17"/>
              </w:rPr>
              <w:t>Medium</w:t>
            </w:r>
          </w:p>
        </w:tc>
        <w:tc>
          <w:tcPr>
            <w:tcW w:type="dxa" w:w="1268"/>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c>
          <w:tcPr>
            <w:tcW w:type="dxa" w:w="1689"/>
            <w:tcMar>
              <w:top w:w="40" w:type="dxa"/>
              <w:left w:w="110" w:type="dxa"/>
              <w:bottom w:w="40" w:type="dxa"/>
              <w:right w:w="110" w:type="dxa"/>
            </w:tcMar>
            <w:shd w:val="clear" w:color="auto" w:fill="FAE4E2"/>
          </w:tcPr>
          <w:p>
            <w:pPr>
              <w:pStyle w:val="MasttTableCell"/>
              <w:spacing w:before="20" w:after="20"/>
            </w:pPr>
            <w:r/>
            <w:r>
              <w:rPr>
                <w:rFonts w:ascii="Segoe UI" w:hAnsi="Segoe UI"/>
                <w:color w:val="1D3245"/>
                <w:sz w:val="17"/>
              </w:rPr>
              <w:t>Extreme</w:t>
            </w:r>
          </w:p>
        </w:tc>
      </w:tr>
      <w:tr>
        <w:trPr>
          <w:cantSplit w:val="true"/>
        </w:trPr>
        <w:tc>
          <w:tcPr>
            <w:tcW w:type="dxa" w:w="2043"/>
            <w:tcMar>
              <w:top w:w="40" w:type="dxa"/>
              <w:left w:w="110" w:type="dxa"/>
              <w:bottom w:w="40" w:type="dxa"/>
              <w:right w:w="110" w:type="dxa"/>
            </w:tcMar>
          </w:tcPr>
          <w:p>
            <w:pPr>
              <w:pStyle w:val="MasttTableCell"/>
              <w:spacing w:before="20" w:after="20"/>
            </w:pPr>
            <w:r/>
            <w:r>
              <w:rPr>
                <w:rFonts w:ascii="Segoe UI" w:hAnsi="Segoe UI"/>
                <w:b/>
                <w:color w:val="1D3245"/>
                <w:sz w:val="17"/>
              </w:rPr>
              <w:t>2 Unlikely</w:t>
            </w:r>
          </w:p>
        </w:tc>
        <w:tc>
          <w:tcPr>
            <w:tcW w:type="dxa" w:w="1808"/>
            <w:tcMar>
              <w:top w:w="40" w:type="dxa"/>
              <w:left w:w="110" w:type="dxa"/>
              <w:bottom w:w="40" w:type="dxa"/>
              <w:right w:w="110" w:type="dxa"/>
            </w:tcMar>
            <w:shd w:val="clear" w:color="auto" w:fill="EFF2F5"/>
          </w:tcPr>
          <w:p>
            <w:pPr>
              <w:pStyle w:val="MasttTableCell"/>
              <w:spacing w:before="20" w:after="20"/>
            </w:pPr>
            <w:r/>
            <w:r>
              <w:rPr>
                <w:rFonts w:ascii="Segoe UI" w:hAnsi="Segoe UI"/>
                <w:color w:val="1D3245"/>
                <w:sz w:val="17"/>
              </w:rPr>
              <w:t>Low</w:t>
            </w:r>
          </w:p>
        </w:tc>
        <w:tc>
          <w:tcPr>
            <w:tcW w:type="dxa" w:w="1244"/>
            <w:tcMar>
              <w:top w:w="40" w:type="dxa"/>
              <w:left w:w="110" w:type="dxa"/>
              <w:bottom w:w="40" w:type="dxa"/>
              <w:right w:w="110" w:type="dxa"/>
            </w:tcMar>
            <w:shd w:val="clear" w:color="auto" w:fill="EFF2F5"/>
          </w:tcPr>
          <w:p>
            <w:pPr>
              <w:pStyle w:val="MasttTableCell"/>
              <w:spacing w:before="20" w:after="20"/>
            </w:pPr>
            <w:r/>
            <w:r>
              <w:rPr>
                <w:rFonts w:ascii="Segoe UI" w:hAnsi="Segoe UI"/>
                <w:color w:val="1D3245"/>
                <w:sz w:val="17"/>
              </w:rPr>
              <w:t>Low</w:t>
            </w:r>
          </w:p>
        </w:tc>
        <w:tc>
          <w:tcPr>
            <w:tcW w:type="dxa" w:w="1359"/>
            <w:tcMar>
              <w:top w:w="40" w:type="dxa"/>
              <w:left w:w="110" w:type="dxa"/>
              <w:bottom w:w="40" w:type="dxa"/>
              <w:right w:w="110" w:type="dxa"/>
            </w:tcMar>
            <w:shd w:val="clear" w:color="auto" w:fill="E4F2EC"/>
          </w:tcPr>
          <w:p>
            <w:pPr>
              <w:pStyle w:val="MasttTableCell"/>
              <w:spacing w:before="20" w:after="20"/>
            </w:pPr>
            <w:r/>
            <w:r>
              <w:rPr>
                <w:rFonts w:ascii="Segoe UI" w:hAnsi="Segoe UI"/>
                <w:color w:val="1D3245"/>
                <w:sz w:val="17"/>
              </w:rPr>
              <w:t>Medium</w:t>
            </w:r>
          </w:p>
        </w:tc>
        <w:tc>
          <w:tcPr>
            <w:tcW w:type="dxa" w:w="1268"/>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c>
          <w:tcPr>
            <w:tcW w:type="dxa" w:w="1689"/>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r>
      <w:tr>
        <w:trPr>
          <w:cantSplit w:val="true"/>
        </w:trPr>
        <w:tc>
          <w:tcPr>
            <w:tcW w:type="dxa" w:w="2043"/>
            <w:tcMar>
              <w:top w:w="40" w:type="dxa"/>
              <w:left w:w="110" w:type="dxa"/>
              <w:bottom w:w="40" w:type="dxa"/>
              <w:right w:w="110" w:type="dxa"/>
            </w:tcMar>
          </w:tcPr>
          <w:p>
            <w:pPr>
              <w:pStyle w:val="MasttTableCell"/>
              <w:spacing w:before="20" w:after="20"/>
            </w:pPr>
            <w:r/>
            <w:r>
              <w:rPr>
                <w:rFonts w:ascii="Segoe UI" w:hAnsi="Segoe UI"/>
                <w:b/>
                <w:color w:val="1D3245"/>
                <w:sz w:val="17"/>
              </w:rPr>
              <w:t>1 Rare</w:t>
            </w:r>
          </w:p>
        </w:tc>
        <w:tc>
          <w:tcPr>
            <w:tcW w:type="dxa" w:w="1808"/>
            <w:tcMar>
              <w:top w:w="40" w:type="dxa"/>
              <w:left w:w="110" w:type="dxa"/>
              <w:bottom w:w="40" w:type="dxa"/>
              <w:right w:w="110" w:type="dxa"/>
            </w:tcMar>
            <w:shd w:val="clear" w:color="auto" w:fill="EFF2F5"/>
          </w:tcPr>
          <w:p>
            <w:pPr>
              <w:pStyle w:val="MasttTableCell"/>
              <w:spacing w:before="20" w:after="20"/>
            </w:pPr>
            <w:r/>
            <w:r>
              <w:rPr>
                <w:rFonts w:ascii="Segoe UI" w:hAnsi="Segoe UI"/>
                <w:color w:val="1D3245"/>
                <w:sz w:val="17"/>
              </w:rPr>
              <w:t>Low</w:t>
            </w:r>
          </w:p>
        </w:tc>
        <w:tc>
          <w:tcPr>
            <w:tcW w:type="dxa" w:w="1244"/>
            <w:tcMar>
              <w:top w:w="40" w:type="dxa"/>
              <w:left w:w="110" w:type="dxa"/>
              <w:bottom w:w="40" w:type="dxa"/>
              <w:right w:w="110" w:type="dxa"/>
            </w:tcMar>
            <w:shd w:val="clear" w:color="auto" w:fill="EFF2F5"/>
          </w:tcPr>
          <w:p>
            <w:pPr>
              <w:pStyle w:val="MasttTableCell"/>
              <w:spacing w:before="20" w:after="20"/>
            </w:pPr>
            <w:r/>
            <w:r>
              <w:rPr>
                <w:rFonts w:ascii="Segoe UI" w:hAnsi="Segoe UI"/>
                <w:color w:val="1D3245"/>
                <w:sz w:val="17"/>
              </w:rPr>
              <w:t>Low</w:t>
            </w:r>
          </w:p>
        </w:tc>
        <w:tc>
          <w:tcPr>
            <w:tcW w:type="dxa" w:w="1359"/>
            <w:tcMar>
              <w:top w:w="40" w:type="dxa"/>
              <w:left w:w="110" w:type="dxa"/>
              <w:bottom w:w="40" w:type="dxa"/>
              <w:right w:w="110" w:type="dxa"/>
            </w:tcMar>
            <w:shd w:val="clear" w:color="auto" w:fill="EFF2F5"/>
          </w:tcPr>
          <w:p>
            <w:pPr>
              <w:pStyle w:val="MasttTableCell"/>
              <w:spacing w:before="20" w:after="20"/>
            </w:pPr>
            <w:r/>
            <w:r>
              <w:rPr>
                <w:rFonts w:ascii="Segoe UI" w:hAnsi="Segoe UI"/>
                <w:color w:val="1D3245"/>
                <w:sz w:val="17"/>
              </w:rPr>
              <w:t>Low</w:t>
            </w:r>
          </w:p>
        </w:tc>
        <w:tc>
          <w:tcPr>
            <w:tcW w:type="dxa" w:w="1268"/>
            <w:tcMar>
              <w:top w:w="40" w:type="dxa"/>
              <w:left w:w="110" w:type="dxa"/>
              <w:bottom w:w="40" w:type="dxa"/>
              <w:right w:w="110" w:type="dxa"/>
            </w:tcMar>
            <w:shd w:val="clear" w:color="auto" w:fill="E4F2EC"/>
          </w:tcPr>
          <w:p>
            <w:pPr>
              <w:pStyle w:val="MasttTableCell"/>
              <w:spacing w:before="20" w:after="20"/>
            </w:pPr>
            <w:r/>
            <w:r>
              <w:rPr>
                <w:rFonts w:ascii="Segoe UI" w:hAnsi="Segoe UI"/>
                <w:color w:val="1D3245"/>
                <w:sz w:val="17"/>
              </w:rPr>
              <w:t>Medium</w:t>
            </w:r>
          </w:p>
        </w:tc>
        <w:tc>
          <w:tcPr>
            <w:tcW w:type="dxa" w:w="1689"/>
            <w:tcMar>
              <w:top w:w="40" w:type="dxa"/>
              <w:left w:w="110" w:type="dxa"/>
              <w:bottom w:w="40" w:type="dxa"/>
              <w:right w:w="110" w:type="dxa"/>
            </w:tcMar>
            <w:shd w:val="clear" w:color="auto" w:fill="FBF0DE"/>
          </w:tcPr>
          <w:p>
            <w:pPr>
              <w:pStyle w:val="MasttTableCell"/>
              <w:spacing w:before="20" w:after="20"/>
            </w:pPr>
            <w:r/>
            <w:r>
              <w:rPr>
                <w:rFonts w:ascii="Segoe UI" w:hAnsi="Segoe UI"/>
                <w:color w:val="1D3245"/>
                <w:sz w:val="17"/>
              </w:rPr>
              <w:t>High</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019"/>
        <w:gridCol w:w="2440"/>
        <w:gridCol w:w="1449"/>
        <w:gridCol w:w="1308"/>
        <w:gridCol w:w="3195"/>
      </w:tblGrid>
      <w:tr>
        <w:trPr>
          <w:tblHeader w:val="true"/>
          <w:cantSplit w:val="true"/>
        </w:trPr>
        <w:tc>
          <w:tcPr>
            <w:tcW w:type="dxa" w:w="101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Rating</w:t>
            </w:r>
          </w:p>
        </w:tc>
        <w:tc>
          <w:tcPr>
            <w:tcW w:type="dxa" w:w="243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Meaning</w:t>
            </w:r>
          </w:p>
        </w:tc>
        <w:tc>
          <w:tcPr>
            <w:tcW w:type="dxa" w:w="14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3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Review</w:t>
            </w:r>
          </w:p>
        </w:tc>
        <w:tc>
          <w:tcPr>
            <w:tcW w:type="dxa" w:w="319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Action required</w:t>
            </w:r>
          </w:p>
        </w:tc>
      </w:tr>
      <w:tr>
        <w:trPr>
          <w:cantSplit w:val="true"/>
        </w:trPr>
        <w:tc>
          <w:tcPr>
            <w:tcW w:type="dxa" w:w="1019"/>
            <w:tcMar>
              <w:top w:w="40" w:type="dxa"/>
              <w:left w:w="110" w:type="dxa"/>
              <w:bottom w:w="40" w:type="dxa"/>
              <w:right w:w="110" w:type="dxa"/>
            </w:tcMar>
          </w:tcPr>
          <w:p>
            <w:pPr>
              <w:pStyle w:val="MasttTableCell"/>
              <w:spacing w:before="20" w:after="20"/>
            </w:pPr>
            <w:r/>
            <w:r>
              <w:rPr>
                <w:rFonts w:ascii="Segoe UI" w:hAnsi="Segoe UI"/>
                <w:b/>
                <w:color w:val="1D3245"/>
                <w:sz w:val="17"/>
              </w:rPr>
              <w:t>Extreme</w:t>
            </w:r>
          </w:p>
        </w:tc>
        <w:tc>
          <w:tcPr>
            <w:tcW w:type="dxa" w:w="2439"/>
            <w:tcMar>
              <w:top w:w="40" w:type="dxa"/>
              <w:left w:w="110" w:type="dxa"/>
              <w:bottom w:w="40" w:type="dxa"/>
              <w:right w:w="110" w:type="dxa"/>
            </w:tcMar>
          </w:tcPr>
          <w:p>
            <w:pPr>
              <w:pStyle w:val="MasttTableCell"/>
              <w:spacing w:before="20" w:after="20"/>
            </w:pPr>
            <w:r/>
            <w:r>
              <w:rPr>
                <w:rFonts w:ascii="Segoe UI" w:hAnsi="Segoe UI"/>
                <w:color w:val="1D3245"/>
                <w:sz w:val="17"/>
              </w:rPr>
              <w:t>Unacceptable; threatens project objectives</w:t>
            </w:r>
          </w:p>
        </w:tc>
        <w:tc>
          <w:tcPr>
            <w:tcW w:type="dxa" w:w="1449"/>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308"/>
            <w:tcMar>
              <w:top w:w="40" w:type="dxa"/>
              <w:left w:w="110" w:type="dxa"/>
              <w:bottom w:w="40" w:type="dxa"/>
              <w:right w:w="110" w:type="dxa"/>
            </w:tcMar>
          </w:tcPr>
          <w:p>
            <w:pPr>
              <w:pStyle w:val="MasttTableCell"/>
              <w:spacing w:before="20" w:after="20"/>
            </w:pPr>
            <w:r/>
            <w:r>
              <w:rPr>
                <w:rFonts w:ascii="Segoe UI" w:hAnsi="Segoe UI"/>
                <w:color w:val="1D3245"/>
                <w:sz w:val="17"/>
              </w:rPr>
              <w:t>Fortnightly</w:t>
            </w:r>
          </w:p>
        </w:tc>
        <w:tc>
          <w:tcPr>
            <w:tcW w:type="dxa" w:w="3195"/>
            <w:tcMar>
              <w:top w:w="40" w:type="dxa"/>
              <w:left w:w="110" w:type="dxa"/>
              <w:bottom w:w="40" w:type="dxa"/>
              <w:right w:w="110" w:type="dxa"/>
            </w:tcMar>
          </w:tcPr>
          <w:p>
            <w:pPr>
              <w:pStyle w:val="MasttTableCell"/>
              <w:spacing w:before="20" w:after="20"/>
            </w:pPr>
            <w:r/>
            <w:r>
              <w:rPr>
                <w:rFonts w:ascii="Segoe UI" w:hAnsi="Segoe UI"/>
                <w:color w:val="1D3245"/>
                <w:sz w:val="17"/>
              </w:rPr>
              <w:t>Immediate treatment plan; escalate to the Board at the next meeting or sooner</w:t>
            </w:r>
          </w:p>
        </w:tc>
      </w:tr>
      <w:tr>
        <w:trPr>
          <w:cantSplit w:val="true"/>
        </w:trPr>
        <w:tc>
          <w:tcPr>
            <w:tcW w:type="dxa" w:w="101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High</w:t>
            </w:r>
          </w:p>
        </w:tc>
        <w:tc>
          <w:tcPr>
            <w:tcW w:type="dxa" w:w="24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Requires active management and senior attention</w:t>
            </w:r>
          </w:p>
        </w:tc>
        <w:tc>
          <w:tcPr>
            <w:tcW w:type="dxa" w:w="14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3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3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Treatment plan with funded actions and dates; reported to the Board</w:t>
            </w:r>
          </w:p>
        </w:tc>
      </w:tr>
      <w:tr>
        <w:trPr>
          <w:cantSplit w:val="true"/>
        </w:trPr>
        <w:tc>
          <w:tcPr>
            <w:tcW w:type="dxa" w:w="1019"/>
            <w:tcMar>
              <w:top w:w="40" w:type="dxa"/>
              <w:left w:w="110" w:type="dxa"/>
              <w:bottom w:w="40" w:type="dxa"/>
              <w:right w:w="110" w:type="dxa"/>
            </w:tcMar>
          </w:tcPr>
          <w:p>
            <w:pPr>
              <w:pStyle w:val="MasttTableCell"/>
              <w:spacing w:before="20" w:after="20"/>
            </w:pPr>
            <w:r/>
            <w:r>
              <w:rPr>
                <w:rFonts w:ascii="Segoe UI" w:hAnsi="Segoe UI"/>
                <w:b/>
                <w:color w:val="1D3245"/>
                <w:sz w:val="17"/>
              </w:rPr>
              <w:t>Medium</w:t>
            </w:r>
          </w:p>
        </w:tc>
        <w:tc>
          <w:tcPr>
            <w:tcW w:type="dxa" w:w="2439"/>
            <w:tcMar>
              <w:top w:w="40" w:type="dxa"/>
              <w:left w:w="110" w:type="dxa"/>
              <w:bottom w:w="40" w:type="dxa"/>
              <w:right w:w="110" w:type="dxa"/>
            </w:tcMar>
          </w:tcPr>
          <w:p>
            <w:pPr>
              <w:pStyle w:val="MasttTableCell"/>
              <w:spacing w:before="20" w:after="20"/>
            </w:pPr>
            <w:r/>
            <w:r>
              <w:rPr>
                <w:rFonts w:ascii="Segoe UI" w:hAnsi="Segoe UI"/>
                <w:color w:val="1D3245"/>
                <w:sz w:val="17"/>
              </w:rPr>
              <w:t>Manage by routine process</w:t>
            </w:r>
          </w:p>
        </w:tc>
        <w:tc>
          <w:tcPr>
            <w:tcW w:type="dxa" w:w="1449"/>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308"/>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3195"/>
            <w:tcMar>
              <w:top w:w="40" w:type="dxa"/>
              <w:left w:w="110" w:type="dxa"/>
              <w:bottom w:w="40" w:type="dxa"/>
              <w:right w:w="110" w:type="dxa"/>
            </w:tcMar>
          </w:tcPr>
          <w:p>
            <w:pPr>
              <w:pStyle w:val="MasttTableCell"/>
              <w:spacing w:before="20" w:after="20"/>
            </w:pPr>
            <w:r/>
            <w:r>
              <w:rPr>
                <w:rFonts w:ascii="Segoe UI" w:hAnsi="Segoe UI"/>
                <w:color w:val="1D3245"/>
                <w:sz w:val="17"/>
              </w:rPr>
              <w:t>Treatment assigned; monitored at the Control Group</w:t>
            </w:r>
          </w:p>
        </w:tc>
      </w:tr>
      <w:tr>
        <w:trPr>
          <w:cantSplit w:val="true"/>
        </w:trPr>
        <w:tc>
          <w:tcPr>
            <w:tcW w:type="dxa" w:w="101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Low</w:t>
            </w:r>
          </w:p>
        </w:tc>
        <w:tc>
          <w:tcPr>
            <w:tcW w:type="dxa" w:w="24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Tolerable</w:t>
            </w:r>
          </w:p>
        </w:tc>
        <w:tc>
          <w:tcPr>
            <w:tcW w:type="dxa" w:w="14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Package Manager</w:t>
            </w:r>
          </w:p>
        </w:tc>
        <w:tc>
          <w:tcPr>
            <w:tcW w:type="dxa" w:w="13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Quarterly</w:t>
            </w:r>
          </w:p>
        </w:tc>
        <w:tc>
          <w:tcPr>
            <w:tcW w:type="dxa" w:w="3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Monitor; treat if cost-effective</w:t>
            </w:r>
          </w:p>
        </w:tc>
      </w:tr>
    </w:tbl>
    <w:p>
      <w:pPr>
        <w:rPr>
          <w:sz w:val="8"/>
        </w:rPr>
        <w:spacing w:after="40" w:before="0" w:line="240" w:lineRule="auto"/>
      </w:pPr>
    </w:p>
    <w:p>
      <w:pPr>
        <w:pStyle w:val="Heading2"/>
      </w:pPr>
      <w:r>
        <w:t>10.7  Risk assessment and treatment process</w:t>
      </w:r>
    </w:p>
    <w:p>
      <w:pPr>
        <w:pStyle w:val="ListBullet"/>
        <w:spacing w:after="60"/>
        <w:ind w:left="340"/>
      </w:pPr>
      <w:r>
        <w:rPr>
          <w:rFonts w:ascii="Segoe UI" w:hAnsi="Segoe UI"/>
          <w:color w:val="1D3245"/>
          <w:sz w:val="20"/>
        </w:rPr>
        <w:t>Establish context - confirm objectives, criteria and the scope of the assessment before identifying risk.</w:t>
      </w:r>
    </w:p>
    <w:p>
      <w:pPr>
        <w:pStyle w:val="ListBullet"/>
        <w:spacing w:after="60"/>
        <w:ind w:left="340"/>
      </w:pPr>
      <w:r>
        <w:rPr>
          <w:rFonts w:ascii="Segoe UI" w:hAnsi="Segoe UI"/>
          <w:color w:val="1D3245"/>
          <w:sz w:val="20"/>
        </w:rPr>
        <w:t>Identify - through workshops, checklists, prior-project lessons, design reviews, contractor input and assurance findings. Risks are written as cause, event and consequence.</w:t>
      </w:r>
    </w:p>
    <w:p>
      <w:pPr>
        <w:pStyle w:val="ListBullet"/>
        <w:spacing w:after="60"/>
        <w:ind w:left="340"/>
      </w:pPr>
      <w:r>
        <w:rPr>
          <w:rFonts w:ascii="Segoe UI" w:hAnsi="Segoe UI"/>
          <w:color w:val="1D3245"/>
          <w:sz w:val="20"/>
        </w:rPr>
        <w:t>Analyse - assess inherent likelihood and consequence, identify existing controls, and test whether those controls are actually operating.</w:t>
      </w:r>
    </w:p>
    <w:p>
      <w:pPr>
        <w:pStyle w:val="ListBullet"/>
        <w:spacing w:after="60"/>
        <w:ind w:left="340"/>
      </w:pPr>
      <w:r>
        <w:rPr>
          <w:rFonts w:ascii="Segoe UI" w:hAnsi="Segoe UI"/>
          <w:color w:val="1D3245"/>
          <w:sz w:val="20"/>
        </w:rPr>
        <w:t>Evaluate - compare the residual rating against appetite and tolerance to decide whether treatment is required.</w:t>
      </w:r>
    </w:p>
    <w:p>
      <w:pPr>
        <w:pStyle w:val="ListBullet"/>
        <w:spacing w:after="60"/>
        <w:ind w:left="340"/>
      </w:pPr>
      <w:r>
        <w:rPr>
          <w:rFonts w:ascii="Segoe UI" w:hAnsi="Segoe UI"/>
          <w:color w:val="1D3245"/>
          <w:sz w:val="20"/>
        </w:rPr>
        <w:t>Treat - select from avoid, reduce (likelihood or consequence), transfer (contract or insurance), or accept with a documented rationale. Every treatment has an owner, a due date and a cost.</w:t>
      </w:r>
    </w:p>
    <w:p>
      <w:pPr>
        <w:pStyle w:val="ListBullet"/>
        <w:spacing w:after="60"/>
        <w:ind w:left="340"/>
      </w:pPr>
      <w:r>
        <w:rPr>
          <w:rFonts w:ascii="Segoe UI" w:hAnsi="Segoe UI"/>
          <w:color w:val="1D3245"/>
          <w:sz w:val="20"/>
        </w:rPr>
        <w:t>Monitor and review - at the cadence set by the rating, with the register audited quarterly for quality, not just currency.</w:t>
      </w:r>
    </w:p>
    <w:p>
      <w:pPr>
        <w:pStyle w:val="ListBullet"/>
        <w:spacing w:after="60"/>
        <w:ind w:left="340"/>
      </w:pPr>
      <w:r>
        <w:rPr>
          <w:rFonts w:ascii="Segoe UI" w:hAnsi="Segoe UI"/>
          <w:color w:val="1D3245"/>
          <w:sz w:val="20"/>
        </w:rPr>
        <w:t>Communicate and consult - risk is a standing item at every governance forum, and material risks are shared with the parties best placed to manage them.</w:t>
      </w:r>
    </w:p>
    <w:p>
      <w:pPr>
        <w:pStyle w:val="Heading2"/>
      </w:pPr>
      <w:r>
        <w:t>10.8  Risk register structure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835"/>
        <w:gridCol w:w="6577"/>
      </w:tblGrid>
      <w:tr>
        <w:trPr>
          <w:tblHeader w:val="true"/>
          <w:cantSplit w:val="true"/>
        </w:trPr>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Field</w:t>
            </w:r>
          </w:p>
        </w:tc>
        <w:tc>
          <w:tcPr>
            <w:tcW w:type="dxa" w:w="657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Content</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Risk ID and category</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Unique reference and risk breakdown structure category</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Risk description</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Cause → event → consequence, written so a reader outside the project understands it</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Date raised and raised by</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Traceability of origin</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Risk owner</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single person accountable for managing the risk - never a team</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Existing controls</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What is already in place and whether it is verified as effective</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Inherent likelihood, consequence and rating</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treatment</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Treatment strategy and actions</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Avoid / reduce / transfer / accept, with specific actions</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Action owner and due date</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One owner per action</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Treatment cost</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Cost of implementing the treatment</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Residual likelihood, consequence and rating</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After treatment is fully implemented</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Expected cost and time impact</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Probability × consequence, feeding quantitative analysis</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Proximity</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When the risk could realistically occur</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Status and trend</w:t>
            </w:r>
          </w:p>
        </w:tc>
        <w:tc>
          <w:tcPr>
            <w:tcW w:type="dxa" w:w="6576"/>
            <w:tcMar>
              <w:top w:w="40" w:type="dxa"/>
              <w:left w:w="110" w:type="dxa"/>
              <w:bottom w:w="40" w:type="dxa"/>
              <w:right w:w="110" w:type="dxa"/>
            </w:tcMar>
          </w:tcPr>
          <w:p>
            <w:pPr>
              <w:pStyle w:val="MasttTableCell"/>
              <w:spacing w:before="20" w:after="20"/>
            </w:pPr>
            <w:r/>
            <w:r>
              <w:rPr>
                <w:rFonts w:ascii="Segoe UI" w:hAnsi="Segoe UI"/>
                <w:color w:val="1D3245"/>
                <w:sz w:val="17"/>
              </w:rPr>
              <w:t>Open / treated / realised / closed; increasing, stable or decreasing</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Linked issue or change reference</w:t>
            </w:r>
          </w:p>
        </w:tc>
        <w:tc>
          <w:tcPr>
            <w:tcW w:type="dxa" w:w="65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Where a risk has been realised</w:t>
            </w:r>
          </w:p>
        </w:tc>
      </w:tr>
    </w:tbl>
    <w:p>
      <w:pPr>
        <w:rPr>
          <w:sz w:val="8"/>
        </w:rPr>
        <w:spacing w:after="40" w:before="0" w:line="240" w:lineRule="auto"/>
      </w:pPr>
    </w:p>
    <w:p>
      <w:pPr>
        <w:pStyle w:val="Heading2"/>
      </w:pPr>
      <w:r>
        <w:t>10.9  Quantitative risk analysis and contingency</w:t>
      </w:r>
    </w:p>
    <w:p>
      <w:pPr>
        <w:pStyle w:val="ListBullet"/>
        <w:spacing w:after="60"/>
        <w:ind w:left="340"/>
      </w:pPr>
      <w:r>
        <w:rPr>
          <w:rFonts w:ascii="Segoe UI" w:hAnsi="Segoe UI"/>
          <w:color w:val="1D3245"/>
          <w:sz w:val="20"/>
        </w:rPr>
        <w:t>Quantitative cost and schedule risk analysis is performed at the delivery gate, before contract award, and at least annually thereafter.</w:t>
      </w:r>
    </w:p>
    <w:p>
      <w:pPr>
        <w:pStyle w:val="ListBullet"/>
        <w:spacing w:after="60"/>
        <w:ind w:left="340"/>
      </w:pPr>
      <w:r>
        <w:rPr>
          <w:rFonts w:ascii="Segoe UI" w:hAnsi="Segoe UI"/>
          <w:color w:val="1D3245"/>
          <w:sz w:val="20"/>
        </w:rPr>
        <w:t>Modelling combines uncertainty ranges on base estimate elements with discrete risk events from the register, with correlation applied between related elements.</w:t>
      </w:r>
    </w:p>
    <w:p>
      <w:pPr>
        <w:pStyle w:val="ListBullet"/>
        <w:spacing w:after="60"/>
        <w:ind w:left="340"/>
      </w:pPr>
      <w:r>
        <w:rPr>
          <w:rFonts w:ascii="Segoe UI" w:hAnsi="Segoe UI"/>
          <w:color w:val="1D3245"/>
          <w:sz w:val="20"/>
        </w:rPr>
        <w:t>The output is a cumulative probability distribution; contingency is set at the confidence level directed by the client's policy - commonly P50 for the delivery contingency and P80 for the total investment envelope.</w:t>
      </w:r>
    </w:p>
    <w:p>
      <w:pPr>
        <w:pStyle w:val="ListBullet"/>
        <w:spacing w:after="60"/>
        <w:ind w:left="340"/>
      </w:pPr>
      <w:r>
        <w:rPr>
          <w:rFonts w:ascii="Segoe UI" w:hAnsi="Segoe UI"/>
          <w:color w:val="1D3245"/>
          <w:sz w:val="20"/>
        </w:rPr>
        <w:t>The tornado diagram identifies the small number of drivers that dominate the exposure; management attention is directed to those drivers.</w:t>
      </w:r>
    </w:p>
    <w:p>
      <w:pPr>
        <w:pStyle w:val="ListBullet"/>
        <w:spacing w:after="60"/>
        <w:ind w:left="340"/>
      </w:pPr>
      <w:r>
        <w:rPr>
          <w:rFonts w:ascii="Segoe UI" w:hAnsi="Segoe UI"/>
          <w:color w:val="1D3245"/>
          <w:sz w:val="20"/>
        </w:rPr>
        <w:t>Contingency adequacy is re-tested every time the residual exposure changes materially, and the result is reported alongside the drawdown position in Section 9.12.</w:t>
      </w:r>
    </w:p>
    <w:p>
      <w:pPr>
        <w:pStyle w:val="Heading2"/>
      </w:pPr>
      <w:r>
        <w:t>10.10  Escalation thresholds and review cadence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3969"/>
        <w:gridCol w:w="3062"/>
        <w:gridCol w:w="2381"/>
      </w:tblGrid>
      <w:tr>
        <w:trPr>
          <w:tblHeader w:val="true"/>
          <w:cantSplit w:val="true"/>
        </w:trPr>
        <w:tc>
          <w:tcPr>
            <w:tcW w:type="dxa" w:w="39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Trigger</w:t>
            </w:r>
          </w:p>
        </w:tc>
        <w:tc>
          <w:tcPr>
            <w:tcW w:type="dxa" w:w="30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Escalate to</w:t>
            </w:r>
          </w:p>
        </w:tc>
        <w:tc>
          <w:tcPr>
            <w:tcW w:type="dxa" w:w="23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Timeframe</w:t>
            </w:r>
          </w:p>
        </w:tc>
      </w:tr>
      <w:tr>
        <w:trPr>
          <w:cantSplit w:val="true"/>
        </w:trPr>
        <w:tc>
          <w:tcPr>
            <w:tcW w:type="dxa" w:w="3969"/>
            <w:tcMar>
              <w:top w:w="40" w:type="dxa"/>
              <w:left w:w="110" w:type="dxa"/>
              <w:bottom w:w="40" w:type="dxa"/>
              <w:right w:w="110" w:type="dxa"/>
            </w:tcMar>
          </w:tcPr>
          <w:p>
            <w:pPr>
              <w:pStyle w:val="MasttTableCell"/>
              <w:spacing w:before="20" w:after="20"/>
            </w:pPr>
            <w:r/>
            <w:r>
              <w:rPr>
                <w:rFonts w:ascii="Segoe UI" w:hAnsi="Segoe UI"/>
                <w:b/>
                <w:color w:val="1D3245"/>
                <w:sz w:val="17"/>
              </w:rPr>
              <w:t>Any new risk rated Extreme</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Sponsor and Project Board</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Within 2 working days</w:t>
            </w:r>
          </w:p>
        </w:tc>
      </w:tr>
      <w:tr>
        <w:trPr>
          <w:cantSplit w:val="true"/>
        </w:trPr>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Any risk rated High that increases in rating</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5 working days</w:t>
            </w:r>
          </w:p>
        </w:tc>
      </w:tr>
      <w:tr>
        <w:trPr>
          <w:cantSplit w:val="true"/>
        </w:trPr>
        <w:tc>
          <w:tcPr>
            <w:tcW w:type="dxa" w:w="3969"/>
            <w:tcMar>
              <w:top w:w="40" w:type="dxa"/>
              <w:left w:w="110" w:type="dxa"/>
              <w:bottom w:w="40" w:type="dxa"/>
              <w:right w:w="110" w:type="dxa"/>
            </w:tcMar>
          </w:tcPr>
          <w:p>
            <w:pPr>
              <w:pStyle w:val="MasttTableCell"/>
              <w:spacing w:before="20" w:after="20"/>
            </w:pPr>
            <w:r/>
            <w:r>
              <w:rPr>
                <w:rFonts w:ascii="Segoe UI" w:hAnsi="Segoe UI"/>
                <w:b/>
                <w:color w:val="1D3245"/>
                <w:sz w:val="17"/>
              </w:rPr>
              <w:t>Aggregate residual exposure exceeding remaining contingency</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At the next monthly report or immediately if material</w:t>
            </w:r>
          </w:p>
        </w:tc>
      </w:tr>
      <w:tr>
        <w:trPr>
          <w:cantSplit w:val="true"/>
        </w:trPr>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 risk realised with impact above the change authority limit</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Per Section 4.6</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Immediately</w:t>
            </w:r>
          </w:p>
        </w:tc>
      </w:tr>
      <w:tr>
        <w:trPr>
          <w:cantSplit w:val="true"/>
        </w:trPr>
        <w:tc>
          <w:tcPr>
            <w:tcW w:type="dxa" w:w="3969"/>
            <w:tcMar>
              <w:top w:w="40" w:type="dxa"/>
              <w:left w:w="110" w:type="dxa"/>
              <w:bottom w:w="40" w:type="dxa"/>
              <w:right w:w="110" w:type="dxa"/>
            </w:tcMar>
          </w:tcPr>
          <w:p>
            <w:pPr>
              <w:pStyle w:val="MasttTableCell"/>
              <w:spacing w:before="20" w:after="20"/>
            </w:pPr>
            <w:r/>
            <w:r>
              <w:rPr>
                <w:rFonts w:ascii="Segoe UI" w:hAnsi="Segoe UI"/>
                <w:b/>
                <w:color w:val="1D3245"/>
                <w:sz w:val="17"/>
              </w:rPr>
              <w:t>Any safety, environmental or compliance risk rated High or above</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HSE Manager and Project Director</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Immediately</w:t>
            </w:r>
          </w:p>
        </w:tc>
      </w:tr>
      <w:tr>
        <w:trPr>
          <w:cantSplit w:val="true"/>
        </w:trPr>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Treatment action overdue by more than 20 working days</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 then Project Director</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At the monthly review</w:t>
            </w:r>
          </w:p>
        </w:tc>
      </w:tr>
    </w:tbl>
    <w:p>
      <w:pPr>
        <w:rPr>
          <w:sz w:val="8"/>
        </w:rPr>
        <w:spacing w:after="40" w:before="0" w:line="240" w:lineRule="auto"/>
      </w:pPr>
    </w:p>
    <w:p>
      <w:pPr>
        <w:pStyle w:val="Heading2"/>
      </w:pPr>
      <w:r>
        <w:t>10.11  Opportunity management</w:t>
      </w:r>
    </w:p>
    <w:p>
      <w:pPr>
        <w:pStyle w:val="MasttBody"/>
      </w:pPr>
      <w:r>
        <w:t>Opportunities are recorded in the same register with a positive consequence scale and are managed through exploit, enhance, share or accept strategies. Realised opportunity value is reported separately and is not automatically absorbed into the forecast - the Sponsor decides whether it is returned, reinvested in scope, or held against risk.</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894"/>
        <w:gridCol w:w="2273"/>
        <w:gridCol w:w="1195"/>
        <w:gridCol w:w="1213"/>
        <w:gridCol w:w="1357"/>
        <w:gridCol w:w="1506"/>
        <w:gridCol w:w="975"/>
      </w:tblGrid>
      <w:tr>
        <w:trPr>
          <w:tblHeader w:val="true"/>
          <w:cantSplit w:val="true"/>
        </w:trPr>
        <w:tc>
          <w:tcPr>
            <w:tcW w:type="dxa" w:w="8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27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Opportunity</w:t>
            </w:r>
          </w:p>
        </w:tc>
        <w:tc>
          <w:tcPr>
            <w:tcW w:type="dxa" w:w="119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Strategy</w:t>
            </w:r>
          </w:p>
        </w:tc>
        <w:tc>
          <w:tcPr>
            <w:tcW w:type="dxa" w:w="13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Potential value</w:t>
            </w:r>
          </w:p>
        </w:tc>
        <w:tc>
          <w:tcPr>
            <w:tcW w:type="dxa" w:w="150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Action</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Status</w:t>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OPP-01</w:t>
            </w:r>
          </w:p>
        </w:tc>
        <w:tc>
          <w:tcPr>
            <w:tcW w:type="dxa" w:w="227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9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0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OPP-02</w:t>
            </w:r>
          </w:p>
        </w:tc>
        <w:tc>
          <w:tcPr>
            <w:tcW w:type="dxa" w:w="22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tcPr>
          <w:p>
            <w:pPr>
              <w:pStyle w:val="MasttTableCell"/>
              <w:spacing w:before="20" w:after="20"/>
            </w:pPr>
            <w:r/>
            <w:r>
              <w:rPr>
                <w:rFonts w:ascii="Segoe UI" w:hAnsi="Segoe UI"/>
                <w:b/>
                <w:color w:val="1D3245"/>
                <w:sz w:val="17"/>
              </w:rPr>
              <w:t>OPP-03</w:t>
            </w:r>
          </w:p>
        </w:tc>
        <w:tc>
          <w:tcPr>
            <w:tcW w:type="dxa" w:w="227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9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0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89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OPP-04</w:t>
            </w:r>
          </w:p>
        </w:tc>
        <w:tc>
          <w:tcPr>
            <w:tcW w:type="dxa" w:w="22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10.12  Insurance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Confirm who places each policy, who is named as insured, the sums insured, the deductibles and - critically - the period of cover, including the tail after practical completion. Insurance is not risk treatment; it is financial recovery after the risk has already damaged the project.</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187"/>
        <w:gridCol w:w="1213"/>
        <w:gridCol w:w="1624"/>
        <w:gridCol w:w="1525"/>
        <w:gridCol w:w="1451"/>
        <w:gridCol w:w="1411"/>
      </w:tblGrid>
      <w:tr>
        <w:trPr>
          <w:tblHeader w:val="true"/>
          <w:cantSplit w:val="true"/>
        </w:trPr>
        <w:tc>
          <w:tcPr>
            <w:tcW w:type="dxa" w:w="21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Policy</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Placed by</w:t>
            </w:r>
          </w:p>
        </w:tc>
        <w:tc>
          <w:tcPr>
            <w:tcW w:type="dxa" w:w="162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Insured parties</w:t>
            </w:r>
          </w:p>
        </w:tc>
        <w:tc>
          <w:tcPr>
            <w:tcW w:type="dxa" w:w="152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Sum insured / limit</w:t>
            </w:r>
          </w:p>
        </w:tc>
        <w:tc>
          <w:tcPr>
            <w:tcW w:type="dxa" w:w="145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Deductible</w:t>
            </w:r>
          </w:p>
        </w:tc>
        <w:tc>
          <w:tcPr>
            <w:tcW w:type="dxa" w:w="141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Period of cover</w:t>
            </w:r>
          </w:p>
        </w:tc>
      </w:tr>
      <w:tr>
        <w:trPr>
          <w:cantSplit w:val="true"/>
        </w:trPr>
        <w:tc>
          <w:tcPr>
            <w:tcW w:type="dxa" w:w="2187"/>
            <w:tcMar>
              <w:top w:w="40" w:type="dxa"/>
              <w:left w:w="110" w:type="dxa"/>
              <w:bottom w:w="40" w:type="dxa"/>
              <w:right w:w="110" w:type="dxa"/>
            </w:tcMar>
          </w:tcPr>
          <w:p>
            <w:pPr>
              <w:pStyle w:val="MasttTableCell"/>
              <w:spacing w:before="20" w:after="20"/>
            </w:pPr>
            <w:r/>
            <w:r>
              <w:rPr>
                <w:rFonts w:ascii="Segoe UI" w:hAnsi="Segoe UI"/>
                <w:b/>
                <w:color w:val="1D3245"/>
                <w:sz w:val="17"/>
              </w:rPr>
              <w:t>Contract works / construction all risks</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Public and products liability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tcPr>
          <w:p>
            <w:pPr>
              <w:pStyle w:val="MasttTableCell"/>
              <w:spacing w:before="20" w:after="20"/>
            </w:pPr>
            <w:r/>
            <w:r>
              <w:rPr>
                <w:rFonts w:ascii="Segoe UI" w:hAnsi="Segoe UI"/>
                <w:b/>
                <w:color w:val="1D3245"/>
                <w:sz w:val="17"/>
              </w:rPr>
              <w:t>Professional indemnity (design)</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Workers compensation / employers liability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tcPr>
          <w:p>
            <w:pPr>
              <w:pStyle w:val="MasttTableCell"/>
              <w:spacing w:before="20" w:after="20"/>
            </w:pPr>
            <w:r/>
            <w:r>
              <w:rPr>
                <w:rFonts w:ascii="Segoe UI" w:hAnsi="Segoe UI"/>
                <w:b/>
                <w:color w:val="1D3245"/>
                <w:sz w:val="17"/>
              </w:rPr>
              <w:t>Plant and equipment</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Marine and transit</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tcPr>
          <w:p>
            <w:pPr>
              <w:pStyle w:val="MasttTableCell"/>
              <w:spacing w:before="20" w:after="20"/>
            </w:pPr>
            <w:r/>
            <w:r>
              <w:rPr>
                <w:rFonts w:ascii="Segoe UI" w:hAnsi="Segoe UI"/>
                <w:b/>
                <w:color w:val="1D3245"/>
                <w:sz w:val="17"/>
              </w:rPr>
              <w:t>Delay in start-up / advance loss of profits</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Environmental impairment liability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tcPr>
          <w:p>
            <w:pPr>
              <w:pStyle w:val="MasttTableCell"/>
              <w:spacing w:before="20" w:after="20"/>
            </w:pPr>
            <w:r/>
            <w:r>
              <w:rPr>
                <w:rFonts w:ascii="Segoe UI" w:hAnsi="Segoe UI"/>
                <w:b/>
                <w:color w:val="1D3245"/>
                <w:sz w:val="17"/>
              </w:rPr>
              <w:t>Latent defects / decennial (if applicable)</w:t>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18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Cyber liability</w:t>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6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2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11.  Quality management</w:t>
      </w:r>
    </w:p>
    <w:p>
      <w:pPr>
        <w:pStyle w:val="Heading2"/>
      </w:pPr>
      <w:r>
        <w:t>11.1  Quality policy and objectives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Quality on a construction project means one thing: what is built matches what was specified, and there is evidence to prove it. State the objectives in terms of verifiable outcomes - closed ITPs, zero open non-conformances at completion, first-time pass rates - not aspirations about excellence.</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3969"/>
        <w:gridCol w:w="3515"/>
        <w:gridCol w:w="1928"/>
      </w:tblGrid>
      <w:tr>
        <w:trPr>
          <w:tblHeader w:val="true"/>
          <w:cantSplit w:val="true"/>
        </w:trPr>
        <w:tc>
          <w:tcPr>
            <w:tcW w:type="dxa" w:w="39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Quality objective</w:t>
            </w:r>
          </w:p>
        </w:tc>
        <w:tc>
          <w:tcPr>
            <w:tcW w:type="dxa" w:w="35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Measure</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w:t>
            </w:r>
          </w:p>
        </w:tc>
      </w:tr>
      <w:tr>
        <w:trPr>
          <w:cantSplit w:val="true"/>
        </w:trPr>
        <w:tc>
          <w:tcPr>
            <w:tcW w:type="dxa" w:w="3969"/>
            <w:tcMar>
              <w:top w:w="40" w:type="dxa"/>
              <w:left w:w="110" w:type="dxa"/>
              <w:bottom w:w="40" w:type="dxa"/>
              <w:right w:w="110" w:type="dxa"/>
            </w:tcMar>
          </w:tcPr>
          <w:p>
            <w:pPr>
              <w:pStyle w:val="MasttTableCell"/>
              <w:spacing w:before="20" w:after="20"/>
            </w:pPr>
            <w:r/>
            <w:r>
              <w:rPr>
                <w:rFonts w:ascii="Segoe UI" w:hAnsi="Segoe UI"/>
                <w:b/>
                <w:color w:val="1D3245"/>
                <w:sz w:val="17"/>
              </w:rPr>
              <w:t>Work conforms to specification first time</w:t>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t>First-time inspection pass rate</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≥95%</w:t>
            </w:r>
          </w:p>
        </w:tc>
      </w:tr>
      <w:tr>
        <w:trPr>
          <w:cantSplit w:val="true"/>
        </w:trPr>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Non-conformances are closed promptly</w:t>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NCRs open beyond 20 working days</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0</w:t>
            </w:r>
          </w:p>
        </w:tc>
      </w:tr>
      <w:tr>
        <w:trPr>
          <w:cantSplit w:val="true"/>
        </w:trPr>
        <w:tc>
          <w:tcPr>
            <w:tcW w:type="dxa" w:w="3969"/>
            <w:tcMar>
              <w:top w:w="40" w:type="dxa"/>
              <w:left w:w="110" w:type="dxa"/>
              <w:bottom w:w="40" w:type="dxa"/>
              <w:right w:w="110" w:type="dxa"/>
            </w:tcMar>
          </w:tcPr>
          <w:p>
            <w:pPr>
              <w:pStyle w:val="MasttTableCell"/>
              <w:spacing w:before="20" w:after="20"/>
            </w:pPr>
            <w:r/>
            <w:r>
              <w:rPr>
                <w:rFonts w:ascii="Segoe UI" w:hAnsi="Segoe UI"/>
                <w:b/>
                <w:color w:val="1D3245"/>
                <w:sz w:val="17"/>
              </w:rPr>
              <w:t>No defective work is concealed</w:t>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t>Hold points released before cover-up</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100%</w:t>
            </w:r>
          </w:p>
        </w:tc>
      </w:tr>
      <w:tr>
        <w:trPr>
          <w:cantSplit w:val="true"/>
        </w:trPr>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Handover is clean</w:t>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Category A defects open at practical completion</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0</w:t>
            </w:r>
          </w:p>
        </w:tc>
      </w:tr>
      <w:tr>
        <w:trPr>
          <w:cantSplit w:val="true"/>
        </w:trPr>
        <w:tc>
          <w:tcPr>
            <w:tcW w:type="dxa" w:w="3969"/>
            <w:tcMar>
              <w:top w:w="40" w:type="dxa"/>
              <w:left w:w="110" w:type="dxa"/>
              <w:bottom w:w="40" w:type="dxa"/>
              <w:right w:w="110" w:type="dxa"/>
            </w:tcMar>
          </w:tcPr>
          <w:p>
            <w:pPr>
              <w:pStyle w:val="MasttTableCell"/>
              <w:spacing w:before="20" w:after="20"/>
            </w:pPr>
            <w:r/>
            <w:r>
              <w:rPr>
                <w:rFonts w:ascii="Segoe UI" w:hAnsi="Segoe UI"/>
                <w:b/>
                <w:color w:val="1D3245"/>
                <w:sz w:val="17"/>
              </w:rPr>
              <w:t>Materials are as specified</w:t>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t>Approved material submissions before order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100%</w:t>
            </w:r>
          </w:p>
        </w:tc>
      </w:tr>
      <w:tr>
        <w:trPr>
          <w:cantSplit w:val="true"/>
        </w:trPr>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Records are complete</w:t>
            </w:r>
          </w:p>
        </w:tc>
        <w:tc>
          <w:tcPr>
            <w:tcW w:type="dxa" w:w="3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ITP and test records available at handover</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100%</w:t>
            </w:r>
          </w:p>
        </w:tc>
      </w:tr>
      <w:tr>
        <w:trPr>
          <w:cantSplit w:val="true"/>
        </w:trPr>
        <w:tc>
          <w:tcPr>
            <w:tcW w:type="dxa" w:w="3969"/>
            <w:tcMar>
              <w:top w:w="40" w:type="dxa"/>
              <w:left w:w="110" w:type="dxa"/>
              <w:bottom w:w="40" w:type="dxa"/>
              <w:right w:w="110" w:type="dxa"/>
            </w:tcMar>
          </w:tcPr>
          <w:p>
            <w:pPr>
              <w:pStyle w:val="MasttTableCell"/>
              <w:spacing w:before="20" w:after="20"/>
            </w:pPr>
            <w:r/>
            <w:r>
              <w:rPr>
                <w:rFonts w:ascii="Segoe UI" w:hAnsi="Segoe UI"/>
                <w:b/>
                <w:color w:val="1D3245"/>
                <w:sz w:val="17"/>
              </w:rPr>
              <w:t>Repeat defects are eliminated</w:t>
            </w:r>
          </w:p>
        </w:tc>
        <w:tc>
          <w:tcPr>
            <w:tcW w:type="dxa" w:w="3515"/>
            <w:tcMar>
              <w:top w:w="40" w:type="dxa"/>
              <w:left w:w="110" w:type="dxa"/>
              <w:bottom w:w="40" w:type="dxa"/>
              <w:right w:w="110" w:type="dxa"/>
            </w:tcMar>
          </w:tcPr>
          <w:p>
            <w:pPr>
              <w:pStyle w:val="MasttTableCell"/>
              <w:spacing w:before="20" w:after="20"/>
            </w:pPr>
            <w:r/>
            <w:r>
              <w:rPr>
                <w:rFonts w:ascii="Segoe UI" w:hAnsi="Segoe UI"/>
                <w:color w:val="1D3245"/>
                <w:sz w:val="17"/>
              </w:rPr>
              <w:t>Recurring NCRs of the same cause</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0</w:t>
            </w:r>
          </w:p>
        </w:tc>
      </w:tr>
    </w:tbl>
    <w:p>
      <w:pPr>
        <w:rPr>
          <w:sz w:val="8"/>
        </w:rPr>
        <w:spacing w:after="40" w:before="0" w:line="240" w:lineRule="auto"/>
      </w:pPr>
    </w:p>
    <w:p>
      <w:pPr>
        <w:pStyle w:val="Heading2"/>
      </w:pPr>
      <w:r>
        <w:t>11.2  Quality management system alignment</w:t>
      </w:r>
    </w:p>
    <w:p>
      <w:pPr>
        <w:pStyle w:val="MasttBody"/>
      </w:pPr>
      <w:r>
        <w:t>The project quality system aligns to ISO 9001 principles and to the client's quality framework. Every consultant, contractor and significant supplier maintains a quality management system that is reviewed and accepted before mobilisation, and a project-specific quality plan that is accepted before the commencement of their work.</w:t>
      </w:r>
    </w:p>
    <w:p>
      <w:pPr>
        <w:pStyle w:val="ListBullet"/>
        <w:spacing w:after="60"/>
        <w:ind w:left="340"/>
      </w:pPr>
      <w:r>
        <w:rPr>
          <w:rFonts w:ascii="Segoe UI" w:hAnsi="Segoe UI"/>
          <w:color w:val="1D3245"/>
          <w:sz w:val="20"/>
        </w:rPr>
        <w:t>Contractor and consultant quality plans are submitted within 20 working days of award and accepted before work begins.</w:t>
      </w:r>
    </w:p>
    <w:p>
      <w:pPr>
        <w:pStyle w:val="ListBullet"/>
        <w:spacing w:after="60"/>
        <w:ind w:left="340"/>
      </w:pPr>
      <w:r>
        <w:rPr>
          <w:rFonts w:ascii="Segoe UI" w:hAnsi="Segoe UI"/>
          <w:color w:val="1D3245"/>
          <w:sz w:val="20"/>
        </w:rPr>
        <w:t>Acceptance of a quality plan does not transfer responsibility for quality to the client.</w:t>
      </w:r>
    </w:p>
    <w:p>
      <w:pPr>
        <w:pStyle w:val="ListBullet"/>
        <w:spacing w:after="60"/>
        <w:ind w:left="340"/>
      </w:pPr>
      <w:r>
        <w:rPr>
          <w:rFonts w:ascii="Segoe UI" w:hAnsi="Segoe UI"/>
          <w:color w:val="1D3245"/>
          <w:sz w:val="20"/>
        </w:rPr>
        <w:t>Quality requirements flow down to every tier of the supply chain.</w:t>
      </w:r>
    </w:p>
    <w:p>
      <w:pPr>
        <w:pStyle w:val="ListBullet"/>
        <w:spacing w:after="60"/>
        <w:ind w:left="340"/>
      </w:pPr>
      <w:r>
        <w:rPr>
          <w:rFonts w:ascii="Segoe UI" w:hAnsi="Segoe UI"/>
          <w:color w:val="1D3245"/>
          <w:sz w:val="20"/>
        </w:rPr>
        <w:t>The client reserves the right to audit any party's quality system at any time.</w:t>
      </w:r>
    </w:p>
    <w:p>
      <w:pPr>
        <w:pStyle w:val="Heading2"/>
      </w:pPr>
      <w:r>
        <w:t>11.3  Quality planning</w:t>
      </w:r>
    </w:p>
    <w:p>
      <w:pPr>
        <w:pStyle w:val="ListBullet"/>
        <w:spacing w:after="60"/>
        <w:ind w:left="340"/>
      </w:pPr>
      <w:r>
        <w:rPr>
          <w:rFonts w:ascii="Segoe UI" w:hAnsi="Segoe UI"/>
          <w:color w:val="1D3245"/>
          <w:sz w:val="20"/>
        </w:rPr>
        <w:t>Quality requirements are established at design stage through the specification, and are testable - a requirement that cannot be verified is rewritten.</w:t>
      </w:r>
    </w:p>
    <w:p>
      <w:pPr>
        <w:pStyle w:val="ListBullet"/>
        <w:spacing w:after="60"/>
        <w:ind w:left="340"/>
      </w:pPr>
      <w:r>
        <w:rPr>
          <w:rFonts w:ascii="Segoe UI" w:hAnsi="Segoe UI"/>
          <w:color w:val="1D3245"/>
          <w:sz w:val="20"/>
        </w:rPr>
        <w:t>Critical quality characteristics are identified for each element and are the focus of inspection and testing effort.</w:t>
      </w:r>
    </w:p>
    <w:p>
      <w:pPr>
        <w:pStyle w:val="ListBullet"/>
        <w:spacing w:after="60"/>
        <w:ind w:left="340"/>
      </w:pPr>
      <w:r>
        <w:rPr>
          <w:rFonts w:ascii="Segoe UI" w:hAnsi="Segoe UI"/>
          <w:color w:val="1D3245"/>
          <w:sz w:val="20"/>
        </w:rPr>
        <w:t>Quality risk is assessed alongside project risk: new methods, new materials, unfamiliar suppliers and concealed work all warrant increased surveillance.</w:t>
      </w:r>
    </w:p>
    <w:p>
      <w:pPr>
        <w:pStyle w:val="Heading2"/>
      </w:pPr>
      <w:r>
        <w:t>11.4  Inspection and test plans</w:t>
      </w:r>
    </w:p>
    <w:p>
      <w:pPr>
        <w:pStyle w:val="MasttBody"/>
      </w:pPr>
      <w:r>
        <w:t>An inspection and test plan (ITP) is prepared for every work activity where conformance must be demonstrated. The ITP is the sequenced record of what is inspected, against what criterion, by whom, with what evidence, and at what verification level.</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95"/>
        <w:gridCol w:w="6917"/>
      </w:tblGrid>
      <w:tr>
        <w:trPr>
          <w:tblHeader w:val="true"/>
          <w:cantSplit w:val="true"/>
        </w:trPr>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ITP field</w:t>
            </w:r>
          </w:p>
        </w:tc>
        <w:tc>
          <w:tcPr>
            <w:tcW w:type="dxa" w:w="691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Requirement</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Activity and reference</w:t>
            </w:r>
          </w:p>
        </w:tc>
        <w:tc>
          <w:tcPr>
            <w:tcW w:type="dxa" w:w="6917"/>
            <w:tcMar>
              <w:top w:w="40" w:type="dxa"/>
              <w:left w:w="110" w:type="dxa"/>
              <w:bottom w:w="40" w:type="dxa"/>
              <w:right w:w="110" w:type="dxa"/>
            </w:tcMar>
          </w:tcPr>
          <w:p>
            <w:pPr>
              <w:pStyle w:val="MasttTableCell"/>
              <w:spacing w:before="20" w:after="20"/>
            </w:pPr>
            <w:r/>
            <w:r>
              <w:rPr>
                <w:rFonts w:ascii="Segoe UI" w:hAnsi="Segoe UI"/>
                <w:color w:val="1D3245"/>
                <w:sz w:val="17"/>
              </w:rPr>
              <w:t>Unique ITP number tied to the WBS and specification clause</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Inspection or test step</w:t>
            </w:r>
          </w:p>
        </w:tc>
        <w:tc>
          <w:tcPr>
            <w:tcW w:type="dxa" w:w="69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Sequenced, matching the construction method</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Acceptance criteria</w:t>
            </w:r>
          </w:p>
        </w:tc>
        <w:tc>
          <w:tcPr>
            <w:tcW w:type="dxa" w:w="6917"/>
            <w:tcMar>
              <w:top w:w="40" w:type="dxa"/>
              <w:left w:w="110" w:type="dxa"/>
              <w:bottom w:w="40" w:type="dxa"/>
              <w:right w:w="110" w:type="dxa"/>
            </w:tcMar>
          </w:tcPr>
          <w:p>
            <w:pPr>
              <w:pStyle w:val="MasttTableCell"/>
              <w:spacing w:before="20" w:after="20"/>
            </w:pPr>
            <w:r/>
            <w:r>
              <w:rPr>
                <w:rFonts w:ascii="Segoe UI" w:hAnsi="Segoe UI"/>
                <w:color w:val="1D3245"/>
                <w:sz w:val="17"/>
              </w:rPr>
              <w:t>The specification clause, standard or drawing reference and the numeric tolerance</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Verification level</w:t>
            </w:r>
          </w:p>
        </w:tc>
        <w:tc>
          <w:tcPr>
            <w:tcW w:type="dxa" w:w="69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Hold point (H), witness point (W), surveillance (S) or review of records (R)</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Responsible party</w:t>
            </w:r>
          </w:p>
        </w:tc>
        <w:tc>
          <w:tcPr>
            <w:tcW w:type="dxa" w:w="6917"/>
            <w:tcMar>
              <w:top w:w="40" w:type="dxa"/>
              <w:left w:w="110" w:type="dxa"/>
              <w:bottom w:w="40" w:type="dxa"/>
              <w:right w:w="110" w:type="dxa"/>
            </w:tcMar>
          </w:tcPr>
          <w:p>
            <w:pPr>
              <w:pStyle w:val="MasttTableCell"/>
              <w:spacing w:before="20" w:after="20"/>
            </w:pPr>
            <w:r/>
            <w:r>
              <w:rPr>
                <w:rFonts w:ascii="Segoe UI" w:hAnsi="Segoe UI"/>
                <w:color w:val="1D3245"/>
                <w:sz w:val="17"/>
              </w:rPr>
              <w:t>Who performs the inspection or test</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Verifying party</w:t>
            </w:r>
          </w:p>
        </w:tc>
        <w:tc>
          <w:tcPr>
            <w:tcW w:type="dxa" w:w="69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 client, designer, certifier or independent testing authority</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Record / evidence</w:t>
            </w:r>
          </w:p>
        </w:tc>
        <w:tc>
          <w:tcPr>
            <w:tcW w:type="dxa" w:w="6917"/>
            <w:tcMar>
              <w:top w:w="40" w:type="dxa"/>
              <w:left w:w="110" w:type="dxa"/>
              <w:bottom w:w="40" w:type="dxa"/>
              <w:right w:w="110" w:type="dxa"/>
            </w:tcMar>
          </w:tcPr>
          <w:p>
            <w:pPr>
              <w:pStyle w:val="MasttTableCell"/>
              <w:spacing w:before="20" w:after="20"/>
            </w:pPr>
            <w:r/>
            <w:r>
              <w:rPr>
                <w:rFonts w:ascii="Segoe UI" w:hAnsi="Segoe UI"/>
                <w:color w:val="1D3245"/>
                <w:sz w:val="17"/>
              </w:rPr>
              <w:t>Checksheet, test certificate, survey, photograph, calibration record</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Sign-off</w:t>
            </w:r>
          </w:p>
        </w:tc>
        <w:tc>
          <w:tcPr>
            <w:tcW w:type="dxa" w:w="69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Name, signature and date of each party at each point</w:t>
            </w:r>
          </w:p>
        </w:tc>
      </w:tr>
    </w:tbl>
    <w:p>
      <w:pPr>
        <w:rPr>
          <w:sz w:val="8"/>
        </w:rPr>
        <w:spacing w:after="40" w:before="0" w:line="240" w:lineRule="auto"/>
      </w:pPr>
    </w:p>
    <w:p>
      <w:pPr>
        <w:pStyle w:val="Heading2"/>
      </w:pPr>
      <w:r>
        <w:t>11.5  Hold and witness points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526"/>
        <w:gridCol w:w="3599"/>
        <w:gridCol w:w="1806"/>
        <w:gridCol w:w="2482"/>
      </w:tblGrid>
      <w:tr>
        <w:trPr>
          <w:tblHeader w:val="true"/>
          <w:cantSplit w:val="true"/>
        </w:trPr>
        <w:tc>
          <w:tcPr>
            <w:tcW w:type="dxa" w:w="152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Type</w:t>
            </w:r>
          </w:p>
        </w:tc>
        <w:tc>
          <w:tcPr>
            <w:tcW w:type="dxa" w:w="359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c>
          <w:tcPr>
            <w:tcW w:type="dxa" w:w="180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Notice period</w:t>
            </w:r>
          </w:p>
        </w:tc>
        <w:tc>
          <w:tcPr>
            <w:tcW w:type="dxa" w:w="24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Consequence of proceeding without release</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Hold point (H)</w:t>
            </w:r>
          </w:p>
        </w:tc>
        <w:tc>
          <w:tcPr>
            <w:tcW w:type="dxa" w:w="3598"/>
            <w:tcMar>
              <w:top w:w="40" w:type="dxa"/>
              <w:left w:w="110" w:type="dxa"/>
              <w:bottom w:w="40" w:type="dxa"/>
              <w:right w:w="110" w:type="dxa"/>
            </w:tcMar>
          </w:tcPr>
          <w:p>
            <w:pPr>
              <w:pStyle w:val="MasttTableCell"/>
              <w:spacing w:before="20" w:after="20"/>
            </w:pPr>
            <w:r/>
            <w:r>
              <w:rPr>
                <w:rFonts w:ascii="Segoe UI" w:hAnsi="Segoe UI"/>
                <w:color w:val="1D3245"/>
                <w:sz w:val="17"/>
              </w:rPr>
              <w:t>Work must not proceed past this point until the nominated party has inspected and released it in writing</w:t>
            </w:r>
          </w:p>
        </w:tc>
        <w:tc>
          <w:tcPr>
            <w:tcW w:type="dxa" w:w="1806"/>
            <w:tcMar>
              <w:top w:w="40" w:type="dxa"/>
              <w:left w:w="110" w:type="dxa"/>
              <w:bottom w:w="40" w:type="dxa"/>
              <w:right w:w="110" w:type="dxa"/>
            </w:tcMar>
          </w:tcPr>
          <w:p>
            <w:pPr>
              <w:pStyle w:val="MasttTableCell"/>
              <w:spacing w:before="20" w:after="20"/>
            </w:pPr>
            <w:r/>
            <w:r>
              <w:rPr>
                <w:rFonts w:ascii="Segoe UI" w:hAnsi="Segoe UI"/>
                <w:color w:val="1D3245"/>
                <w:sz w:val="17"/>
              </w:rPr>
              <w:t>Minimum 48 hours' written notice</w:t>
            </w:r>
          </w:p>
        </w:tc>
        <w:tc>
          <w:tcPr>
            <w:tcW w:type="dxa" w:w="2481"/>
            <w:tcMar>
              <w:top w:w="40" w:type="dxa"/>
              <w:left w:w="110" w:type="dxa"/>
              <w:bottom w:w="40" w:type="dxa"/>
              <w:right w:w="110" w:type="dxa"/>
            </w:tcMar>
          </w:tcPr>
          <w:p>
            <w:pPr>
              <w:pStyle w:val="MasttTableCell"/>
              <w:spacing w:before="20" w:after="20"/>
            </w:pPr>
            <w:r/>
            <w:r>
              <w:rPr>
                <w:rFonts w:ascii="Segoe UI" w:hAnsi="Segoe UI"/>
                <w:color w:val="1D3245"/>
                <w:sz w:val="17"/>
              </w:rPr>
              <w:t>Work is opened up at the contractor's cost; NCR raised</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Witness point (W)</w:t>
            </w:r>
          </w:p>
        </w:tc>
        <w:tc>
          <w:tcPr>
            <w:tcW w:type="dxa" w:w="35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nominated party is entitled to attend; work may proceed if they do not attend within the notice period</w:t>
            </w:r>
          </w:p>
        </w:tc>
        <w:tc>
          <w:tcPr>
            <w:tcW w:type="dxa" w:w="18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Minimum 24 hours' written notice</w:t>
            </w:r>
          </w:p>
        </w:tc>
        <w:tc>
          <w:tcPr>
            <w:tcW w:type="dxa" w:w="24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Work may proceed; attendance waived and recorded</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Surveillance (S)</w:t>
            </w:r>
          </w:p>
        </w:tc>
        <w:tc>
          <w:tcPr>
            <w:tcW w:type="dxa" w:w="3598"/>
            <w:tcMar>
              <w:top w:w="40" w:type="dxa"/>
              <w:left w:w="110" w:type="dxa"/>
              <w:bottom w:w="40" w:type="dxa"/>
              <w:right w:w="110" w:type="dxa"/>
            </w:tcMar>
          </w:tcPr>
          <w:p>
            <w:pPr>
              <w:pStyle w:val="MasttTableCell"/>
              <w:spacing w:before="20" w:after="20"/>
            </w:pPr>
            <w:r/>
            <w:r>
              <w:rPr>
                <w:rFonts w:ascii="Segoe UI" w:hAnsi="Segoe UI"/>
                <w:color w:val="1D3245"/>
                <w:sz w:val="17"/>
              </w:rPr>
              <w:t>Random or planned monitoring without a mandatory stop</w:t>
            </w:r>
          </w:p>
        </w:tc>
        <w:tc>
          <w:tcPr>
            <w:tcW w:type="dxa" w:w="1806"/>
            <w:tcMar>
              <w:top w:w="40" w:type="dxa"/>
              <w:left w:w="110" w:type="dxa"/>
              <w:bottom w:w="40" w:type="dxa"/>
              <w:right w:w="110" w:type="dxa"/>
            </w:tcMar>
          </w:tcPr>
          <w:p>
            <w:pPr>
              <w:pStyle w:val="MasttTableCell"/>
              <w:spacing w:before="20" w:after="20"/>
            </w:pPr>
            <w:r/>
            <w:r>
              <w:rPr>
                <w:rFonts w:ascii="Segoe UI" w:hAnsi="Segoe UI"/>
                <w:color w:val="1D3245"/>
                <w:sz w:val="17"/>
              </w:rPr>
              <w:t>No notice required</w:t>
            </w:r>
          </w:p>
        </w:tc>
        <w:tc>
          <w:tcPr>
            <w:tcW w:type="dxa" w:w="2481"/>
            <w:tcMar>
              <w:top w:w="40" w:type="dxa"/>
              <w:left w:w="110" w:type="dxa"/>
              <w:bottom w:w="40" w:type="dxa"/>
              <w:right w:w="110" w:type="dxa"/>
            </w:tcMar>
          </w:tcPr>
          <w:p>
            <w:pPr>
              <w:pStyle w:val="MasttTableCell"/>
              <w:spacing w:before="20" w:after="20"/>
            </w:pPr>
            <w:r/>
            <w:r>
              <w:rPr>
                <w:rFonts w:ascii="Segoe UI" w:hAnsi="Segoe UI"/>
                <w:color w:val="1D3245"/>
                <w:sz w:val="17"/>
              </w:rPr>
              <w:t>Not applicable</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Review of records (R)</w:t>
            </w:r>
          </w:p>
        </w:tc>
        <w:tc>
          <w:tcPr>
            <w:tcW w:type="dxa" w:w="359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Verification by examination of documentation</w:t>
            </w:r>
          </w:p>
        </w:tc>
        <w:tc>
          <w:tcPr>
            <w:tcW w:type="dxa" w:w="18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 submission</w:t>
            </w:r>
          </w:p>
        </w:tc>
        <w:tc>
          <w:tcPr>
            <w:tcW w:type="dxa" w:w="24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Deliverable not accepted</w:t>
            </w:r>
          </w:p>
        </w:tc>
      </w:tr>
    </w:tbl>
    <w:p>
      <w:pPr>
        <w:rPr>
          <w:sz w:val="8"/>
        </w:rPr>
        <w:spacing w:after="40" w:before="0" w:line="240" w:lineRule="auto"/>
      </w:pPr>
    </w:p>
    <w:p>
      <w:pPr>
        <w:pStyle w:val="MasttBody"/>
      </w:pPr>
      <w:r>
        <w:t>Typical mandatory hold points include: foundation excavation before pour; reinforcement before concealment; waterproofing before covering; structural connections before encasement; fire-stopping before ceiling closure; services before concealment; and any safety-critical element identified in the design risk register.</w:t>
      </w:r>
    </w:p>
    <w:p>
      <w:pPr>
        <w:pStyle w:val="Heading2"/>
      </w:pPr>
      <w:r>
        <w:t>11.6  ITP approval process</w:t>
      </w:r>
    </w:p>
    <w:p>
      <w:pPr>
        <w:pStyle w:val="ListBullet"/>
        <w:spacing w:after="60"/>
        <w:ind w:left="340"/>
      </w:pPr>
      <w:r>
        <w:rPr>
          <w:rFonts w:ascii="Segoe UI" w:hAnsi="Segoe UI"/>
          <w:color w:val="1D3245"/>
          <w:sz w:val="20"/>
        </w:rPr>
        <w:t>ITPs are submitted at least 15 working days before the affected work begins.</w:t>
      </w:r>
    </w:p>
    <w:p>
      <w:pPr>
        <w:pStyle w:val="ListBullet"/>
        <w:spacing w:after="60"/>
        <w:ind w:left="340"/>
      </w:pPr>
      <w:r>
        <w:rPr>
          <w:rFonts w:ascii="Segoe UI" w:hAnsi="Segoe UI"/>
          <w:color w:val="1D3245"/>
          <w:sz w:val="20"/>
        </w:rPr>
        <w:t>The Quality Manager reviews for completeness, correct acceptance criteria and appropriate verification levels; the designer confirms the criteria where the element is design-critical.</w:t>
      </w:r>
    </w:p>
    <w:p>
      <w:pPr>
        <w:pStyle w:val="ListBullet"/>
        <w:spacing w:after="60"/>
        <w:ind w:left="340"/>
      </w:pPr>
      <w:r>
        <w:rPr>
          <w:rFonts w:ascii="Segoe UI" w:hAnsi="Segoe UI"/>
          <w:color w:val="1D3245"/>
          <w:sz w:val="20"/>
        </w:rPr>
        <w:t>The client inserts its own hold and witness points before acceptance.</w:t>
      </w:r>
    </w:p>
    <w:p>
      <w:pPr>
        <w:pStyle w:val="ListBullet"/>
        <w:spacing w:after="60"/>
        <w:ind w:left="340"/>
      </w:pPr>
      <w:r>
        <w:rPr>
          <w:rFonts w:ascii="Segoe UI" w:hAnsi="Segoe UI"/>
          <w:color w:val="1D3245"/>
          <w:sz w:val="20"/>
        </w:rPr>
        <w:t>No work covered by an ITP starts until the ITP is accepted.</w:t>
      </w:r>
    </w:p>
    <w:p>
      <w:pPr>
        <w:pStyle w:val="ListBullet"/>
        <w:spacing w:after="60"/>
        <w:ind w:left="340"/>
      </w:pPr>
      <w:r>
        <w:rPr>
          <w:rFonts w:ascii="Segoe UI" w:hAnsi="Segoe UI"/>
          <w:color w:val="1D3245"/>
          <w:sz w:val="20"/>
        </w:rPr>
        <w:t>Signed ITPs are lodged in the common data environment progressively - not at completion - and form part of the handover record.</w:t>
      </w:r>
    </w:p>
    <w:p>
      <w:pPr>
        <w:pStyle w:val="Heading2"/>
      </w:pPr>
      <w:r>
        <w:t>11.7  Non-conformance and corrective action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420"/>
        <w:gridCol w:w="4038"/>
        <w:gridCol w:w="1922"/>
        <w:gridCol w:w="2033"/>
      </w:tblGrid>
      <w:tr>
        <w:trPr>
          <w:tblHeader w:val="true"/>
          <w:cantSplit w:val="true"/>
        </w:trPr>
        <w:tc>
          <w:tcPr>
            <w:tcW w:type="dxa" w:w="142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Step</w:t>
            </w:r>
          </w:p>
        </w:tc>
        <w:tc>
          <w:tcPr>
            <w:tcW w:type="dxa" w:w="40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Action</w:t>
            </w:r>
          </w:p>
        </w:tc>
        <w:tc>
          <w:tcPr>
            <w:tcW w:type="dxa" w:w="19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20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Timeframe</w:t>
            </w:r>
          </w:p>
        </w:tc>
      </w:tr>
      <w:tr>
        <w:trPr>
          <w:cantSplit w:val="true"/>
        </w:trPr>
        <w:tc>
          <w:tcPr>
            <w:tcW w:type="dxa" w:w="1420"/>
            <w:tcMar>
              <w:top w:w="40" w:type="dxa"/>
              <w:left w:w="110" w:type="dxa"/>
              <w:bottom w:w="40" w:type="dxa"/>
              <w:right w:w="110" w:type="dxa"/>
            </w:tcMar>
          </w:tcPr>
          <w:p>
            <w:pPr>
              <w:pStyle w:val="MasttTableCell"/>
              <w:spacing w:before="20" w:after="20"/>
            </w:pPr>
            <w:r/>
            <w:r>
              <w:rPr>
                <w:rFonts w:ascii="Segoe UI" w:hAnsi="Segoe UI"/>
                <w:b/>
                <w:color w:val="1D3245"/>
                <w:sz w:val="17"/>
              </w:rPr>
              <w:t>1 Identify</w:t>
            </w:r>
          </w:p>
        </w:tc>
        <w:tc>
          <w:tcPr>
            <w:tcW w:type="dxa" w:w="4037"/>
            <w:tcMar>
              <w:top w:w="40" w:type="dxa"/>
              <w:left w:w="110" w:type="dxa"/>
              <w:bottom w:w="40" w:type="dxa"/>
              <w:right w:w="110" w:type="dxa"/>
            </w:tcMar>
          </w:tcPr>
          <w:p>
            <w:pPr>
              <w:pStyle w:val="MasttTableCell"/>
              <w:spacing w:before="20" w:after="20"/>
            </w:pPr>
            <w:r/>
            <w:r>
              <w:rPr>
                <w:rFonts w:ascii="Segoe UI" w:hAnsi="Segoe UI"/>
                <w:color w:val="1D3245"/>
                <w:sz w:val="17"/>
              </w:rPr>
              <w:t>Raise an NCR describing the non-conformance and the requirement not met</w:t>
            </w:r>
          </w:p>
        </w:tc>
        <w:tc>
          <w:tcPr>
            <w:tcW w:type="dxa" w:w="1921"/>
            <w:tcMar>
              <w:top w:w="40" w:type="dxa"/>
              <w:left w:w="110" w:type="dxa"/>
              <w:bottom w:w="40" w:type="dxa"/>
              <w:right w:w="110" w:type="dxa"/>
            </w:tcMar>
          </w:tcPr>
          <w:p>
            <w:pPr>
              <w:pStyle w:val="MasttTableCell"/>
              <w:spacing w:before="20" w:after="20"/>
            </w:pPr>
            <w:r/>
            <w:r>
              <w:rPr>
                <w:rFonts w:ascii="Segoe UI" w:hAnsi="Segoe UI"/>
                <w:color w:val="1D3245"/>
                <w:sz w:val="17"/>
              </w:rPr>
              <w:t>Any party</w:t>
            </w:r>
          </w:p>
        </w:tc>
        <w:tc>
          <w:tcPr>
            <w:tcW w:type="dxa" w:w="2032"/>
            <w:tcMar>
              <w:top w:w="40" w:type="dxa"/>
              <w:left w:w="110" w:type="dxa"/>
              <w:bottom w:w="40" w:type="dxa"/>
              <w:right w:w="110" w:type="dxa"/>
            </w:tcMar>
          </w:tcPr>
          <w:p>
            <w:pPr>
              <w:pStyle w:val="MasttTableCell"/>
              <w:spacing w:before="20" w:after="20"/>
            </w:pPr>
            <w:r/>
            <w:r>
              <w:rPr>
                <w:rFonts w:ascii="Segoe UI" w:hAnsi="Segoe UI"/>
                <w:color w:val="1D3245"/>
                <w:sz w:val="17"/>
              </w:rPr>
              <w:t>Within 1 working day of identification</w:t>
            </w:r>
          </w:p>
        </w:tc>
      </w:tr>
      <w:tr>
        <w:trPr>
          <w:cantSplit w:val="true"/>
        </w:trPr>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2 Contain</w:t>
            </w:r>
          </w:p>
        </w:tc>
        <w:tc>
          <w:tcPr>
            <w:tcW w:type="dxa" w:w="40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Stop related work; prevent the non-conformance propagating</w:t>
            </w:r>
          </w:p>
        </w:tc>
        <w:tc>
          <w:tcPr>
            <w:tcW w:type="dxa" w:w="1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w:t>
            </w:r>
          </w:p>
        </w:tc>
        <w:tc>
          <w:tcPr>
            <w:tcW w:type="dxa" w:w="20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Immediately</w:t>
            </w:r>
          </w:p>
        </w:tc>
      </w:tr>
      <w:tr>
        <w:trPr>
          <w:cantSplit w:val="true"/>
        </w:trPr>
        <w:tc>
          <w:tcPr>
            <w:tcW w:type="dxa" w:w="1420"/>
            <w:tcMar>
              <w:top w:w="40" w:type="dxa"/>
              <w:left w:w="110" w:type="dxa"/>
              <w:bottom w:w="40" w:type="dxa"/>
              <w:right w:w="110" w:type="dxa"/>
            </w:tcMar>
          </w:tcPr>
          <w:p>
            <w:pPr>
              <w:pStyle w:val="MasttTableCell"/>
              <w:spacing w:before="20" w:after="20"/>
            </w:pPr>
            <w:r/>
            <w:r>
              <w:rPr>
                <w:rFonts w:ascii="Segoe UI" w:hAnsi="Segoe UI"/>
                <w:b/>
                <w:color w:val="1D3245"/>
                <w:sz w:val="17"/>
              </w:rPr>
              <w:t>3 Assess</w:t>
            </w:r>
          </w:p>
        </w:tc>
        <w:tc>
          <w:tcPr>
            <w:tcW w:type="dxa" w:w="4037"/>
            <w:tcMar>
              <w:top w:w="40" w:type="dxa"/>
              <w:left w:w="110" w:type="dxa"/>
              <w:bottom w:w="40" w:type="dxa"/>
              <w:right w:w="110" w:type="dxa"/>
            </w:tcMar>
          </w:tcPr>
          <w:p>
            <w:pPr>
              <w:pStyle w:val="MasttTableCell"/>
              <w:spacing w:before="20" w:after="20"/>
            </w:pPr>
            <w:r/>
            <w:r>
              <w:rPr>
                <w:rFonts w:ascii="Segoe UI" w:hAnsi="Segoe UI"/>
                <w:color w:val="1D3245"/>
                <w:sz w:val="17"/>
              </w:rPr>
              <w:t>Determine extent - is this isolated or systemic?</w:t>
            </w:r>
          </w:p>
        </w:tc>
        <w:tc>
          <w:tcPr>
            <w:tcW w:type="dxa" w:w="1921"/>
            <w:tcMar>
              <w:top w:w="40" w:type="dxa"/>
              <w:left w:w="110" w:type="dxa"/>
              <w:bottom w:w="40" w:type="dxa"/>
              <w:right w:w="110" w:type="dxa"/>
            </w:tcMar>
          </w:tcPr>
          <w:p>
            <w:pPr>
              <w:pStyle w:val="MasttTableCell"/>
              <w:spacing w:before="20" w:after="20"/>
            </w:pPr>
            <w:r/>
            <w:r>
              <w:rPr>
                <w:rFonts w:ascii="Segoe UI" w:hAnsi="Segoe UI"/>
                <w:color w:val="1D3245"/>
                <w:sz w:val="17"/>
              </w:rPr>
              <w:t>Quality Manager</w:t>
            </w:r>
          </w:p>
        </w:tc>
        <w:tc>
          <w:tcPr>
            <w:tcW w:type="dxa" w:w="2032"/>
            <w:tcMar>
              <w:top w:w="40" w:type="dxa"/>
              <w:left w:w="110" w:type="dxa"/>
              <w:bottom w:w="40" w:type="dxa"/>
              <w:right w:w="110" w:type="dxa"/>
            </w:tcMar>
          </w:tcPr>
          <w:p>
            <w:pPr>
              <w:pStyle w:val="MasttTableCell"/>
              <w:spacing w:before="20" w:after="20"/>
            </w:pPr>
            <w:r/>
            <w:r>
              <w:rPr>
                <w:rFonts w:ascii="Segoe UI" w:hAnsi="Segoe UI"/>
                <w:color w:val="1D3245"/>
                <w:sz w:val="17"/>
              </w:rPr>
              <w:t>Within 3 working days</w:t>
            </w:r>
          </w:p>
        </w:tc>
      </w:tr>
      <w:tr>
        <w:trPr>
          <w:cantSplit w:val="true"/>
        </w:trPr>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4 Propose disposition</w:t>
            </w:r>
          </w:p>
        </w:tc>
        <w:tc>
          <w:tcPr>
            <w:tcW w:type="dxa" w:w="40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Rework to specification, repair to an approved method, use-as-is with designer concurrence, or reject and replace</w:t>
            </w:r>
          </w:p>
        </w:tc>
        <w:tc>
          <w:tcPr>
            <w:tcW w:type="dxa" w:w="1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w:t>
            </w:r>
          </w:p>
        </w:tc>
        <w:tc>
          <w:tcPr>
            <w:tcW w:type="dxa" w:w="20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5 working days</w:t>
            </w:r>
          </w:p>
        </w:tc>
      </w:tr>
      <w:tr>
        <w:trPr>
          <w:cantSplit w:val="true"/>
        </w:trPr>
        <w:tc>
          <w:tcPr>
            <w:tcW w:type="dxa" w:w="1420"/>
            <w:tcMar>
              <w:top w:w="40" w:type="dxa"/>
              <w:left w:w="110" w:type="dxa"/>
              <w:bottom w:w="40" w:type="dxa"/>
              <w:right w:w="110" w:type="dxa"/>
            </w:tcMar>
          </w:tcPr>
          <w:p>
            <w:pPr>
              <w:pStyle w:val="MasttTableCell"/>
              <w:spacing w:before="20" w:after="20"/>
            </w:pPr>
            <w:r/>
            <w:r>
              <w:rPr>
                <w:rFonts w:ascii="Segoe UI" w:hAnsi="Segoe UI"/>
                <w:b/>
                <w:color w:val="1D3245"/>
                <w:sz w:val="17"/>
              </w:rPr>
              <w:t>5 Approve disposition</w:t>
            </w:r>
          </w:p>
        </w:tc>
        <w:tc>
          <w:tcPr>
            <w:tcW w:type="dxa" w:w="4037"/>
            <w:tcMar>
              <w:top w:w="40" w:type="dxa"/>
              <w:left w:w="110" w:type="dxa"/>
              <w:bottom w:w="40" w:type="dxa"/>
              <w:right w:w="110" w:type="dxa"/>
            </w:tcMar>
          </w:tcPr>
          <w:p>
            <w:pPr>
              <w:pStyle w:val="MasttTableCell"/>
              <w:spacing w:before="20" w:after="20"/>
            </w:pPr>
            <w:r/>
            <w:r>
              <w:rPr>
                <w:rFonts w:ascii="Segoe UI" w:hAnsi="Segoe UI"/>
                <w:color w:val="1D3245"/>
                <w:sz w:val="17"/>
              </w:rPr>
              <w:t>Designer approves any use-as-is or repair; client approves any departure</w:t>
            </w:r>
          </w:p>
        </w:tc>
        <w:tc>
          <w:tcPr>
            <w:tcW w:type="dxa" w:w="1921"/>
            <w:tcMar>
              <w:top w:w="40" w:type="dxa"/>
              <w:left w:w="110" w:type="dxa"/>
              <w:bottom w:w="40" w:type="dxa"/>
              <w:right w:w="110" w:type="dxa"/>
            </w:tcMar>
          </w:tcPr>
          <w:p>
            <w:pPr>
              <w:pStyle w:val="MasttTableCell"/>
              <w:spacing w:before="20" w:after="20"/>
            </w:pPr>
            <w:r/>
            <w:r>
              <w:rPr>
                <w:rFonts w:ascii="Segoe UI" w:hAnsi="Segoe UI"/>
                <w:color w:val="1D3245"/>
                <w:sz w:val="17"/>
              </w:rPr>
              <w:t>Designer and Client Representative</w:t>
            </w:r>
          </w:p>
        </w:tc>
        <w:tc>
          <w:tcPr>
            <w:tcW w:type="dxa" w:w="2032"/>
            <w:tcMar>
              <w:top w:w="40" w:type="dxa"/>
              <w:left w:w="110" w:type="dxa"/>
              <w:bottom w:w="40" w:type="dxa"/>
              <w:right w:w="110" w:type="dxa"/>
            </w:tcMar>
          </w:tcPr>
          <w:p>
            <w:pPr>
              <w:pStyle w:val="MasttTableCell"/>
              <w:spacing w:before="20" w:after="20"/>
            </w:pPr>
            <w:r/>
            <w:r>
              <w:rPr>
                <w:rFonts w:ascii="Segoe UI" w:hAnsi="Segoe UI"/>
                <w:color w:val="1D3245"/>
                <w:sz w:val="17"/>
              </w:rPr>
              <w:t>Within 5 working days</w:t>
            </w:r>
          </w:p>
        </w:tc>
      </w:tr>
      <w:tr>
        <w:trPr>
          <w:cantSplit w:val="true"/>
        </w:trPr>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6 Implement and verify</w:t>
            </w:r>
          </w:p>
        </w:tc>
        <w:tc>
          <w:tcPr>
            <w:tcW w:type="dxa" w:w="40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Carry out the disposition and re-inspect</w:t>
            </w:r>
          </w:p>
        </w:tc>
        <w:tc>
          <w:tcPr>
            <w:tcW w:type="dxa" w:w="1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 and Quality Manager</w:t>
            </w:r>
          </w:p>
        </w:tc>
        <w:tc>
          <w:tcPr>
            <w:tcW w:type="dxa" w:w="20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Per agreed plan</w:t>
            </w:r>
          </w:p>
        </w:tc>
      </w:tr>
      <w:tr>
        <w:trPr>
          <w:cantSplit w:val="true"/>
        </w:trPr>
        <w:tc>
          <w:tcPr>
            <w:tcW w:type="dxa" w:w="1420"/>
            <w:tcMar>
              <w:top w:w="40" w:type="dxa"/>
              <w:left w:w="110" w:type="dxa"/>
              <w:bottom w:w="40" w:type="dxa"/>
              <w:right w:w="110" w:type="dxa"/>
            </w:tcMar>
          </w:tcPr>
          <w:p>
            <w:pPr>
              <w:pStyle w:val="MasttTableCell"/>
              <w:spacing w:before="20" w:after="20"/>
            </w:pPr>
            <w:r/>
            <w:r>
              <w:rPr>
                <w:rFonts w:ascii="Segoe UI" w:hAnsi="Segoe UI"/>
                <w:b/>
                <w:color w:val="1D3245"/>
                <w:sz w:val="17"/>
              </w:rPr>
              <w:t>7 Root cause and corrective action</w:t>
            </w:r>
          </w:p>
        </w:tc>
        <w:tc>
          <w:tcPr>
            <w:tcW w:type="dxa" w:w="4037"/>
            <w:tcMar>
              <w:top w:w="40" w:type="dxa"/>
              <w:left w:w="110" w:type="dxa"/>
              <w:bottom w:w="40" w:type="dxa"/>
              <w:right w:w="110" w:type="dxa"/>
            </w:tcMar>
          </w:tcPr>
          <w:p>
            <w:pPr>
              <w:pStyle w:val="MasttTableCell"/>
              <w:spacing w:before="20" w:after="20"/>
            </w:pPr>
            <w:r/>
            <w:r>
              <w:rPr>
                <w:rFonts w:ascii="Segoe UI" w:hAnsi="Segoe UI"/>
                <w:color w:val="1D3245"/>
                <w:sz w:val="17"/>
              </w:rPr>
              <w:t>Identify the cause and change the process so it cannot recur</w:t>
            </w:r>
          </w:p>
        </w:tc>
        <w:tc>
          <w:tcPr>
            <w:tcW w:type="dxa" w:w="1921"/>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c>
          <w:tcPr>
            <w:tcW w:type="dxa" w:w="2032"/>
            <w:tcMar>
              <w:top w:w="40" w:type="dxa"/>
              <w:left w:w="110" w:type="dxa"/>
              <w:bottom w:w="40" w:type="dxa"/>
              <w:right w:w="110" w:type="dxa"/>
            </w:tcMar>
          </w:tcPr>
          <w:p>
            <w:pPr>
              <w:pStyle w:val="MasttTableCell"/>
              <w:spacing w:before="20" w:after="20"/>
            </w:pPr>
            <w:r/>
            <w:r>
              <w:rPr>
                <w:rFonts w:ascii="Segoe UI" w:hAnsi="Segoe UI"/>
                <w:color w:val="1D3245"/>
                <w:sz w:val="17"/>
              </w:rPr>
              <w:t>Within 15 working days</w:t>
            </w:r>
          </w:p>
        </w:tc>
      </w:tr>
      <w:tr>
        <w:trPr>
          <w:cantSplit w:val="true"/>
        </w:trPr>
        <w:tc>
          <w:tcPr>
            <w:tcW w:type="dxa" w:w="14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8 Close</w:t>
            </w:r>
          </w:p>
        </w:tc>
        <w:tc>
          <w:tcPr>
            <w:tcW w:type="dxa" w:w="40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Verify effectiveness and close the NCR with evidence</w:t>
            </w:r>
          </w:p>
        </w:tc>
        <w:tc>
          <w:tcPr>
            <w:tcW w:type="dxa" w:w="1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Quality Manager</w:t>
            </w:r>
          </w:p>
        </w:tc>
        <w:tc>
          <w:tcPr>
            <w:tcW w:type="dxa" w:w="20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 verification</w:t>
            </w:r>
          </w:p>
        </w:tc>
      </w:tr>
    </w:tbl>
    <w:p>
      <w:pPr>
        <w:rPr>
          <w:sz w:val="8"/>
        </w:rPr>
        <w:spacing w:after="40" w:before="0" w:line="240" w:lineRule="auto"/>
      </w:pPr>
    </w:p>
    <w:p>
      <w:pPr>
        <w:pStyle w:val="MasttBody"/>
      </w:pPr>
      <w:r>
        <w:t>NCR trends are reported monthly by cause, by trade and by package. A use-as-is disposition is a departure from specification and must be recorded in the departures register and disclosed at handover.</w:t>
      </w:r>
    </w:p>
    <w:p>
      <w:pPr>
        <w:pStyle w:val="Heading2"/>
      </w:pPr>
      <w:r>
        <w:t>11.8  Audit and surveillance programme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2835"/>
        <w:gridCol w:w="1928"/>
        <w:gridCol w:w="1474"/>
        <w:gridCol w:w="1247"/>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Audit</w:t>
            </w:r>
          </w:p>
        </w:tc>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Scope</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Auditor</w:t>
            </w:r>
          </w:p>
        </w:tc>
        <w:tc>
          <w:tcPr>
            <w:tcW w:type="dxa" w:w="12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Reported to</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Contractor quality system audit</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Compliance with the accepted quality plan</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Within 3 months of mobilisation, then 6-monthly</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Quality Manager</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Control Group</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ITP compliance audit</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Are ITPs being followed and signed in real time?</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Quality Manager</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 Group</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Materials and traceability audit</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Are materials as approved and traceable?</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Quarterly</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Quality Manager</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Control Group</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 compliance audit</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Does construction match the AFC documentation?</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At each major element</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Control Group</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Subcontractor surveillance</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Off-site fabrication and specialist installation</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Per fabrication programme</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Quality Manager / third party</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Records audit</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Completeness of quality records against the handover requirement</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Quarterly, monthly from 6 months before completion</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Information Manager</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Independent technical audit</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Client-commissioned review of high-consequence elements</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At stage gates</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Independent</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r>
    </w:tbl>
    <w:p>
      <w:pPr>
        <w:rPr>
          <w:sz w:val="8"/>
        </w:rPr>
        <w:spacing w:after="40" w:before="0" w:line="240" w:lineRule="auto"/>
      </w:pPr>
    </w:p>
    <w:p>
      <w:pPr>
        <w:pStyle w:val="Heading2"/>
      </w:pPr>
      <w:r>
        <w:t>11.9  Materials approval and samples</w:t>
      </w:r>
    </w:p>
    <w:p>
      <w:pPr>
        <w:pStyle w:val="ListBullet"/>
        <w:spacing w:after="60"/>
        <w:ind w:left="340"/>
      </w:pPr>
      <w:r>
        <w:rPr>
          <w:rFonts w:ascii="Segoe UI" w:hAnsi="Segoe UI"/>
          <w:color w:val="1D3245"/>
          <w:sz w:val="20"/>
        </w:rPr>
        <w:t>Every specified material, product and system requires an approved submission before order. Submissions include compliance evidence, certification, warranty terms, sustainability data and maintenance requirements.</w:t>
      </w:r>
    </w:p>
    <w:p>
      <w:pPr>
        <w:pStyle w:val="ListBullet"/>
        <w:spacing w:after="60"/>
        <w:ind w:left="340"/>
      </w:pPr>
      <w:r>
        <w:rPr>
          <w:rFonts w:ascii="Segoe UI" w:hAnsi="Segoe UI"/>
          <w:color w:val="1D3245"/>
          <w:sz w:val="20"/>
        </w:rPr>
        <w:t>Substitutions are treated as design changes and require designer approval and, where they affect performance, client approval under Section 18.</w:t>
      </w:r>
    </w:p>
    <w:p>
      <w:pPr>
        <w:pStyle w:val="ListBullet"/>
        <w:spacing w:after="60"/>
        <w:ind w:left="340"/>
      </w:pPr>
      <w:r>
        <w:rPr>
          <w:rFonts w:ascii="Segoe UI" w:hAnsi="Segoe UI"/>
          <w:color w:val="1D3245"/>
          <w:sz w:val="20"/>
        </w:rPr>
        <w:t>Samples are retained on site in a controlled sample store and are the reference standard for acceptance of installed work.</w:t>
      </w:r>
    </w:p>
    <w:p>
      <w:pPr>
        <w:pStyle w:val="ListBullet"/>
        <w:spacing w:after="60"/>
        <w:ind w:left="340"/>
      </w:pPr>
      <w:r>
        <w:rPr>
          <w:rFonts w:ascii="Segoe UI" w:hAnsi="Segoe UI"/>
          <w:color w:val="1D3245"/>
          <w:sz w:val="20"/>
        </w:rPr>
        <w:t>Material traceability is maintained for structural, fire-rated, pressure-retaining and safety-critical products.</w:t>
      </w:r>
    </w:p>
    <w:p>
      <w:pPr>
        <w:pStyle w:val="Heading2"/>
      </w:pPr>
      <w:r>
        <w:t>11.10  Benchmarks and mock-ups</w:t>
      </w:r>
    </w:p>
    <w:p>
      <w:pPr>
        <w:pStyle w:val="MasttBody"/>
      </w:pPr>
      <w:r>
        <w:t>Benchmark installations and full-size mock-ups are constructed before production for elements where appearance, workmanship or performance cannot be judged from a sample. Once approved, the benchmark is the acceptance standard and is protected and retained until the element is complete.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608"/>
        <w:gridCol w:w="2608"/>
        <w:gridCol w:w="2155"/>
        <w:gridCol w:w="2041"/>
      </w:tblGrid>
      <w:tr>
        <w:trPr>
          <w:tblHeader w:val="true"/>
          <w:cantSplit w:val="true"/>
        </w:trPr>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Element</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Benchmark / mock-up type</w:t>
            </w:r>
          </w:p>
        </w:tc>
        <w:tc>
          <w:tcPr>
            <w:tcW w:type="dxa" w:w="21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Approval required from</w:t>
            </w:r>
          </w:p>
        </w:tc>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Retain until</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Façade system (visual and performance)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Full-size test mock-up</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External wall and roof waterproofing</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In-situ benchmark</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Typical room / apartment / ward</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Full fit-out benchmark</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Exposed concrete and finishes</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Sample panel</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Feature joinery and stone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Physical sample and benchmark</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Services in exposed areas</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Benchmark installation</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11.11  Testing and commissioning interface</w:t>
      </w:r>
    </w:p>
    <w:p>
      <w:pPr>
        <w:pStyle w:val="MasttBody"/>
      </w:pPr>
      <w:r>
        <w:t>Quality verification and commissioning are sequential and interdependent: no system enters commissioning until its installation ITPs are complete and its NCRs are closed. The commissioning strategy is set out in Section 20.</w:t>
      </w:r>
    </w:p>
    <w:p>
      <w:pPr>
        <w:pStyle w:val="Heading2"/>
      </w:pPr>
      <w:r>
        <w:t>11.12  Quality records and traceability</w:t>
      </w:r>
    </w:p>
    <w:p>
      <w:pPr>
        <w:pStyle w:val="ListBullet"/>
        <w:spacing w:after="60"/>
        <w:ind w:left="340"/>
      </w:pPr>
      <w:r>
        <w:rPr>
          <w:rFonts w:ascii="Segoe UI" w:hAnsi="Segoe UI"/>
          <w:color w:val="1D3245"/>
          <w:sz w:val="20"/>
        </w:rPr>
        <w:t>Quality records are created at the point of inspection and uploaded to the common data environment within 5 working days.</w:t>
      </w:r>
    </w:p>
    <w:p>
      <w:pPr>
        <w:pStyle w:val="ListBullet"/>
        <w:spacing w:after="60"/>
        <w:ind w:left="340"/>
      </w:pPr>
      <w:r>
        <w:rPr>
          <w:rFonts w:ascii="Segoe UI" w:hAnsi="Segoe UI"/>
          <w:color w:val="1D3245"/>
          <w:sz w:val="20"/>
        </w:rPr>
        <w:t>Records are indexed to the asset structure so that any element can be traced to its approval, material, installation and test record.</w:t>
      </w:r>
    </w:p>
    <w:p>
      <w:pPr>
        <w:pStyle w:val="ListBullet"/>
        <w:spacing w:after="60"/>
        <w:ind w:left="340"/>
      </w:pPr>
      <w:r>
        <w:rPr>
          <w:rFonts w:ascii="Segoe UI" w:hAnsi="Segoe UI"/>
          <w:color w:val="1D3245"/>
          <w:sz w:val="20"/>
        </w:rPr>
        <w:t>Records are retained for the period required by the contract, the client's records policy and the applicable jurisdiction.</w:t>
      </w:r>
    </w:p>
    <w:p>
      <w:pPr>
        <w:pStyle w:val="Heading2"/>
      </w:pPr>
      <w:r>
        <w:t>11.13  Quality reporting</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4309"/>
        <w:gridCol w:w="1474"/>
        <w:gridCol w:w="1701"/>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Metric</w:t>
            </w:r>
          </w:p>
        </w:tc>
        <w:tc>
          <w:tcPr>
            <w:tcW w:type="dxa" w:w="430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First-time pass rate</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Inspections passed without rework ÷ total inspections</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≥95%</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Open NCRs</w:t>
            </w:r>
          </w:p>
        </w:tc>
        <w:tc>
          <w:tcPr>
            <w:tcW w:type="dxa" w:w="43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NCRs raised and not closed</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Downward trend</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NCR ageing</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NCRs open more than 20 working days</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0</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Hold point compliance</w:t>
            </w:r>
          </w:p>
        </w:tc>
        <w:tc>
          <w:tcPr>
            <w:tcW w:type="dxa" w:w="43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Hold points released before work proceeded ÷ total hold points</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100%</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ITP currency</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Signed ITP records lodged within 5 working days</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≥95%</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Repeat non-conformance</w:t>
            </w:r>
          </w:p>
        </w:tc>
        <w:tc>
          <w:tcPr>
            <w:tcW w:type="dxa" w:w="43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NCRs with a cause already recorded</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0</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Defects at completion</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Open defects by category at practical completion</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0 Category A</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At completion</w:t>
            </w:r>
          </w:p>
        </w:tc>
      </w:tr>
    </w:tbl>
    <w:p>
      <w:pPr>
        <w:rPr>
          <w:sz w:val="8"/>
        </w:rPr>
        <w:spacing w:after="40" w:before="0" w:line="240" w:lineRule="auto"/>
      </w:pPr>
    </w:p>
    <w:p>
      <w:r>
        <w:br w:type="page"/>
      </w:r>
    </w:p>
    <w:p>
      <w:pPr>
        <w:pStyle w:val="Heading1"/>
        <w:pBdr>
          <w:bottom w:val="single" w:sz="6" w:space="4" w:color="C9D4E0"/>
        </w:pBdr>
      </w:pPr>
      <w:r>
        <w:t>12.  Health, safety and wellbeing</w:t>
      </w:r>
    </w:p>
    <w:p>
      <w:pPr>
        <w:pStyle w:val="Heading2"/>
      </w:pPr>
      <w:r>
        <w:t>12.1  Policy and framework</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Describe the safety management system, not the sentiment. Reference the duties applicable in the relevant jurisdiction generically - duties of the client or appointing party, the designer, the principal contractor and the worker - and state how each is discharged on this project. Safety obligations cannot be delegated by contract.</w:t>
            </w:r>
          </w:p>
        </w:tc>
      </w:tr>
    </w:tbl>
    <w:p>
      <w:pPr>
        <w:rPr>
          <w:sz w:val="8"/>
        </w:rPr>
        <w:spacing w:after="40" w:before="0" w:line="240" w:lineRule="auto"/>
      </w:pPr>
    </w:p>
    <w:p>
      <w:pPr>
        <w:pStyle w:val="MasttBody"/>
      </w:pPr>
      <w:r>
        <w:t>The project's health, safety and wellbeing arrangements align to ISO 45001 principles and to the client's safety management system. All parties comply with the work health and safety duties applicable in the jurisdiction in which the works are carried out. Where this plan and a statutory duty differ, the statutory duty prevails.</w:t>
      </w:r>
    </w:p>
    <w:p>
      <w:pPr>
        <w:pStyle w:val="MasttBody"/>
      </w:pPr>
      <w:r>
        <w:t>The overriding principle is that risk is eliminated at source wherever reasonably practicable, and where it cannot be eliminated, it is minimised through the hierarchy of control - elimination, substitution, isolation, engineering controls, administrative controls, and personal protective equipment as the last resort.</w:t>
      </w:r>
    </w:p>
    <w:p>
      <w:pPr>
        <w:pStyle w:val="Heading2"/>
      </w:pPr>
      <w:r>
        <w:t>12.2  Duties and appointments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041"/>
        <w:gridCol w:w="4309"/>
        <w:gridCol w:w="3062"/>
      </w:tblGrid>
      <w:tr>
        <w:trPr>
          <w:tblHeader w:val="true"/>
          <w:cantSplit w:val="true"/>
        </w:trPr>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Party</w:t>
            </w:r>
          </w:p>
        </w:tc>
        <w:tc>
          <w:tcPr>
            <w:tcW w:type="dxa" w:w="430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Generic duty</w:t>
            </w:r>
          </w:p>
        </w:tc>
        <w:tc>
          <w:tcPr>
            <w:tcW w:type="dxa" w:w="30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Discharged on this project by</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Client / appointing party</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Make suitable arrangements for managing the project, allow adequate time and resources, and provide pre-construction information</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Project Director, supported by the HSE Manager</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Designer</w:t>
            </w:r>
          </w:p>
        </w:tc>
        <w:tc>
          <w:tcPr>
            <w:tcW w:type="dxa" w:w="43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Eliminate foreseeable risk in design so far as is reasonably practicable and inform others of residual risk</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Lead Designer, through the design risk register and safety in design reviews</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Principal designer / design coordinator</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Plan, manage and coordinate health and safety in the pre-construction phase</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Design Manager</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Principal contractor</w:t>
            </w:r>
          </w:p>
        </w:tc>
        <w:tc>
          <w:tcPr>
            <w:tcW w:type="dxa" w:w="43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Plan, manage and coordinate health and safety in construction; control the site</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Contractor's Project Manager</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Contractors and subcontractors</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Plan and carry out their own work safely and cooperate with others</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Each contractor</w:t>
            </w:r>
          </w:p>
        </w:tc>
      </w:tr>
      <w:tr>
        <w:trPr>
          <w:cantSplit w:val="true"/>
        </w:trPr>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Workers</w:t>
            </w:r>
          </w:p>
        </w:tc>
        <w:tc>
          <w:tcPr>
            <w:tcW w:type="dxa" w:w="43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Take reasonable care, follow instruction, report hazards and stop unsafe work</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All personnel</w:t>
            </w:r>
          </w:p>
        </w:tc>
      </w:tr>
      <w:tr>
        <w:trPr>
          <w:cantSplit w:val="true"/>
        </w:trPr>
        <w:tc>
          <w:tcPr>
            <w:tcW w:type="dxa" w:w="2041"/>
            <w:tcMar>
              <w:top w:w="40" w:type="dxa"/>
              <w:left w:w="110" w:type="dxa"/>
              <w:bottom w:w="40" w:type="dxa"/>
              <w:right w:w="110" w:type="dxa"/>
            </w:tcMar>
          </w:tcPr>
          <w:p>
            <w:pPr>
              <w:pStyle w:val="MasttTableCell"/>
              <w:spacing w:before="20" w:after="20"/>
            </w:pPr>
            <w:r/>
            <w:r>
              <w:rPr>
                <w:rFonts w:ascii="Segoe UI" w:hAnsi="Segoe UI"/>
                <w:b/>
                <w:color w:val="1D3245"/>
                <w:sz w:val="17"/>
              </w:rPr>
              <w:t>Suppliers and manufacturers</w:t>
            </w:r>
          </w:p>
        </w:tc>
        <w:tc>
          <w:tcPr>
            <w:tcW w:type="dxa" w:w="4309"/>
            <w:tcMar>
              <w:top w:w="40" w:type="dxa"/>
              <w:left w:w="110" w:type="dxa"/>
              <w:bottom w:w="40" w:type="dxa"/>
              <w:right w:w="110" w:type="dxa"/>
            </w:tcMar>
          </w:tcPr>
          <w:p>
            <w:pPr>
              <w:pStyle w:val="MasttTableCell"/>
              <w:spacing w:before="20" w:after="20"/>
            </w:pPr>
            <w:r/>
            <w:r>
              <w:rPr>
                <w:rFonts w:ascii="Segoe UI" w:hAnsi="Segoe UI"/>
                <w:color w:val="1D3245"/>
                <w:sz w:val="17"/>
              </w:rPr>
              <w:t>Provide safe plant, substances and structures with adequate information</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Each supplier</w:t>
            </w:r>
          </w:p>
        </w:tc>
      </w:tr>
    </w:tbl>
    <w:p>
      <w:pPr>
        <w:rPr>
          <w:sz w:val="8"/>
        </w:rPr>
        <w:spacing w:after="40" w:before="0" w:line="240" w:lineRule="auto"/>
      </w:pPr>
    </w:p>
    <w:p>
      <w:pPr>
        <w:pStyle w:val="Heading2"/>
      </w:pPr>
      <w:r>
        <w:t>12.3  Safety in design</w:t>
      </w:r>
    </w:p>
    <w:p>
      <w:pPr>
        <w:pStyle w:val="ListBullet"/>
        <w:spacing w:after="60"/>
        <w:ind w:left="340"/>
      </w:pPr>
      <w:r>
        <w:rPr>
          <w:rFonts w:ascii="Segoe UI" w:hAnsi="Segoe UI"/>
          <w:color w:val="1D3245"/>
          <w:sz w:val="20"/>
        </w:rPr>
        <w:t>Safety in design workshops are held at the end of each design stage and whenever a material design change is proposed.</w:t>
      </w:r>
    </w:p>
    <w:p>
      <w:pPr>
        <w:pStyle w:val="ListBullet"/>
        <w:spacing w:after="60"/>
        <w:ind w:left="340"/>
      </w:pPr>
      <w:r>
        <w:rPr>
          <w:rFonts w:ascii="Segoe UI" w:hAnsi="Segoe UI"/>
          <w:color w:val="1D3245"/>
          <w:sz w:val="20"/>
        </w:rPr>
        <w:t>The design risk register records each hazard, the design response, the residual risk and the information passed to those who will construct, operate, maintain and eventually demolish the asset.</w:t>
      </w:r>
    </w:p>
    <w:p>
      <w:pPr>
        <w:pStyle w:val="ListBullet"/>
        <w:spacing w:after="60"/>
        <w:ind w:left="340"/>
      </w:pPr>
      <w:r>
        <w:rPr>
          <w:rFonts w:ascii="Segoe UI" w:hAnsi="Segoe UI"/>
          <w:color w:val="1D3245"/>
          <w:sz w:val="20"/>
        </w:rPr>
        <w:t>Residual design risks that cannot be eliminated are formally communicated to the contractor before construction and to the operator before handover.</w:t>
      </w:r>
    </w:p>
    <w:p>
      <w:pPr>
        <w:pStyle w:val="ListBullet"/>
        <w:spacing w:after="60"/>
        <w:ind w:left="340"/>
      </w:pPr>
      <w:r>
        <w:rPr>
          <w:rFonts w:ascii="Segoe UI" w:hAnsi="Segoe UI"/>
          <w:color w:val="1D3245"/>
          <w:sz w:val="20"/>
        </w:rPr>
        <w:t>Design decisions that increase construction, maintenance or demolition risk require documented justification and Project Director endorsement.</w:t>
      </w:r>
    </w:p>
    <w:p>
      <w:pPr>
        <w:pStyle w:val="ListBullet"/>
        <w:spacing w:after="60"/>
        <w:ind w:left="340"/>
      </w:pPr>
      <w:r>
        <w:rPr>
          <w:rFonts w:ascii="Segoe UI" w:hAnsi="Segoe UI"/>
          <w:color w:val="1D3245"/>
          <w:sz w:val="20"/>
        </w:rPr>
        <w:t>Particular attention is given to: work at height, fragile surfaces, confined spaces, lifting, hazardous substances, façade and plant access, roof and atrium maintenance, and the safety of the public interface.</w:t>
      </w:r>
    </w:p>
    <w:p>
      <w:pPr>
        <w:pStyle w:val="Heading2"/>
      </w:pPr>
      <w:r>
        <w:t>12.4  Safety management plan requirements</w:t>
      </w:r>
    </w:p>
    <w:p>
      <w:pPr>
        <w:pStyle w:val="MasttBody"/>
      </w:pPr>
      <w:r>
        <w:t>The principal contractor prepares a construction phase health and safety plan, accepted before site mobilisation, covering as a minimum:</w:t>
      </w:r>
    </w:p>
    <w:p>
      <w:pPr>
        <w:pStyle w:val="ListBullet"/>
        <w:spacing w:after="60"/>
        <w:ind w:left="340"/>
      </w:pPr>
      <w:r>
        <w:rPr>
          <w:rFonts w:ascii="Segoe UI" w:hAnsi="Segoe UI"/>
          <w:color w:val="1D3245"/>
          <w:sz w:val="20"/>
        </w:rPr>
        <w:t>Site rules, access control, security and segregation of the public and site traffic.</w:t>
      </w:r>
    </w:p>
    <w:p>
      <w:pPr>
        <w:pStyle w:val="ListBullet"/>
        <w:spacing w:after="60"/>
        <w:ind w:left="340"/>
      </w:pPr>
      <w:r>
        <w:rPr>
          <w:rFonts w:ascii="Segoe UI" w:hAnsi="Segoe UI"/>
          <w:color w:val="1D3245"/>
          <w:sz w:val="20"/>
        </w:rPr>
        <w:t>Organisation, competence, supervision ratios and safety leadership expectations.</w:t>
      </w:r>
    </w:p>
    <w:p>
      <w:pPr>
        <w:pStyle w:val="ListBullet"/>
        <w:spacing w:after="60"/>
        <w:ind w:left="340"/>
      </w:pPr>
      <w:r>
        <w:rPr>
          <w:rFonts w:ascii="Segoe UI" w:hAnsi="Segoe UI"/>
          <w:color w:val="1D3245"/>
          <w:sz w:val="20"/>
        </w:rPr>
        <w:t>Hazard identification and risk assessment methodology and the safe work method statement regime for high-risk work.</w:t>
      </w:r>
    </w:p>
    <w:p>
      <w:pPr>
        <w:pStyle w:val="ListBullet"/>
        <w:spacing w:after="60"/>
        <w:ind w:left="340"/>
      </w:pPr>
      <w:r>
        <w:rPr>
          <w:rFonts w:ascii="Segoe UI" w:hAnsi="Segoe UI"/>
          <w:color w:val="1D3245"/>
          <w:sz w:val="20"/>
        </w:rPr>
        <w:t>Traffic and pedestrian management, both on site and on the surrounding network.</w:t>
      </w:r>
    </w:p>
    <w:p>
      <w:pPr>
        <w:pStyle w:val="ListBullet"/>
        <w:spacing w:after="60"/>
        <w:ind w:left="340"/>
      </w:pPr>
      <w:r>
        <w:rPr>
          <w:rFonts w:ascii="Segoe UI" w:hAnsi="Segoe UI"/>
          <w:color w:val="1D3245"/>
          <w:sz w:val="20"/>
        </w:rPr>
        <w:t>Temporary works design, checking and permit regime.</w:t>
      </w:r>
    </w:p>
    <w:p>
      <w:pPr>
        <w:pStyle w:val="ListBullet"/>
        <w:spacing w:after="60"/>
        <w:ind w:left="340"/>
      </w:pPr>
      <w:r>
        <w:rPr>
          <w:rFonts w:ascii="Segoe UI" w:hAnsi="Segoe UI"/>
          <w:color w:val="1D3245"/>
          <w:sz w:val="20"/>
        </w:rPr>
        <w:t>Plant and equipment management, inspection and operator competence.</w:t>
      </w:r>
    </w:p>
    <w:p>
      <w:pPr>
        <w:pStyle w:val="ListBullet"/>
        <w:spacing w:after="60"/>
        <w:ind w:left="340"/>
      </w:pPr>
      <w:r>
        <w:rPr>
          <w:rFonts w:ascii="Segoe UI" w:hAnsi="Segoe UI"/>
          <w:color w:val="1D3245"/>
          <w:sz w:val="20"/>
        </w:rPr>
        <w:t>Emergency preparedness, first aid, rescue plans and evacuation.</w:t>
      </w:r>
    </w:p>
    <w:p>
      <w:pPr>
        <w:pStyle w:val="ListBullet"/>
        <w:spacing w:after="60"/>
        <w:ind w:left="340"/>
      </w:pPr>
      <w:r>
        <w:rPr>
          <w:rFonts w:ascii="Segoe UI" w:hAnsi="Segoe UI"/>
          <w:color w:val="1D3245"/>
          <w:sz w:val="20"/>
        </w:rPr>
        <w:t>Health monitoring, hazardous substance control and exposure management.</w:t>
      </w:r>
    </w:p>
    <w:p>
      <w:pPr>
        <w:pStyle w:val="ListBullet"/>
        <w:spacing w:after="60"/>
        <w:ind w:left="340"/>
      </w:pPr>
      <w:r>
        <w:rPr>
          <w:rFonts w:ascii="Segoe UI" w:hAnsi="Segoe UI"/>
          <w:color w:val="1D3245"/>
          <w:sz w:val="20"/>
        </w:rPr>
        <w:t>Consultation, worker representation and issue resolution.</w:t>
      </w:r>
    </w:p>
    <w:p>
      <w:pPr>
        <w:pStyle w:val="ListBullet"/>
        <w:spacing w:after="60"/>
        <w:ind w:left="340"/>
      </w:pPr>
      <w:r>
        <w:rPr>
          <w:rFonts w:ascii="Segoe UI" w:hAnsi="Segoe UI"/>
          <w:color w:val="1D3245"/>
          <w:sz w:val="20"/>
        </w:rPr>
        <w:t>Incident reporting, investigation and corrective action.</w:t>
      </w:r>
    </w:p>
    <w:p>
      <w:pPr>
        <w:pStyle w:val="ListBullet"/>
        <w:spacing w:after="60"/>
        <w:ind w:left="340"/>
      </w:pPr>
      <w:r>
        <w:rPr>
          <w:rFonts w:ascii="Segoe UI" w:hAnsi="Segoe UI"/>
          <w:color w:val="1D3245"/>
          <w:sz w:val="20"/>
        </w:rPr>
        <w:t>Audit, inspection and assurance programme.</w:t>
      </w:r>
    </w:p>
    <w:p>
      <w:pPr>
        <w:pStyle w:val="ListBullet"/>
        <w:spacing w:after="60"/>
        <w:ind w:left="340"/>
      </w:pPr>
      <w:r>
        <w:rPr>
          <w:rFonts w:ascii="Segoe UI" w:hAnsi="Segoe UI"/>
          <w:color w:val="1D3245"/>
          <w:sz w:val="20"/>
        </w:rPr>
        <w:t>Interfaces with an operational asset, if the site adjoins one.</w:t>
      </w:r>
    </w:p>
    <w:p>
      <w:pPr>
        <w:pStyle w:val="Heading2"/>
      </w:pPr>
      <w:r>
        <w:t>12.5  High-risk activities and permits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268"/>
        <w:gridCol w:w="4763"/>
        <w:gridCol w:w="2381"/>
      </w:tblGrid>
      <w:tr>
        <w:trPr>
          <w:tblHeader w:val="true"/>
          <w:cantSplit w:val="true"/>
        </w:trPr>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High-risk activity</w:t>
            </w:r>
          </w:p>
        </w:tc>
        <w:tc>
          <w:tcPr>
            <w:tcW w:type="dxa" w:w="476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Control requirement</w:t>
            </w:r>
          </w:p>
        </w:tc>
        <w:tc>
          <w:tcPr>
            <w:tcW w:type="dxa" w:w="23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Permit required</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Work at height and on fragile surfaces</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Safe work method statement; edge protection; fall arrest as last resort</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Yes - height permit</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Excavation and trenching</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Ground support design; services location and proving; access and egress</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Yes - excavation permit</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Confined space entry</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Atmospheric testing; standby person; rescue plan; communications</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Yes - confined space permit</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Hot works</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Fire watch; combustible clearance; extinguishers; post-work monitoring</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Yes - hot work permit</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Live electrical work and energisation</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Isolation and lock-out/tag-out; competent person; testing before touching</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Yes - electrical permit</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Lifting operations and craneage</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Lift study; certified equipment and riggers; exclusion zones; wind limits</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Yes - lift permit</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Demolition and structural alteration</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Engineered demolition plan; hazardous material clearance; exclusion zones</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Yes</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Asbestos and hazardous materials</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Survey; licensed removal; clearance certificate</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Yes</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Work adjacent to live traffic or rail</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Third-party approval; protection; competent controllers</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Yes</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Services isolation and shutdown</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Isolation plan; stakeholder notification; proving dead</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Yes - isolation permit</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Temporary works</w:t>
            </w:r>
          </w:p>
        </w:tc>
        <w:tc>
          <w:tcPr>
            <w:tcW w:type="dxa" w:w="4762"/>
            <w:tcMar>
              <w:top w:w="40" w:type="dxa"/>
              <w:left w:w="110" w:type="dxa"/>
              <w:bottom w:w="40" w:type="dxa"/>
              <w:right w:w="110" w:type="dxa"/>
            </w:tcMar>
          </w:tcPr>
          <w:p>
            <w:pPr>
              <w:pStyle w:val="MasttTableCell"/>
              <w:spacing w:before="20" w:after="20"/>
            </w:pPr>
            <w:r/>
            <w:r>
              <w:rPr>
                <w:rFonts w:ascii="Segoe UI" w:hAnsi="Segoe UI"/>
                <w:color w:val="1D3245"/>
                <w:sz w:val="17"/>
              </w:rPr>
              <w:t>Independent design check; erection and dismantling supervision; load restriction</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Yes - permit to load</w:t>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Work over or near water</w:t>
            </w:r>
          </w:p>
        </w:tc>
        <w:tc>
          <w:tcPr>
            <w:tcW w:type="dxa" w:w="4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Rescue provision; personal flotation; exclusion</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Yes</w:t>
            </w:r>
          </w:p>
        </w:tc>
      </w:tr>
    </w:tbl>
    <w:p>
      <w:pPr>
        <w:rPr>
          <w:sz w:val="8"/>
        </w:rPr>
        <w:spacing w:after="40" w:before="0" w:line="240" w:lineRule="auto"/>
      </w:pPr>
    </w:p>
    <w:p>
      <w:pPr>
        <w:pStyle w:val="Heading2"/>
      </w:pPr>
      <w:r>
        <w:t>12.6  Induction, competency and consultation</w:t>
      </w:r>
    </w:p>
    <w:p>
      <w:pPr>
        <w:pStyle w:val="ListBullet"/>
        <w:spacing w:after="60"/>
        <w:ind w:left="340"/>
      </w:pPr>
      <w:r>
        <w:rPr>
          <w:rFonts w:ascii="Segoe UI" w:hAnsi="Segoe UI"/>
          <w:color w:val="1D3245"/>
          <w:sz w:val="20"/>
        </w:rPr>
        <w:t>No person enters the site without completing the project induction, which is recorded and refreshed at the interval set in the safety plan.</w:t>
      </w:r>
    </w:p>
    <w:p>
      <w:pPr>
        <w:pStyle w:val="ListBullet"/>
        <w:spacing w:after="60"/>
        <w:ind w:left="340"/>
      </w:pPr>
      <w:r>
        <w:rPr>
          <w:rFonts w:ascii="Segoe UI" w:hAnsi="Segoe UI"/>
          <w:color w:val="1D3245"/>
          <w:sz w:val="20"/>
        </w:rPr>
        <w:t>Competency, licences and tickets for high-risk work are verified before the work begins and are held in a competency register.</w:t>
      </w:r>
    </w:p>
    <w:p>
      <w:pPr>
        <w:pStyle w:val="ListBullet"/>
        <w:spacing w:after="60"/>
        <w:ind w:left="340"/>
      </w:pPr>
      <w:r>
        <w:rPr>
          <w:rFonts w:ascii="Segoe UI" w:hAnsi="Segoe UI"/>
          <w:color w:val="1D3245"/>
          <w:sz w:val="20"/>
        </w:rPr>
        <w:t>Task-specific inductions are given before any worker undertakes a new high-risk activity or enters a new work area.</w:t>
      </w:r>
    </w:p>
    <w:p>
      <w:pPr>
        <w:pStyle w:val="ListBullet"/>
        <w:spacing w:after="60"/>
        <w:ind w:left="340"/>
      </w:pPr>
      <w:r>
        <w:rPr>
          <w:rFonts w:ascii="Segoe UI" w:hAnsi="Segoe UI"/>
          <w:color w:val="1D3245"/>
          <w:sz w:val="20"/>
        </w:rPr>
        <w:t>Health and safety representatives are elected in accordance with the requirements applicable in the jurisdiction, and issue resolution follows the prescribed procedure.</w:t>
      </w:r>
    </w:p>
    <w:p>
      <w:pPr>
        <w:pStyle w:val="ListBullet"/>
        <w:spacing w:after="60"/>
        <w:ind w:left="340"/>
      </w:pPr>
      <w:r>
        <w:rPr>
          <w:rFonts w:ascii="Segoe UI" w:hAnsi="Segoe UI"/>
          <w:color w:val="1D3245"/>
          <w:sz w:val="20"/>
        </w:rPr>
        <w:t>Every worker has, and is regularly reminded of, the authority to stop work they believe is unsafe, without any adverse consequence.</w:t>
      </w:r>
    </w:p>
    <w:p>
      <w:pPr>
        <w:pStyle w:val="Heading2"/>
      </w:pPr>
      <w:r>
        <w:t>12.7  Incident reporting and investigation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48"/>
        <w:gridCol w:w="1770"/>
        <w:gridCol w:w="2000"/>
        <w:gridCol w:w="1777"/>
        <w:gridCol w:w="1917"/>
      </w:tblGrid>
      <w:tr>
        <w:trPr>
          <w:tblHeader w:val="true"/>
          <w:cantSplit w:val="true"/>
        </w:trPr>
        <w:tc>
          <w:tcPr>
            <w:tcW w:type="dxa" w:w="19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Event</w:t>
            </w:r>
          </w:p>
        </w:tc>
        <w:tc>
          <w:tcPr>
            <w:tcW w:type="dxa" w:w="177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Immediate action</w:t>
            </w:r>
          </w:p>
        </w:tc>
        <w:tc>
          <w:tcPr>
            <w:tcW w:type="dxa" w:w="200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Notify</w:t>
            </w:r>
          </w:p>
        </w:tc>
        <w:tc>
          <w:tcPr>
            <w:tcW w:type="dxa" w:w="177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Timeframe</w:t>
            </w:r>
          </w:p>
        </w:tc>
        <w:tc>
          <w:tcPr>
            <w:tcW w:type="dxa" w:w="191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Investigation</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Fatality or life-threatening injury</w:t>
            </w:r>
          </w:p>
        </w:tc>
        <w:tc>
          <w:tcPr>
            <w:tcW w:type="dxa" w:w="1770"/>
            <w:tcMar>
              <w:top w:w="40" w:type="dxa"/>
              <w:left w:w="110" w:type="dxa"/>
              <w:bottom w:w="40" w:type="dxa"/>
              <w:right w:w="110" w:type="dxa"/>
            </w:tcMar>
          </w:tcPr>
          <w:p>
            <w:pPr>
              <w:pStyle w:val="MasttTableCell"/>
              <w:spacing w:before="20" w:after="20"/>
            </w:pPr>
            <w:r/>
            <w:r>
              <w:rPr>
                <w:rFonts w:ascii="Segoe UI" w:hAnsi="Segoe UI"/>
                <w:color w:val="1D3245"/>
                <w:sz w:val="17"/>
              </w:rPr>
              <w:t>Make safe; preserve the scene; do not disturb</w:t>
            </w:r>
          </w:p>
        </w:tc>
        <w:tc>
          <w:tcPr>
            <w:tcW w:type="dxa" w:w="2000"/>
            <w:tcMar>
              <w:top w:w="40" w:type="dxa"/>
              <w:left w:w="110" w:type="dxa"/>
              <w:bottom w:w="40" w:type="dxa"/>
              <w:right w:w="110" w:type="dxa"/>
            </w:tcMar>
          </w:tcPr>
          <w:p>
            <w:pPr>
              <w:pStyle w:val="MasttTableCell"/>
              <w:spacing w:before="20" w:after="20"/>
            </w:pPr>
            <w:r/>
            <w:r>
              <w:rPr>
                <w:rFonts w:ascii="Segoe UI" w:hAnsi="Segoe UI"/>
                <w:color w:val="1D3245"/>
                <w:sz w:val="17"/>
              </w:rPr>
              <w:t>Regulator (as required in the jurisdiction), client executive, Sponsor</w:t>
            </w:r>
          </w:p>
        </w:tc>
        <w:tc>
          <w:tcPr>
            <w:tcW w:type="dxa" w:w="1777"/>
            <w:tcMar>
              <w:top w:w="40" w:type="dxa"/>
              <w:left w:w="110" w:type="dxa"/>
              <w:bottom w:w="40" w:type="dxa"/>
              <w:right w:w="110" w:type="dxa"/>
            </w:tcMar>
          </w:tcPr>
          <w:p>
            <w:pPr>
              <w:pStyle w:val="MasttTableCell"/>
              <w:spacing w:before="20" w:after="20"/>
            </w:pPr>
            <w:r/>
            <w:r>
              <w:rPr>
                <w:rFonts w:ascii="Segoe UI" w:hAnsi="Segoe UI"/>
                <w:color w:val="1D3245"/>
                <w:sz w:val="17"/>
              </w:rPr>
              <w:t>Immediately</w:t>
            </w:r>
          </w:p>
        </w:tc>
        <w:tc>
          <w:tcPr>
            <w:tcW w:type="dxa" w:w="1917"/>
            <w:tcMar>
              <w:top w:w="40" w:type="dxa"/>
              <w:left w:w="110" w:type="dxa"/>
              <w:bottom w:w="40" w:type="dxa"/>
              <w:right w:w="110" w:type="dxa"/>
            </w:tcMar>
          </w:tcPr>
          <w:p>
            <w:pPr>
              <w:pStyle w:val="MasttTableCell"/>
              <w:spacing w:before="20" w:after="20"/>
            </w:pPr>
            <w:r/>
            <w:r>
              <w:rPr>
                <w:rFonts w:ascii="Segoe UI" w:hAnsi="Segoe UI"/>
                <w:color w:val="1D3245"/>
                <w:sz w:val="17"/>
              </w:rPr>
              <w:t>Independent, with the regulator</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Notifiable / serious incident</w:t>
            </w:r>
          </w:p>
        </w:tc>
        <w:tc>
          <w:tcPr>
            <w:tcW w:type="dxa" w:w="17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Make safe; preserve the scene</w:t>
            </w:r>
          </w:p>
        </w:tc>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Regulator as required; Project Director; Sponsor</w:t>
            </w:r>
          </w:p>
        </w:tc>
        <w:tc>
          <w:tcPr>
            <w:tcW w:type="dxa" w:w="1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Immediately, and in writing within the prescribed period</w:t>
            </w:r>
          </w:p>
        </w:tc>
        <w:tc>
          <w:tcPr>
            <w:tcW w:type="dxa" w:w="19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Formal investigation within 48 hours</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Lost time injury</w:t>
            </w:r>
          </w:p>
        </w:tc>
        <w:tc>
          <w:tcPr>
            <w:tcW w:type="dxa" w:w="1770"/>
            <w:tcMar>
              <w:top w:w="40" w:type="dxa"/>
              <w:left w:w="110" w:type="dxa"/>
              <w:bottom w:w="40" w:type="dxa"/>
              <w:right w:w="110" w:type="dxa"/>
            </w:tcMar>
          </w:tcPr>
          <w:p>
            <w:pPr>
              <w:pStyle w:val="MasttTableCell"/>
              <w:spacing w:before="20" w:after="20"/>
            </w:pPr>
            <w:r/>
            <w:r>
              <w:rPr>
                <w:rFonts w:ascii="Segoe UI" w:hAnsi="Segoe UI"/>
                <w:color w:val="1D3245"/>
                <w:sz w:val="17"/>
              </w:rPr>
              <w:t>Treat; secure the area</w:t>
            </w:r>
          </w:p>
        </w:tc>
        <w:tc>
          <w:tcPr>
            <w:tcW w:type="dxa" w:w="2000"/>
            <w:tcMar>
              <w:top w:w="40" w:type="dxa"/>
              <w:left w:w="110" w:type="dxa"/>
              <w:bottom w:w="40" w:type="dxa"/>
              <w:right w:w="110" w:type="dxa"/>
            </w:tcMar>
          </w:tcPr>
          <w:p>
            <w:pPr>
              <w:pStyle w:val="MasttTableCell"/>
              <w:spacing w:before="20" w:after="20"/>
            </w:pPr>
            <w:r/>
            <w:r>
              <w:rPr>
                <w:rFonts w:ascii="Segoe UI" w:hAnsi="Segoe UI"/>
                <w:color w:val="1D3245"/>
                <w:sz w:val="17"/>
              </w:rPr>
              <w:t>HSE Manager; Project Manager</w:t>
            </w:r>
          </w:p>
        </w:tc>
        <w:tc>
          <w:tcPr>
            <w:tcW w:type="dxa" w:w="1777"/>
            <w:tcMar>
              <w:top w:w="40" w:type="dxa"/>
              <w:left w:w="110" w:type="dxa"/>
              <w:bottom w:w="40" w:type="dxa"/>
              <w:right w:w="110" w:type="dxa"/>
            </w:tcMar>
          </w:tcPr>
          <w:p>
            <w:pPr>
              <w:pStyle w:val="MasttTableCell"/>
              <w:spacing w:before="20" w:after="20"/>
            </w:pPr>
            <w:r/>
            <w:r>
              <w:rPr>
                <w:rFonts w:ascii="Segoe UI" w:hAnsi="Segoe UI"/>
                <w:color w:val="1D3245"/>
                <w:sz w:val="17"/>
              </w:rPr>
              <w:t>Within 4 hours</w:t>
            </w:r>
          </w:p>
        </w:tc>
        <w:tc>
          <w:tcPr>
            <w:tcW w:type="dxa" w:w="1917"/>
            <w:tcMar>
              <w:top w:w="40" w:type="dxa"/>
              <w:left w:w="110" w:type="dxa"/>
              <w:bottom w:w="40" w:type="dxa"/>
              <w:right w:w="110" w:type="dxa"/>
            </w:tcMar>
          </w:tcPr>
          <w:p>
            <w:pPr>
              <w:pStyle w:val="MasttTableCell"/>
              <w:spacing w:before="20" w:after="20"/>
            </w:pPr>
            <w:r/>
            <w:r>
              <w:rPr>
                <w:rFonts w:ascii="Segoe UI" w:hAnsi="Segoe UI"/>
                <w:color w:val="1D3245"/>
                <w:sz w:val="17"/>
              </w:rPr>
              <w:t>Formal, within 5 working days</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Medical treatment / first aid injury</w:t>
            </w:r>
          </w:p>
        </w:tc>
        <w:tc>
          <w:tcPr>
            <w:tcW w:type="dxa" w:w="17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Treat; secure the area</w:t>
            </w:r>
          </w:p>
        </w:tc>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c>
          <w:tcPr>
            <w:tcW w:type="dxa" w:w="1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Same day</w:t>
            </w:r>
          </w:p>
        </w:tc>
        <w:tc>
          <w:tcPr>
            <w:tcW w:type="dxa" w:w="19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Supervisor-level review</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High-potential near miss</w:t>
            </w:r>
          </w:p>
        </w:tc>
        <w:tc>
          <w:tcPr>
            <w:tcW w:type="dxa" w:w="1770"/>
            <w:tcMar>
              <w:top w:w="40" w:type="dxa"/>
              <w:left w:w="110" w:type="dxa"/>
              <w:bottom w:w="40" w:type="dxa"/>
              <w:right w:w="110" w:type="dxa"/>
            </w:tcMar>
          </w:tcPr>
          <w:p>
            <w:pPr>
              <w:pStyle w:val="MasttTableCell"/>
              <w:spacing w:before="20" w:after="20"/>
            </w:pPr>
            <w:r/>
            <w:r>
              <w:rPr>
                <w:rFonts w:ascii="Segoe UI" w:hAnsi="Segoe UI"/>
                <w:color w:val="1D3245"/>
                <w:sz w:val="17"/>
              </w:rPr>
              <w:t>Make safe</w:t>
            </w:r>
          </w:p>
        </w:tc>
        <w:tc>
          <w:tcPr>
            <w:tcW w:type="dxa" w:w="2000"/>
            <w:tcMar>
              <w:top w:w="40" w:type="dxa"/>
              <w:left w:w="110" w:type="dxa"/>
              <w:bottom w:w="40" w:type="dxa"/>
              <w:right w:w="110" w:type="dxa"/>
            </w:tcMar>
          </w:tcPr>
          <w:p>
            <w:pPr>
              <w:pStyle w:val="MasttTableCell"/>
              <w:spacing w:before="20" w:after="20"/>
            </w:pPr>
            <w:r/>
            <w:r>
              <w:rPr>
                <w:rFonts w:ascii="Segoe UI" w:hAnsi="Segoe UI"/>
                <w:color w:val="1D3245"/>
                <w:sz w:val="17"/>
              </w:rPr>
              <w:t>HSE Manager; Project Manager</w:t>
            </w:r>
          </w:p>
        </w:tc>
        <w:tc>
          <w:tcPr>
            <w:tcW w:type="dxa" w:w="1777"/>
            <w:tcMar>
              <w:top w:w="40" w:type="dxa"/>
              <w:left w:w="110" w:type="dxa"/>
              <w:bottom w:w="40" w:type="dxa"/>
              <w:right w:w="110" w:type="dxa"/>
            </w:tcMar>
          </w:tcPr>
          <w:p>
            <w:pPr>
              <w:pStyle w:val="MasttTableCell"/>
              <w:spacing w:before="20" w:after="20"/>
            </w:pPr>
            <w:r/>
            <w:r>
              <w:rPr>
                <w:rFonts w:ascii="Segoe UI" w:hAnsi="Segoe UI"/>
                <w:color w:val="1D3245"/>
                <w:sz w:val="17"/>
              </w:rPr>
              <w:t>Same day</w:t>
            </w:r>
          </w:p>
        </w:tc>
        <w:tc>
          <w:tcPr>
            <w:tcW w:type="dxa" w:w="1917"/>
            <w:tcMar>
              <w:top w:w="40" w:type="dxa"/>
              <w:left w:w="110" w:type="dxa"/>
              <w:bottom w:w="40" w:type="dxa"/>
              <w:right w:w="110" w:type="dxa"/>
            </w:tcMar>
          </w:tcPr>
          <w:p>
            <w:pPr>
              <w:pStyle w:val="MasttTableCell"/>
              <w:spacing w:before="20" w:after="20"/>
            </w:pPr>
            <w:r/>
            <w:r>
              <w:rPr>
                <w:rFonts w:ascii="Segoe UI" w:hAnsi="Segoe UI"/>
                <w:color w:val="1D3245"/>
                <w:sz w:val="17"/>
              </w:rPr>
              <w:t>Investigated as if the harm had occurred</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Environmental incident</w:t>
            </w:r>
          </w:p>
        </w:tc>
        <w:tc>
          <w:tcPr>
            <w:tcW w:type="dxa" w:w="17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Contain; stop the source</w:t>
            </w:r>
          </w:p>
        </w:tc>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Environmental Lead; regulator as required</w:t>
            </w:r>
          </w:p>
        </w:tc>
        <w:tc>
          <w:tcPr>
            <w:tcW w:type="dxa" w:w="1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Immediately</w:t>
            </w:r>
          </w:p>
        </w:tc>
        <w:tc>
          <w:tcPr>
            <w:tcW w:type="dxa" w:w="19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Formal investigation</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Property or plant damage</w:t>
            </w:r>
          </w:p>
        </w:tc>
        <w:tc>
          <w:tcPr>
            <w:tcW w:type="dxa" w:w="1770"/>
            <w:tcMar>
              <w:top w:w="40" w:type="dxa"/>
              <w:left w:w="110" w:type="dxa"/>
              <w:bottom w:w="40" w:type="dxa"/>
              <w:right w:w="110" w:type="dxa"/>
            </w:tcMar>
          </w:tcPr>
          <w:p>
            <w:pPr>
              <w:pStyle w:val="MasttTableCell"/>
              <w:spacing w:before="20" w:after="20"/>
            </w:pPr>
            <w:r/>
            <w:r>
              <w:rPr>
                <w:rFonts w:ascii="Segoe UI" w:hAnsi="Segoe UI"/>
                <w:color w:val="1D3245"/>
                <w:sz w:val="17"/>
              </w:rPr>
              <w:t>Make safe; isolate</w:t>
            </w:r>
          </w:p>
        </w:tc>
        <w:tc>
          <w:tcPr>
            <w:tcW w:type="dxa" w:w="2000"/>
            <w:tcMar>
              <w:top w:w="40" w:type="dxa"/>
              <w:left w:w="110" w:type="dxa"/>
              <w:bottom w:w="40" w:type="dxa"/>
              <w:right w:w="110" w:type="dxa"/>
            </w:tcMar>
          </w:tcPr>
          <w:p>
            <w:pPr>
              <w:pStyle w:val="MasttTableCell"/>
              <w:spacing w:before="20" w:after="20"/>
            </w:pPr>
            <w:r/>
            <w:r>
              <w:rPr>
                <w:rFonts w:ascii="Segoe UI" w:hAnsi="Segoe UI"/>
                <w:color w:val="1D3245"/>
                <w:sz w:val="17"/>
              </w:rPr>
              <w:t>HSE Manager</w:t>
            </w:r>
          </w:p>
        </w:tc>
        <w:tc>
          <w:tcPr>
            <w:tcW w:type="dxa" w:w="1777"/>
            <w:tcMar>
              <w:top w:w="40" w:type="dxa"/>
              <w:left w:w="110" w:type="dxa"/>
              <w:bottom w:w="40" w:type="dxa"/>
              <w:right w:w="110" w:type="dxa"/>
            </w:tcMar>
          </w:tcPr>
          <w:p>
            <w:pPr>
              <w:pStyle w:val="MasttTableCell"/>
              <w:spacing w:before="20" w:after="20"/>
            </w:pPr>
            <w:r/>
            <w:r>
              <w:rPr>
                <w:rFonts w:ascii="Segoe UI" w:hAnsi="Segoe UI"/>
                <w:color w:val="1D3245"/>
                <w:sz w:val="17"/>
              </w:rPr>
              <w:t>Same day</w:t>
            </w:r>
          </w:p>
        </w:tc>
        <w:tc>
          <w:tcPr>
            <w:tcW w:type="dxa" w:w="1917"/>
            <w:tcMar>
              <w:top w:w="40" w:type="dxa"/>
              <w:left w:w="110" w:type="dxa"/>
              <w:bottom w:w="40" w:type="dxa"/>
              <w:right w:w="110" w:type="dxa"/>
            </w:tcMar>
          </w:tcPr>
          <w:p>
            <w:pPr>
              <w:pStyle w:val="MasttTableCell"/>
              <w:spacing w:before="20" w:after="20"/>
            </w:pPr>
            <w:r/>
            <w:r>
              <w:rPr>
                <w:rFonts w:ascii="Segoe UI" w:hAnsi="Segoe UI"/>
                <w:color w:val="1D3245"/>
                <w:sz w:val="17"/>
              </w:rPr>
              <w:t>Proportionate to consequence</w:t>
            </w:r>
          </w:p>
        </w:tc>
      </w:tr>
    </w:tbl>
    <w:p>
      <w:pPr>
        <w:rPr>
          <w:sz w:val="8"/>
        </w:rPr>
        <w:spacing w:after="40" w:before="0" w:line="240" w:lineRule="auto"/>
      </w:pPr>
    </w:p>
    <w:p>
      <w:pPr>
        <w:pStyle w:val="MasttBody"/>
      </w:pPr>
      <w:r>
        <w:t>Investigations use a structured root cause method and examine systemic and organisational factors, not only worker behaviour. Corrective actions are assigned, tracked to closure and verified for effectiveness. Lessons are shared across the project and with the client's wider portfolio within 10 working days.</w:t>
      </w:r>
    </w:p>
    <w:p>
      <w:pPr>
        <w:pStyle w:val="Heading2"/>
      </w:pPr>
      <w:r>
        <w:t>12.8  Emergency preparedness</w:t>
      </w:r>
    </w:p>
    <w:p>
      <w:pPr>
        <w:pStyle w:val="ListBullet"/>
        <w:spacing w:after="60"/>
        <w:ind w:left="340"/>
      </w:pPr>
      <w:r>
        <w:rPr>
          <w:rFonts w:ascii="Segoe UI" w:hAnsi="Segoe UI"/>
          <w:color w:val="1D3245"/>
          <w:sz w:val="20"/>
        </w:rPr>
        <w:t>An emergency response plan is prepared before mobilisation and covers fire, medical emergency, rescue from height and confined space, structural collapse, services strike, hazardous release, severe weather and security threat.</w:t>
      </w:r>
    </w:p>
    <w:p>
      <w:pPr>
        <w:pStyle w:val="ListBullet"/>
        <w:spacing w:after="60"/>
        <w:ind w:left="340"/>
      </w:pPr>
      <w:r>
        <w:rPr>
          <w:rFonts w:ascii="Segoe UI" w:hAnsi="Segoe UI"/>
          <w:color w:val="1D3245"/>
          <w:sz w:val="20"/>
        </w:rPr>
        <w:t>Emergency arrangements are coordinated with the emergency services and, where the site adjoins an operating asset, with the asset operator.</w:t>
      </w:r>
    </w:p>
    <w:p>
      <w:pPr>
        <w:pStyle w:val="ListBullet"/>
        <w:spacing w:after="60"/>
        <w:ind w:left="340"/>
      </w:pPr>
      <w:r>
        <w:rPr>
          <w:rFonts w:ascii="Segoe UI" w:hAnsi="Segoe UI"/>
          <w:color w:val="1D3245"/>
          <w:sz w:val="20"/>
        </w:rPr>
        <w:t>Emergency drills are conducted at least quarterly and after any major change to the site layout, and are debriefed with actions recorded.</w:t>
      </w:r>
    </w:p>
    <w:p>
      <w:pPr>
        <w:pStyle w:val="ListBullet"/>
        <w:spacing w:after="60"/>
        <w:ind w:left="340"/>
      </w:pPr>
      <w:r>
        <w:rPr>
          <w:rFonts w:ascii="Segoe UI" w:hAnsi="Segoe UI"/>
          <w:color w:val="1D3245"/>
          <w:sz w:val="20"/>
        </w:rPr>
        <w:t>Emergency contact details, assembly points and rescue provisions are displayed at every site entrance and in every work area.</w:t>
      </w:r>
    </w:p>
    <w:p>
      <w:pPr>
        <w:pStyle w:val="Heading2"/>
      </w:pPr>
      <w:r>
        <w:t>12.9  Safety performance indicators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820"/>
        <w:gridCol w:w="2093"/>
        <w:gridCol w:w="3433"/>
        <w:gridCol w:w="1734"/>
        <w:gridCol w:w="1332"/>
      </w:tblGrid>
      <w:tr>
        <w:trPr>
          <w:tblHeader w:val="true"/>
          <w:cantSplit w:val="true"/>
        </w:trPr>
        <w:tc>
          <w:tcPr>
            <w:tcW w:type="dxa" w:w="82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Type</w:t>
            </w:r>
          </w:p>
        </w:tc>
        <w:tc>
          <w:tcPr>
            <w:tcW w:type="dxa" w:w="20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Indicator</w:t>
            </w:r>
          </w:p>
        </w:tc>
        <w:tc>
          <w:tcPr>
            <w:tcW w:type="dxa" w:w="343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c>
          <w:tcPr>
            <w:tcW w:type="dxa" w:w="17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w:t>
            </w:r>
          </w:p>
        </w:tc>
        <w:tc>
          <w:tcPr>
            <w:tcW w:type="dxa" w:w="13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r>
      <w:tr>
        <w:trPr>
          <w:cantSplit w:val="true"/>
        </w:trPr>
        <w:tc>
          <w:tcPr>
            <w:tcW w:type="dxa" w:w="820"/>
            <w:tcMar>
              <w:top w:w="40" w:type="dxa"/>
              <w:left w:w="110" w:type="dxa"/>
              <w:bottom w:w="40" w:type="dxa"/>
              <w:right w:w="110" w:type="dxa"/>
            </w:tcMar>
          </w:tcPr>
          <w:p>
            <w:pPr>
              <w:pStyle w:val="MasttTableCell"/>
              <w:spacing w:before="20" w:after="20"/>
            </w:pPr>
            <w:r/>
            <w:r>
              <w:rPr>
                <w:rFonts w:ascii="Segoe UI" w:hAnsi="Segoe UI"/>
                <w:b/>
                <w:color w:val="1D3245"/>
                <w:sz w:val="17"/>
              </w:rPr>
              <w:t>Lead</w:t>
            </w:r>
          </w:p>
        </w:tc>
        <w:tc>
          <w:tcPr>
            <w:tcW w:type="dxa" w:w="2093"/>
            <w:tcMar>
              <w:top w:w="40" w:type="dxa"/>
              <w:left w:w="110" w:type="dxa"/>
              <w:bottom w:w="40" w:type="dxa"/>
              <w:right w:w="110" w:type="dxa"/>
            </w:tcMar>
          </w:tcPr>
          <w:p>
            <w:pPr>
              <w:pStyle w:val="MasttTableCell"/>
              <w:spacing w:before="20" w:after="20"/>
            </w:pPr>
            <w:r/>
            <w:r>
              <w:rPr>
                <w:rFonts w:ascii="Segoe UI" w:hAnsi="Segoe UI"/>
                <w:color w:val="1D3245"/>
                <w:sz w:val="17"/>
              </w:rPr>
              <w:t>Safety interactions / observations</w:t>
            </w:r>
          </w:p>
        </w:tc>
        <w:tc>
          <w:tcPr>
            <w:tcW w:type="dxa" w:w="3433"/>
            <w:tcMar>
              <w:top w:w="40" w:type="dxa"/>
              <w:left w:w="110" w:type="dxa"/>
              <w:bottom w:w="40" w:type="dxa"/>
              <w:right w:w="110" w:type="dxa"/>
            </w:tcMar>
          </w:tcPr>
          <w:p>
            <w:pPr>
              <w:pStyle w:val="MasttTableCell"/>
              <w:spacing w:before="20" w:after="20"/>
            </w:pPr>
            <w:r/>
            <w:r>
              <w:rPr>
                <w:rFonts w:ascii="Segoe UI" w:hAnsi="Segoe UI"/>
                <w:color w:val="1D3245"/>
                <w:sz w:val="17"/>
              </w:rPr>
              <w:t>Documented conversations per 100 workers per week</w:t>
            </w:r>
          </w:p>
        </w:tc>
        <w:tc>
          <w:tcPr>
            <w:tcW w:type="dxa" w:w="1734"/>
            <w:tcMar>
              <w:top w:w="40" w:type="dxa"/>
              <w:left w:w="110" w:type="dxa"/>
              <w:bottom w:w="40" w:type="dxa"/>
              <w:right w:w="110" w:type="dxa"/>
            </w:tcMar>
          </w:tcPr>
          <w:p>
            <w:pPr>
              <w:pStyle w:val="MasttTableCell"/>
              <w:spacing w:before="20" w:after="20"/>
            </w:pPr>
            <w:r/>
            <w:r>
              <w:rPr>
                <w:rFonts w:ascii="Segoe UI" w:hAnsi="Segoe UI"/>
                <w:color w:val="1D3245"/>
                <w:sz w:val="17"/>
              </w:rPr>
              <w:t>≥10</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Weekly</w:t>
            </w:r>
          </w:p>
        </w:tc>
      </w:tr>
      <w:tr>
        <w:trPr>
          <w:cantSplit w:val="true"/>
        </w:trPr>
        <w:tc>
          <w:tcPr>
            <w:tcW w:type="dxa" w:w="8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Lead</w:t>
            </w:r>
          </w:p>
        </w:tc>
        <w:tc>
          <w:tcPr>
            <w:tcW w:type="dxa" w:w="20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Hazard reports closed</w:t>
            </w:r>
          </w:p>
        </w:tc>
        <w:tc>
          <w:tcPr>
            <w:tcW w:type="dxa" w:w="34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Hazards closed ÷ hazards raised</w:t>
            </w:r>
          </w:p>
        </w:tc>
        <w:tc>
          <w:tcPr>
            <w:tcW w:type="dxa" w:w="17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≥95% within 10 days</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Weekly</w:t>
            </w:r>
          </w:p>
        </w:tc>
      </w:tr>
      <w:tr>
        <w:trPr>
          <w:cantSplit w:val="true"/>
        </w:trPr>
        <w:tc>
          <w:tcPr>
            <w:tcW w:type="dxa" w:w="820"/>
            <w:tcMar>
              <w:top w:w="40" w:type="dxa"/>
              <w:left w:w="110" w:type="dxa"/>
              <w:bottom w:w="40" w:type="dxa"/>
              <w:right w:w="110" w:type="dxa"/>
            </w:tcMar>
          </w:tcPr>
          <w:p>
            <w:pPr>
              <w:pStyle w:val="MasttTableCell"/>
              <w:spacing w:before="20" w:after="20"/>
            </w:pPr>
            <w:r/>
            <w:r>
              <w:rPr>
                <w:rFonts w:ascii="Segoe UI" w:hAnsi="Segoe UI"/>
                <w:b/>
                <w:color w:val="1D3245"/>
                <w:sz w:val="17"/>
              </w:rPr>
              <w:t>Lead</w:t>
            </w:r>
          </w:p>
        </w:tc>
        <w:tc>
          <w:tcPr>
            <w:tcW w:type="dxa" w:w="2093"/>
            <w:tcMar>
              <w:top w:w="40" w:type="dxa"/>
              <w:left w:w="110" w:type="dxa"/>
              <w:bottom w:w="40" w:type="dxa"/>
              <w:right w:w="110" w:type="dxa"/>
            </w:tcMar>
          </w:tcPr>
          <w:p>
            <w:pPr>
              <w:pStyle w:val="MasttTableCell"/>
              <w:spacing w:before="20" w:after="20"/>
            </w:pPr>
            <w:r/>
            <w:r>
              <w:rPr>
                <w:rFonts w:ascii="Segoe UI" w:hAnsi="Segoe UI"/>
                <w:color w:val="1D3245"/>
                <w:sz w:val="17"/>
              </w:rPr>
              <w:t>Inspection completion</w:t>
            </w:r>
          </w:p>
        </w:tc>
        <w:tc>
          <w:tcPr>
            <w:tcW w:type="dxa" w:w="3433"/>
            <w:tcMar>
              <w:top w:w="40" w:type="dxa"/>
              <w:left w:w="110" w:type="dxa"/>
              <w:bottom w:w="40" w:type="dxa"/>
              <w:right w:w="110" w:type="dxa"/>
            </w:tcMar>
          </w:tcPr>
          <w:p>
            <w:pPr>
              <w:pStyle w:val="MasttTableCell"/>
              <w:spacing w:before="20" w:after="20"/>
            </w:pPr>
            <w:r/>
            <w:r>
              <w:rPr>
                <w:rFonts w:ascii="Segoe UI" w:hAnsi="Segoe UI"/>
                <w:color w:val="1D3245"/>
                <w:sz w:val="17"/>
              </w:rPr>
              <w:t>Planned inspections completed ÷ planned</w:t>
            </w:r>
          </w:p>
        </w:tc>
        <w:tc>
          <w:tcPr>
            <w:tcW w:type="dxa" w:w="1734"/>
            <w:tcMar>
              <w:top w:w="40" w:type="dxa"/>
              <w:left w:w="110" w:type="dxa"/>
              <w:bottom w:w="40" w:type="dxa"/>
              <w:right w:w="110" w:type="dxa"/>
            </w:tcMar>
          </w:tcPr>
          <w:p>
            <w:pPr>
              <w:pStyle w:val="MasttTableCell"/>
              <w:spacing w:before="20" w:after="20"/>
            </w:pPr>
            <w:r/>
            <w:r>
              <w:rPr>
                <w:rFonts w:ascii="Segoe UI" w:hAnsi="Segoe UI"/>
                <w:color w:val="1D3245"/>
                <w:sz w:val="17"/>
              </w:rPr>
              <w:t>100%</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Lead</w:t>
            </w:r>
          </w:p>
        </w:tc>
        <w:tc>
          <w:tcPr>
            <w:tcW w:type="dxa" w:w="20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SWMS / permit compliance</w:t>
            </w:r>
          </w:p>
        </w:tc>
        <w:tc>
          <w:tcPr>
            <w:tcW w:type="dxa" w:w="34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Audited activities compliant ÷ audited</w:t>
            </w:r>
          </w:p>
        </w:tc>
        <w:tc>
          <w:tcPr>
            <w:tcW w:type="dxa" w:w="17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≥98%</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tcPr>
          <w:p>
            <w:pPr>
              <w:pStyle w:val="MasttTableCell"/>
              <w:spacing w:before="20" w:after="20"/>
            </w:pPr>
            <w:r/>
            <w:r>
              <w:rPr>
                <w:rFonts w:ascii="Segoe UI" w:hAnsi="Segoe UI"/>
                <w:b/>
                <w:color w:val="1D3245"/>
                <w:sz w:val="17"/>
              </w:rPr>
              <w:t>Lead</w:t>
            </w:r>
          </w:p>
        </w:tc>
        <w:tc>
          <w:tcPr>
            <w:tcW w:type="dxa" w:w="2093"/>
            <w:tcMar>
              <w:top w:w="40" w:type="dxa"/>
              <w:left w:w="110" w:type="dxa"/>
              <w:bottom w:w="40" w:type="dxa"/>
              <w:right w:w="110" w:type="dxa"/>
            </w:tcMar>
          </w:tcPr>
          <w:p>
            <w:pPr>
              <w:pStyle w:val="MasttTableCell"/>
              <w:spacing w:before="20" w:after="20"/>
            </w:pPr>
            <w:r/>
            <w:r>
              <w:rPr>
                <w:rFonts w:ascii="Segoe UI" w:hAnsi="Segoe UI"/>
                <w:color w:val="1D3245"/>
                <w:sz w:val="17"/>
              </w:rPr>
              <w:t>Training currency</w:t>
            </w:r>
          </w:p>
        </w:tc>
        <w:tc>
          <w:tcPr>
            <w:tcW w:type="dxa" w:w="3433"/>
            <w:tcMar>
              <w:top w:w="40" w:type="dxa"/>
              <w:left w:w="110" w:type="dxa"/>
              <w:bottom w:w="40" w:type="dxa"/>
              <w:right w:w="110" w:type="dxa"/>
            </w:tcMar>
          </w:tcPr>
          <w:p>
            <w:pPr>
              <w:pStyle w:val="MasttTableCell"/>
              <w:spacing w:before="20" w:after="20"/>
            </w:pPr>
            <w:r/>
            <w:r>
              <w:rPr>
                <w:rFonts w:ascii="Segoe UI" w:hAnsi="Segoe UI"/>
                <w:color w:val="1D3245"/>
                <w:sz w:val="17"/>
              </w:rPr>
              <w:t>Personnel with current required competencies</w:t>
            </w:r>
          </w:p>
        </w:tc>
        <w:tc>
          <w:tcPr>
            <w:tcW w:type="dxa" w:w="1734"/>
            <w:tcMar>
              <w:top w:w="40" w:type="dxa"/>
              <w:left w:w="110" w:type="dxa"/>
              <w:bottom w:w="40" w:type="dxa"/>
              <w:right w:w="110" w:type="dxa"/>
            </w:tcMar>
          </w:tcPr>
          <w:p>
            <w:pPr>
              <w:pStyle w:val="MasttTableCell"/>
              <w:spacing w:before="20" w:after="20"/>
            </w:pPr>
            <w:r/>
            <w:r>
              <w:rPr>
                <w:rFonts w:ascii="Segoe UI" w:hAnsi="Segoe UI"/>
                <w:color w:val="1D3245"/>
                <w:sz w:val="17"/>
              </w:rPr>
              <w:t>100%</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Lead</w:t>
            </w:r>
          </w:p>
        </w:tc>
        <w:tc>
          <w:tcPr>
            <w:tcW w:type="dxa" w:w="20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Corrective action closure</w:t>
            </w:r>
          </w:p>
        </w:tc>
        <w:tc>
          <w:tcPr>
            <w:tcW w:type="dxa" w:w="34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actions closed by due date</w:t>
            </w:r>
          </w:p>
        </w:tc>
        <w:tc>
          <w:tcPr>
            <w:tcW w:type="dxa" w:w="17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≥95%</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tcPr>
          <w:p>
            <w:pPr>
              <w:pStyle w:val="MasttTableCell"/>
              <w:spacing w:before="20" w:after="20"/>
            </w:pPr>
            <w:r/>
            <w:r>
              <w:rPr>
                <w:rFonts w:ascii="Segoe UI" w:hAnsi="Segoe UI"/>
                <w:b/>
                <w:color w:val="1D3245"/>
                <w:sz w:val="17"/>
              </w:rPr>
              <w:t>Lag</w:t>
            </w:r>
          </w:p>
        </w:tc>
        <w:tc>
          <w:tcPr>
            <w:tcW w:type="dxa" w:w="2093"/>
            <w:tcMar>
              <w:top w:w="40" w:type="dxa"/>
              <w:left w:w="110" w:type="dxa"/>
              <w:bottom w:w="40" w:type="dxa"/>
              <w:right w:w="110" w:type="dxa"/>
            </w:tcMar>
          </w:tcPr>
          <w:p>
            <w:pPr>
              <w:pStyle w:val="MasttTableCell"/>
              <w:spacing w:before="20" w:after="20"/>
            </w:pPr>
            <w:r/>
            <w:r>
              <w:rPr>
                <w:rFonts w:ascii="Segoe UI" w:hAnsi="Segoe UI"/>
                <w:color w:val="1D3245"/>
                <w:sz w:val="17"/>
              </w:rPr>
              <w:t>Total recordable injury frequency rate (TRIFR)</w:t>
            </w:r>
          </w:p>
        </w:tc>
        <w:tc>
          <w:tcPr>
            <w:tcW w:type="dxa" w:w="3433"/>
            <w:tcMar>
              <w:top w:w="40" w:type="dxa"/>
              <w:left w:w="110" w:type="dxa"/>
              <w:bottom w:w="40" w:type="dxa"/>
              <w:right w:w="110" w:type="dxa"/>
            </w:tcMar>
          </w:tcPr>
          <w:p>
            <w:pPr>
              <w:pStyle w:val="MasttTableCell"/>
              <w:spacing w:before="20" w:after="20"/>
            </w:pPr>
            <w:r/>
            <w:r>
              <w:rPr>
                <w:rFonts w:ascii="Segoe UI" w:hAnsi="Segoe UI"/>
                <w:color w:val="1D3245"/>
                <w:sz w:val="17"/>
              </w:rPr>
              <w:t>Recordable injuries × 1,000,000 ÷ hours worked</w:t>
            </w:r>
          </w:p>
        </w:tc>
        <w:tc>
          <w:tcPr>
            <w:tcW w:type="dxa" w:w="1734"/>
            <w:tcMar>
              <w:top w:w="40" w:type="dxa"/>
              <w:left w:w="110" w:type="dxa"/>
              <w:bottom w:w="40" w:type="dxa"/>
              <w:right w:w="110" w:type="dxa"/>
            </w:tcMar>
          </w:tcPr>
          <w:p>
            <w:pPr>
              <w:pStyle w:val="MasttTableCell"/>
              <w:spacing w:before="20" w:after="20"/>
            </w:pPr>
            <w:r/>
            <w:r>
              <w:rPr>
                <w:rFonts w:ascii="Segoe UI" w:hAnsi="Segoe UI"/>
                <w:color w:val="1D3245"/>
                <w:sz w:val="17"/>
              </w:rPr>
              <w:t>Below the client portfolio benchmark</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Lag</w:t>
            </w:r>
          </w:p>
        </w:tc>
        <w:tc>
          <w:tcPr>
            <w:tcW w:type="dxa" w:w="20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Lost time injury frequency rate (LTIFR)</w:t>
            </w:r>
          </w:p>
        </w:tc>
        <w:tc>
          <w:tcPr>
            <w:tcW w:type="dxa" w:w="34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Lost time injuries × 1,000,000 ÷ hours worked</w:t>
            </w:r>
          </w:p>
        </w:tc>
        <w:tc>
          <w:tcPr>
            <w:tcW w:type="dxa" w:w="17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0</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tcPr>
          <w:p>
            <w:pPr>
              <w:pStyle w:val="MasttTableCell"/>
              <w:spacing w:before="20" w:after="20"/>
            </w:pPr>
            <w:r/>
            <w:r>
              <w:rPr>
                <w:rFonts w:ascii="Segoe UI" w:hAnsi="Segoe UI"/>
                <w:b/>
                <w:color w:val="1D3245"/>
                <w:sz w:val="17"/>
              </w:rPr>
              <w:t>Lag</w:t>
            </w:r>
          </w:p>
        </w:tc>
        <w:tc>
          <w:tcPr>
            <w:tcW w:type="dxa" w:w="2093"/>
            <w:tcMar>
              <w:top w:w="40" w:type="dxa"/>
              <w:left w:w="110" w:type="dxa"/>
              <w:bottom w:w="40" w:type="dxa"/>
              <w:right w:w="110" w:type="dxa"/>
            </w:tcMar>
          </w:tcPr>
          <w:p>
            <w:pPr>
              <w:pStyle w:val="MasttTableCell"/>
              <w:spacing w:before="20" w:after="20"/>
            </w:pPr>
            <w:r/>
            <w:r>
              <w:rPr>
                <w:rFonts w:ascii="Segoe UI" w:hAnsi="Segoe UI"/>
                <w:color w:val="1D3245"/>
                <w:sz w:val="17"/>
              </w:rPr>
              <w:t>Severity rate</w:t>
            </w:r>
          </w:p>
        </w:tc>
        <w:tc>
          <w:tcPr>
            <w:tcW w:type="dxa" w:w="3433"/>
            <w:tcMar>
              <w:top w:w="40" w:type="dxa"/>
              <w:left w:w="110" w:type="dxa"/>
              <w:bottom w:w="40" w:type="dxa"/>
              <w:right w:w="110" w:type="dxa"/>
            </w:tcMar>
          </w:tcPr>
          <w:p>
            <w:pPr>
              <w:pStyle w:val="MasttTableCell"/>
              <w:spacing w:before="20" w:after="20"/>
            </w:pPr>
            <w:r/>
            <w:r>
              <w:rPr>
                <w:rFonts w:ascii="Segoe UI" w:hAnsi="Segoe UI"/>
                <w:color w:val="1D3245"/>
                <w:sz w:val="17"/>
              </w:rPr>
              <w:t>Days lost × 1,000,000 ÷ hours worked</w:t>
            </w:r>
          </w:p>
        </w:tc>
        <w:tc>
          <w:tcPr>
            <w:tcW w:type="dxa" w:w="1734"/>
            <w:tcMar>
              <w:top w:w="40" w:type="dxa"/>
              <w:left w:w="110" w:type="dxa"/>
              <w:bottom w:w="40" w:type="dxa"/>
              <w:right w:w="110" w:type="dxa"/>
            </w:tcMar>
          </w:tcPr>
          <w:p>
            <w:pPr>
              <w:pStyle w:val="MasttTableCell"/>
              <w:spacing w:before="20" w:after="20"/>
            </w:pPr>
            <w:r/>
            <w:r>
              <w:rPr>
                <w:rFonts w:ascii="Segoe UI" w:hAnsi="Segoe UI"/>
                <w:color w:val="1D3245"/>
                <w:sz w:val="17"/>
              </w:rPr>
              <w:t>Downward trend</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Lag</w:t>
            </w:r>
          </w:p>
        </w:tc>
        <w:tc>
          <w:tcPr>
            <w:tcW w:type="dxa" w:w="20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High-potential incidents</w:t>
            </w:r>
          </w:p>
        </w:tc>
        <w:tc>
          <w:tcPr>
            <w:tcW w:type="dxa" w:w="34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Count of incidents with potential for serious harm</w:t>
            </w:r>
          </w:p>
        </w:tc>
        <w:tc>
          <w:tcPr>
            <w:tcW w:type="dxa" w:w="17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0</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tcPr>
          <w:p>
            <w:pPr>
              <w:pStyle w:val="MasttTableCell"/>
              <w:spacing w:before="20" w:after="20"/>
            </w:pPr>
            <w:r/>
            <w:r>
              <w:rPr>
                <w:rFonts w:ascii="Segoe UI" w:hAnsi="Segoe UI"/>
                <w:b/>
                <w:color w:val="1D3245"/>
                <w:sz w:val="17"/>
              </w:rPr>
              <w:t>Lag</w:t>
            </w:r>
          </w:p>
        </w:tc>
        <w:tc>
          <w:tcPr>
            <w:tcW w:type="dxa" w:w="2093"/>
            <w:tcMar>
              <w:top w:w="40" w:type="dxa"/>
              <w:left w:w="110" w:type="dxa"/>
              <w:bottom w:w="40" w:type="dxa"/>
              <w:right w:w="110" w:type="dxa"/>
            </w:tcMar>
          </w:tcPr>
          <w:p>
            <w:pPr>
              <w:pStyle w:val="MasttTableCell"/>
              <w:spacing w:before="20" w:after="20"/>
            </w:pPr>
            <w:r/>
            <w:r>
              <w:rPr>
                <w:rFonts w:ascii="Segoe UI" w:hAnsi="Segoe UI"/>
                <w:color w:val="1D3245"/>
                <w:sz w:val="17"/>
              </w:rPr>
              <w:t>Notifiable incidents</w:t>
            </w:r>
          </w:p>
        </w:tc>
        <w:tc>
          <w:tcPr>
            <w:tcW w:type="dxa" w:w="3433"/>
            <w:tcMar>
              <w:top w:w="40" w:type="dxa"/>
              <w:left w:w="110" w:type="dxa"/>
              <w:bottom w:w="40" w:type="dxa"/>
              <w:right w:w="110" w:type="dxa"/>
            </w:tcMar>
          </w:tcPr>
          <w:p>
            <w:pPr>
              <w:pStyle w:val="MasttTableCell"/>
              <w:spacing w:before="20" w:after="20"/>
            </w:pPr>
            <w:r/>
            <w:r>
              <w:rPr>
                <w:rFonts w:ascii="Segoe UI" w:hAnsi="Segoe UI"/>
                <w:color w:val="1D3245"/>
                <w:sz w:val="17"/>
              </w:rPr>
              <w:t>Count reportable to the regulator</w:t>
            </w:r>
          </w:p>
        </w:tc>
        <w:tc>
          <w:tcPr>
            <w:tcW w:type="dxa" w:w="1734"/>
            <w:tcMar>
              <w:top w:w="40" w:type="dxa"/>
              <w:left w:w="110" w:type="dxa"/>
              <w:bottom w:w="40" w:type="dxa"/>
              <w:right w:w="110" w:type="dxa"/>
            </w:tcMar>
          </w:tcPr>
          <w:p>
            <w:pPr>
              <w:pStyle w:val="MasttTableCell"/>
              <w:spacing w:before="20" w:after="20"/>
            </w:pPr>
            <w:r/>
            <w:r>
              <w:rPr>
                <w:rFonts w:ascii="Segoe UI" w:hAnsi="Segoe UI"/>
                <w:color w:val="1D3245"/>
                <w:sz w:val="17"/>
              </w:rPr>
              <w:t>0</w:t>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r>
      <w:tr>
        <w:trPr>
          <w:cantSplit w:val="true"/>
        </w:trPr>
        <w:tc>
          <w:tcPr>
            <w:tcW w:type="dxa" w:w="82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Lag</w:t>
            </w:r>
          </w:p>
        </w:tc>
        <w:tc>
          <w:tcPr>
            <w:tcW w:type="dxa" w:w="20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Enforcement actions</w:t>
            </w:r>
          </w:p>
        </w:tc>
        <w:tc>
          <w:tcPr>
            <w:tcW w:type="dxa" w:w="34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Notices issued by a regulator</w:t>
            </w:r>
          </w:p>
        </w:tc>
        <w:tc>
          <w:tcPr>
            <w:tcW w:type="dxa" w:w="17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0</w:t>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r>
    </w:tbl>
    <w:p>
      <w:pPr>
        <w:rPr>
          <w:sz w:val="8"/>
        </w:rPr>
        <w:spacing w:after="40" w:before="0" w:line="240" w:lineRule="auto"/>
      </w:pPr>
    </w:p>
    <w:p>
      <w:pPr>
        <w:pStyle w:val="Heading2"/>
      </w:pPr>
      <w:r>
        <w:t>12.10  Assurance and audit</w:t>
      </w:r>
    </w:p>
    <w:p>
      <w:pPr>
        <w:pStyle w:val="ListBullet"/>
        <w:spacing w:after="60"/>
        <w:ind w:left="340"/>
      </w:pPr>
      <w:r>
        <w:rPr>
          <w:rFonts w:ascii="Segoe UI" w:hAnsi="Segoe UI"/>
          <w:color w:val="1D3245"/>
          <w:sz w:val="20"/>
        </w:rPr>
        <w:t>Client-led HSE audits are conducted at least quarterly, and within one month of mobilisation of any new principal contractor.</w:t>
      </w:r>
    </w:p>
    <w:p>
      <w:pPr>
        <w:pStyle w:val="ListBullet"/>
        <w:spacing w:after="60"/>
        <w:ind w:left="340"/>
      </w:pPr>
      <w:r>
        <w:rPr>
          <w:rFonts w:ascii="Segoe UI" w:hAnsi="Segoe UI"/>
          <w:color w:val="1D3245"/>
          <w:sz w:val="20"/>
        </w:rPr>
        <w:t>Executive safety walks are undertaken monthly by the Project Director and at least quarterly by the Sponsor.</w:t>
      </w:r>
    </w:p>
    <w:p>
      <w:pPr>
        <w:pStyle w:val="ListBullet"/>
        <w:spacing w:after="60"/>
        <w:ind w:left="340"/>
      </w:pPr>
      <w:r>
        <w:rPr>
          <w:rFonts w:ascii="Segoe UI" w:hAnsi="Segoe UI"/>
          <w:color w:val="1D3245"/>
          <w:sz w:val="20"/>
        </w:rPr>
        <w:t>Findings are rated by consequence, assigned an owner and a due date, and tracked to verified closure.</w:t>
      </w:r>
    </w:p>
    <w:p>
      <w:pPr>
        <w:pStyle w:val="ListBullet"/>
        <w:spacing w:after="60"/>
        <w:ind w:left="340"/>
      </w:pPr>
      <w:r>
        <w:rPr>
          <w:rFonts w:ascii="Segoe UI" w:hAnsi="Segoe UI"/>
          <w:color w:val="1D3245"/>
          <w:sz w:val="20"/>
        </w:rPr>
        <w:t>Repeat or systemic findings trigger a formal review of the contractor's management system and, where necessary, a stop-work.</w:t>
      </w:r>
    </w:p>
    <w:p>
      <w:pPr>
        <w:pStyle w:val="Heading2"/>
      </w:pPr>
      <w:r>
        <w:t>12.11  Wellbeing, mental health and fatigue</w:t>
      </w:r>
    </w:p>
    <w:p>
      <w:pPr>
        <w:pStyle w:val="ListBullet"/>
        <w:spacing w:after="60"/>
        <w:ind w:left="340"/>
      </w:pPr>
      <w:r>
        <w:rPr>
          <w:rFonts w:ascii="Segoe UI" w:hAnsi="Segoe UI"/>
          <w:color w:val="1D3245"/>
          <w:sz w:val="20"/>
        </w:rPr>
        <w:t>Mental health is managed as a project risk, not a welfare afterthought. Support arrangements, including confidential counselling access, are made available to all personnel including subcontractors.</w:t>
      </w:r>
    </w:p>
    <w:p>
      <w:pPr>
        <w:pStyle w:val="ListBullet"/>
        <w:spacing w:after="60"/>
        <w:ind w:left="340"/>
      </w:pPr>
      <w:r>
        <w:rPr>
          <w:rFonts w:ascii="Segoe UI" w:hAnsi="Segoe UI"/>
          <w:color w:val="1D3245"/>
          <w:sz w:val="20"/>
        </w:rPr>
        <w:t>Trained mental health first aiders are appointed in proportion to the workforce, and their identity is publicised on site.</w:t>
      </w:r>
    </w:p>
    <w:p>
      <w:pPr>
        <w:pStyle w:val="ListBullet"/>
        <w:spacing w:after="60"/>
        <w:ind w:left="340"/>
      </w:pPr>
      <w:r>
        <w:rPr>
          <w:rFonts w:ascii="Segoe UI" w:hAnsi="Segoe UI"/>
          <w:color w:val="1D3245"/>
          <w:sz w:val="20"/>
        </w:rPr>
        <w:t>Working hours, roster patterns and travel time are monitored against defined fatigue limits; extended shifts and consecutive days worked require documented approval and a fatigue risk assessment.</w:t>
      </w:r>
    </w:p>
    <w:p>
      <w:pPr>
        <w:pStyle w:val="ListBullet"/>
        <w:spacing w:after="60"/>
        <w:ind w:left="340"/>
      </w:pPr>
      <w:r>
        <w:rPr>
          <w:rFonts w:ascii="Segoe UI" w:hAnsi="Segoe UI"/>
          <w:color w:val="1D3245"/>
          <w:sz w:val="20"/>
        </w:rPr>
        <w:t>Fatigue is treated as a hazard in its own right and is considered in shift planning, night work, and after significant overtime or acceleration.</w:t>
      </w:r>
    </w:p>
    <w:p>
      <w:pPr>
        <w:pStyle w:val="ListBullet"/>
        <w:spacing w:after="60"/>
        <w:ind w:left="340"/>
      </w:pPr>
      <w:r>
        <w:rPr>
          <w:rFonts w:ascii="Segoe UI" w:hAnsi="Segoe UI"/>
          <w:color w:val="1D3245"/>
          <w:sz w:val="20"/>
        </w:rPr>
        <w:t>Welfare facilities - amenities, rest areas, drinking water, shade and climate protection - are provided in proportion to the workforce and the climate.</w:t>
      </w:r>
    </w:p>
    <w:p>
      <w:pPr>
        <w:pStyle w:val="ListBullet"/>
        <w:spacing w:after="60"/>
        <w:ind w:left="340"/>
      </w:pPr>
      <w:r>
        <w:rPr>
          <w:rFonts w:ascii="Segoe UI" w:hAnsi="Segoe UI"/>
          <w:color w:val="1D3245"/>
          <w:sz w:val="20"/>
        </w:rPr>
        <w:t>Bullying, harassment and discrimination are managed under a stated policy with a confidential reporting channel and defined consequences.</w:t>
      </w:r>
    </w:p>
    <w:p>
      <w:pPr>
        <w:pStyle w:val="ListBullet"/>
        <w:spacing w:after="60"/>
        <w:ind w:left="340"/>
      </w:pPr>
      <w:r>
        <w:rPr>
          <w:rFonts w:ascii="Segoe UI" w:hAnsi="Segoe UI"/>
          <w:color w:val="1D3245"/>
          <w:sz w:val="20"/>
        </w:rPr>
        <w:t>Wellbeing indicators - participation rates, absenteeism, turnover, and anonymous pulse surveys - are reported alongside safety indicators.</w:t>
      </w:r>
    </w:p>
    <w:p>
      <w:r>
        <w:br w:type="page"/>
      </w:r>
    </w:p>
    <w:p>
      <w:pPr>
        <w:pStyle w:val="Heading1"/>
        <w:pBdr>
          <w:bottom w:val="single" w:sz="6" w:space="4" w:color="C9D4E0"/>
        </w:pBdr>
      </w:pPr>
      <w:r>
        <w:t>13.  Environmental, social and sustainability management</w:t>
      </w:r>
    </w:p>
    <w:p>
      <w:pPr>
        <w:pStyle w:val="Heading2"/>
      </w:pPr>
      <w:r>
        <w:t>13.1  Approach</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Set out the environmental management system, the approvals that constrain the works, and the sustainability outcomes the project has committed to. Every commitment must have a measurement method and an owner - an unmeasured target is a future audit finding.</w:t>
            </w:r>
          </w:p>
        </w:tc>
      </w:tr>
    </w:tbl>
    <w:p>
      <w:pPr>
        <w:rPr>
          <w:sz w:val="8"/>
        </w:rPr>
        <w:spacing w:after="40" w:before="0" w:line="240" w:lineRule="auto"/>
      </w:pPr>
    </w:p>
    <w:p>
      <w:pPr>
        <w:pStyle w:val="MasttBody"/>
      </w:pPr>
      <w:r>
        <w:t>Environmental management aligns to ISO 14001 principles. Sustainability outcomes are pursued through design, procurement and construction practice, and are measured and reported with the same discipline as cost and schedule.</w:t>
      </w:r>
    </w:p>
    <w:p>
      <w:pPr>
        <w:pStyle w:val="Heading2"/>
      </w:pPr>
      <w:r>
        <w:t>13.2  Environmental management plan requirements</w:t>
      </w:r>
    </w:p>
    <w:p>
      <w:pPr>
        <w:pStyle w:val="ListBullet"/>
        <w:spacing w:after="60"/>
        <w:ind w:left="340"/>
      </w:pPr>
      <w:r>
        <w:rPr>
          <w:rFonts w:ascii="Segoe UI" w:hAnsi="Segoe UI"/>
          <w:color w:val="1D3245"/>
          <w:sz w:val="20"/>
        </w:rPr>
        <w:t>A construction environmental management plan is prepared by the contractor and accepted before site mobilisation.</w:t>
      </w:r>
    </w:p>
    <w:p>
      <w:pPr>
        <w:pStyle w:val="ListBullet"/>
        <w:spacing w:after="60"/>
        <w:ind w:left="340"/>
      </w:pPr>
      <w:r>
        <w:rPr>
          <w:rFonts w:ascii="Segoe UI" w:hAnsi="Segoe UI"/>
          <w:color w:val="1D3245"/>
          <w:sz w:val="20"/>
        </w:rPr>
        <w:t>It addresses, as a minimum: consent and permit conditions; erosion and sediment control; water quality and discharge; noise and vibration; air quality and dust; contaminated land and acid sulphate soils; hazardous materials; waste and resource recovery; flora, fauna and habitat; heritage and cultural sites; and incident and emergency response.</w:t>
      </w:r>
    </w:p>
    <w:p>
      <w:pPr>
        <w:pStyle w:val="ListBullet"/>
        <w:spacing w:after="60"/>
        <w:ind w:left="340"/>
      </w:pPr>
      <w:r>
        <w:rPr>
          <w:rFonts w:ascii="Segoe UI" w:hAnsi="Segoe UI"/>
          <w:color w:val="1D3245"/>
          <w:sz w:val="20"/>
        </w:rPr>
        <w:t>Sub-plans are prepared where a consent condition or a specific risk requires them.</w:t>
      </w:r>
    </w:p>
    <w:p>
      <w:pPr>
        <w:pStyle w:val="ListBullet"/>
        <w:spacing w:after="60"/>
        <w:ind w:left="340"/>
      </w:pPr>
      <w:r>
        <w:rPr>
          <w:rFonts w:ascii="Segoe UI" w:hAnsi="Segoe UI"/>
          <w:color w:val="1D3245"/>
          <w:sz w:val="20"/>
        </w:rPr>
        <w:t>Environmental monitoring is conducted at the frequency and locations required by the consent conditions, with results reported and exceedances notified.</w:t>
      </w:r>
    </w:p>
    <w:p>
      <w:pPr>
        <w:pStyle w:val="Heading2"/>
      </w:pPr>
      <w:r>
        <w:t>13.3  Approvals and permits register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658"/>
        <w:gridCol w:w="1583"/>
        <w:gridCol w:w="1322"/>
        <w:gridCol w:w="1493"/>
        <w:gridCol w:w="1045"/>
        <w:gridCol w:w="933"/>
        <w:gridCol w:w="1514"/>
        <w:gridCol w:w="864"/>
      </w:tblGrid>
      <w:tr>
        <w:trPr>
          <w:tblHeader w:val="true"/>
          <w:cantSplit w:val="true"/>
        </w:trPr>
        <w:tc>
          <w:tcPr>
            <w:tcW w:type="dxa" w:w="65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Ref</w:t>
            </w:r>
          </w:p>
        </w:tc>
        <w:tc>
          <w:tcPr>
            <w:tcW w:type="dxa" w:w="158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Approval / permit</w:t>
            </w:r>
          </w:p>
        </w:tc>
        <w:tc>
          <w:tcPr>
            <w:tcW w:type="dxa" w:w="132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Issuing authority</w:t>
            </w:r>
          </w:p>
        </w:tc>
        <w:tc>
          <w:tcPr>
            <w:tcW w:type="dxa" w:w="14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Application date</w:t>
            </w:r>
          </w:p>
        </w:tc>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Granted</w:t>
            </w:r>
          </w:p>
        </w:tc>
        <w:tc>
          <w:tcPr>
            <w:tcW w:type="dxa" w:w="93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Expiry</w:t>
            </w:r>
          </w:p>
        </w:tc>
        <w:tc>
          <w:tcPr>
            <w:tcW w:type="dxa" w:w="15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Key conditions</w:t>
            </w:r>
          </w:p>
        </w:tc>
        <w:tc>
          <w:tcPr>
            <w:tcW w:type="dxa" w:w="86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Owner</w:t>
            </w:r>
          </w:p>
        </w:tc>
      </w:tr>
      <w:tr>
        <w:trPr>
          <w:cantSplit w:val="true"/>
        </w:trPr>
        <w:tc>
          <w:tcPr>
            <w:tcW w:type="dxa" w:w="658"/>
            <w:tcMar>
              <w:top w:w="40" w:type="dxa"/>
              <w:left w:w="110" w:type="dxa"/>
              <w:bottom w:w="40" w:type="dxa"/>
              <w:right w:w="110" w:type="dxa"/>
            </w:tcMar>
          </w:tcPr>
          <w:p>
            <w:pPr>
              <w:pStyle w:val="MasttTableCell"/>
              <w:spacing w:before="20" w:after="20"/>
            </w:pPr>
            <w:r/>
            <w:r>
              <w:rPr>
                <w:rFonts w:ascii="Segoe UI" w:hAnsi="Segoe UI"/>
                <w:b/>
                <w:color w:val="1D3245"/>
                <w:sz w:val="16"/>
              </w:rPr>
              <w:t>AP01</w:t>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6"/>
              </w:rPr>
              <w:t>Planning / development consent</w:t>
            </w:r>
          </w:p>
        </w:tc>
        <w:tc>
          <w:tcPr>
            <w:tcW w:type="dxa" w:w="132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AP02</w:t>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Building / construction permit</w:t>
            </w:r>
          </w:p>
        </w:tc>
        <w:tc>
          <w:tcPr>
            <w:tcW w:type="dxa" w:w="13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tcPr>
          <w:p>
            <w:pPr>
              <w:pStyle w:val="MasttTableCell"/>
              <w:spacing w:before="20" w:after="20"/>
            </w:pPr>
            <w:r/>
            <w:r>
              <w:rPr>
                <w:rFonts w:ascii="Segoe UI" w:hAnsi="Segoe UI"/>
                <w:b/>
                <w:color w:val="1D3245"/>
                <w:sz w:val="16"/>
              </w:rPr>
              <w:t>AP03</w:t>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6"/>
              </w:rPr>
              <w:t>Environmental licence or approval</w:t>
            </w:r>
          </w:p>
        </w:tc>
        <w:tc>
          <w:tcPr>
            <w:tcW w:type="dxa" w:w="132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AP04</w:t>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Vegetation removal / tree permit</w:t>
            </w:r>
          </w:p>
        </w:tc>
        <w:tc>
          <w:tcPr>
            <w:tcW w:type="dxa" w:w="13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tcPr>
          <w:p>
            <w:pPr>
              <w:pStyle w:val="MasttTableCell"/>
              <w:spacing w:before="20" w:after="20"/>
            </w:pPr>
            <w:r/>
            <w:r>
              <w:rPr>
                <w:rFonts w:ascii="Segoe UI" w:hAnsi="Segoe UI"/>
                <w:b/>
                <w:color w:val="1D3245"/>
                <w:sz w:val="16"/>
              </w:rPr>
              <w:t>AP05</w:t>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6"/>
              </w:rPr>
              <w:t>Heritage or cultural approval</w:t>
            </w:r>
          </w:p>
        </w:tc>
        <w:tc>
          <w:tcPr>
            <w:tcW w:type="dxa" w:w="132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AP06</w:t>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Water take, discharge or dewatering</w:t>
            </w:r>
          </w:p>
        </w:tc>
        <w:tc>
          <w:tcPr>
            <w:tcW w:type="dxa" w:w="13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tcPr>
          <w:p>
            <w:pPr>
              <w:pStyle w:val="MasttTableCell"/>
              <w:spacing w:before="20" w:after="20"/>
            </w:pPr>
            <w:r/>
            <w:r>
              <w:rPr>
                <w:rFonts w:ascii="Segoe UI" w:hAnsi="Segoe UI"/>
                <w:b/>
                <w:color w:val="1D3245"/>
                <w:sz w:val="16"/>
              </w:rPr>
              <w:t>AP07</w:t>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6"/>
              </w:rPr>
              <w:t>Road occupancy and traffic management</w:t>
            </w:r>
          </w:p>
        </w:tc>
        <w:tc>
          <w:tcPr>
            <w:tcW w:type="dxa" w:w="132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AP08</w:t>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Out-of-hours works approval</w:t>
            </w:r>
          </w:p>
        </w:tc>
        <w:tc>
          <w:tcPr>
            <w:tcW w:type="dxa" w:w="13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tcPr>
          <w:p>
            <w:pPr>
              <w:pStyle w:val="MasttTableCell"/>
              <w:spacing w:before="20" w:after="20"/>
            </w:pPr>
            <w:r/>
            <w:r>
              <w:rPr>
                <w:rFonts w:ascii="Segoe UI" w:hAnsi="Segoe UI"/>
                <w:b/>
                <w:color w:val="1D3245"/>
                <w:sz w:val="16"/>
              </w:rPr>
              <w:t>AP09</w:t>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6"/>
              </w:rPr>
              <w:t>Waste and contaminated soil disposal</w:t>
            </w:r>
          </w:p>
        </w:tc>
        <w:tc>
          <w:tcPr>
            <w:tcW w:type="dxa" w:w="132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AP10</w:t>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Utility connection approvals</w:t>
            </w:r>
          </w:p>
        </w:tc>
        <w:tc>
          <w:tcPr>
            <w:tcW w:type="dxa" w:w="13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tcPr>
          <w:p>
            <w:pPr>
              <w:pStyle w:val="MasttTableCell"/>
              <w:spacing w:before="20" w:after="20"/>
            </w:pPr>
            <w:r/>
            <w:r>
              <w:rPr>
                <w:rFonts w:ascii="Segoe UI" w:hAnsi="Segoe UI"/>
                <w:b/>
                <w:color w:val="1D3245"/>
                <w:sz w:val="16"/>
              </w:rPr>
              <w:t>AP11</w:t>
            </w:r>
          </w:p>
        </w:tc>
        <w:tc>
          <w:tcPr>
            <w:tcW w:type="dxa" w:w="1583"/>
            <w:tcMar>
              <w:top w:w="40" w:type="dxa"/>
              <w:left w:w="110" w:type="dxa"/>
              <w:bottom w:w="40" w:type="dxa"/>
              <w:right w:w="110" w:type="dxa"/>
            </w:tcMar>
          </w:tcPr>
          <w:p>
            <w:pPr>
              <w:pStyle w:val="MasttTableCell"/>
              <w:spacing w:before="20" w:after="20"/>
            </w:pPr>
            <w:r/>
            <w:r>
              <w:rPr>
                <w:rFonts w:ascii="Segoe UI" w:hAnsi="Segoe UI"/>
                <w:color w:val="1D3245"/>
                <w:sz w:val="16"/>
              </w:rPr>
              <w:t>Occupation / operating certificate</w:t>
            </w:r>
          </w:p>
        </w:tc>
        <w:tc>
          <w:tcPr>
            <w:tcW w:type="dxa" w:w="1322"/>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65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r>
          </w:p>
        </w:tc>
        <w:tc>
          <w:tcPr>
            <w:tcW w:type="dxa" w:w="15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32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5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6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bl>
    <w:p>
      <w:pPr>
        <w:rPr>
          <w:sz w:val="8"/>
        </w:rPr>
        <w:spacing w:after="40" w:before="0" w:line="240" w:lineRule="auto"/>
      </w:pPr>
    </w:p>
    <w:p>
      <w:pPr>
        <w:pStyle w:val="MasttBody"/>
      </w:pPr>
      <w:r>
        <w:t>Each consent condition is decomposed into a discrete, assignable obligation in the compliance tracker, with an owner, an evidence requirement and a verification date. Compliance is reported monthly and audited quarterly.</w:t>
      </w:r>
    </w:p>
    <w:p>
      <w:pPr>
        <w:pStyle w:val="Heading2"/>
      </w:pPr>
      <w:r>
        <w:t>13.4  Sustainability targets and rating</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95"/>
        <w:gridCol w:w="1701"/>
        <w:gridCol w:w="1588"/>
        <w:gridCol w:w="2381"/>
        <w:gridCol w:w="1247"/>
      </w:tblGrid>
      <w:tr>
        <w:trPr>
          <w:tblHeader w:val="true"/>
          <w:cantSplit w:val="true"/>
        </w:trPr>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Commitment</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Scheme / standard</w:t>
            </w:r>
          </w:p>
        </w:tc>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w:t>
            </w:r>
          </w:p>
        </w:tc>
        <w:tc>
          <w:tcPr>
            <w:tcW w:type="dxa" w:w="23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Measurement</w:t>
            </w:r>
          </w:p>
        </w:tc>
        <w:tc>
          <w:tcPr>
            <w:tcW w:type="dxa" w:w="12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Sustainability rating certification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[Insert applicable scheme]</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Certified assessment</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ESG Lead</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Energy performance in operation</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Modelled and metered</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Embodied carbon reduction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Life cycle assessment against a baseline design</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ESG Lead</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Operational carbon reduction</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Energy model and metered performance</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Renewable energy generation or procurement</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Installed capacity and supply contracts</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Design Manager</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Potable water reduction</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Metered consumption</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Construction waste diverted from landfill</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≥90% by mass</w:t>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Weighbridge and waste contractor reporting</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Responsibly sourced timber and materials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100% of specified products</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Chain of custody certificates</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Indoor environment quality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381"/>
            <w:tcMar>
              <w:top w:w="40" w:type="dxa"/>
              <w:left w:w="110" w:type="dxa"/>
              <w:bottom w:w="40" w:type="dxa"/>
              <w:right w:w="110" w:type="dxa"/>
            </w:tcMar>
          </w:tcPr>
          <w:p>
            <w:pPr>
              <w:pStyle w:val="MasttTableCell"/>
              <w:spacing w:before="20" w:after="20"/>
            </w:pPr>
            <w:r/>
            <w:r>
              <w:rPr>
                <w:rFonts w:ascii="Segoe UI" w:hAnsi="Segoe UI"/>
                <w:color w:val="1D3245"/>
                <w:sz w:val="17"/>
              </w:rPr>
              <w:t>Verified by commissioning and post-occupancy survey</w:t>
            </w:r>
          </w:p>
        </w:tc>
        <w:tc>
          <w:tcPr>
            <w:tcW w:type="dxa" w:w="1247"/>
            <w:tcMar>
              <w:top w:w="40" w:type="dxa"/>
              <w:left w:w="110" w:type="dxa"/>
              <w:bottom w:w="40" w:type="dxa"/>
              <w:right w:w="110" w:type="dxa"/>
            </w:tcMar>
          </w:tcPr>
          <w:p>
            <w:pPr>
              <w:pStyle w:val="MasttTableCell"/>
              <w:spacing w:before="20" w:after="20"/>
            </w:pPr>
            <w:r/>
            <w:r>
              <w:rPr>
                <w:rFonts w:ascii="Segoe UI" w:hAnsi="Segoe UI"/>
                <w:color w:val="1D3245"/>
                <w:sz w:val="17"/>
              </w:rPr>
              <w:t>Design Manager</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Climate resilience assessment complete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stage 3 gate</w:t>
            </w:r>
          </w:p>
        </w:tc>
        <w:tc>
          <w:tcPr>
            <w:tcW w:type="dxa" w:w="23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Risk assessment report</w:t>
            </w:r>
          </w:p>
        </w:tc>
        <w:tc>
          <w:tcPr>
            <w:tcW w:type="dxa" w:w="124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Manager</w:t>
            </w:r>
          </w:p>
        </w:tc>
      </w:tr>
    </w:tbl>
    <w:p>
      <w:pPr>
        <w:rPr>
          <w:sz w:val="8"/>
        </w:rPr>
        <w:spacing w:after="40" w:before="0" w:line="240" w:lineRule="auto"/>
      </w:pPr>
    </w:p>
    <w:p>
      <w:pPr>
        <w:pStyle w:val="Heading2"/>
      </w:pPr>
      <w:r>
        <w:t>13.5  Carbon management</w:t>
      </w:r>
    </w:p>
    <w:p>
      <w:pPr>
        <w:pStyle w:val="MasttBody"/>
      </w:pPr>
      <w:r>
        <w:t>Carbon is managed across the whole life of the asset. Embodied carbon is assessed at each design stage using a recognised life cycle assessment method, against a defined baseline, and is reported alongside capital cost so that carbon and cost trade-offs are made visibly.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01"/>
        <w:gridCol w:w="2608"/>
        <w:gridCol w:w="1928"/>
        <w:gridCol w:w="3175"/>
      </w:tblGrid>
      <w:tr>
        <w:trPr>
          <w:tblHeader w:val="true"/>
          <w:cantSplit w:val="true"/>
        </w:trPr>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Life cycle stage</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Scope</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Assessed at</w:t>
            </w:r>
          </w:p>
        </w:tc>
        <w:tc>
          <w:tcPr>
            <w:tcW w:type="dxa" w:w="31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Reduction lever</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A1-A3 Product</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Extraction, transport and manufacture of materials</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Stages 2, 3 and 4</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Material selection, low-carbon concrete and steel, reuse</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A4-A5 Construction</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Transport to site and construction process</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Stage 4 and during construction</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Local sourcing, plant electrification, site energy</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B1-B7 Use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Operational energy, water, maintenance and replacement</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Stages 3 and 4</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Passive design, system efficiency, durability</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C1-C4 End of life</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Deconstruction, transport, processing, disposal</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Stage 3</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for disassembly, material passports</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7"/>
              </w:rPr>
              <w:t>D Beyond life cycle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Reuse, recovery and recycling potential</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Stage 3</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Circular design and take-back arrangements</w:t>
            </w:r>
          </w:p>
        </w:tc>
      </w:tr>
    </w:tbl>
    <w:p>
      <w:pPr>
        <w:rPr>
          <w:sz w:val="8"/>
        </w:rPr>
        <w:spacing w:after="40" w:before="0" w:line="240" w:lineRule="auto"/>
      </w:pPr>
    </w:p>
    <w:p>
      <w:pPr>
        <w:pStyle w:val="ListBullet"/>
        <w:spacing w:after="60"/>
        <w:ind w:left="340"/>
      </w:pPr>
      <w:r>
        <w:rPr>
          <w:rFonts w:ascii="Segoe UI" w:hAnsi="Segoe UI"/>
          <w:color w:val="1D3245"/>
          <w:sz w:val="20"/>
        </w:rPr>
        <w:t>A carbon baseline is fixed at the end of concept design; all subsequent reduction is measured against it.</w:t>
      </w:r>
    </w:p>
    <w:p>
      <w:pPr>
        <w:pStyle w:val="ListBullet"/>
        <w:spacing w:after="60"/>
        <w:ind w:left="340"/>
      </w:pPr>
      <w:r>
        <w:rPr>
          <w:rFonts w:ascii="Segoe UI" w:hAnsi="Segoe UI"/>
          <w:color w:val="1D3245"/>
          <w:sz w:val="20"/>
        </w:rPr>
        <w:t>Carbon reduction options are assessed in the same value management process as cost, with the cost per tonne abated recorded.</w:t>
      </w:r>
    </w:p>
    <w:p>
      <w:pPr>
        <w:pStyle w:val="ListBullet"/>
        <w:spacing w:after="60"/>
        <w:ind w:left="340"/>
      </w:pPr>
      <w:r>
        <w:rPr>
          <w:rFonts w:ascii="Segoe UI" w:hAnsi="Segoe UI"/>
          <w:color w:val="1D3245"/>
          <w:sz w:val="20"/>
        </w:rPr>
        <w:t>Construction-stage carbon - fuel, electricity, transport and waste - is measured monthly from contractor data.</w:t>
      </w:r>
    </w:p>
    <w:p>
      <w:pPr>
        <w:pStyle w:val="ListBullet"/>
        <w:spacing w:after="60"/>
        <w:ind w:left="340"/>
      </w:pPr>
      <w:r>
        <w:rPr>
          <w:rFonts w:ascii="Segoe UI" w:hAnsi="Segoe UI"/>
          <w:color w:val="1D3245"/>
          <w:sz w:val="20"/>
        </w:rPr>
        <w:t>Offsets are used only for genuinely residual emissions after reduction, and only from a source accepted by the client's policy.</w:t>
      </w:r>
    </w:p>
    <w:p>
      <w:pPr>
        <w:pStyle w:val="Heading2"/>
      </w:pPr>
      <w:r>
        <w:t>13.6  Waste and circular economy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1474"/>
        <w:gridCol w:w="3175"/>
        <w:gridCol w:w="2835"/>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Stream</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 diversion</w:t>
            </w:r>
          </w:p>
        </w:tc>
        <w:tc>
          <w:tcPr>
            <w:tcW w:type="dxa" w:w="31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Method</w:t>
            </w:r>
          </w:p>
        </w:tc>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Evidence</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Excavated material</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≥95%</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Reuse on site; cut-fill balance; beneficial reuse off site</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Volume records and disposal dockets</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Concrete and masonry</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≥95%</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Crushing and reuse as sub-base</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Weighbridge records</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Metals</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≥98%</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Segregation and recycling</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Recycler receipts</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Timber</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≥80%</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Reuse, mulching or recycling</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Waste contractor reporting</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Plasterboard</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≥70%</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Manufacturer take-back or recycling</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Take-back receipts</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Packaging</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≥90%</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Supplier take-back and segregated recycling</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Waste contractor reporting</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General / mixed waste</w:t>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t>≥60%</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Off-site sorting</w:t>
            </w:r>
          </w:p>
        </w:tc>
        <w:tc>
          <w:tcPr>
            <w:tcW w:type="dxa" w:w="2835"/>
            <w:tcMar>
              <w:top w:w="40" w:type="dxa"/>
              <w:left w:w="110" w:type="dxa"/>
              <w:bottom w:w="40" w:type="dxa"/>
              <w:right w:w="110" w:type="dxa"/>
            </w:tcMar>
          </w:tcPr>
          <w:p>
            <w:pPr>
              <w:pStyle w:val="MasttTableCell"/>
              <w:spacing w:before="20" w:after="20"/>
            </w:pPr>
            <w:r/>
            <w:r>
              <w:rPr>
                <w:rFonts w:ascii="Segoe UI" w:hAnsi="Segoe UI"/>
                <w:color w:val="1D3245"/>
                <w:sz w:val="17"/>
              </w:rPr>
              <w:t>Facility reporting</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Hazardous waste</w:t>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0% to landfill without treatment</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Licensed treatment and disposal</w:t>
            </w:r>
          </w:p>
        </w:tc>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Consignment notes</w:t>
            </w:r>
          </w:p>
        </w:tc>
      </w:tr>
    </w:tbl>
    <w:p>
      <w:pPr>
        <w:rPr>
          <w:sz w:val="8"/>
        </w:rPr>
        <w:spacing w:after="40" w:before="0" w:line="240" w:lineRule="auto"/>
      </w:pPr>
    </w:p>
    <w:p>
      <w:pPr>
        <w:pStyle w:val="Heading2"/>
      </w:pPr>
      <w:r>
        <w:t>13.7  Environmental controls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526"/>
        <w:gridCol w:w="3036"/>
        <w:gridCol w:w="2487"/>
        <w:gridCol w:w="2363"/>
      </w:tblGrid>
      <w:tr>
        <w:trPr>
          <w:tblHeader w:val="true"/>
          <w:cantSplit w:val="true"/>
        </w:trPr>
        <w:tc>
          <w:tcPr>
            <w:tcW w:type="dxa" w:w="152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Aspect</w:t>
            </w:r>
          </w:p>
        </w:tc>
        <w:tc>
          <w:tcPr>
            <w:tcW w:type="dxa" w:w="303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Control</w:t>
            </w:r>
          </w:p>
        </w:tc>
        <w:tc>
          <w:tcPr>
            <w:tcW w:type="dxa" w:w="24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Monitoring</w:t>
            </w:r>
          </w:p>
        </w:tc>
        <w:tc>
          <w:tcPr>
            <w:tcW w:type="dxa" w:w="236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Limit / trigger</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Noise</w:t>
            </w:r>
          </w:p>
        </w:tc>
        <w:tc>
          <w:tcPr>
            <w:tcW w:type="dxa" w:w="3036"/>
            <w:tcMar>
              <w:top w:w="40" w:type="dxa"/>
              <w:left w:w="110" w:type="dxa"/>
              <w:bottom w:w="40" w:type="dxa"/>
              <w:right w:w="110" w:type="dxa"/>
            </w:tcMar>
          </w:tcPr>
          <w:p>
            <w:pPr>
              <w:pStyle w:val="MasttTableCell"/>
              <w:spacing w:before="20" w:after="20"/>
            </w:pPr>
            <w:r/>
            <w:r>
              <w:rPr>
                <w:rFonts w:ascii="Segoe UI" w:hAnsi="Segoe UI"/>
                <w:color w:val="1D3245"/>
                <w:sz w:val="17"/>
              </w:rPr>
              <w:t>Plant selection, screening, restricted hours, respite periods</w:t>
            </w:r>
          </w:p>
        </w:tc>
        <w:tc>
          <w:tcPr>
            <w:tcW w:type="dxa" w:w="2487"/>
            <w:tcMar>
              <w:top w:w="40" w:type="dxa"/>
              <w:left w:w="110" w:type="dxa"/>
              <w:bottom w:w="40" w:type="dxa"/>
              <w:right w:w="110" w:type="dxa"/>
            </w:tcMar>
          </w:tcPr>
          <w:p>
            <w:pPr>
              <w:pStyle w:val="MasttTableCell"/>
              <w:spacing w:before="20" w:after="20"/>
            </w:pPr>
            <w:r/>
            <w:r>
              <w:rPr>
                <w:rFonts w:ascii="Segoe UI" w:hAnsi="Segoe UI"/>
                <w:color w:val="1D3245"/>
                <w:sz w:val="17"/>
              </w:rPr>
              <w:t>Attended and continuous monitoring at sensitive receivers</w:t>
            </w:r>
          </w:p>
        </w:tc>
        <w:tc>
          <w:tcPr>
            <w:tcW w:type="dxa" w:w="2363"/>
            <w:tcMar>
              <w:top w:w="40" w:type="dxa"/>
              <w:left w:w="110" w:type="dxa"/>
              <w:bottom w:w="40" w:type="dxa"/>
              <w:right w:w="110" w:type="dxa"/>
            </w:tcMar>
          </w:tcPr>
          <w:p>
            <w:pPr>
              <w:pStyle w:val="MasttTableCell"/>
              <w:spacing w:before="20" w:after="20"/>
            </w:pPr>
            <w:r/>
            <w:r>
              <w:rPr>
                <w:rFonts w:ascii="Segoe UI" w:hAnsi="Segoe UI"/>
                <w:color w:val="1D3245"/>
                <w:sz w:val="17"/>
              </w:rPr>
              <w:t>As set by the consent conditions</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Vibration</w:t>
            </w:r>
          </w:p>
        </w:tc>
        <w:tc>
          <w:tcPr>
            <w:tcW w:type="dxa" w:w="30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Method selection, exclusion zones, condition surveys of adjacent structures</w:t>
            </w:r>
          </w:p>
        </w:tc>
        <w:tc>
          <w:tcPr>
            <w:tcW w:type="dxa" w:w="24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Continuous monitoring with alarms</w:t>
            </w:r>
          </w:p>
        </w:tc>
        <w:tc>
          <w:tcPr>
            <w:tcW w:type="dxa" w:w="23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Cosmetic damage and human comfort criteria</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Dust and air quality</w:t>
            </w:r>
          </w:p>
        </w:tc>
        <w:tc>
          <w:tcPr>
            <w:tcW w:type="dxa" w:w="3036"/>
            <w:tcMar>
              <w:top w:w="40" w:type="dxa"/>
              <w:left w:w="110" w:type="dxa"/>
              <w:bottom w:w="40" w:type="dxa"/>
              <w:right w:w="110" w:type="dxa"/>
            </w:tcMar>
          </w:tcPr>
          <w:p>
            <w:pPr>
              <w:pStyle w:val="MasttTableCell"/>
              <w:spacing w:before="20" w:after="20"/>
            </w:pPr>
            <w:r/>
            <w:r>
              <w:rPr>
                <w:rFonts w:ascii="Segoe UI" w:hAnsi="Segoe UI"/>
                <w:color w:val="1D3245"/>
                <w:sz w:val="17"/>
              </w:rPr>
              <w:t>Water suppression, wheel wash, covered loads, stabilised surfaces</w:t>
            </w:r>
          </w:p>
        </w:tc>
        <w:tc>
          <w:tcPr>
            <w:tcW w:type="dxa" w:w="2487"/>
            <w:tcMar>
              <w:top w:w="40" w:type="dxa"/>
              <w:left w:w="110" w:type="dxa"/>
              <w:bottom w:w="40" w:type="dxa"/>
              <w:right w:w="110" w:type="dxa"/>
            </w:tcMar>
          </w:tcPr>
          <w:p>
            <w:pPr>
              <w:pStyle w:val="MasttTableCell"/>
              <w:spacing w:before="20" w:after="20"/>
            </w:pPr>
            <w:r/>
            <w:r>
              <w:rPr>
                <w:rFonts w:ascii="Segoe UI" w:hAnsi="Segoe UI"/>
                <w:color w:val="1D3245"/>
                <w:sz w:val="17"/>
              </w:rPr>
              <w:t>Visual assessment and deposition monitoring</w:t>
            </w:r>
          </w:p>
        </w:tc>
        <w:tc>
          <w:tcPr>
            <w:tcW w:type="dxa" w:w="2363"/>
            <w:tcMar>
              <w:top w:w="40" w:type="dxa"/>
              <w:left w:w="110" w:type="dxa"/>
              <w:bottom w:w="40" w:type="dxa"/>
              <w:right w:w="110" w:type="dxa"/>
            </w:tcMar>
          </w:tcPr>
          <w:p>
            <w:pPr>
              <w:pStyle w:val="MasttTableCell"/>
              <w:spacing w:before="20" w:after="20"/>
            </w:pPr>
            <w:r/>
            <w:r>
              <w:rPr>
                <w:rFonts w:ascii="Segoe UI" w:hAnsi="Segoe UI"/>
                <w:color w:val="1D3245"/>
                <w:sz w:val="17"/>
              </w:rPr>
              <w:t>No visible dust beyond the boundary</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Water quality and sediment</w:t>
            </w:r>
          </w:p>
        </w:tc>
        <w:tc>
          <w:tcPr>
            <w:tcW w:type="dxa" w:w="30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Sediment basins, silt fences, stabilised entry, treatment before discharge</w:t>
            </w:r>
          </w:p>
        </w:tc>
        <w:tc>
          <w:tcPr>
            <w:tcW w:type="dxa" w:w="24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Discharge sampling and rainfall-triggered inspection</w:t>
            </w:r>
          </w:p>
        </w:tc>
        <w:tc>
          <w:tcPr>
            <w:tcW w:type="dxa" w:w="23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Consent discharge criteria</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Contaminated land</w:t>
            </w:r>
          </w:p>
        </w:tc>
        <w:tc>
          <w:tcPr>
            <w:tcW w:type="dxa" w:w="3036"/>
            <w:tcMar>
              <w:top w:w="40" w:type="dxa"/>
              <w:left w:w="110" w:type="dxa"/>
              <w:bottom w:w="40" w:type="dxa"/>
              <w:right w:w="110" w:type="dxa"/>
            </w:tcMar>
          </w:tcPr>
          <w:p>
            <w:pPr>
              <w:pStyle w:val="MasttTableCell"/>
              <w:spacing w:before="20" w:after="20"/>
            </w:pPr>
            <w:r/>
            <w:r>
              <w:rPr>
                <w:rFonts w:ascii="Segoe UI" w:hAnsi="Segoe UI"/>
                <w:color w:val="1D3245"/>
                <w:sz w:val="17"/>
              </w:rPr>
              <w:t>Validated excavation, classification, licensed disposal, unexpected finds protocol</w:t>
            </w:r>
          </w:p>
        </w:tc>
        <w:tc>
          <w:tcPr>
            <w:tcW w:type="dxa" w:w="2487"/>
            <w:tcMar>
              <w:top w:w="40" w:type="dxa"/>
              <w:left w:w="110" w:type="dxa"/>
              <w:bottom w:w="40" w:type="dxa"/>
              <w:right w:w="110" w:type="dxa"/>
            </w:tcMar>
          </w:tcPr>
          <w:p>
            <w:pPr>
              <w:pStyle w:val="MasttTableCell"/>
              <w:spacing w:before="20" w:after="20"/>
            </w:pPr>
            <w:r/>
            <w:r>
              <w:rPr>
                <w:rFonts w:ascii="Segoe UI" w:hAnsi="Segoe UI"/>
                <w:color w:val="1D3245"/>
                <w:sz w:val="17"/>
              </w:rPr>
              <w:t>Validation sampling</w:t>
            </w:r>
          </w:p>
        </w:tc>
        <w:tc>
          <w:tcPr>
            <w:tcW w:type="dxa" w:w="2363"/>
            <w:tcMar>
              <w:top w:w="40" w:type="dxa"/>
              <w:left w:w="110" w:type="dxa"/>
              <w:bottom w:w="40" w:type="dxa"/>
              <w:right w:w="110" w:type="dxa"/>
            </w:tcMar>
          </w:tcPr>
          <w:p>
            <w:pPr>
              <w:pStyle w:val="MasttTableCell"/>
              <w:spacing w:before="20" w:after="20"/>
            </w:pPr>
            <w:r/>
            <w:r>
              <w:rPr>
                <w:rFonts w:ascii="Segoe UI" w:hAnsi="Segoe UI"/>
                <w:color w:val="1D3245"/>
                <w:sz w:val="17"/>
              </w:rPr>
              <w:t>Land use criteria applicable in the jurisdiction</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Flora, fauna and habitat</w:t>
            </w:r>
          </w:p>
        </w:tc>
        <w:tc>
          <w:tcPr>
            <w:tcW w:type="dxa" w:w="30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Protection zones, supervised clearing, fauna spotter, nesting checks</w:t>
            </w:r>
          </w:p>
        </w:tc>
        <w:tc>
          <w:tcPr>
            <w:tcW w:type="dxa" w:w="24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Ecologist inspection</w:t>
            </w:r>
          </w:p>
        </w:tc>
        <w:tc>
          <w:tcPr>
            <w:tcW w:type="dxa" w:w="23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 clearing outside the approved footprint</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Heritage and cultural</w:t>
            </w:r>
          </w:p>
        </w:tc>
        <w:tc>
          <w:tcPr>
            <w:tcW w:type="dxa" w:w="3036"/>
            <w:tcMar>
              <w:top w:w="40" w:type="dxa"/>
              <w:left w:w="110" w:type="dxa"/>
              <w:bottom w:w="40" w:type="dxa"/>
              <w:right w:w="110" w:type="dxa"/>
            </w:tcMar>
          </w:tcPr>
          <w:p>
            <w:pPr>
              <w:pStyle w:val="MasttTableCell"/>
              <w:spacing w:before="20" w:after="20"/>
            </w:pPr>
            <w:r/>
            <w:r>
              <w:rPr>
                <w:rFonts w:ascii="Segoe UI" w:hAnsi="Segoe UI"/>
                <w:color w:val="1D3245"/>
                <w:sz w:val="17"/>
              </w:rPr>
              <w:t>Exclusion zones, unexpected finds protocol, monitoring where required</w:t>
            </w:r>
          </w:p>
        </w:tc>
        <w:tc>
          <w:tcPr>
            <w:tcW w:type="dxa" w:w="2487"/>
            <w:tcMar>
              <w:top w:w="40" w:type="dxa"/>
              <w:left w:w="110" w:type="dxa"/>
              <w:bottom w:w="40" w:type="dxa"/>
              <w:right w:w="110" w:type="dxa"/>
            </w:tcMar>
          </w:tcPr>
          <w:p>
            <w:pPr>
              <w:pStyle w:val="MasttTableCell"/>
              <w:spacing w:before="20" w:after="20"/>
            </w:pPr>
            <w:r/>
            <w:r>
              <w:rPr>
                <w:rFonts w:ascii="Segoe UI" w:hAnsi="Segoe UI"/>
                <w:color w:val="1D3245"/>
                <w:sz w:val="17"/>
              </w:rPr>
              <w:t>Inspection and, where required, monitoring by a nominated party</w:t>
            </w:r>
          </w:p>
        </w:tc>
        <w:tc>
          <w:tcPr>
            <w:tcW w:type="dxa" w:w="2363"/>
            <w:tcMar>
              <w:top w:w="40" w:type="dxa"/>
              <w:left w:w="110" w:type="dxa"/>
              <w:bottom w:w="40" w:type="dxa"/>
              <w:right w:w="110" w:type="dxa"/>
            </w:tcMar>
          </w:tcPr>
          <w:p>
            <w:pPr>
              <w:pStyle w:val="MasttTableCell"/>
              <w:spacing w:before="20" w:after="20"/>
            </w:pPr>
            <w:r/>
            <w:r>
              <w:rPr>
                <w:rFonts w:ascii="Segoe UI" w:hAnsi="Segoe UI"/>
                <w:color w:val="1D3245"/>
                <w:sz w:val="17"/>
              </w:rPr>
              <w:t>Stop work on any find and notify</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Light spill</w:t>
            </w:r>
          </w:p>
        </w:tc>
        <w:tc>
          <w:tcPr>
            <w:tcW w:type="dxa" w:w="30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Directional lighting, curfews, shielding</w:t>
            </w:r>
          </w:p>
        </w:tc>
        <w:tc>
          <w:tcPr>
            <w:tcW w:type="dxa" w:w="24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Complaint-triggered assessment</w:t>
            </w:r>
          </w:p>
        </w:tc>
        <w:tc>
          <w:tcPr>
            <w:tcW w:type="dxa" w:w="236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Consent conditions</w:t>
            </w:r>
          </w:p>
        </w:tc>
      </w:tr>
    </w:tbl>
    <w:p>
      <w:pPr>
        <w:rPr>
          <w:sz w:val="8"/>
        </w:rPr>
        <w:spacing w:after="40" w:before="0" w:line="240" w:lineRule="auto"/>
      </w:pPr>
    </w:p>
    <w:p>
      <w:pPr>
        <w:pStyle w:val="Heading2"/>
      </w:pPr>
      <w:r>
        <w:t>13.8  Social value and community benefit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68"/>
        <w:gridCol w:w="2797"/>
        <w:gridCol w:w="1129"/>
        <w:gridCol w:w="1332"/>
        <w:gridCol w:w="1686"/>
      </w:tblGrid>
      <w:tr>
        <w:trPr>
          <w:tblHeader w:val="true"/>
          <w:cantSplit w:val="true"/>
        </w:trPr>
        <w:tc>
          <w:tcPr>
            <w:tcW w:type="dxa" w:w="24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Commitment</w:t>
            </w:r>
          </w:p>
        </w:tc>
        <w:tc>
          <w:tcPr>
            <w:tcW w:type="dxa" w:w="279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Measure</w:t>
            </w:r>
          </w:p>
        </w:tc>
        <w:tc>
          <w:tcPr>
            <w:tcW w:type="dxa" w:w="112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w:t>
            </w:r>
          </w:p>
        </w:tc>
        <w:tc>
          <w:tcPr>
            <w:tcW w:type="dxa" w:w="13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Reporting</w:t>
            </w:r>
          </w:p>
        </w:tc>
        <w:tc>
          <w:tcPr>
            <w:tcW w:type="dxa" w:w="16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2468"/>
            <w:tcMar>
              <w:top w:w="40" w:type="dxa"/>
              <w:left w:w="110" w:type="dxa"/>
              <w:bottom w:w="40" w:type="dxa"/>
              <w:right w:w="110" w:type="dxa"/>
            </w:tcMar>
          </w:tcPr>
          <w:p>
            <w:pPr>
              <w:pStyle w:val="MasttTableCell"/>
              <w:spacing w:before="20" w:after="20"/>
            </w:pPr>
            <w:r/>
            <w:r>
              <w:rPr>
                <w:rFonts w:ascii="Segoe UI" w:hAnsi="Segoe UI"/>
                <w:b/>
                <w:color w:val="1D3245"/>
                <w:sz w:val="17"/>
              </w:rPr>
              <w:t>Local employment</w:t>
            </w:r>
          </w:p>
        </w:tc>
        <w:tc>
          <w:tcPr>
            <w:tcW w:type="dxa" w:w="2797"/>
            <w:tcMar>
              <w:top w:w="40" w:type="dxa"/>
              <w:left w:w="110" w:type="dxa"/>
              <w:bottom w:w="40" w:type="dxa"/>
              <w:right w:w="110" w:type="dxa"/>
            </w:tcMar>
          </w:tcPr>
          <w:p>
            <w:pPr>
              <w:pStyle w:val="MasttTableCell"/>
              <w:spacing w:before="20" w:after="20"/>
            </w:pPr>
            <w:r/>
            <w:r>
              <w:rPr>
                <w:rFonts w:ascii="Segoe UI" w:hAnsi="Segoe UI"/>
                <w:color w:val="1D3245"/>
                <w:sz w:val="17"/>
              </w:rPr>
              <w:t>Percentage of workforce hours from the defined local area</w:t>
            </w:r>
          </w:p>
        </w:tc>
        <w:tc>
          <w:tcPr>
            <w:tcW w:type="dxa" w:w="112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1686"/>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r>
      <w:tr>
        <w:trPr>
          <w:cantSplit w:val="true"/>
        </w:trPr>
        <w:tc>
          <w:tcPr>
            <w:tcW w:type="dxa" w:w="24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Apprentices and trainees</w:t>
            </w:r>
          </w:p>
        </w:tc>
        <w:tc>
          <w:tcPr>
            <w:tcW w:type="dxa" w:w="27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Percentage of total labour hours</w:t>
            </w:r>
          </w:p>
        </w:tc>
        <w:tc>
          <w:tcPr>
            <w:tcW w:type="dxa" w:w="11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Monthly</w:t>
            </w:r>
          </w:p>
        </w:tc>
        <w:tc>
          <w:tcPr>
            <w:tcW w:type="dxa" w:w="16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w:t>
            </w:r>
          </w:p>
        </w:tc>
      </w:tr>
      <w:tr>
        <w:trPr>
          <w:cantSplit w:val="true"/>
        </w:trPr>
        <w:tc>
          <w:tcPr>
            <w:tcW w:type="dxa" w:w="2468"/>
            <w:tcMar>
              <w:top w:w="40" w:type="dxa"/>
              <w:left w:w="110" w:type="dxa"/>
              <w:bottom w:w="40" w:type="dxa"/>
              <w:right w:w="110" w:type="dxa"/>
            </w:tcMar>
          </w:tcPr>
          <w:p>
            <w:pPr>
              <w:pStyle w:val="MasttTableCell"/>
              <w:spacing w:before="20" w:after="20"/>
            </w:pPr>
            <w:r/>
            <w:r>
              <w:rPr>
                <w:rFonts w:ascii="Segoe UI" w:hAnsi="Segoe UI"/>
                <w:b/>
                <w:color w:val="1D3245"/>
                <w:sz w:val="17"/>
              </w:rPr>
              <w:t>Local and small business spend</w:t>
            </w:r>
          </w:p>
        </w:tc>
        <w:tc>
          <w:tcPr>
            <w:tcW w:type="dxa" w:w="2797"/>
            <w:tcMar>
              <w:top w:w="40" w:type="dxa"/>
              <w:left w:w="110" w:type="dxa"/>
              <w:bottom w:w="40" w:type="dxa"/>
              <w:right w:w="110" w:type="dxa"/>
            </w:tcMar>
          </w:tcPr>
          <w:p>
            <w:pPr>
              <w:pStyle w:val="MasttTableCell"/>
              <w:spacing w:before="20" w:after="20"/>
            </w:pPr>
            <w:r/>
            <w:r>
              <w:rPr>
                <w:rFonts w:ascii="Segoe UI" w:hAnsi="Segoe UI"/>
                <w:color w:val="1D3245"/>
                <w:sz w:val="17"/>
              </w:rPr>
              <w:t>Percentage of contract value</w:t>
            </w:r>
          </w:p>
        </w:tc>
        <w:tc>
          <w:tcPr>
            <w:tcW w:type="dxa" w:w="112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Monthly</w:t>
            </w:r>
          </w:p>
        </w:tc>
        <w:tc>
          <w:tcPr>
            <w:tcW w:type="dxa" w:w="1686"/>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r>
      <w:tr>
        <w:trPr>
          <w:cantSplit w:val="true"/>
        </w:trPr>
        <w:tc>
          <w:tcPr>
            <w:tcW w:type="dxa" w:w="24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Social enterprise and diverse supplier spend</w:t>
            </w:r>
          </w:p>
        </w:tc>
        <w:tc>
          <w:tcPr>
            <w:tcW w:type="dxa" w:w="27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Value and percentage</w:t>
            </w:r>
          </w:p>
        </w:tc>
        <w:tc>
          <w:tcPr>
            <w:tcW w:type="dxa" w:w="11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Quarterly</w:t>
            </w:r>
          </w:p>
        </w:tc>
        <w:tc>
          <w:tcPr>
            <w:tcW w:type="dxa" w:w="16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r>
      <w:tr>
        <w:trPr>
          <w:cantSplit w:val="true"/>
        </w:trPr>
        <w:tc>
          <w:tcPr>
            <w:tcW w:type="dxa" w:w="2468"/>
            <w:tcMar>
              <w:top w:w="40" w:type="dxa"/>
              <w:left w:w="110" w:type="dxa"/>
              <w:bottom w:w="40" w:type="dxa"/>
              <w:right w:w="110" w:type="dxa"/>
            </w:tcMar>
          </w:tcPr>
          <w:p>
            <w:pPr>
              <w:pStyle w:val="MasttTableCell"/>
              <w:spacing w:before="20" w:after="20"/>
            </w:pPr>
            <w:r/>
            <w:r>
              <w:rPr>
                <w:rFonts w:ascii="Segoe UI" w:hAnsi="Segoe UI"/>
                <w:b/>
                <w:color w:val="1D3245"/>
                <w:sz w:val="17"/>
              </w:rPr>
              <w:t>Indigenous / first nations participation</w:t>
            </w:r>
          </w:p>
        </w:tc>
        <w:tc>
          <w:tcPr>
            <w:tcW w:type="dxa" w:w="2797"/>
            <w:tcMar>
              <w:top w:w="40" w:type="dxa"/>
              <w:left w:w="110" w:type="dxa"/>
              <w:bottom w:w="40" w:type="dxa"/>
              <w:right w:w="110" w:type="dxa"/>
            </w:tcMar>
          </w:tcPr>
          <w:p>
            <w:pPr>
              <w:pStyle w:val="MasttTableCell"/>
              <w:spacing w:before="20" w:after="20"/>
            </w:pPr>
            <w:r/>
            <w:r>
              <w:rPr>
                <w:rFonts w:ascii="Segoe UI" w:hAnsi="Segoe UI"/>
                <w:color w:val="1D3245"/>
                <w:sz w:val="17"/>
              </w:rPr>
              <w:t>Employment and business spend, per the applicable jurisdiction</w:t>
            </w:r>
          </w:p>
        </w:tc>
        <w:tc>
          <w:tcPr>
            <w:tcW w:type="dxa" w:w="112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Quarterly</w:t>
            </w:r>
          </w:p>
        </w:tc>
        <w:tc>
          <w:tcPr>
            <w:tcW w:type="dxa" w:w="1686"/>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r>
      <w:tr>
        <w:trPr>
          <w:cantSplit w:val="true"/>
        </w:trPr>
        <w:tc>
          <w:tcPr>
            <w:tcW w:type="dxa" w:w="24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Workforce diversity</w:t>
            </w:r>
          </w:p>
        </w:tc>
        <w:tc>
          <w:tcPr>
            <w:tcW w:type="dxa" w:w="27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Representation across the workforce</w:t>
            </w:r>
          </w:p>
        </w:tc>
        <w:tc>
          <w:tcPr>
            <w:tcW w:type="dxa" w:w="11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Quarterly</w:t>
            </w:r>
          </w:p>
        </w:tc>
        <w:tc>
          <w:tcPr>
            <w:tcW w:type="dxa" w:w="16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w:t>
            </w:r>
          </w:p>
        </w:tc>
      </w:tr>
      <w:tr>
        <w:trPr>
          <w:cantSplit w:val="true"/>
        </w:trPr>
        <w:tc>
          <w:tcPr>
            <w:tcW w:type="dxa" w:w="2468"/>
            <w:tcMar>
              <w:top w:w="40" w:type="dxa"/>
              <w:left w:w="110" w:type="dxa"/>
              <w:bottom w:w="40" w:type="dxa"/>
              <w:right w:w="110" w:type="dxa"/>
            </w:tcMar>
          </w:tcPr>
          <w:p>
            <w:pPr>
              <w:pStyle w:val="MasttTableCell"/>
              <w:spacing w:before="20" w:after="20"/>
            </w:pPr>
            <w:r/>
            <w:r>
              <w:rPr>
                <w:rFonts w:ascii="Segoe UI" w:hAnsi="Segoe UI"/>
                <w:b/>
                <w:color w:val="1D3245"/>
                <w:sz w:val="17"/>
              </w:rPr>
              <w:t>Community investment</w:t>
            </w:r>
          </w:p>
        </w:tc>
        <w:tc>
          <w:tcPr>
            <w:tcW w:type="dxa" w:w="2797"/>
            <w:tcMar>
              <w:top w:w="40" w:type="dxa"/>
              <w:left w:w="110" w:type="dxa"/>
              <w:bottom w:w="40" w:type="dxa"/>
              <w:right w:w="110" w:type="dxa"/>
            </w:tcMar>
          </w:tcPr>
          <w:p>
            <w:pPr>
              <w:pStyle w:val="MasttTableCell"/>
              <w:spacing w:before="20" w:after="20"/>
            </w:pPr>
            <w:r/>
            <w:r>
              <w:rPr>
                <w:rFonts w:ascii="Segoe UI" w:hAnsi="Segoe UI"/>
                <w:color w:val="1D3245"/>
                <w:sz w:val="17"/>
              </w:rPr>
              <w:t>Hours or value contributed to community initiatives</w:t>
            </w:r>
          </w:p>
        </w:tc>
        <w:tc>
          <w:tcPr>
            <w:tcW w:type="dxa" w:w="112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7"/>
              </w:rPr>
              <w:t>Quarterly</w:t>
            </w:r>
          </w:p>
        </w:tc>
        <w:tc>
          <w:tcPr>
            <w:tcW w:type="dxa" w:w="1686"/>
            <w:tcMar>
              <w:top w:w="40" w:type="dxa"/>
              <w:left w:w="110" w:type="dxa"/>
              <w:bottom w:w="40" w:type="dxa"/>
              <w:right w:w="110" w:type="dxa"/>
            </w:tcMar>
          </w:tcPr>
          <w:p>
            <w:pPr>
              <w:pStyle w:val="MasttTableCell"/>
              <w:spacing w:before="20" w:after="20"/>
            </w:pPr>
            <w:r/>
            <w:r>
              <w:rPr>
                <w:rFonts w:ascii="Segoe UI" w:hAnsi="Segoe UI"/>
                <w:color w:val="1D3245"/>
                <w:sz w:val="17"/>
              </w:rPr>
              <w:t>Comms Lead</w:t>
            </w:r>
          </w:p>
        </w:tc>
      </w:tr>
      <w:tr>
        <w:trPr>
          <w:cantSplit w:val="true"/>
        </w:trPr>
        <w:tc>
          <w:tcPr>
            <w:tcW w:type="dxa" w:w="24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Skills and education engagement</w:t>
            </w:r>
          </w:p>
        </w:tc>
        <w:tc>
          <w:tcPr>
            <w:tcW w:type="dxa" w:w="279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Site visits, work experience and school programmes delivered</w:t>
            </w:r>
          </w:p>
        </w:tc>
        <w:tc>
          <w:tcPr>
            <w:tcW w:type="dxa" w:w="11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Quarterly</w:t>
            </w:r>
          </w:p>
        </w:tc>
        <w:tc>
          <w:tcPr>
            <w:tcW w:type="dxa" w:w="16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Comms Lead</w:t>
            </w:r>
          </w:p>
        </w:tc>
      </w:tr>
    </w:tbl>
    <w:p>
      <w:pPr>
        <w:rPr>
          <w:sz w:val="8"/>
        </w:rPr>
        <w:spacing w:after="40" w:before="0" w:line="240" w:lineRule="auto"/>
      </w:pPr>
    </w:p>
    <w:p>
      <w:pPr>
        <w:pStyle w:val="Heading2"/>
      </w:pPr>
      <w:r>
        <w:t>13.9  Modern slavery and ethical sourcing</w:t>
      </w:r>
    </w:p>
    <w:p>
      <w:pPr>
        <w:pStyle w:val="ListBullet"/>
        <w:spacing w:after="60"/>
        <w:ind w:left="340"/>
      </w:pPr>
      <w:r>
        <w:rPr>
          <w:rFonts w:ascii="Segoe UI" w:hAnsi="Segoe UI"/>
          <w:color w:val="1D3245"/>
          <w:sz w:val="20"/>
        </w:rPr>
        <w:t>Supply chain due diligence is undertaken proportionate to the risk profile of the product and its country of origin, in accordance with the modern slavery and ethical sourcing obligations applicable in the relevant jurisdiction.</w:t>
      </w:r>
    </w:p>
    <w:p>
      <w:pPr>
        <w:pStyle w:val="ListBullet"/>
        <w:spacing w:after="60"/>
        <w:ind w:left="340"/>
      </w:pPr>
      <w:r>
        <w:rPr>
          <w:rFonts w:ascii="Segoe UI" w:hAnsi="Segoe UI"/>
          <w:color w:val="1D3245"/>
          <w:sz w:val="20"/>
        </w:rPr>
        <w:t>High-risk product categories - including stone, brick, glass, solar components, electronics, textiles and some metals - receive enhanced scrutiny and traceability evidence.</w:t>
      </w:r>
    </w:p>
    <w:p>
      <w:pPr>
        <w:pStyle w:val="ListBullet"/>
        <w:spacing w:after="60"/>
        <w:ind w:left="340"/>
      </w:pPr>
      <w:r>
        <w:rPr>
          <w:rFonts w:ascii="Segoe UI" w:hAnsi="Segoe UI"/>
          <w:color w:val="1D3245"/>
          <w:sz w:val="20"/>
        </w:rPr>
        <w:t>Contractual obligations require flow-down of ethical sourcing requirements, a right of audit, and a duty to report suspected exploitation.</w:t>
      </w:r>
    </w:p>
    <w:p>
      <w:pPr>
        <w:pStyle w:val="ListBullet"/>
        <w:spacing w:after="60"/>
        <w:ind w:left="340"/>
      </w:pPr>
      <w:r>
        <w:rPr>
          <w:rFonts w:ascii="Segoe UI" w:hAnsi="Segoe UI"/>
          <w:color w:val="1D3245"/>
          <w:sz w:val="20"/>
        </w:rPr>
        <w:t>A confidential grievance channel is available to all workers in the supply chain, in languages the workforce understands.</w:t>
      </w:r>
    </w:p>
    <w:p>
      <w:pPr>
        <w:pStyle w:val="Heading2"/>
      </w:pPr>
      <w:r>
        <w:t>13.10  Climate resilience and adaptation</w:t>
      </w:r>
    </w:p>
    <w:p>
      <w:pPr>
        <w:pStyle w:val="ListBullet"/>
        <w:spacing w:after="60"/>
        <w:ind w:left="340"/>
      </w:pPr>
      <w:r>
        <w:rPr>
          <w:rFonts w:ascii="Segoe UI" w:hAnsi="Segoe UI"/>
          <w:color w:val="1D3245"/>
          <w:sz w:val="20"/>
        </w:rPr>
        <w:t>A climate risk assessment is undertaken at concept design, considering the asset's design life and plausible warming scenarios.</w:t>
      </w:r>
    </w:p>
    <w:p>
      <w:pPr>
        <w:pStyle w:val="ListBullet"/>
        <w:spacing w:after="60"/>
        <w:ind w:left="340"/>
      </w:pPr>
      <w:r>
        <w:rPr>
          <w:rFonts w:ascii="Segoe UI" w:hAnsi="Segoe UI"/>
          <w:color w:val="1D3245"/>
          <w:sz w:val="20"/>
        </w:rPr>
        <w:t>Physical climate hazards assessed include extreme heat, flooding and stormwater capacity, drought, wind, bushfire or wildfire, coastal inundation and ground movement.</w:t>
      </w:r>
    </w:p>
    <w:p>
      <w:pPr>
        <w:pStyle w:val="ListBullet"/>
        <w:spacing w:after="60"/>
        <w:ind w:left="340"/>
      </w:pPr>
      <w:r>
        <w:rPr>
          <w:rFonts w:ascii="Segoe UI" w:hAnsi="Segoe UI"/>
          <w:color w:val="1D3245"/>
          <w:sz w:val="20"/>
        </w:rPr>
        <w:t>Adaptation measures are incorporated into the design where the whole-of-life case supports them, and residual climate risk is documented and transferred to the operator at handover.</w:t>
      </w:r>
    </w:p>
    <w:p>
      <w:pPr>
        <w:pStyle w:val="ListBullet"/>
        <w:spacing w:after="60"/>
        <w:ind w:left="340"/>
      </w:pPr>
      <w:r>
        <w:rPr>
          <w:rFonts w:ascii="Segoe UI" w:hAnsi="Segoe UI"/>
          <w:color w:val="1D3245"/>
          <w:sz w:val="20"/>
        </w:rPr>
        <w:t>Construction-phase weather risk is separately assessed and reflected in the schedule allowances and the risk register.</w:t>
      </w:r>
    </w:p>
    <w:p>
      <w:r>
        <w:br w:type="page"/>
      </w:r>
    </w:p>
    <w:p>
      <w:pPr>
        <w:pStyle w:val="Heading1"/>
        <w:pBdr>
          <w:bottom w:val="single" w:sz="6" w:space="4" w:color="C9D4E0"/>
        </w:pBdr>
      </w:pPr>
      <w:r>
        <w:t>14.  Information and digital management</w:t>
      </w:r>
    </w:p>
    <w:p>
      <w:pPr>
        <w:pStyle w:val="Heading2"/>
      </w:pPr>
      <w:r>
        <w:t>14.1  Information management strategy</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Align to ISO 19650: the appointing party states what information it needs and why, and the delivery team produces exactly that - no more. The most common failure is specifying a model standard without specifying the asset information the operator will actually use. Start from the operator's requirements and work backwards.</w:t>
            </w:r>
          </w:p>
        </w:tc>
      </w:tr>
    </w:tbl>
    <w:p>
      <w:pPr>
        <w:rPr>
          <w:sz w:val="8"/>
        </w:rPr>
        <w:spacing w:after="40" w:before="0" w:line="240" w:lineRule="auto"/>
      </w:pPr>
    </w:p>
    <w:p>
      <w:pPr>
        <w:pStyle w:val="MasttBody"/>
      </w:pPr>
      <w:r>
        <w:t>Information is managed as a project asset. The information requirements are defined by the purpose to which the information will be put - design decisions, construction, statutory compliance, asset operation and maintenance - and the level of information need is set no higher than that purpose requires.</w:t>
      </w:r>
    </w:p>
    <w:p>
      <w:pPr>
        <w:pStyle w:val="Heading2"/>
      </w:pPr>
      <w:r>
        <w:t>14.2  Information requirements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495"/>
        <w:gridCol w:w="3402"/>
        <w:gridCol w:w="1814"/>
        <w:gridCol w:w="1701"/>
      </w:tblGrid>
      <w:tr>
        <w:trPr>
          <w:tblHeader w:val="true"/>
          <w:cantSplit w:val="true"/>
        </w:trPr>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Requirement</w:t>
            </w:r>
          </w:p>
        </w:tc>
        <w:tc>
          <w:tcPr>
            <w:tcW w:type="dxa" w:w="34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Defines</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Issued to</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Organisational information requirements (OIR)</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What the organisation needs to manage its portfolio</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Client asset management</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Project</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Asset information requirements (AIR)</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What the operator needs to operate and maintain the asset</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 Representative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and supply chain</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Project information requirements (PIR)</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What the client needs to make project decisions</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Delivery team</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Exchange information requirements (EIR)</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What each appointed party must deliver, when, and in what format</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Information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Every appointed party</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BIM execution plan (BEP)</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How the appointed parties will meet the EIR</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Lead appointed party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Information Manager for acceptance</w:t>
            </w:r>
          </w:p>
        </w:tc>
      </w:tr>
      <w:tr>
        <w:trPr>
          <w:cantSplit w:val="true"/>
        </w:trPr>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Master information delivery plan (MIDP)</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The consolidated schedule of every information deliverable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Information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Delivery team</w:t>
            </w:r>
          </w:p>
        </w:tc>
      </w:tr>
      <w:tr>
        <w:trPr>
          <w:cantSplit w:val="true"/>
        </w:trPr>
        <w:tc>
          <w:tcPr>
            <w:tcW w:type="dxa" w:w="2494"/>
            <w:tcMar>
              <w:top w:w="40" w:type="dxa"/>
              <w:left w:w="110" w:type="dxa"/>
              <w:bottom w:w="40" w:type="dxa"/>
              <w:right w:w="110" w:type="dxa"/>
            </w:tcMar>
          </w:tcPr>
          <w:p>
            <w:pPr>
              <w:pStyle w:val="MasttTableCell"/>
              <w:spacing w:before="20" w:after="20"/>
            </w:pPr>
            <w:r/>
            <w:r>
              <w:rPr>
                <w:rFonts w:ascii="Segoe UI" w:hAnsi="Segoe UI"/>
                <w:b/>
                <w:color w:val="1D3245"/>
                <w:sz w:val="17"/>
              </w:rPr>
              <w:t>Task information delivery plan (TIDP)</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Each task team's contribution to the MIDP</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Task team leads</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Information Manager</w:t>
            </w:r>
          </w:p>
        </w:tc>
      </w:tr>
    </w:tbl>
    <w:p>
      <w:pPr>
        <w:rPr>
          <w:sz w:val="8"/>
        </w:rPr>
        <w:spacing w:after="40" w:before="0" w:line="240" w:lineRule="auto"/>
      </w:pPr>
    </w:p>
    <w:p>
      <w:pPr>
        <w:pStyle w:val="Heading2"/>
      </w:pPr>
      <w:r>
        <w:t>14.3  BIM execution and levels of information need</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526"/>
        <w:gridCol w:w="1826"/>
        <w:gridCol w:w="1995"/>
        <w:gridCol w:w="2171"/>
        <w:gridCol w:w="1894"/>
      </w:tblGrid>
      <w:tr>
        <w:trPr>
          <w:tblHeader w:val="true"/>
          <w:cantSplit w:val="true"/>
        </w:trPr>
        <w:tc>
          <w:tcPr>
            <w:tcW w:type="dxa" w:w="152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Stage</w:t>
            </w:r>
          </w:p>
        </w:tc>
        <w:tc>
          <w:tcPr>
            <w:tcW w:type="dxa" w:w="182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Purpose of information</w:t>
            </w:r>
          </w:p>
        </w:tc>
        <w:tc>
          <w:tcPr>
            <w:tcW w:type="dxa" w:w="199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Geometrical detail</w:t>
            </w:r>
          </w:p>
        </w:tc>
        <w:tc>
          <w:tcPr>
            <w:tcW w:type="dxa" w:w="217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Alphanumerical / data</w:t>
            </w:r>
          </w:p>
        </w:tc>
        <w:tc>
          <w:tcPr>
            <w:tcW w:type="dxa" w:w="18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Documentation</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Concept</w:t>
            </w:r>
          </w:p>
        </w:tc>
        <w:tc>
          <w:tcPr>
            <w:tcW w:type="dxa" w:w="1826"/>
            <w:tcMar>
              <w:top w:w="40" w:type="dxa"/>
              <w:left w:w="110" w:type="dxa"/>
              <w:bottom w:w="40" w:type="dxa"/>
              <w:right w:w="110" w:type="dxa"/>
            </w:tcMar>
          </w:tcPr>
          <w:p>
            <w:pPr>
              <w:pStyle w:val="MasttTableCell"/>
              <w:spacing w:before="20" w:after="20"/>
            </w:pPr>
            <w:r/>
            <w:r>
              <w:rPr>
                <w:rFonts w:ascii="Segoe UI" w:hAnsi="Segoe UI"/>
                <w:color w:val="1D3245"/>
                <w:sz w:val="17"/>
              </w:rPr>
              <w:t>Option comparison and area validation</w:t>
            </w:r>
          </w:p>
        </w:tc>
        <w:tc>
          <w:tcPr>
            <w:tcW w:type="dxa" w:w="1995"/>
            <w:tcMar>
              <w:top w:w="40" w:type="dxa"/>
              <w:left w:w="110" w:type="dxa"/>
              <w:bottom w:w="40" w:type="dxa"/>
              <w:right w:w="110" w:type="dxa"/>
            </w:tcMar>
          </w:tcPr>
          <w:p>
            <w:pPr>
              <w:pStyle w:val="MasttTableCell"/>
              <w:spacing w:before="20" w:after="20"/>
            </w:pPr>
            <w:r/>
            <w:r>
              <w:rPr>
                <w:rFonts w:ascii="Segoe UI" w:hAnsi="Segoe UI"/>
                <w:color w:val="1D3245"/>
                <w:sz w:val="17"/>
              </w:rPr>
              <w:t>Massing, indicative elements</w:t>
            </w:r>
          </w:p>
        </w:tc>
        <w:tc>
          <w:tcPr>
            <w:tcW w:type="dxa" w:w="2171"/>
            <w:tcMar>
              <w:top w:w="40" w:type="dxa"/>
              <w:left w:w="110" w:type="dxa"/>
              <w:bottom w:w="40" w:type="dxa"/>
              <w:right w:w="110" w:type="dxa"/>
            </w:tcMar>
          </w:tcPr>
          <w:p>
            <w:pPr>
              <w:pStyle w:val="MasttTableCell"/>
              <w:spacing w:before="20" w:after="20"/>
            </w:pPr>
            <w:r/>
            <w:r>
              <w:rPr>
                <w:rFonts w:ascii="Segoe UI" w:hAnsi="Segoe UI"/>
                <w:color w:val="1D3245"/>
                <w:sz w:val="17"/>
              </w:rPr>
              <w:t>Area, use, indicative performance</w:t>
            </w:r>
          </w:p>
        </w:tc>
        <w:tc>
          <w:tcPr>
            <w:tcW w:type="dxa" w:w="1894"/>
            <w:tcMar>
              <w:top w:w="40" w:type="dxa"/>
              <w:left w:w="110" w:type="dxa"/>
              <w:bottom w:w="40" w:type="dxa"/>
              <w:right w:w="110" w:type="dxa"/>
            </w:tcMar>
          </w:tcPr>
          <w:p>
            <w:pPr>
              <w:pStyle w:val="MasttTableCell"/>
              <w:spacing w:before="20" w:after="20"/>
            </w:pPr>
            <w:r/>
            <w:r>
              <w:rPr>
                <w:rFonts w:ascii="Segoe UI" w:hAnsi="Segoe UI"/>
                <w:color w:val="1D3245"/>
                <w:sz w:val="17"/>
              </w:rPr>
              <w:t>Concept report, cost plan</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Developed</w:t>
            </w:r>
          </w:p>
        </w:tc>
        <w:tc>
          <w:tcPr>
            <w:tcW w:type="dxa" w:w="18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Coordination and consent</w:t>
            </w:r>
          </w:p>
        </w:tc>
        <w:tc>
          <w:tcPr>
            <w:tcW w:type="dxa" w:w="19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Systems located and sized, generic products</w:t>
            </w:r>
          </w:p>
        </w:tc>
        <w:tc>
          <w:tcPr>
            <w:tcW w:type="dxa" w:w="217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Performance parameters, system classification</w:t>
            </w:r>
          </w:p>
        </w:tc>
        <w:tc>
          <w:tcPr>
            <w:tcW w:type="dxa" w:w="18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Specification, calculations</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Technical</w:t>
            </w:r>
          </w:p>
        </w:tc>
        <w:tc>
          <w:tcPr>
            <w:tcW w:type="dxa" w:w="1826"/>
            <w:tcMar>
              <w:top w:w="40" w:type="dxa"/>
              <w:left w:w="110" w:type="dxa"/>
              <w:bottom w:w="40" w:type="dxa"/>
              <w:right w:w="110" w:type="dxa"/>
            </w:tcMar>
          </w:tcPr>
          <w:p>
            <w:pPr>
              <w:pStyle w:val="MasttTableCell"/>
              <w:spacing w:before="20" w:after="20"/>
            </w:pPr>
            <w:r/>
            <w:r>
              <w:rPr>
                <w:rFonts w:ascii="Segoe UI" w:hAnsi="Segoe UI"/>
                <w:color w:val="1D3245"/>
                <w:sz w:val="17"/>
              </w:rPr>
              <w:t>Construction and procurement</w:t>
            </w:r>
          </w:p>
        </w:tc>
        <w:tc>
          <w:tcPr>
            <w:tcW w:type="dxa" w:w="1995"/>
            <w:tcMar>
              <w:top w:w="40" w:type="dxa"/>
              <w:left w:w="110" w:type="dxa"/>
              <w:bottom w:w="40" w:type="dxa"/>
              <w:right w:w="110" w:type="dxa"/>
            </w:tcMar>
          </w:tcPr>
          <w:p>
            <w:pPr>
              <w:pStyle w:val="MasttTableCell"/>
              <w:spacing w:before="20" w:after="20"/>
            </w:pPr>
            <w:r/>
            <w:r>
              <w:rPr>
                <w:rFonts w:ascii="Segoe UI" w:hAnsi="Segoe UI"/>
                <w:color w:val="1D3245"/>
                <w:sz w:val="17"/>
              </w:rPr>
              <w:t>Specific products, connections, tolerances</w:t>
            </w:r>
          </w:p>
        </w:tc>
        <w:tc>
          <w:tcPr>
            <w:tcW w:type="dxa" w:w="2171"/>
            <w:tcMar>
              <w:top w:w="40" w:type="dxa"/>
              <w:left w:w="110" w:type="dxa"/>
              <w:bottom w:w="40" w:type="dxa"/>
              <w:right w:w="110" w:type="dxa"/>
            </w:tcMar>
          </w:tcPr>
          <w:p>
            <w:pPr>
              <w:pStyle w:val="MasttTableCell"/>
              <w:spacing w:before="20" w:after="20"/>
            </w:pPr>
            <w:r/>
            <w:r>
              <w:rPr>
                <w:rFonts w:ascii="Segoe UI" w:hAnsi="Segoe UI"/>
                <w:color w:val="1D3245"/>
                <w:sz w:val="17"/>
              </w:rPr>
              <w:t>Product data, compliance references</w:t>
            </w:r>
          </w:p>
        </w:tc>
        <w:tc>
          <w:tcPr>
            <w:tcW w:type="dxa" w:w="1894"/>
            <w:tcMar>
              <w:top w:w="40" w:type="dxa"/>
              <w:left w:w="110" w:type="dxa"/>
              <w:bottom w:w="40" w:type="dxa"/>
              <w:right w:w="110" w:type="dxa"/>
            </w:tcMar>
          </w:tcPr>
          <w:p>
            <w:pPr>
              <w:pStyle w:val="MasttTableCell"/>
              <w:spacing w:before="20" w:after="20"/>
            </w:pPr>
            <w:r/>
            <w:r>
              <w:rPr>
                <w:rFonts w:ascii="Segoe UI" w:hAnsi="Segoe UI"/>
                <w:color w:val="1D3245"/>
                <w:sz w:val="17"/>
              </w:rPr>
              <w:t>Full specification and schedules</w:t>
            </w:r>
          </w:p>
        </w:tc>
      </w:tr>
      <w:tr>
        <w:trPr>
          <w:cantSplit w:val="true"/>
        </w:trPr>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Construction</w:t>
            </w:r>
          </w:p>
        </w:tc>
        <w:tc>
          <w:tcPr>
            <w:tcW w:type="dxa" w:w="18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Fabrication and installation</w:t>
            </w:r>
          </w:p>
        </w:tc>
        <w:tc>
          <w:tcPr>
            <w:tcW w:type="dxa" w:w="19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Fabrication-level where required by the trade</w:t>
            </w:r>
          </w:p>
        </w:tc>
        <w:tc>
          <w:tcPr>
            <w:tcW w:type="dxa" w:w="217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Manufacturer data, serial and batch identifiers</w:t>
            </w:r>
          </w:p>
        </w:tc>
        <w:tc>
          <w:tcPr>
            <w:tcW w:type="dxa" w:w="18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Shop drawings, certificates</w:t>
            </w:r>
          </w:p>
        </w:tc>
      </w:tr>
      <w:tr>
        <w:trPr>
          <w:cantSplit w:val="true"/>
        </w:trPr>
        <w:tc>
          <w:tcPr>
            <w:tcW w:type="dxa" w:w="1526"/>
            <w:tcMar>
              <w:top w:w="40" w:type="dxa"/>
              <w:left w:w="110" w:type="dxa"/>
              <w:bottom w:w="40" w:type="dxa"/>
              <w:right w:w="110" w:type="dxa"/>
            </w:tcMar>
          </w:tcPr>
          <w:p>
            <w:pPr>
              <w:pStyle w:val="MasttTableCell"/>
              <w:spacing w:before="20" w:after="20"/>
            </w:pPr>
            <w:r/>
            <w:r>
              <w:rPr>
                <w:rFonts w:ascii="Segoe UI" w:hAnsi="Segoe UI"/>
                <w:b/>
                <w:color w:val="1D3245"/>
                <w:sz w:val="17"/>
              </w:rPr>
              <w:t>Handover</w:t>
            </w:r>
          </w:p>
        </w:tc>
        <w:tc>
          <w:tcPr>
            <w:tcW w:type="dxa" w:w="1826"/>
            <w:tcMar>
              <w:top w:w="40" w:type="dxa"/>
              <w:left w:w="110" w:type="dxa"/>
              <w:bottom w:w="40" w:type="dxa"/>
              <w:right w:w="110" w:type="dxa"/>
            </w:tcMar>
          </w:tcPr>
          <w:p>
            <w:pPr>
              <w:pStyle w:val="MasttTableCell"/>
              <w:spacing w:before="20" w:after="20"/>
            </w:pPr>
            <w:r/>
            <w:r>
              <w:rPr>
                <w:rFonts w:ascii="Segoe UI" w:hAnsi="Segoe UI"/>
                <w:color w:val="1D3245"/>
                <w:sz w:val="17"/>
              </w:rPr>
              <w:t>Operation and maintenance</w:t>
            </w:r>
          </w:p>
        </w:tc>
        <w:tc>
          <w:tcPr>
            <w:tcW w:type="dxa" w:w="1995"/>
            <w:tcMar>
              <w:top w:w="40" w:type="dxa"/>
              <w:left w:w="110" w:type="dxa"/>
              <w:bottom w:w="40" w:type="dxa"/>
              <w:right w:w="110" w:type="dxa"/>
            </w:tcMar>
          </w:tcPr>
          <w:p>
            <w:pPr>
              <w:pStyle w:val="MasttTableCell"/>
              <w:spacing w:before="20" w:after="20"/>
            </w:pPr>
            <w:r/>
            <w:r>
              <w:rPr>
                <w:rFonts w:ascii="Segoe UI" w:hAnsi="Segoe UI"/>
                <w:color w:val="1D3245"/>
                <w:sz w:val="17"/>
              </w:rPr>
              <w:t>As-built geometry to the agreed tolerance</w:t>
            </w:r>
          </w:p>
        </w:tc>
        <w:tc>
          <w:tcPr>
            <w:tcW w:type="dxa" w:w="2171"/>
            <w:tcMar>
              <w:top w:w="40" w:type="dxa"/>
              <w:left w:w="110" w:type="dxa"/>
              <w:bottom w:w="40" w:type="dxa"/>
              <w:right w:w="110" w:type="dxa"/>
            </w:tcMar>
          </w:tcPr>
          <w:p>
            <w:pPr>
              <w:pStyle w:val="MasttTableCell"/>
              <w:spacing w:before="20" w:after="20"/>
            </w:pPr>
            <w:r/>
            <w:r>
              <w:rPr>
                <w:rFonts w:ascii="Segoe UI" w:hAnsi="Segoe UI"/>
                <w:color w:val="1D3245"/>
                <w:sz w:val="17"/>
              </w:rPr>
              <w:t>Asset register data, warranty, maintenance regime, spares</w:t>
            </w:r>
          </w:p>
        </w:tc>
        <w:tc>
          <w:tcPr>
            <w:tcW w:type="dxa" w:w="1894"/>
            <w:tcMar>
              <w:top w:w="40" w:type="dxa"/>
              <w:left w:w="110" w:type="dxa"/>
              <w:bottom w:w="40" w:type="dxa"/>
              <w:right w:w="110" w:type="dxa"/>
            </w:tcMar>
          </w:tcPr>
          <w:p>
            <w:pPr>
              <w:pStyle w:val="MasttTableCell"/>
              <w:spacing w:before="20" w:after="20"/>
            </w:pPr>
            <w:r/>
            <w:r>
              <w:rPr>
                <w:rFonts w:ascii="Segoe UI" w:hAnsi="Segoe UI"/>
                <w:color w:val="1D3245"/>
                <w:sz w:val="17"/>
              </w:rPr>
              <w:t>O&amp;M manuals, certificates, as-builts</w:t>
            </w:r>
          </w:p>
        </w:tc>
      </w:tr>
    </w:tbl>
    <w:p>
      <w:pPr>
        <w:rPr>
          <w:sz w:val="8"/>
        </w:rPr>
        <w:spacing w:after="40" w:before="0" w:line="240" w:lineRule="auto"/>
      </w:pPr>
    </w:p>
    <w:p>
      <w:pPr>
        <w:pStyle w:val="ListBullet"/>
        <w:spacing w:after="60"/>
        <w:ind w:left="340"/>
      </w:pPr>
      <w:r>
        <w:rPr>
          <w:rFonts w:ascii="Segoe UI" w:hAnsi="Segoe UI"/>
          <w:color w:val="1D3245"/>
          <w:sz w:val="20"/>
        </w:rPr>
        <w:t>Model authoring, federation and coordination responsibilities are assigned in the BIM execution plan and reflected in every appointment.</w:t>
      </w:r>
    </w:p>
    <w:p>
      <w:pPr>
        <w:pStyle w:val="ListBullet"/>
        <w:spacing w:after="60"/>
        <w:ind w:left="340"/>
      </w:pPr>
      <w:r>
        <w:rPr>
          <w:rFonts w:ascii="Segoe UI" w:hAnsi="Segoe UI"/>
          <w:color w:val="1D3245"/>
          <w:sz w:val="20"/>
        </w:rPr>
        <w:t>The level of information need is defined per element and per exchange, not as a single project-wide 'level'.</w:t>
      </w:r>
    </w:p>
    <w:p>
      <w:pPr>
        <w:pStyle w:val="ListBullet"/>
        <w:spacing w:after="60"/>
        <w:ind w:left="340"/>
      </w:pPr>
      <w:r>
        <w:rPr>
          <w:rFonts w:ascii="Segoe UI" w:hAnsi="Segoe UI"/>
          <w:color w:val="1D3245"/>
          <w:sz w:val="20"/>
        </w:rPr>
        <w:t>Model content is validated automatically against the information standard before acceptance; non-conforming information is rejected, not corrected by the receiving party.</w:t>
      </w:r>
    </w:p>
    <w:p>
      <w:pPr>
        <w:pStyle w:val="ListBullet"/>
        <w:spacing w:after="60"/>
        <w:ind w:left="340"/>
      </w:pPr>
      <w:r>
        <w:rPr>
          <w:rFonts w:ascii="Segoe UI" w:hAnsi="Segoe UI"/>
          <w:color w:val="1D3245"/>
          <w:sz w:val="20"/>
        </w:rPr>
        <w:t>The client's right to use, modify and share project information for asset management purposes is secured in every appointment.</w:t>
      </w:r>
    </w:p>
    <w:p>
      <w:pPr>
        <w:pStyle w:val="Heading2"/>
      </w:pPr>
      <w:r>
        <w:t>14.4  Common data environment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588"/>
        <w:gridCol w:w="3402"/>
        <w:gridCol w:w="2155"/>
        <w:gridCol w:w="2268"/>
      </w:tblGrid>
      <w:tr>
        <w:trPr>
          <w:tblHeader w:val="true"/>
          <w:cantSplit w:val="true"/>
        </w:trPr>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State</w:t>
            </w:r>
          </w:p>
        </w:tc>
        <w:tc>
          <w:tcPr>
            <w:tcW w:type="dxa" w:w="34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Meaning</w:t>
            </w:r>
          </w:p>
        </w:tc>
        <w:tc>
          <w:tcPr>
            <w:tcW w:type="dxa" w:w="21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Who can edit</w:t>
            </w:r>
          </w:p>
        </w:tc>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Approval to advance</w:t>
            </w:r>
          </w:p>
        </w:tc>
      </w:tr>
      <w:tr>
        <w:trPr>
          <w:cantSplit w:val="true"/>
        </w:trPr>
        <w:tc>
          <w:tcPr>
            <w:tcW w:type="dxa" w:w="1587"/>
            <w:tcMar>
              <w:top w:w="40" w:type="dxa"/>
              <w:left w:w="110" w:type="dxa"/>
              <w:bottom w:w="40" w:type="dxa"/>
              <w:right w:w="110" w:type="dxa"/>
            </w:tcMar>
          </w:tcPr>
          <w:p>
            <w:pPr>
              <w:pStyle w:val="MasttTableCell"/>
              <w:spacing w:before="20" w:after="20"/>
            </w:pPr>
            <w:r/>
            <w:r>
              <w:rPr>
                <w:rFonts w:ascii="Segoe UI" w:hAnsi="Segoe UI"/>
                <w:b/>
                <w:color w:val="1D3245"/>
                <w:sz w:val="17"/>
              </w:rPr>
              <w:t>Work in progress</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Information being developed by a single task team</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t>Originating task team only</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Task team lead check</w:t>
            </w:r>
          </w:p>
        </w:tc>
      </w:tr>
      <w:tr>
        <w:trPr>
          <w:cantSplit w:val="true"/>
        </w:trPr>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Shared</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Coordinated and available to other task teams for reference and coordination</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Originating task team</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Task team lead authorisation</w:t>
            </w:r>
          </w:p>
        </w:tc>
      </w:tr>
      <w:tr>
        <w:trPr>
          <w:cantSplit w:val="true"/>
        </w:trPr>
        <w:tc>
          <w:tcPr>
            <w:tcW w:type="dxa" w:w="1587"/>
            <w:tcMar>
              <w:top w:w="40" w:type="dxa"/>
              <w:left w:w="110" w:type="dxa"/>
              <w:bottom w:w="40" w:type="dxa"/>
              <w:right w:w="110" w:type="dxa"/>
            </w:tcMar>
          </w:tcPr>
          <w:p>
            <w:pPr>
              <w:pStyle w:val="MasttTableCell"/>
              <w:spacing w:before="20" w:after="20"/>
            </w:pPr>
            <w:r/>
            <w:r>
              <w:rPr>
                <w:rFonts w:ascii="Segoe UI" w:hAnsi="Segoe UI"/>
                <w:b/>
                <w:color w:val="1D3245"/>
                <w:sz w:val="17"/>
              </w:rPr>
              <w:t>Published</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Authorised and suitable for its stated purpose, including construction</w:t>
            </w:r>
          </w:p>
        </w:tc>
        <w:tc>
          <w:tcPr>
            <w:tcW w:type="dxa" w:w="2154"/>
            <w:tcMar>
              <w:top w:w="40" w:type="dxa"/>
              <w:left w:w="110" w:type="dxa"/>
              <w:bottom w:w="40" w:type="dxa"/>
              <w:right w:w="110" w:type="dxa"/>
            </w:tcMar>
          </w:tcPr>
          <w:p>
            <w:pPr>
              <w:pStyle w:val="MasttTableCell"/>
              <w:spacing w:before="20" w:after="20"/>
            </w:pPr>
            <w:r/>
            <w:r>
              <w:rPr>
                <w:rFonts w:ascii="Segoe UI" w:hAnsi="Segoe UI"/>
                <w:color w:val="1D3245"/>
                <w:sz w:val="17"/>
              </w:rPr>
              <w:t>No one - reissue as a new revision</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Lead appointed party and client acceptance</w:t>
            </w:r>
          </w:p>
        </w:tc>
      </w:tr>
      <w:tr>
        <w:trPr>
          <w:cantSplit w:val="true"/>
        </w:trPr>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Archive</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Superseded or historical records retained for audit</w:t>
            </w:r>
          </w:p>
        </w:tc>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 one</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Automatic on supersession</w:t>
            </w:r>
          </w:p>
        </w:tc>
      </w:tr>
    </w:tbl>
    <w:p>
      <w:pPr>
        <w:rPr>
          <w:sz w:val="8"/>
        </w:rPr>
        <w:spacing w:after="40" w:before="0" w:line="240" w:lineRule="auto"/>
      </w:pPr>
    </w:p>
    <w:p>
      <w:pPr>
        <w:pStyle w:val="ListBullet"/>
        <w:spacing w:after="60"/>
        <w:ind w:left="340"/>
      </w:pPr>
      <w:r>
        <w:rPr>
          <w:rFonts w:ascii="Segoe UI" w:hAnsi="Segoe UI"/>
          <w:color w:val="1D3245"/>
          <w:sz w:val="20"/>
        </w:rPr>
        <w:t>There is one common data environment for the project. Information exchanged outside it - by email attachment, file transfer or portable media - has no contractual status.</w:t>
      </w:r>
    </w:p>
    <w:p>
      <w:pPr>
        <w:pStyle w:val="ListBullet"/>
        <w:spacing w:after="60"/>
        <w:ind w:left="340"/>
      </w:pPr>
      <w:r>
        <w:rPr>
          <w:rFonts w:ascii="Segoe UI" w:hAnsi="Segoe UI"/>
          <w:color w:val="1D3245"/>
          <w:sz w:val="20"/>
        </w:rPr>
        <w:t>Every container carries a status code and a revision; superseded information is visibly marked and cannot be downloaded as current.</w:t>
      </w:r>
    </w:p>
    <w:p>
      <w:pPr>
        <w:pStyle w:val="ListBullet"/>
        <w:spacing w:after="60"/>
        <w:ind w:left="340"/>
      </w:pPr>
      <w:r>
        <w:rPr>
          <w:rFonts w:ascii="Segoe UI" w:hAnsi="Segoe UI"/>
          <w:color w:val="1D3245"/>
          <w:sz w:val="20"/>
        </w:rPr>
        <w:t>Access is role-based and reviewed quarterly; access is revoked within one working day of a person leaving the project.</w:t>
      </w:r>
    </w:p>
    <w:p>
      <w:pPr>
        <w:pStyle w:val="ListBullet"/>
        <w:spacing w:after="60"/>
        <w:ind w:left="340"/>
      </w:pPr>
      <w:r>
        <w:rPr>
          <w:rFonts w:ascii="Segoe UI" w:hAnsi="Segoe UI"/>
          <w:color w:val="1D3245"/>
          <w:sz w:val="20"/>
        </w:rPr>
        <w:t>The CDE audit trail is preserved and is exportable at closeout.</w:t>
      </w:r>
    </w:p>
    <w:p>
      <w:pPr>
        <w:pStyle w:val="Heading2"/>
      </w:pPr>
      <w:r>
        <w:t>14.5  Naming, classification and metadata</w:t>
      </w:r>
    </w:p>
    <w:p>
      <w:pPr>
        <w:pStyle w:val="MasttBody"/>
      </w:pPr>
      <w:r>
        <w:t>All information containers follow a single naming convention agreed before the first exchange. The convention is recorded in Appendix H and is enforced automatically by the CDE. Classification uses a recognised system appropriate to the jurisdiction and asset type, applied consistently across models, documents and the asset register.</w:t>
      </w:r>
    </w:p>
    <w:p>
      <w:pPr>
        <w:pStyle w:val="Heading2"/>
      </w:pPr>
      <w:r>
        <w:t>14.6  Model federation and coordination</w:t>
      </w:r>
    </w:p>
    <w:p>
      <w:pPr>
        <w:pStyle w:val="ListBullet"/>
        <w:spacing w:after="60"/>
        <w:ind w:left="340"/>
      </w:pPr>
      <w:r>
        <w:rPr>
          <w:rFonts w:ascii="Segoe UI" w:hAnsi="Segoe UI"/>
          <w:color w:val="1D3245"/>
          <w:sz w:val="20"/>
        </w:rPr>
        <w:t>Discipline models are federated on a fixed cycle - typically fortnightly in design and weekly during construction documentation.</w:t>
      </w:r>
    </w:p>
    <w:p>
      <w:pPr>
        <w:pStyle w:val="ListBullet"/>
        <w:spacing w:after="60"/>
        <w:ind w:left="340"/>
      </w:pPr>
      <w:r>
        <w:rPr>
          <w:rFonts w:ascii="Segoe UI" w:hAnsi="Segoe UI"/>
          <w:color w:val="1D3245"/>
          <w:sz w:val="20"/>
        </w:rPr>
        <w:t>Each federation produces a clash report classified per Section 7.8, with owners and due dates.</w:t>
      </w:r>
    </w:p>
    <w:p>
      <w:pPr>
        <w:pStyle w:val="ListBullet"/>
        <w:spacing w:after="60"/>
        <w:ind w:left="340"/>
      </w:pPr>
      <w:r>
        <w:rPr>
          <w:rFonts w:ascii="Segoe UI" w:hAnsi="Segoe UI"/>
          <w:color w:val="1D3245"/>
          <w:sz w:val="20"/>
        </w:rPr>
        <w:t>A shared coordinate system, project base point and units are fixed at the outset and never changed.</w:t>
      </w:r>
    </w:p>
    <w:p>
      <w:pPr>
        <w:pStyle w:val="ListBullet"/>
        <w:spacing w:after="60"/>
        <w:ind w:left="340"/>
      </w:pPr>
      <w:r>
        <w:rPr>
          <w:rFonts w:ascii="Segoe UI" w:hAnsi="Segoe UI"/>
          <w:color w:val="1D3245"/>
          <w:sz w:val="20"/>
        </w:rPr>
        <w:t>Model health metrics - file size, element count, warnings, unplaced elements, naming compliance - are reported with each federation.</w:t>
      </w:r>
    </w:p>
    <w:p>
      <w:pPr>
        <w:pStyle w:val="Heading2"/>
      </w:pPr>
      <w:r>
        <w:t>14.7  Data security and access control</w:t>
      </w:r>
    </w:p>
    <w:p>
      <w:pPr>
        <w:pStyle w:val="ListBullet"/>
        <w:spacing w:after="60"/>
        <w:ind w:left="340"/>
      </w:pPr>
      <w:r>
        <w:rPr>
          <w:rFonts w:ascii="Segoe UI" w:hAnsi="Segoe UI"/>
          <w:color w:val="1D3245"/>
          <w:sz w:val="20"/>
        </w:rPr>
        <w:t>A security-minded approach is applied proportionate to the sensitivity of the asset; where the asset is sensitive, a security strategy and information-handling protocol are prepared before any information is shared.</w:t>
      </w:r>
    </w:p>
    <w:p>
      <w:pPr>
        <w:pStyle w:val="ListBullet"/>
        <w:spacing w:after="60"/>
        <w:ind w:left="340"/>
      </w:pPr>
      <w:r>
        <w:rPr>
          <w:rFonts w:ascii="Segoe UI" w:hAnsi="Segoe UI"/>
          <w:color w:val="1D3245"/>
          <w:sz w:val="20"/>
        </w:rPr>
        <w:t>Access is granted on the principle of least privilege and is logged.</w:t>
      </w:r>
    </w:p>
    <w:p>
      <w:pPr>
        <w:pStyle w:val="ListBullet"/>
        <w:spacing w:after="60"/>
        <w:ind w:left="340"/>
      </w:pPr>
      <w:r>
        <w:rPr>
          <w:rFonts w:ascii="Segoe UI" w:hAnsi="Segoe UI"/>
          <w:color w:val="1D3245"/>
          <w:sz w:val="20"/>
        </w:rPr>
        <w:t>Personal data is handled in accordance with the privacy obligations applicable in the relevant jurisdiction.</w:t>
      </w:r>
    </w:p>
    <w:p>
      <w:pPr>
        <w:pStyle w:val="ListBullet"/>
        <w:spacing w:after="60"/>
        <w:ind w:left="340"/>
      </w:pPr>
      <w:r>
        <w:rPr>
          <w:rFonts w:ascii="Segoe UI" w:hAnsi="Segoe UI"/>
          <w:color w:val="1D3245"/>
          <w:sz w:val="20"/>
        </w:rPr>
        <w:t>Backup, retention and disaster recovery arrangements for the CDE are confirmed contractually, including the position on the provider's insolvency.</w:t>
      </w:r>
    </w:p>
    <w:p>
      <w:pPr>
        <w:pStyle w:val="ListBullet"/>
        <w:spacing w:after="60"/>
        <w:ind w:left="340"/>
      </w:pPr>
      <w:r>
        <w:rPr>
          <w:rFonts w:ascii="Segoe UI" w:hAnsi="Segoe UI"/>
          <w:color w:val="1D3245"/>
          <w:sz w:val="20"/>
        </w:rPr>
        <w:t>Cyber incident response responsibilities are defined and tested.</w:t>
      </w:r>
    </w:p>
    <w:p>
      <w:pPr>
        <w:pStyle w:val="Heading2"/>
      </w:pPr>
      <w:r>
        <w:t>14.8  Document control</w:t>
      </w:r>
    </w:p>
    <w:p>
      <w:pPr>
        <w:pStyle w:val="ListBullet"/>
        <w:spacing w:after="60"/>
        <w:ind w:left="340"/>
      </w:pPr>
      <w:r>
        <w:rPr>
          <w:rFonts w:ascii="Segoe UI" w:hAnsi="Segoe UI"/>
          <w:color w:val="1D3245"/>
          <w:sz w:val="20"/>
        </w:rPr>
        <w:t>Every document has a unique number, a revision, a status and an owner.</w:t>
      </w:r>
    </w:p>
    <w:p>
      <w:pPr>
        <w:pStyle w:val="ListBullet"/>
        <w:spacing w:after="60"/>
        <w:ind w:left="340"/>
      </w:pPr>
      <w:r>
        <w:rPr>
          <w:rFonts w:ascii="Segoe UI" w:hAnsi="Segoe UI"/>
          <w:color w:val="1D3245"/>
          <w:sz w:val="20"/>
        </w:rPr>
        <w:t>Revisions are alphabetic during development and numeric from the first issue for construction, or as the convention in Appendix H provides.</w:t>
      </w:r>
    </w:p>
    <w:p>
      <w:pPr>
        <w:pStyle w:val="ListBullet"/>
        <w:spacing w:after="60"/>
        <w:ind w:left="340"/>
      </w:pPr>
      <w:r>
        <w:rPr>
          <w:rFonts w:ascii="Segoe UI" w:hAnsi="Segoe UI"/>
          <w:color w:val="1D3245"/>
          <w:sz w:val="20"/>
        </w:rPr>
        <w:t>Transmittals record what was issued, to whom, when, in what status and for what purpose.</w:t>
      </w:r>
    </w:p>
    <w:p>
      <w:pPr>
        <w:pStyle w:val="ListBullet"/>
        <w:spacing w:after="60"/>
        <w:ind w:left="340"/>
      </w:pPr>
      <w:r>
        <w:rPr>
          <w:rFonts w:ascii="Segoe UI" w:hAnsi="Segoe UI"/>
          <w:color w:val="1D3245"/>
          <w:sz w:val="20"/>
        </w:rPr>
        <w:t>Distribution matrices define who receives each document class automatically.</w:t>
      </w:r>
    </w:p>
    <w:p>
      <w:pPr>
        <w:pStyle w:val="ListBullet"/>
        <w:spacing w:after="60"/>
        <w:ind w:left="340"/>
      </w:pPr>
      <w:r>
        <w:rPr>
          <w:rFonts w:ascii="Segoe UI" w:hAnsi="Segoe UI"/>
          <w:color w:val="1D3245"/>
          <w:sz w:val="20"/>
        </w:rPr>
        <w:t>Registers are maintained for drawings, specifications, models, RFIs, transmittals, correspondence, samples, ITPs, NCRs, certificates and warranties.</w:t>
      </w:r>
    </w:p>
    <w:p>
      <w:pPr>
        <w:pStyle w:val="ListBullet"/>
        <w:spacing w:after="60"/>
        <w:ind w:left="340"/>
      </w:pPr>
      <w:r>
        <w:rPr>
          <w:rFonts w:ascii="Segoe UI" w:hAnsi="Segoe UI"/>
          <w:color w:val="1D3245"/>
          <w:sz w:val="20"/>
        </w:rPr>
        <w:t>Superseded documents are withdrawn from circulation and marked superseded; retention follows the client's records policy and any statutory retention period applicable in the jurisdiction.</w:t>
      </w:r>
    </w:p>
    <w:p>
      <w:pPr>
        <w:pStyle w:val="Heading2"/>
      </w:pPr>
      <w:r>
        <w:t>14.9  Digital tools and systems register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01"/>
        <w:gridCol w:w="1928"/>
        <w:gridCol w:w="907"/>
        <w:gridCol w:w="1474"/>
        <w:gridCol w:w="1701"/>
        <w:gridCol w:w="1701"/>
      </w:tblGrid>
      <w:tr>
        <w:trPr>
          <w:tblHeader w:val="true"/>
          <w:cantSplit w:val="true"/>
        </w:trPr>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System</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Purpose</w:t>
            </w:r>
          </w:p>
        </w:tc>
        <w:tc>
          <w:tcPr>
            <w:tcW w:type="dxa" w:w="90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Owner</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Users</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Integration</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Data exported at closeout</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6"/>
              </w:rPr>
              <w:t>Common data environment</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6"/>
              </w:rPr>
              <w:t>Single source of information</w:t>
            </w:r>
          </w:p>
        </w:tc>
        <w:tc>
          <w:tcPr>
            <w:tcW w:type="dxa" w:w="90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6"/>
              </w:rPr>
              <w:t>All parties</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Model and document authoring tools</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Full archive</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Project controls / cost system</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Budget, commitment, actual and forecast</w:t>
            </w:r>
          </w:p>
        </w:tc>
        <w:tc>
          <w:tcPr>
            <w:tcW w:type="dxa" w:w="9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Client and commercial team</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Client finance ledger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Cost history and final account</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6"/>
              </w:rPr>
              <w:t>Scheduling software</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6"/>
              </w:rPr>
              <w:t>Baseline and progress</w:t>
            </w:r>
          </w:p>
        </w:tc>
        <w:tc>
          <w:tcPr>
            <w:tcW w:type="dxa" w:w="90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6"/>
              </w:rPr>
              <w:t>Planner and package managers</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Cost system, reporting</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All schedule versions</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Risk register system</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Risk and opportunity</w:t>
            </w:r>
          </w:p>
        </w:tc>
        <w:tc>
          <w:tcPr>
            <w:tcW w:type="dxa" w:w="9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Delivery team</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Reporting and cost</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Full register history</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6"/>
              </w:rPr>
              <w:t>Model authoring and federation</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6"/>
              </w:rPr>
              <w:t>Design production and coordination</w:t>
            </w:r>
          </w:p>
        </w:tc>
        <w:tc>
          <w:tcPr>
            <w:tcW w:type="dxa" w:w="90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6"/>
              </w:rPr>
              <w:t>Design team</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CDE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Native and open-format models</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Field / site management app</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Inspections, ITPs, NCRs, defects</w:t>
            </w:r>
          </w:p>
        </w:tc>
        <w:tc>
          <w:tcPr>
            <w:tcW w:type="dxa" w:w="9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Site teams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CDE and quality records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Complete quality record set</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6"/>
              </w:rPr>
              <w:t>HSE management system</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6"/>
              </w:rPr>
              <w:t>Incidents, permits, inductions</w:t>
            </w:r>
          </w:p>
        </w:tc>
        <w:tc>
          <w:tcPr>
            <w:tcW w:type="dxa" w:w="90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6"/>
              </w:rPr>
              <w:t>All site personnel</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Reporting</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Incident and training history</w:t>
            </w:r>
          </w:p>
        </w:tc>
      </w:tr>
      <w:tr>
        <w:trPr>
          <w:cantSplit w:val="true"/>
        </w:trPr>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Asset information system</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Operational asset data</w:t>
            </w:r>
          </w:p>
        </w:tc>
        <w:tc>
          <w:tcPr>
            <w:tcW w:type="dxa" w:w="9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Operations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CDE handover export</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Populated asset register</w:t>
            </w:r>
          </w:p>
        </w:tc>
      </w:tr>
      <w:tr>
        <w:trPr>
          <w:cantSplit w:val="true"/>
        </w:trPr>
        <w:tc>
          <w:tcPr>
            <w:tcW w:type="dxa" w:w="1701"/>
            <w:tcMar>
              <w:top w:w="40" w:type="dxa"/>
              <w:left w:w="110" w:type="dxa"/>
              <w:bottom w:w="40" w:type="dxa"/>
              <w:right w:w="110" w:type="dxa"/>
            </w:tcMar>
          </w:tcPr>
          <w:p>
            <w:pPr>
              <w:pStyle w:val="MasttTableCell"/>
              <w:spacing w:before="20" w:after="20"/>
            </w:pPr>
            <w:r/>
            <w:r>
              <w:rPr>
                <w:rFonts w:ascii="Segoe UI" w:hAnsi="Segoe UI"/>
                <w:b/>
                <w:color w:val="1D3245"/>
                <w:sz w:val="16"/>
              </w:rPr>
              <w:t>Reporting and analytics</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6"/>
              </w:rPr>
              <w:t>Dashboards and performance reporting</w:t>
            </w:r>
          </w:p>
        </w:tc>
        <w:tc>
          <w:tcPr>
            <w:tcW w:type="dxa" w:w="90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6"/>
              </w:rPr>
              <w:t>Client and delivery team</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All of the above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6"/>
              </w:rPr>
              <w:t>Report archive</w:t>
            </w:r>
          </w:p>
        </w:tc>
      </w:tr>
    </w:tbl>
    <w:p>
      <w:pPr>
        <w:rPr>
          <w:sz w:val="8"/>
        </w:rPr>
        <w:spacing w:after="40" w:before="0" w:line="240" w:lineRule="auto"/>
      </w:pPr>
    </w:p>
    <w:p>
      <w:pPr>
        <w:pStyle w:val="Heading2"/>
      </w:pPr>
      <w:r>
        <w:t>14.10  Reporting and analytics</w:t>
      </w:r>
    </w:p>
    <w:p>
      <w:pPr>
        <w:pStyle w:val="MasttBody"/>
      </w:pPr>
      <w:r>
        <w:t>Wherever possible, reports are generated from the source systems rather than re-keyed. Each reported metric has a single authoritative source system, a defined calculation, and a nominated data owner accountable for its accuracy. Manual data entry into reports is identified as such so that its reliability is understood.</w:t>
      </w:r>
    </w:p>
    <w:p>
      <w:r>
        <w:br w:type="page"/>
      </w:r>
    </w:p>
    <w:p>
      <w:pPr>
        <w:pStyle w:val="Heading1"/>
        <w:pBdr>
          <w:bottom w:val="single" w:sz="6" w:space="4" w:color="C9D4E0"/>
        </w:pBdr>
      </w:pPr>
      <w:r>
        <w:t>15.  Interface and integration management</w:t>
      </w:r>
    </w:p>
    <w:p>
      <w:pPr>
        <w:pStyle w:val="Heading2"/>
      </w:pPr>
      <w:r>
        <w:t>15.1  Approach</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Interfaces are where projects fail. Every scope boundary, every handover between contractors, every connection to a third-party asset is an interface, and each one needs a named owner on both sides and an agreed date. Treat an unowned interface as an open risk, because it is.</w:t>
            </w:r>
          </w:p>
        </w:tc>
      </w:tr>
    </w:tbl>
    <w:p>
      <w:pPr>
        <w:rPr>
          <w:sz w:val="8"/>
        </w:rPr>
        <w:spacing w:after="40" w:before="0" w:line="240" w:lineRule="auto"/>
      </w:pPr>
    </w:p>
    <w:p>
      <w:pPr>
        <w:pStyle w:val="MasttBody"/>
      </w:pPr>
      <w:r>
        <w:t>An interface exists wherever a deliverable, decision or physical connection must pass between two parties. Interfaces are identified at the point the packaging strategy is set, are recorded in the interface register, and are reviewed monthly at the interface forum.</w:t>
      </w:r>
    </w:p>
    <w:p>
      <w:pPr>
        <w:pStyle w:val="Heading2"/>
      </w:pPr>
      <w:r>
        <w:t>15.2  Interface classification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737"/>
        <w:gridCol w:w="2520"/>
        <w:gridCol w:w="3403"/>
        <w:gridCol w:w="1753"/>
      </w:tblGrid>
      <w:tr>
        <w:trPr>
          <w:tblHeader w:val="true"/>
          <w:cantSplit w:val="true"/>
        </w:trPr>
        <w:tc>
          <w:tcPr>
            <w:tcW w:type="dxa" w:w="17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Class</w:t>
            </w:r>
          </w:p>
        </w:tc>
        <w:tc>
          <w:tcPr>
            <w:tcW w:type="dxa" w:w="251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c>
          <w:tcPr>
            <w:tcW w:type="dxa" w:w="34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Typical examples</w:t>
            </w:r>
          </w:p>
        </w:tc>
        <w:tc>
          <w:tcPr>
            <w:tcW w:type="dxa" w:w="17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Physical</w:t>
            </w:r>
          </w:p>
        </w:tc>
        <w:tc>
          <w:tcPr>
            <w:tcW w:type="dxa" w:w="2519"/>
            <w:tcMar>
              <w:top w:w="40" w:type="dxa"/>
              <w:left w:w="110" w:type="dxa"/>
              <w:bottom w:w="40" w:type="dxa"/>
              <w:right w:w="110" w:type="dxa"/>
            </w:tcMar>
          </w:tcPr>
          <w:p>
            <w:pPr>
              <w:pStyle w:val="MasttTableCell"/>
              <w:spacing w:before="20" w:after="20"/>
            </w:pPr>
            <w:r/>
            <w:r>
              <w:rPr>
                <w:rFonts w:ascii="Segoe UI" w:hAnsi="Segoe UI"/>
                <w:color w:val="1D3245"/>
                <w:sz w:val="17"/>
              </w:rPr>
              <w:t>A tangible connection between elements or packages</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Structure to façade; services penetrations; slab-to-fit-out tolerances</w:t>
            </w:r>
          </w:p>
        </w:tc>
        <w:tc>
          <w:tcPr>
            <w:tcW w:type="dxa" w:w="1753"/>
            <w:tcMar>
              <w:top w:w="40" w:type="dxa"/>
              <w:left w:w="110" w:type="dxa"/>
              <w:bottom w:w="40" w:type="dxa"/>
              <w:right w:w="110" w:type="dxa"/>
            </w:tcMar>
          </w:tcPr>
          <w:p>
            <w:pPr>
              <w:pStyle w:val="MasttTableCell"/>
              <w:spacing w:before="20" w:after="20"/>
            </w:pPr>
            <w:r/>
            <w:r>
              <w:rPr>
                <w:rFonts w:ascii="Segoe UI" w:hAnsi="Segoe UI"/>
                <w:color w:val="1D3245"/>
                <w:sz w:val="17"/>
              </w:rPr>
              <w:t>Design Manager</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Functional / systems</w:t>
            </w:r>
          </w:p>
        </w:tc>
        <w:tc>
          <w:tcPr>
            <w:tcW w:type="dxa" w:w="25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Systems that must operate together</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Fire detection to smoke control; BMS to plant; security to access control</w:t>
            </w:r>
          </w:p>
        </w:tc>
        <w:tc>
          <w:tcPr>
            <w:tcW w:type="dxa" w:w="17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Manager</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Contractual</w:t>
            </w:r>
          </w:p>
        </w:tc>
        <w:tc>
          <w:tcPr>
            <w:tcW w:type="dxa" w:w="2519"/>
            <w:tcMar>
              <w:top w:w="40" w:type="dxa"/>
              <w:left w:w="110" w:type="dxa"/>
              <w:bottom w:w="40" w:type="dxa"/>
              <w:right w:w="110" w:type="dxa"/>
            </w:tcMar>
          </w:tcPr>
          <w:p>
            <w:pPr>
              <w:pStyle w:val="MasttTableCell"/>
              <w:spacing w:before="20" w:after="20"/>
            </w:pPr>
            <w:r/>
            <w:r>
              <w:rPr>
                <w:rFonts w:ascii="Segoe UI" w:hAnsi="Segoe UI"/>
                <w:color w:val="1D3245"/>
                <w:sz w:val="17"/>
              </w:rPr>
              <w:t>A boundary of responsibility between contracts</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Package scope splits; free-issue items; attendance obligations</w:t>
            </w:r>
          </w:p>
        </w:tc>
        <w:tc>
          <w:tcPr>
            <w:tcW w:type="dxa" w:w="1753"/>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Organisational</w:t>
            </w:r>
          </w:p>
        </w:tc>
        <w:tc>
          <w:tcPr>
            <w:tcW w:type="dxa" w:w="25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dependency between teams or organisations</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decision inputs; operator resourcing; consultant novation</w:t>
            </w:r>
          </w:p>
        </w:tc>
        <w:tc>
          <w:tcPr>
            <w:tcW w:type="dxa" w:w="17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Spatial / temporal</w:t>
            </w:r>
          </w:p>
        </w:tc>
        <w:tc>
          <w:tcPr>
            <w:tcW w:type="dxa" w:w="2519"/>
            <w:tcMar>
              <w:top w:w="40" w:type="dxa"/>
              <w:left w:w="110" w:type="dxa"/>
              <w:bottom w:w="40" w:type="dxa"/>
              <w:right w:w="110" w:type="dxa"/>
            </w:tcMar>
          </w:tcPr>
          <w:p>
            <w:pPr>
              <w:pStyle w:val="MasttTableCell"/>
              <w:spacing w:before="20" w:after="20"/>
            </w:pPr>
            <w:r/>
            <w:r>
              <w:rPr>
                <w:rFonts w:ascii="Segoe UI" w:hAnsi="Segoe UI"/>
                <w:color w:val="1D3245"/>
                <w:sz w:val="17"/>
              </w:rPr>
              <w:t>Shared access to space or time</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Site access sequencing; craneage sharing; possession windows</w:t>
            </w:r>
          </w:p>
        </w:tc>
        <w:tc>
          <w:tcPr>
            <w:tcW w:type="dxa" w:w="1753"/>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External / third party</w:t>
            </w:r>
          </w:p>
        </w:tc>
        <w:tc>
          <w:tcPr>
            <w:tcW w:type="dxa" w:w="25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dependency on a party outside the contract</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Utility connections; authority approvals; adjacent landowners</w:t>
            </w:r>
          </w:p>
        </w:tc>
        <w:tc>
          <w:tcPr>
            <w:tcW w:type="dxa" w:w="17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r>
        <w:trPr>
          <w:cantSplit w:val="true"/>
        </w:trPr>
        <w:tc>
          <w:tcPr>
            <w:tcW w:type="dxa" w:w="1737"/>
            <w:tcMar>
              <w:top w:w="40" w:type="dxa"/>
              <w:left w:w="110" w:type="dxa"/>
              <w:bottom w:w="40" w:type="dxa"/>
              <w:right w:w="110" w:type="dxa"/>
            </w:tcMar>
          </w:tcPr>
          <w:p>
            <w:pPr>
              <w:pStyle w:val="MasttTableCell"/>
              <w:spacing w:before="20" w:after="20"/>
            </w:pPr>
            <w:r/>
            <w:r>
              <w:rPr>
                <w:rFonts w:ascii="Segoe UI" w:hAnsi="Segoe UI"/>
                <w:b/>
                <w:color w:val="1D3245"/>
                <w:sz w:val="17"/>
              </w:rPr>
              <w:t>Operational</w:t>
            </w:r>
          </w:p>
        </w:tc>
        <w:tc>
          <w:tcPr>
            <w:tcW w:type="dxa" w:w="2519"/>
            <w:tcMar>
              <w:top w:w="40" w:type="dxa"/>
              <w:left w:w="110" w:type="dxa"/>
              <w:bottom w:w="40" w:type="dxa"/>
              <w:right w:w="110" w:type="dxa"/>
            </w:tcMar>
          </w:tcPr>
          <w:p>
            <w:pPr>
              <w:pStyle w:val="MasttTableCell"/>
              <w:spacing w:before="20" w:after="20"/>
            </w:pPr>
            <w:r/>
            <w:r>
              <w:rPr>
                <w:rFonts w:ascii="Segoe UI" w:hAnsi="Segoe UI"/>
                <w:color w:val="1D3245"/>
                <w:sz w:val="17"/>
              </w:rPr>
              <w:t>A boundary with an existing operating asset</w:t>
            </w:r>
          </w:p>
        </w:tc>
        <w:tc>
          <w:tcPr>
            <w:tcW w:type="dxa" w:w="3402"/>
            <w:tcMar>
              <w:top w:w="40" w:type="dxa"/>
              <w:left w:w="110" w:type="dxa"/>
              <w:bottom w:w="40" w:type="dxa"/>
              <w:right w:w="110" w:type="dxa"/>
            </w:tcMar>
          </w:tcPr>
          <w:p>
            <w:pPr>
              <w:pStyle w:val="MasttTableCell"/>
              <w:spacing w:before="20" w:after="20"/>
            </w:pPr>
            <w:r/>
            <w:r>
              <w:rPr>
                <w:rFonts w:ascii="Segoe UI" w:hAnsi="Segoe UI"/>
                <w:color w:val="1D3245"/>
                <w:sz w:val="17"/>
              </w:rPr>
              <w:t>Live services tie-ins; shutdowns; migration of users</w:t>
            </w:r>
          </w:p>
        </w:tc>
        <w:tc>
          <w:tcPr>
            <w:tcW w:type="dxa" w:w="1753"/>
            <w:tcMar>
              <w:top w:w="40" w:type="dxa"/>
              <w:left w:w="110" w:type="dxa"/>
              <w:bottom w:w="40" w:type="dxa"/>
              <w:right w:w="110" w:type="dxa"/>
            </w:tcMar>
          </w:tcPr>
          <w:p>
            <w:pPr>
              <w:pStyle w:val="MasttTableCell"/>
              <w:spacing w:before="20" w:after="20"/>
            </w:pPr>
            <w:r/>
            <w:r>
              <w:rPr>
                <w:rFonts w:ascii="Segoe UI" w:hAnsi="Segoe UI"/>
                <w:color w:val="1D3245"/>
                <w:sz w:val="17"/>
              </w:rPr>
              <w:t>Operations Representative</w:t>
            </w:r>
          </w:p>
        </w:tc>
      </w:tr>
      <w:tr>
        <w:trPr>
          <w:cantSplit w:val="true"/>
        </w:trPr>
        <w:tc>
          <w:tcPr>
            <w:tcW w:type="dxa" w:w="1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Information</w:t>
            </w:r>
          </w:p>
        </w:tc>
        <w:tc>
          <w:tcPr>
            <w:tcW w:type="dxa" w:w="25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dependency for data or model content</w:t>
            </w:r>
          </w:p>
        </w:tc>
        <w:tc>
          <w:tcPr>
            <w:tcW w:type="dxa" w:w="34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Model exchange; asset data population; as-built handover</w:t>
            </w:r>
          </w:p>
        </w:tc>
        <w:tc>
          <w:tcPr>
            <w:tcW w:type="dxa" w:w="17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Information Manager</w:t>
            </w:r>
          </w:p>
        </w:tc>
      </w:tr>
    </w:tbl>
    <w:p>
      <w:pPr>
        <w:rPr>
          <w:sz w:val="8"/>
        </w:rPr>
        <w:spacing w:after="40" w:before="0" w:line="240" w:lineRule="auto"/>
      </w:pPr>
    </w:p>
    <w:p>
      <w:pPr>
        <w:pStyle w:val="Heading2"/>
      </w:pPr>
      <w:r>
        <w:t>15.3  Internal interfaces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757"/>
        <w:gridCol w:w="1526"/>
        <w:gridCol w:w="1162"/>
        <w:gridCol w:w="1426"/>
        <w:gridCol w:w="1630"/>
        <w:gridCol w:w="1157"/>
        <w:gridCol w:w="821"/>
        <w:gridCol w:w="933"/>
      </w:tblGrid>
      <w:tr>
        <w:trPr>
          <w:tblHeader w:val="true"/>
          <w:cantSplit w:val="true"/>
        </w:trPr>
        <w:tc>
          <w:tcPr>
            <w:tcW w:type="dxa" w:w="7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Ref</w:t>
            </w:r>
          </w:p>
        </w:tc>
        <w:tc>
          <w:tcPr>
            <w:tcW w:type="dxa" w:w="152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Interface</w:t>
            </w:r>
          </w:p>
        </w:tc>
        <w:tc>
          <w:tcPr>
            <w:tcW w:type="dxa" w:w="116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Party A</w:t>
            </w:r>
          </w:p>
        </w:tc>
        <w:tc>
          <w:tcPr>
            <w:tcW w:type="dxa" w:w="142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Party B</w:t>
            </w:r>
          </w:p>
        </w:tc>
        <w:tc>
          <w:tcPr>
            <w:tcW w:type="dxa" w:w="163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Deliverable required</w:t>
            </w:r>
          </w:p>
        </w:tc>
        <w:tc>
          <w:tcPr>
            <w:tcW w:type="dxa" w:w="11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Required by</w:t>
            </w:r>
          </w:p>
        </w:tc>
        <w:tc>
          <w:tcPr>
            <w:tcW w:type="dxa" w:w="8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Owner</w:t>
            </w:r>
          </w:p>
        </w:tc>
        <w:tc>
          <w:tcPr>
            <w:tcW w:type="dxa" w:w="93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Status</w:t>
            </w:r>
          </w:p>
        </w:tc>
      </w:tr>
      <w:tr>
        <w:trPr>
          <w:cantSplit w:val="true"/>
        </w:trPr>
        <w:tc>
          <w:tcPr>
            <w:tcW w:type="dxa" w:w="757"/>
            <w:tcMar>
              <w:top w:w="40" w:type="dxa"/>
              <w:left w:w="110" w:type="dxa"/>
              <w:bottom w:w="40" w:type="dxa"/>
              <w:right w:w="110" w:type="dxa"/>
            </w:tcMar>
          </w:tcPr>
          <w:p>
            <w:pPr>
              <w:pStyle w:val="MasttTableCell"/>
              <w:spacing w:before="20" w:after="20"/>
            </w:pPr>
            <w:r/>
            <w:r>
              <w:rPr>
                <w:rFonts w:ascii="Segoe UI" w:hAnsi="Segoe UI"/>
                <w:b/>
                <w:color w:val="1D3245"/>
                <w:sz w:val="16"/>
              </w:rPr>
              <w:t>IF-01</w:t>
            </w:r>
          </w:p>
        </w:tc>
        <w:tc>
          <w:tcPr>
            <w:tcW w:type="dxa" w:w="1526"/>
            <w:tcMar>
              <w:top w:w="40" w:type="dxa"/>
              <w:left w:w="110" w:type="dxa"/>
              <w:bottom w:w="40" w:type="dxa"/>
              <w:right w:w="110" w:type="dxa"/>
            </w:tcMar>
          </w:tcPr>
          <w:p>
            <w:pPr>
              <w:pStyle w:val="MasttTableCell"/>
              <w:spacing w:before="20" w:after="20"/>
            </w:pPr>
            <w:r/>
            <w:r>
              <w:rPr>
                <w:rFonts w:ascii="Segoe UI" w:hAnsi="Segoe UI"/>
                <w:color w:val="1D3245"/>
                <w:sz w:val="16"/>
              </w:rPr>
              <w:t>Substructure to superstructure</w:t>
            </w:r>
          </w:p>
        </w:tc>
        <w:tc>
          <w:tcPr>
            <w:tcW w:type="dxa" w:w="1162"/>
            <w:tcMar>
              <w:top w:w="40" w:type="dxa"/>
              <w:left w:w="110" w:type="dxa"/>
              <w:bottom w:w="40" w:type="dxa"/>
              <w:right w:w="110" w:type="dxa"/>
            </w:tcMar>
          </w:tcPr>
          <w:p>
            <w:pPr>
              <w:pStyle w:val="MasttTableCell"/>
              <w:spacing w:before="20" w:after="20"/>
            </w:pPr>
            <w:r/>
            <w:r>
              <w:rPr>
                <w:rFonts w:ascii="Segoe UI" w:hAnsi="Segoe UI"/>
                <w:color w:val="1D3245"/>
                <w:sz w:val="16"/>
              </w:rPr>
              <w:t>Civil contractor</w:t>
            </w:r>
          </w:p>
        </w:tc>
        <w:tc>
          <w:tcPr>
            <w:tcW w:type="dxa" w:w="1426"/>
            <w:tcMar>
              <w:top w:w="40" w:type="dxa"/>
              <w:left w:w="110" w:type="dxa"/>
              <w:bottom w:w="40" w:type="dxa"/>
              <w:right w:w="110" w:type="dxa"/>
            </w:tcMar>
          </w:tcPr>
          <w:p>
            <w:pPr>
              <w:pStyle w:val="MasttTableCell"/>
              <w:spacing w:before="20" w:after="20"/>
            </w:pPr>
            <w:r/>
            <w:r>
              <w:rPr>
                <w:rFonts w:ascii="Segoe UI" w:hAnsi="Segoe UI"/>
                <w:color w:val="1D3245"/>
                <w:sz w:val="16"/>
              </w:rPr>
              <w:t>Structure contractor</w:t>
            </w:r>
          </w:p>
        </w:tc>
        <w:tc>
          <w:tcPr>
            <w:tcW w:type="dxa" w:w="1630"/>
            <w:tcMar>
              <w:top w:w="40" w:type="dxa"/>
              <w:left w:w="110" w:type="dxa"/>
              <w:bottom w:w="40" w:type="dxa"/>
              <w:right w:w="110" w:type="dxa"/>
            </w:tcMar>
          </w:tcPr>
          <w:p>
            <w:pPr>
              <w:pStyle w:val="MasttTableCell"/>
              <w:spacing w:before="20" w:after="20"/>
            </w:pPr>
            <w:r/>
            <w:r>
              <w:rPr>
                <w:rFonts w:ascii="Segoe UI" w:hAnsi="Segoe UI"/>
                <w:color w:val="1D3245"/>
                <w:sz w:val="16"/>
              </w:rPr>
              <w:t>Survey-verified setting out and levels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t>Open</w:t>
            </w:r>
          </w:p>
        </w:tc>
      </w:tr>
      <w:tr>
        <w:trPr>
          <w:cantSplit w:val="true"/>
        </w:trPr>
        <w:tc>
          <w:tcPr>
            <w:tcW w:type="dxa" w:w="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IF-02</w:t>
            </w:r>
          </w:p>
        </w:tc>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Structure to façade</w:t>
            </w:r>
          </w:p>
        </w:tc>
        <w:tc>
          <w:tcPr>
            <w:tcW w:type="dxa" w:w="11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Structure contractor</w:t>
            </w:r>
          </w:p>
        </w:tc>
        <w:tc>
          <w:tcPr>
            <w:tcW w:type="dxa" w:w="14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Façade contractor</w:t>
            </w:r>
          </w:p>
        </w:tc>
        <w:tc>
          <w:tcPr>
            <w:tcW w:type="dxa" w:w="16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As-built tolerances and fixing zones</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Open</w:t>
            </w:r>
          </w:p>
        </w:tc>
      </w:tr>
      <w:tr>
        <w:trPr>
          <w:cantSplit w:val="true"/>
        </w:trPr>
        <w:tc>
          <w:tcPr>
            <w:tcW w:type="dxa" w:w="757"/>
            <w:tcMar>
              <w:top w:w="40" w:type="dxa"/>
              <w:left w:w="110" w:type="dxa"/>
              <w:bottom w:w="40" w:type="dxa"/>
              <w:right w:w="110" w:type="dxa"/>
            </w:tcMar>
          </w:tcPr>
          <w:p>
            <w:pPr>
              <w:pStyle w:val="MasttTableCell"/>
              <w:spacing w:before="20" w:after="20"/>
            </w:pPr>
            <w:r/>
            <w:r>
              <w:rPr>
                <w:rFonts w:ascii="Segoe UI" w:hAnsi="Segoe UI"/>
                <w:b/>
                <w:color w:val="1D3245"/>
                <w:sz w:val="16"/>
              </w:rPr>
              <w:t>IF-03</w:t>
            </w:r>
          </w:p>
        </w:tc>
        <w:tc>
          <w:tcPr>
            <w:tcW w:type="dxa" w:w="1526"/>
            <w:tcMar>
              <w:top w:w="40" w:type="dxa"/>
              <w:left w:w="110" w:type="dxa"/>
              <w:bottom w:w="40" w:type="dxa"/>
              <w:right w:w="110" w:type="dxa"/>
            </w:tcMar>
          </w:tcPr>
          <w:p>
            <w:pPr>
              <w:pStyle w:val="MasttTableCell"/>
              <w:spacing w:before="20" w:after="20"/>
            </w:pPr>
            <w:r/>
            <w:r>
              <w:rPr>
                <w:rFonts w:ascii="Segoe UI" w:hAnsi="Segoe UI"/>
                <w:color w:val="1D3245"/>
                <w:sz w:val="16"/>
              </w:rPr>
              <w:t>Services to structure</w:t>
            </w:r>
          </w:p>
        </w:tc>
        <w:tc>
          <w:tcPr>
            <w:tcW w:type="dxa" w:w="1162"/>
            <w:tcMar>
              <w:top w:w="40" w:type="dxa"/>
              <w:left w:w="110" w:type="dxa"/>
              <w:bottom w:w="40" w:type="dxa"/>
              <w:right w:w="110" w:type="dxa"/>
            </w:tcMar>
          </w:tcPr>
          <w:p>
            <w:pPr>
              <w:pStyle w:val="MasttTableCell"/>
              <w:spacing w:before="20" w:after="20"/>
            </w:pPr>
            <w:r/>
            <w:r>
              <w:rPr>
                <w:rFonts w:ascii="Segoe UI" w:hAnsi="Segoe UI"/>
                <w:color w:val="1D3245"/>
                <w:sz w:val="16"/>
              </w:rPr>
              <w:t>Services contractor</w:t>
            </w:r>
          </w:p>
        </w:tc>
        <w:tc>
          <w:tcPr>
            <w:tcW w:type="dxa" w:w="1426"/>
            <w:tcMar>
              <w:top w:w="40" w:type="dxa"/>
              <w:left w:w="110" w:type="dxa"/>
              <w:bottom w:w="40" w:type="dxa"/>
              <w:right w:w="110" w:type="dxa"/>
            </w:tcMar>
          </w:tcPr>
          <w:p>
            <w:pPr>
              <w:pStyle w:val="MasttTableCell"/>
              <w:spacing w:before="20" w:after="20"/>
            </w:pPr>
            <w:r/>
            <w:r>
              <w:rPr>
                <w:rFonts w:ascii="Segoe UI" w:hAnsi="Segoe UI"/>
                <w:color w:val="1D3245"/>
                <w:sz w:val="16"/>
              </w:rPr>
              <w:t>Structure contractor</w:t>
            </w:r>
          </w:p>
        </w:tc>
        <w:tc>
          <w:tcPr>
            <w:tcW w:type="dxa" w:w="1630"/>
            <w:tcMar>
              <w:top w:w="40" w:type="dxa"/>
              <w:left w:w="110" w:type="dxa"/>
              <w:bottom w:w="40" w:type="dxa"/>
              <w:right w:w="110" w:type="dxa"/>
            </w:tcMar>
          </w:tcPr>
          <w:p>
            <w:pPr>
              <w:pStyle w:val="MasttTableCell"/>
              <w:spacing w:before="20" w:after="20"/>
            </w:pPr>
            <w:r/>
            <w:r>
              <w:rPr>
                <w:rFonts w:ascii="Segoe UI" w:hAnsi="Segoe UI"/>
                <w:color w:val="1D3245"/>
                <w:sz w:val="16"/>
              </w:rPr>
              <w:t>Penetration and cast-in schedule</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t>Open</w:t>
            </w:r>
          </w:p>
        </w:tc>
      </w:tr>
      <w:tr>
        <w:trPr>
          <w:cantSplit w:val="true"/>
        </w:trPr>
        <w:tc>
          <w:tcPr>
            <w:tcW w:type="dxa" w:w="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IF-04</w:t>
            </w:r>
          </w:p>
        </w:tc>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Base build to fit-out</w:t>
            </w:r>
          </w:p>
        </w:tc>
        <w:tc>
          <w:tcPr>
            <w:tcW w:type="dxa" w:w="11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Main contractor</w:t>
            </w:r>
          </w:p>
        </w:tc>
        <w:tc>
          <w:tcPr>
            <w:tcW w:type="dxa" w:w="14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Fit-out contractor</w:t>
            </w:r>
          </w:p>
        </w:tc>
        <w:tc>
          <w:tcPr>
            <w:tcW w:type="dxa" w:w="16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Serviced, weathertight shell to agreed condition</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Open</w:t>
            </w:r>
          </w:p>
        </w:tc>
      </w:tr>
      <w:tr>
        <w:trPr>
          <w:cantSplit w:val="true"/>
        </w:trPr>
        <w:tc>
          <w:tcPr>
            <w:tcW w:type="dxa" w:w="757"/>
            <w:tcMar>
              <w:top w:w="40" w:type="dxa"/>
              <w:left w:w="110" w:type="dxa"/>
              <w:bottom w:w="40" w:type="dxa"/>
              <w:right w:w="110" w:type="dxa"/>
            </w:tcMar>
          </w:tcPr>
          <w:p>
            <w:pPr>
              <w:pStyle w:val="MasttTableCell"/>
              <w:spacing w:before="20" w:after="20"/>
            </w:pPr>
            <w:r/>
            <w:r>
              <w:rPr>
                <w:rFonts w:ascii="Segoe UI" w:hAnsi="Segoe UI"/>
                <w:b/>
                <w:color w:val="1D3245"/>
                <w:sz w:val="16"/>
              </w:rPr>
              <w:t>IF-05</w:t>
            </w:r>
          </w:p>
        </w:tc>
        <w:tc>
          <w:tcPr>
            <w:tcW w:type="dxa" w:w="1526"/>
            <w:tcMar>
              <w:top w:w="40" w:type="dxa"/>
              <w:left w:w="110" w:type="dxa"/>
              <w:bottom w:w="40" w:type="dxa"/>
              <w:right w:w="110" w:type="dxa"/>
            </w:tcMar>
          </w:tcPr>
          <w:p>
            <w:pPr>
              <w:pStyle w:val="MasttTableCell"/>
              <w:spacing w:before="20" w:after="20"/>
            </w:pPr>
            <w:r/>
            <w:r>
              <w:rPr>
                <w:rFonts w:ascii="Segoe UI" w:hAnsi="Segoe UI"/>
                <w:color w:val="1D3245"/>
                <w:sz w:val="16"/>
              </w:rPr>
              <w:t>Fit-out to equipment installation</w:t>
            </w:r>
          </w:p>
        </w:tc>
        <w:tc>
          <w:tcPr>
            <w:tcW w:type="dxa" w:w="1162"/>
            <w:tcMar>
              <w:top w:w="40" w:type="dxa"/>
              <w:left w:w="110" w:type="dxa"/>
              <w:bottom w:w="40" w:type="dxa"/>
              <w:right w:w="110" w:type="dxa"/>
            </w:tcMar>
          </w:tcPr>
          <w:p>
            <w:pPr>
              <w:pStyle w:val="MasttTableCell"/>
              <w:spacing w:before="20" w:after="20"/>
            </w:pPr>
            <w:r/>
            <w:r>
              <w:rPr>
                <w:rFonts w:ascii="Segoe UI" w:hAnsi="Segoe UI"/>
                <w:color w:val="1D3245"/>
                <w:sz w:val="16"/>
              </w:rPr>
              <w:t>Fit-out contractor</w:t>
            </w:r>
          </w:p>
        </w:tc>
        <w:tc>
          <w:tcPr>
            <w:tcW w:type="dxa" w:w="1426"/>
            <w:tcMar>
              <w:top w:w="40" w:type="dxa"/>
              <w:left w:w="110" w:type="dxa"/>
              <w:bottom w:w="40" w:type="dxa"/>
              <w:right w:w="110" w:type="dxa"/>
            </w:tcMar>
          </w:tcPr>
          <w:p>
            <w:pPr>
              <w:pStyle w:val="MasttTableCell"/>
              <w:spacing w:before="20" w:after="20"/>
            </w:pPr>
            <w:r/>
            <w:r>
              <w:rPr>
                <w:rFonts w:ascii="Segoe UI" w:hAnsi="Segoe UI"/>
                <w:color w:val="1D3245"/>
                <w:sz w:val="16"/>
              </w:rPr>
              <w:t>Equipment supplier</w:t>
            </w:r>
          </w:p>
        </w:tc>
        <w:tc>
          <w:tcPr>
            <w:tcW w:type="dxa" w:w="1630"/>
            <w:tcMar>
              <w:top w:w="40" w:type="dxa"/>
              <w:left w:w="110" w:type="dxa"/>
              <w:bottom w:w="40" w:type="dxa"/>
              <w:right w:w="110" w:type="dxa"/>
            </w:tcMar>
          </w:tcPr>
          <w:p>
            <w:pPr>
              <w:pStyle w:val="MasttTableCell"/>
              <w:spacing w:before="20" w:after="20"/>
            </w:pPr>
            <w:r/>
            <w:r>
              <w:rPr>
                <w:rFonts w:ascii="Segoe UI" w:hAnsi="Segoe UI"/>
                <w:color w:val="1D3245"/>
                <w:sz w:val="16"/>
              </w:rPr>
              <w:t>Room readiness certificate</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t>Open</w:t>
            </w:r>
          </w:p>
        </w:tc>
      </w:tr>
      <w:tr>
        <w:trPr>
          <w:cantSplit w:val="true"/>
        </w:trPr>
        <w:tc>
          <w:tcPr>
            <w:tcW w:type="dxa" w:w="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IF-06</w:t>
            </w:r>
          </w:p>
        </w:tc>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Construction to commissioning</w:t>
            </w:r>
          </w:p>
        </w:tc>
        <w:tc>
          <w:tcPr>
            <w:tcW w:type="dxa" w:w="11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Main contractor</w:t>
            </w:r>
          </w:p>
        </w:tc>
        <w:tc>
          <w:tcPr>
            <w:tcW w:type="dxa" w:w="14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Commissioning Manager</w:t>
            </w:r>
          </w:p>
        </w:tc>
        <w:tc>
          <w:tcPr>
            <w:tcW w:type="dxa" w:w="16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System completion certificates</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Open</w:t>
            </w:r>
          </w:p>
        </w:tc>
      </w:tr>
      <w:tr>
        <w:trPr>
          <w:cantSplit w:val="true"/>
        </w:trPr>
        <w:tc>
          <w:tcPr>
            <w:tcW w:type="dxa" w:w="757"/>
            <w:tcMar>
              <w:top w:w="40" w:type="dxa"/>
              <w:left w:w="110" w:type="dxa"/>
              <w:bottom w:w="40" w:type="dxa"/>
              <w:right w:w="110" w:type="dxa"/>
            </w:tcMar>
          </w:tcPr>
          <w:p>
            <w:pPr>
              <w:pStyle w:val="MasttTableCell"/>
              <w:spacing w:before="20" w:after="20"/>
            </w:pPr>
            <w:r/>
            <w:r>
              <w:rPr>
                <w:rFonts w:ascii="Segoe UI" w:hAnsi="Segoe UI"/>
                <w:b/>
                <w:color w:val="1D3245"/>
                <w:sz w:val="16"/>
              </w:rPr>
              <w:t>IF-07</w:t>
            </w:r>
          </w:p>
        </w:tc>
        <w:tc>
          <w:tcPr>
            <w:tcW w:type="dxa" w:w="1526"/>
            <w:tcMar>
              <w:top w:w="40" w:type="dxa"/>
              <w:left w:w="110" w:type="dxa"/>
              <w:bottom w:w="40" w:type="dxa"/>
              <w:right w:w="110" w:type="dxa"/>
            </w:tcMar>
          </w:tcPr>
          <w:p>
            <w:pPr>
              <w:pStyle w:val="MasttTableCell"/>
              <w:spacing w:before="20" w:after="20"/>
            </w:pPr>
            <w:r/>
            <w:r>
              <w:rPr>
                <w:rFonts w:ascii="Segoe UI" w:hAnsi="Segoe UI"/>
                <w:color w:val="1D3245"/>
                <w:sz w:val="16"/>
              </w:rPr>
              <w:t>Design to construction</w:t>
            </w:r>
          </w:p>
        </w:tc>
        <w:tc>
          <w:tcPr>
            <w:tcW w:type="dxa" w:w="1162"/>
            <w:tcMar>
              <w:top w:w="40" w:type="dxa"/>
              <w:left w:w="110" w:type="dxa"/>
              <w:bottom w:w="40" w:type="dxa"/>
              <w:right w:w="110" w:type="dxa"/>
            </w:tcMar>
          </w:tcPr>
          <w:p>
            <w:pPr>
              <w:pStyle w:val="MasttTableCell"/>
              <w:spacing w:before="20" w:after="20"/>
            </w:pPr>
            <w:r/>
            <w:r>
              <w:rPr>
                <w:rFonts w:ascii="Segoe UI" w:hAnsi="Segoe UI"/>
                <w:color w:val="1D3245"/>
                <w:sz w:val="16"/>
              </w:rPr>
              <w:t>Lead designer</w:t>
            </w:r>
          </w:p>
        </w:tc>
        <w:tc>
          <w:tcPr>
            <w:tcW w:type="dxa" w:w="1426"/>
            <w:tcMar>
              <w:top w:w="40" w:type="dxa"/>
              <w:left w:w="110" w:type="dxa"/>
              <w:bottom w:w="40" w:type="dxa"/>
              <w:right w:w="110" w:type="dxa"/>
            </w:tcMar>
          </w:tcPr>
          <w:p>
            <w:pPr>
              <w:pStyle w:val="MasttTableCell"/>
              <w:spacing w:before="20" w:after="20"/>
            </w:pPr>
            <w:r/>
            <w:r>
              <w:rPr>
                <w:rFonts w:ascii="Segoe UI" w:hAnsi="Segoe UI"/>
                <w:color w:val="1D3245"/>
                <w:sz w:val="16"/>
              </w:rPr>
              <w:t>Main contractor</w:t>
            </w:r>
          </w:p>
        </w:tc>
        <w:tc>
          <w:tcPr>
            <w:tcW w:type="dxa" w:w="1630"/>
            <w:tcMar>
              <w:top w:w="40" w:type="dxa"/>
              <w:left w:w="110" w:type="dxa"/>
              <w:bottom w:w="40" w:type="dxa"/>
              <w:right w:w="110" w:type="dxa"/>
            </w:tcMar>
          </w:tcPr>
          <w:p>
            <w:pPr>
              <w:pStyle w:val="MasttTableCell"/>
              <w:spacing w:before="20" w:after="20"/>
            </w:pPr>
            <w:r/>
            <w:r>
              <w:rPr>
                <w:rFonts w:ascii="Segoe UI" w:hAnsi="Segoe UI"/>
                <w:color w:val="1D3245"/>
                <w:sz w:val="16"/>
              </w:rPr>
              <w:t>AFC documentation with no open mandatory comments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tcPr>
          <w:p>
            <w:pPr>
              <w:pStyle w:val="MasttTableCell"/>
              <w:spacing w:before="20" w:after="20"/>
            </w:pPr>
            <w:r/>
            <w:r>
              <w:rPr>
                <w:rFonts w:ascii="Segoe UI" w:hAnsi="Segoe UI"/>
                <w:color w:val="1D3245"/>
                <w:sz w:val="16"/>
              </w:rPr>
              <w:t>Open</w:t>
            </w:r>
          </w:p>
        </w:tc>
      </w:tr>
      <w:tr>
        <w:trPr>
          <w:cantSplit w:val="true"/>
        </w:trPr>
        <w:tc>
          <w:tcPr>
            <w:tcW w:type="dxa" w:w="75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r>
          </w:p>
        </w:tc>
        <w:tc>
          <w:tcPr>
            <w:tcW w:type="dxa" w:w="15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42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93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bl>
    <w:p>
      <w:pPr>
        <w:rPr>
          <w:sz w:val="8"/>
        </w:rPr>
        <w:spacing w:after="40" w:before="0" w:line="240" w:lineRule="auto"/>
      </w:pPr>
    </w:p>
    <w:p>
      <w:pPr>
        <w:pStyle w:val="Heading2"/>
      </w:pPr>
      <w:r>
        <w:t>15.4  External and third-party interfaces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788"/>
        <w:gridCol w:w="1975"/>
        <w:gridCol w:w="2358"/>
        <w:gridCol w:w="1327"/>
        <w:gridCol w:w="1869"/>
        <w:gridCol w:w="1096"/>
      </w:tblGrid>
      <w:tr>
        <w:trPr>
          <w:tblHeader w:val="true"/>
          <w:cantSplit w:val="true"/>
        </w:trPr>
        <w:tc>
          <w:tcPr>
            <w:tcW w:type="dxa" w:w="7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1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Third party</w:t>
            </w:r>
          </w:p>
        </w:tc>
        <w:tc>
          <w:tcPr>
            <w:tcW w:type="dxa" w:w="23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Interface</w:t>
            </w:r>
          </w:p>
        </w:tc>
        <w:tc>
          <w:tcPr>
            <w:tcW w:type="dxa" w:w="132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Lead time</w:t>
            </w:r>
          </w:p>
        </w:tc>
        <w:tc>
          <w:tcPr>
            <w:tcW w:type="dxa" w:w="18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Risk if late</w:t>
            </w:r>
          </w:p>
        </w:tc>
        <w:tc>
          <w:tcPr>
            <w:tcW w:type="dxa" w:w="109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EX-01</w:t>
            </w:r>
          </w:p>
        </w:tc>
        <w:tc>
          <w:tcPr>
            <w:tcW w:type="dxa" w:w="1975"/>
            <w:tcMar>
              <w:top w:w="40" w:type="dxa"/>
              <w:left w:w="110" w:type="dxa"/>
              <w:bottom w:w="40" w:type="dxa"/>
              <w:right w:w="110" w:type="dxa"/>
            </w:tcMar>
          </w:tcPr>
          <w:p>
            <w:pPr>
              <w:pStyle w:val="MasttTableCell"/>
              <w:spacing w:before="20" w:after="20"/>
            </w:pPr>
            <w:r/>
            <w:r>
              <w:rPr>
                <w:rFonts w:ascii="Segoe UI" w:hAnsi="Segoe UI"/>
                <w:color w:val="1D3245"/>
                <w:sz w:val="17"/>
              </w:rPr>
              <w:t>Electricity network operator</w:t>
            </w:r>
          </w:p>
        </w:tc>
        <w:tc>
          <w:tcPr>
            <w:tcW w:type="dxa" w:w="2357"/>
            <w:tcMar>
              <w:top w:w="40" w:type="dxa"/>
              <w:left w:w="110" w:type="dxa"/>
              <w:bottom w:w="40" w:type="dxa"/>
              <w:right w:w="110" w:type="dxa"/>
            </w:tcMar>
          </w:tcPr>
          <w:p>
            <w:pPr>
              <w:pStyle w:val="MasttTableCell"/>
              <w:spacing w:before="20" w:after="20"/>
            </w:pPr>
            <w:r/>
            <w:r>
              <w:rPr>
                <w:rFonts w:ascii="Segoe UI" w:hAnsi="Segoe UI"/>
                <w:color w:val="1D3245"/>
                <w:sz w:val="17"/>
              </w:rPr>
              <w:t>Supply capacity, connection and energisation</w:t>
            </w:r>
          </w:p>
        </w:tc>
        <w:tc>
          <w:tcPr>
            <w:tcW w:type="dxa" w:w="1327"/>
            <w:tcMar>
              <w:top w:w="40" w:type="dxa"/>
              <w:left w:w="110" w:type="dxa"/>
              <w:bottom w:w="40" w:type="dxa"/>
              <w:right w:w="110" w:type="dxa"/>
            </w:tcMar>
          </w:tcPr>
          <w:p>
            <w:pPr>
              <w:pStyle w:val="MasttTableCell"/>
              <w:spacing w:before="20" w:after="20"/>
            </w:pPr>
            <w:r/>
            <w:r>
              <w:rPr>
                <w:rFonts w:ascii="Segoe UI" w:hAnsi="Segoe UI"/>
                <w:color w:val="1D3245"/>
                <w:sz w:val="17"/>
              </w:rPr>
              <w:t>Typically 6-18 months</w:t>
            </w:r>
          </w:p>
        </w:tc>
        <w:tc>
          <w:tcPr>
            <w:tcW w:type="dxa" w:w="1869"/>
            <w:tcMar>
              <w:top w:w="40" w:type="dxa"/>
              <w:left w:w="110" w:type="dxa"/>
              <w:bottom w:w="40" w:type="dxa"/>
              <w:right w:w="110" w:type="dxa"/>
            </w:tcMar>
          </w:tcPr>
          <w:p>
            <w:pPr>
              <w:pStyle w:val="MasttTableCell"/>
              <w:spacing w:before="20" w:after="20"/>
            </w:pPr>
            <w:r/>
            <w:r>
              <w:rPr>
                <w:rFonts w:ascii="Segoe UI" w:hAnsi="Segoe UI"/>
                <w:color w:val="1D3245"/>
                <w:sz w:val="17"/>
              </w:rPr>
              <w:t>Cannot energise; commissioning stops</w:t>
            </w:r>
          </w:p>
        </w:tc>
        <w:tc>
          <w:tcPr>
            <w:tcW w:type="dxa" w:w="109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EX-02</w:t>
            </w:r>
          </w:p>
        </w:tc>
        <w:tc>
          <w:tcPr>
            <w:tcW w:type="dxa" w:w="1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Water and wastewater authority</w:t>
            </w:r>
          </w:p>
        </w:tc>
        <w:tc>
          <w:tcPr>
            <w:tcW w:type="dxa" w:w="2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Connection, capacity and diversion</w:t>
            </w:r>
          </w:p>
        </w:tc>
        <w:tc>
          <w:tcPr>
            <w:tcW w:type="dxa" w:w="13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6-12 months</w:t>
            </w:r>
          </w:p>
        </w:tc>
        <w:tc>
          <w:tcPr>
            <w:tcW w:type="dxa" w:w="18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Cannot commission or occupy</w:t>
            </w:r>
          </w:p>
        </w:tc>
        <w:tc>
          <w:tcPr>
            <w:tcW w:type="dxa" w:w="10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EX-03</w:t>
            </w:r>
          </w:p>
        </w:tc>
        <w:tc>
          <w:tcPr>
            <w:tcW w:type="dxa" w:w="1975"/>
            <w:tcMar>
              <w:top w:w="40" w:type="dxa"/>
              <w:left w:w="110" w:type="dxa"/>
              <w:bottom w:w="40" w:type="dxa"/>
              <w:right w:w="110" w:type="dxa"/>
            </w:tcMar>
          </w:tcPr>
          <w:p>
            <w:pPr>
              <w:pStyle w:val="MasttTableCell"/>
              <w:spacing w:before="20" w:after="20"/>
            </w:pPr>
            <w:r/>
            <w:r>
              <w:rPr>
                <w:rFonts w:ascii="Segoe UI" w:hAnsi="Segoe UI"/>
                <w:color w:val="1D3245"/>
                <w:sz w:val="17"/>
              </w:rPr>
              <w:t>Telecommunications providers</w:t>
            </w:r>
          </w:p>
        </w:tc>
        <w:tc>
          <w:tcPr>
            <w:tcW w:type="dxa" w:w="2357"/>
            <w:tcMar>
              <w:top w:w="40" w:type="dxa"/>
              <w:left w:w="110" w:type="dxa"/>
              <w:bottom w:w="40" w:type="dxa"/>
              <w:right w:w="110" w:type="dxa"/>
            </w:tcMar>
          </w:tcPr>
          <w:p>
            <w:pPr>
              <w:pStyle w:val="MasttTableCell"/>
              <w:spacing w:before="20" w:after="20"/>
            </w:pPr>
            <w:r/>
            <w:r>
              <w:rPr>
                <w:rFonts w:ascii="Segoe UI" w:hAnsi="Segoe UI"/>
                <w:color w:val="1D3245"/>
                <w:sz w:val="17"/>
              </w:rPr>
              <w:t>Lead-in and service provision</w:t>
            </w:r>
          </w:p>
        </w:tc>
        <w:tc>
          <w:tcPr>
            <w:tcW w:type="dxa" w:w="1327"/>
            <w:tcMar>
              <w:top w:w="40" w:type="dxa"/>
              <w:left w:w="110" w:type="dxa"/>
              <w:bottom w:w="40" w:type="dxa"/>
              <w:right w:w="110" w:type="dxa"/>
            </w:tcMar>
          </w:tcPr>
          <w:p>
            <w:pPr>
              <w:pStyle w:val="MasttTableCell"/>
              <w:spacing w:before="20" w:after="20"/>
            </w:pPr>
            <w:r/>
            <w:r>
              <w:rPr>
                <w:rFonts w:ascii="Segoe UI" w:hAnsi="Segoe UI"/>
                <w:color w:val="1D3245"/>
                <w:sz w:val="17"/>
              </w:rPr>
              <w:t>3-9 months</w:t>
            </w:r>
          </w:p>
        </w:tc>
        <w:tc>
          <w:tcPr>
            <w:tcW w:type="dxa" w:w="1869"/>
            <w:tcMar>
              <w:top w:w="40" w:type="dxa"/>
              <w:left w:w="110" w:type="dxa"/>
              <w:bottom w:w="40" w:type="dxa"/>
              <w:right w:w="110" w:type="dxa"/>
            </w:tcMar>
          </w:tcPr>
          <w:p>
            <w:pPr>
              <w:pStyle w:val="MasttTableCell"/>
              <w:spacing w:before="20" w:after="20"/>
            </w:pPr>
            <w:r/>
            <w:r>
              <w:rPr>
                <w:rFonts w:ascii="Segoe UI" w:hAnsi="Segoe UI"/>
                <w:color w:val="1D3245"/>
                <w:sz w:val="17"/>
              </w:rPr>
              <w:t>Systems cannot be commissioned</w:t>
            </w:r>
          </w:p>
        </w:tc>
        <w:tc>
          <w:tcPr>
            <w:tcW w:type="dxa" w:w="109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EX-04</w:t>
            </w:r>
          </w:p>
        </w:tc>
        <w:tc>
          <w:tcPr>
            <w:tcW w:type="dxa" w:w="1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Gas network operator</w:t>
            </w:r>
          </w:p>
        </w:tc>
        <w:tc>
          <w:tcPr>
            <w:tcW w:type="dxa" w:w="2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Connection and purging</w:t>
            </w:r>
          </w:p>
        </w:tc>
        <w:tc>
          <w:tcPr>
            <w:tcW w:type="dxa" w:w="13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6-12 months</w:t>
            </w:r>
          </w:p>
        </w:tc>
        <w:tc>
          <w:tcPr>
            <w:tcW w:type="dxa" w:w="18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Heating systems incomplete</w:t>
            </w:r>
          </w:p>
        </w:tc>
        <w:tc>
          <w:tcPr>
            <w:tcW w:type="dxa" w:w="10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EX-05</w:t>
            </w:r>
          </w:p>
        </w:tc>
        <w:tc>
          <w:tcPr>
            <w:tcW w:type="dxa" w:w="1975"/>
            <w:tcMar>
              <w:top w:w="40" w:type="dxa"/>
              <w:left w:w="110" w:type="dxa"/>
              <w:bottom w:w="40" w:type="dxa"/>
              <w:right w:w="110" w:type="dxa"/>
            </w:tcMar>
          </w:tcPr>
          <w:p>
            <w:pPr>
              <w:pStyle w:val="MasttTableCell"/>
              <w:spacing w:before="20" w:after="20"/>
            </w:pPr>
            <w:r/>
            <w:r>
              <w:rPr>
                <w:rFonts w:ascii="Segoe UI" w:hAnsi="Segoe UI"/>
                <w:color w:val="1D3245"/>
                <w:sz w:val="17"/>
              </w:rPr>
              <w:t>Road / transport authority</w:t>
            </w:r>
          </w:p>
        </w:tc>
        <w:tc>
          <w:tcPr>
            <w:tcW w:type="dxa" w:w="2357"/>
            <w:tcMar>
              <w:top w:w="40" w:type="dxa"/>
              <w:left w:w="110" w:type="dxa"/>
              <w:bottom w:w="40" w:type="dxa"/>
              <w:right w:w="110" w:type="dxa"/>
            </w:tcMar>
          </w:tcPr>
          <w:p>
            <w:pPr>
              <w:pStyle w:val="MasttTableCell"/>
              <w:spacing w:before="20" w:after="20"/>
            </w:pPr>
            <w:r/>
            <w:r>
              <w:rPr>
                <w:rFonts w:ascii="Segoe UI" w:hAnsi="Segoe UI"/>
                <w:color w:val="1D3245"/>
                <w:sz w:val="17"/>
              </w:rPr>
              <w:t>Occupancy, closures, works within the road reserve</w:t>
            </w:r>
          </w:p>
        </w:tc>
        <w:tc>
          <w:tcPr>
            <w:tcW w:type="dxa" w:w="1327"/>
            <w:tcMar>
              <w:top w:w="40" w:type="dxa"/>
              <w:left w:w="110" w:type="dxa"/>
              <w:bottom w:w="40" w:type="dxa"/>
              <w:right w:w="110" w:type="dxa"/>
            </w:tcMar>
          </w:tcPr>
          <w:p>
            <w:pPr>
              <w:pStyle w:val="MasttTableCell"/>
              <w:spacing w:before="20" w:after="20"/>
            </w:pPr>
            <w:r/>
            <w:r>
              <w:rPr>
                <w:rFonts w:ascii="Segoe UI" w:hAnsi="Segoe UI"/>
                <w:color w:val="1D3245"/>
                <w:sz w:val="17"/>
              </w:rPr>
              <w:t>3-6 months</w:t>
            </w:r>
          </w:p>
        </w:tc>
        <w:tc>
          <w:tcPr>
            <w:tcW w:type="dxa" w:w="1869"/>
            <w:tcMar>
              <w:top w:w="40" w:type="dxa"/>
              <w:left w:w="110" w:type="dxa"/>
              <w:bottom w:w="40" w:type="dxa"/>
              <w:right w:w="110" w:type="dxa"/>
            </w:tcMar>
          </w:tcPr>
          <w:p>
            <w:pPr>
              <w:pStyle w:val="MasttTableCell"/>
              <w:spacing w:before="20" w:after="20"/>
            </w:pPr>
            <w:r/>
            <w:r>
              <w:rPr>
                <w:rFonts w:ascii="Segoe UI" w:hAnsi="Segoe UI"/>
                <w:color w:val="1D3245"/>
                <w:sz w:val="17"/>
              </w:rPr>
              <w:t>Access and deliveries constrained</w:t>
            </w:r>
          </w:p>
        </w:tc>
        <w:tc>
          <w:tcPr>
            <w:tcW w:type="dxa" w:w="109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EX-06</w:t>
            </w:r>
          </w:p>
        </w:tc>
        <w:tc>
          <w:tcPr>
            <w:tcW w:type="dxa" w:w="1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Planning / consent authority</w:t>
            </w:r>
          </w:p>
        </w:tc>
        <w:tc>
          <w:tcPr>
            <w:tcW w:type="dxa" w:w="2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Condition discharge and modifications</w:t>
            </w:r>
          </w:p>
        </w:tc>
        <w:tc>
          <w:tcPr>
            <w:tcW w:type="dxa" w:w="13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Variable</w:t>
            </w:r>
          </w:p>
        </w:tc>
        <w:tc>
          <w:tcPr>
            <w:tcW w:type="dxa" w:w="18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Cannot proceed or occupy</w:t>
            </w:r>
          </w:p>
        </w:tc>
        <w:tc>
          <w:tcPr>
            <w:tcW w:type="dxa" w:w="10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EX-07</w:t>
            </w:r>
          </w:p>
        </w:tc>
        <w:tc>
          <w:tcPr>
            <w:tcW w:type="dxa" w:w="1975"/>
            <w:tcMar>
              <w:top w:w="40" w:type="dxa"/>
              <w:left w:w="110" w:type="dxa"/>
              <w:bottom w:w="40" w:type="dxa"/>
              <w:right w:w="110" w:type="dxa"/>
            </w:tcMar>
          </w:tcPr>
          <w:p>
            <w:pPr>
              <w:pStyle w:val="MasttTableCell"/>
              <w:spacing w:before="20" w:after="20"/>
            </w:pPr>
            <w:r/>
            <w:r>
              <w:rPr>
                <w:rFonts w:ascii="Segoe UI" w:hAnsi="Segoe UI"/>
                <w:color w:val="1D3245"/>
                <w:sz w:val="17"/>
              </w:rPr>
              <w:t>Building certifier / regulator</w:t>
            </w:r>
          </w:p>
        </w:tc>
        <w:tc>
          <w:tcPr>
            <w:tcW w:type="dxa" w:w="2357"/>
            <w:tcMar>
              <w:top w:w="40" w:type="dxa"/>
              <w:left w:w="110" w:type="dxa"/>
              <w:bottom w:w="40" w:type="dxa"/>
              <w:right w:w="110" w:type="dxa"/>
            </w:tcMar>
          </w:tcPr>
          <w:p>
            <w:pPr>
              <w:pStyle w:val="MasttTableCell"/>
              <w:spacing w:before="20" w:after="20"/>
            </w:pPr>
            <w:r/>
            <w:r>
              <w:rPr>
                <w:rFonts w:ascii="Segoe UI" w:hAnsi="Segoe UI"/>
                <w:color w:val="1D3245"/>
                <w:sz w:val="17"/>
              </w:rPr>
              <w:t>Inspections and occupation certification</w:t>
            </w:r>
          </w:p>
        </w:tc>
        <w:tc>
          <w:tcPr>
            <w:tcW w:type="dxa" w:w="1327"/>
            <w:tcMar>
              <w:top w:w="40" w:type="dxa"/>
              <w:left w:w="110" w:type="dxa"/>
              <w:bottom w:w="40" w:type="dxa"/>
              <w:right w:w="110" w:type="dxa"/>
            </w:tcMar>
          </w:tcPr>
          <w:p>
            <w:pPr>
              <w:pStyle w:val="MasttTableCell"/>
              <w:spacing w:before="20" w:after="20"/>
            </w:pPr>
            <w:r/>
            <w:r>
              <w:rPr>
                <w:rFonts w:ascii="Segoe UI" w:hAnsi="Segoe UI"/>
                <w:color w:val="1D3245"/>
                <w:sz w:val="17"/>
              </w:rPr>
              <w:t>Per approval</w:t>
            </w:r>
          </w:p>
        </w:tc>
        <w:tc>
          <w:tcPr>
            <w:tcW w:type="dxa" w:w="1869"/>
            <w:tcMar>
              <w:top w:w="40" w:type="dxa"/>
              <w:left w:w="110" w:type="dxa"/>
              <w:bottom w:w="40" w:type="dxa"/>
              <w:right w:w="110" w:type="dxa"/>
            </w:tcMar>
          </w:tcPr>
          <w:p>
            <w:pPr>
              <w:pStyle w:val="MasttTableCell"/>
              <w:spacing w:before="20" w:after="20"/>
            </w:pPr>
            <w:r/>
            <w:r>
              <w:rPr>
                <w:rFonts w:ascii="Segoe UI" w:hAnsi="Segoe UI"/>
                <w:color w:val="1D3245"/>
                <w:sz w:val="17"/>
              </w:rPr>
              <w:t>Cannot occupy</w:t>
            </w:r>
          </w:p>
        </w:tc>
        <w:tc>
          <w:tcPr>
            <w:tcW w:type="dxa" w:w="109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EX-08</w:t>
            </w:r>
          </w:p>
        </w:tc>
        <w:tc>
          <w:tcPr>
            <w:tcW w:type="dxa" w:w="1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Adjacent landowners</w:t>
            </w:r>
          </w:p>
        </w:tc>
        <w:tc>
          <w:tcPr>
            <w:tcW w:type="dxa" w:w="2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Access, party wall, dilapidation, protection works</w:t>
            </w:r>
          </w:p>
        </w:tc>
        <w:tc>
          <w:tcPr>
            <w:tcW w:type="dxa" w:w="13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3-12 months</w:t>
            </w:r>
          </w:p>
        </w:tc>
        <w:tc>
          <w:tcPr>
            <w:tcW w:type="dxa" w:w="18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Access denied; claims</w:t>
            </w:r>
          </w:p>
        </w:tc>
        <w:tc>
          <w:tcPr>
            <w:tcW w:type="dxa" w:w="10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EX-09</w:t>
            </w:r>
          </w:p>
        </w:tc>
        <w:tc>
          <w:tcPr>
            <w:tcW w:type="dxa" w:w="1975"/>
            <w:tcMar>
              <w:top w:w="40" w:type="dxa"/>
              <w:left w:w="110" w:type="dxa"/>
              <w:bottom w:w="40" w:type="dxa"/>
              <w:right w:w="110" w:type="dxa"/>
            </w:tcMar>
          </w:tcPr>
          <w:p>
            <w:pPr>
              <w:pStyle w:val="MasttTableCell"/>
              <w:spacing w:before="20" w:after="20"/>
            </w:pPr>
            <w:r/>
            <w:r>
              <w:rPr>
                <w:rFonts w:ascii="Segoe UI" w:hAnsi="Segoe UI"/>
                <w:color w:val="1D3245"/>
                <w:sz w:val="17"/>
              </w:rPr>
              <w:t>Emergency services</w:t>
            </w:r>
          </w:p>
        </w:tc>
        <w:tc>
          <w:tcPr>
            <w:tcW w:type="dxa" w:w="2357"/>
            <w:tcMar>
              <w:top w:w="40" w:type="dxa"/>
              <w:left w:w="110" w:type="dxa"/>
              <w:bottom w:w="40" w:type="dxa"/>
              <w:right w:w="110" w:type="dxa"/>
            </w:tcMar>
          </w:tcPr>
          <w:p>
            <w:pPr>
              <w:pStyle w:val="MasttTableCell"/>
              <w:spacing w:before="20" w:after="20"/>
            </w:pPr>
            <w:r/>
            <w:r>
              <w:rPr>
                <w:rFonts w:ascii="Segoe UI" w:hAnsi="Segoe UI"/>
                <w:color w:val="1D3245"/>
                <w:sz w:val="17"/>
              </w:rPr>
              <w:t>Access, hydrants, brigade interface</w:t>
            </w:r>
          </w:p>
        </w:tc>
        <w:tc>
          <w:tcPr>
            <w:tcW w:type="dxa" w:w="1327"/>
            <w:tcMar>
              <w:top w:w="40" w:type="dxa"/>
              <w:left w:w="110" w:type="dxa"/>
              <w:bottom w:w="40" w:type="dxa"/>
              <w:right w:w="110" w:type="dxa"/>
            </w:tcMar>
          </w:tcPr>
          <w:p>
            <w:pPr>
              <w:pStyle w:val="MasttTableCell"/>
              <w:spacing w:before="20" w:after="20"/>
            </w:pPr>
            <w:r/>
            <w:r>
              <w:rPr>
                <w:rFonts w:ascii="Segoe UI" w:hAnsi="Segoe UI"/>
                <w:color w:val="1D3245"/>
                <w:sz w:val="17"/>
              </w:rPr>
              <w:t>Per approval</w:t>
            </w:r>
          </w:p>
        </w:tc>
        <w:tc>
          <w:tcPr>
            <w:tcW w:type="dxa" w:w="1869"/>
            <w:tcMar>
              <w:top w:w="40" w:type="dxa"/>
              <w:left w:w="110" w:type="dxa"/>
              <w:bottom w:w="40" w:type="dxa"/>
              <w:right w:w="110" w:type="dxa"/>
            </w:tcMar>
          </w:tcPr>
          <w:p>
            <w:pPr>
              <w:pStyle w:val="MasttTableCell"/>
              <w:spacing w:before="20" w:after="20"/>
            </w:pPr>
            <w:r/>
            <w:r>
              <w:rPr>
                <w:rFonts w:ascii="Segoe UI" w:hAnsi="Segoe UI"/>
                <w:color w:val="1D3245"/>
                <w:sz w:val="17"/>
              </w:rPr>
              <w:t>Cannot obtain occupation approval</w:t>
            </w:r>
          </w:p>
        </w:tc>
        <w:tc>
          <w:tcPr>
            <w:tcW w:type="dxa" w:w="1096"/>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EX-10</w:t>
            </w:r>
          </w:p>
        </w:tc>
        <w:tc>
          <w:tcPr>
            <w:tcW w:type="dxa" w:w="1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Adjacent projects and programme</w:t>
            </w:r>
          </w:p>
        </w:tc>
        <w:tc>
          <w:tcPr>
            <w:tcW w:type="dxa" w:w="23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Shared access, sequencing and services</w:t>
            </w:r>
          </w:p>
        </w:tc>
        <w:tc>
          <w:tcPr>
            <w:tcW w:type="dxa" w:w="13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Ongoing</w:t>
            </w:r>
          </w:p>
        </w:tc>
        <w:tc>
          <w:tcPr>
            <w:tcW w:type="dxa" w:w="18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Clashing possession and rework</w:t>
            </w:r>
          </w:p>
        </w:tc>
        <w:tc>
          <w:tcPr>
            <w:tcW w:type="dxa" w:w="10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1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35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86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6"/>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15.5  Utilities and services diversions</w:t>
      </w:r>
    </w:p>
    <w:p>
      <w:pPr>
        <w:pStyle w:val="ListBullet"/>
        <w:spacing w:after="60"/>
        <w:ind w:left="340"/>
      </w:pPr>
      <w:r>
        <w:rPr>
          <w:rFonts w:ascii="Segoe UI" w:hAnsi="Segoe UI"/>
          <w:color w:val="1D3245"/>
          <w:sz w:val="20"/>
        </w:rPr>
        <w:t>Existing services are identified by records search, non-destructive location and physical proving before any ground disturbance.</w:t>
      </w:r>
    </w:p>
    <w:p>
      <w:pPr>
        <w:pStyle w:val="ListBullet"/>
        <w:spacing w:after="60"/>
        <w:ind w:left="340"/>
      </w:pPr>
      <w:r>
        <w:rPr>
          <w:rFonts w:ascii="Segoe UI" w:hAnsi="Segoe UI"/>
          <w:color w:val="1D3245"/>
          <w:sz w:val="20"/>
        </w:rPr>
        <w:t>Diversion design, approval and construction lead times are placed on the critical path from the outset - they are routinely the longest lead item on a project.</w:t>
      </w:r>
    </w:p>
    <w:p>
      <w:pPr>
        <w:pStyle w:val="ListBullet"/>
        <w:spacing w:after="60"/>
        <w:ind w:left="340"/>
      </w:pPr>
      <w:r>
        <w:rPr>
          <w:rFonts w:ascii="Segoe UI" w:hAnsi="Segoe UI"/>
          <w:color w:val="1D3245"/>
          <w:sz w:val="20"/>
        </w:rPr>
        <w:t>Asset owners' own works are contracted, programmed and monitored as though they were a delivery package, with named contacts and escalation routes on both sides.</w:t>
      </w:r>
    </w:p>
    <w:p>
      <w:pPr>
        <w:pStyle w:val="ListBullet"/>
        <w:spacing w:after="60"/>
        <w:ind w:left="340"/>
      </w:pPr>
      <w:r>
        <w:rPr>
          <w:rFonts w:ascii="Segoe UI" w:hAnsi="Segoe UI"/>
          <w:color w:val="1D3245"/>
          <w:sz w:val="20"/>
        </w:rPr>
        <w:t>Shutdowns and outages are planned with the asset owner and affected users, with contingency and reversion plans, and are notified in accordance with Section 5.</w:t>
      </w:r>
    </w:p>
    <w:p>
      <w:pPr>
        <w:pStyle w:val="Heading2"/>
      </w:pPr>
      <w:r>
        <w:t>15.6  Operational interfaces with the existing asset</w:t>
      </w:r>
    </w:p>
    <w:p>
      <w:pPr>
        <w:pStyle w:val="ListBullet"/>
        <w:spacing w:after="60"/>
        <w:ind w:left="340"/>
      </w:pPr>
      <w:r>
        <w:rPr>
          <w:rFonts w:ascii="Segoe UI" w:hAnsi="Segoe UI"/>
          <w:color w:val="1D3245"/>
          <w:sz w:val="20"/>
        </w:rPr>
        <w:t>Where the works adjoin or affect an operating asset, a joint interface protocol is agreed with the operator covering access, permits, noise, isolation, infection or contamination control, security and emergency response.</w:t>
      </w:r>
    </w:p>
    <w:p>
      <w:pPr>
        <w:pStyle w:val="ListBullet"/>
        <w:spacing w:after="60"/>
        <w:ind w:left="340"/>
      </w:pPr>
      <w:r>
        <w:rPr>
          <w:rFonts w:ascii="Segoe UI" w:hAnsi="Segoe UI"/>
          <w:color w:val="1D3245"/>
          <w:sz w:val="20"/>
        </w:rPr>
        <w:t>Live tie-ins are planned in detail, rehearsed where the consequence warrants it, executed in agreed windows, and always with a documented reversion plan.</w:t>
      </w:r>
    </w:p>
    <w:p>
      <w:pPr>
        <w:pStyle w:val="ListBullet"/>
        <w:spacing w:after="60"/>
        <w:ind w:left="340"/>
      </w:pPr>
      <w:r>
        <w:rPr>
          <w:rFonts w:ascii="Segoe UI" w:hAnsi="Segoe UI"/>
          <w:color w:val="1D3245"/>
          <w:sz w:val="20"/>
        </w:rPr>
        <w:t>Operational continuity requirements are treated as constraints in the schedule, not as preferences.</w:t>
      </w:r>
    </w:p>
    <w:p>
      <w:pPr>
        <w:pStyle w:val="Heading2"/>
      </w:pPr>
      <w:r>
        <w:t>15.7  Interface resolution process</w:t>
      </w:r>
    </w:p>
    <w:p>
      <w:pPr>
        <w:pStyle w:val="ListBullet"/>
        <w:spacing w:after="60"/>
        <w:ind w:left="340"/>
      </w:pPr>
      <w:r>
        <w:rPr>
          <w:rFonts w:ascii="Segoe UI" w:hAnsi="Segoe UI"/>
          <w:color w:val="1D3245"/>
          <w:sz w:val="20"/>
        </w:rPr>
        <w:t>Identify - any party may raise an interface; it is registered within 2 working days with both parties named.</w:t>
      </w:r>
    </w:p>
    <w:p>
      <w:pPr>
        <w:pStyle w:val="ListBullet"/>
        <w:spacing w:after="60"/>
        <w:ind w:left="340"/>
      </w:pPr>
      <w:r>
        <w:rPr>
          <w:rFonts w:ascii="Segoe UI" w:hAnsi="Segoe UI"/>
          <w:color w:val="1D3245"/>
          <w:sz w:val="20"/>
        </w:rPr>
        <w:t>Define - the parties agree what must pass across the interface, in what form, to what standard and by when.</w:t>
      </w:r>
    </w:p>
    <w:p>
      <w:pPr>
        <w:pStyle w:val="ListBullet"/>
        <w:spacing w:after="60"/>
        <w:ind w:left="340"/>
      </w:pPr>
      <w:r>
        <w:rPr>
          <w:rFonts w:ascii="Segoe UI" w:hAnsi="Segoe UI"/>
          <w:color w:val="1D3245"/>
          <w:sz w:val="20"/>
        </w:rPr>
        <w:t>Assign - a single owner on each side is named; the register never records a team as an owner.</w:t>
      </w:r>
    </w:p>
    <w:p>
      <w:pPr>
        <w:pStyle w:val="ListBullet"/>
        <w:spacing w:after="60"/>
        <w:ind w:left="340"/>
      </w:pPr>
      <w:r>
        <w:rPr>
          <w:rFonts w:ascii="Segoe UI" w:hAnsi="Segoe UI"/>
          <w:color w:val="1D3245"/>
          <w:sz w:val="20"/>
        </w:rPr>
        <w:t>Agree - the interface agreement is documented and signed by both parties.</w:t>
      </w:r>
    </w:p>
    <w:p>
      <w:pPr>
        <w:pStyle w:val="ListBullet"/>
        <w:spacing w:after="60"/>
        <w:ind w:left="340"/>
      </w:pPr>
      <w:r>
        <w:rPr>
          <w:rFonts w:ascii="Segoe UI" w:hAnsi="Segoe UI"/>
          <w:color w:val="1D3245"/>
          <w:sz w:val="20"/>
        </w:rPr>
        <w:t>Monitor - status is reviewed monthly at the interface forum and reported with the schedule.</w:t>
      </w:r>
    </w:p>
    <w:p>
      <w:pPr>
        <w:pStyle w:val="ListBullet"/>
        <w:spacing w:after="60"/>
        <w:ind w:left="340"/>
      </w:pPr>
      <w:r>
        <w:rPr>
          <w:rFonts w:ascii="Segoe UI" w:hAnsi="Segoe UI"/>
          <w:color w:val="1D3245"/>
          <w:sz w:val="20"/>
        </w:rPr>
        <w:t>Escalate - an interface unresolved 20 working days before it is required is escalated per Section 4.7.</w:t>
      </w:r>
    </w:p>
    <w:p>
      <w:pPr>
        <w:pStyle w:val="ListBullet"/>
        <w:spacing w:after="60"/>
        <w:ind w:left="340"/>
      </w:pPr>
      <w:r>
        <w:rPr>
          <w:rFonts w:ascii="Segoe UI" w:hAnsi="Segoe UI"/>
          <w:color w:val="1D3245"/>
          <w:sz w:val="20"/>
        </w:rPr>
        <w:t>Close - closure requires evidence that the deliverable passed and was accepted, not merely that the date arrived.</w:t>
      </w:r>
    </w:p>
    <w:p>
      <w:r>
        <w:br w:type="page"/>
      </w:r>
    </w:p>
    <w:p>
      <w:pPr>
        <w:pStyle w:val="Heading1"/>
        <w:pBdr>
          <w:bottom w:val="single" w:sz="6" w:space="4" w:color="C9D4E0"/>
        </w:pBdr>
      </w:pPr>
      <w:r>
        <w:t>16.  Resource and people management</w:t>
      </w:r>
    </w:p>
    <w:p>
      <w:pPr>
        <w:pStyle w:val="Heading2"/>
      </w:pPr>
      <w:r>
        <w:t>16.1  Resourcing plan and mobilisation</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Under-resourcing the client side is the cheapest false economy in capital delivery. Set out the roles, the effort in full-time equivalents by phase, and the date each role must be in place. Show vacancies honestly - a plan that assumes a full team from day one is already behind.</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660"/>
        <w:gridCol w:w="884"/>
        <w:gridCol w:w="1339"/>
        <w:gridCol w:w="1437"/>
        <w:gridCol w:w="1045"/>
        <w:gridCol w:w="1045"/>
        <w:gridCol w:w="1154"/>
        <w:gridCol w:w="849"/>
      </w:tblGrid>
      <w:tr>
        <w:trPr>
          <w:tblHeader w:val="true"/>
          <w:cantSplit w:val="true"/>
        </w:trPr>
        <w:tc>
          <w:tcPr>
            <w:tcW w:type="dxa" w:w="165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Role</w:t>
            </w:r>
          </w:p>
        </w:tc>
        <w:tc>
          <w:tcPr>
            <w:tcW w:type="dxa" w:w="88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FTE - design</w:t>
            </w:r>
          </w:p>
        </w:tc>
        <w:tc>
          <w:tcPr>
            <w:tcW w:type="dxa" w:w="133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FTE - procurement</w:t>
            </w:r>
          </w:p>
        </w:tc>
        <w:tc>
          <w:tcPr>
            <w:tcW w:type="dxa" w:w="14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FTE - construction</w:t>
            </w:r>
          </w:p>
        </w:tc>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FTE - handover</w:t>
            </w:r>
          </w:p>
        </w:tc>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Mobilise by</w:t>
            </w:r>
          </w:p>
        </w:tc>
        <w:tc>
          <w:tcPr>
            <w:tcW w:type="dxa" w:w="11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Source</w:t>
            </w:r>
          </w:p>
        </w:tc>
        <w:tc>
          <w:tcPr>
            <w:tcW w:type="dxa" w:w="8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Status</w:t>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Project Director</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0.3</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0.3</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Client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Project Manager</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Client / consultant</w:t>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Design Manager</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0.2</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Consultant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Commercial Manager</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Client / consultant</w:t>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Cost Manager / QS</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Consultant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Planner</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Consultant</w:t>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HSE Manager</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0.3</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0.3</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Client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Quality Manager</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0.2</w:t>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0.3</w:t>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Client / consultant</w:t>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Information Manager</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Consultant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Environmental / ESG Lead</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0.3</w:t>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0.3</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Client</w:t>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Risk Manager</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0.3</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0.3</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0.3</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0.2</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Client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Stakeholder / Comms Lead</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0.3</w:t>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0.8</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Client</w:t>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Commissioning Manager</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0.2</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0.2</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Consultant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Operations Representative</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0.3</w:t>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0.2</w:t>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0.5</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Operator</w:t>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Document Controller</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0.5</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t>1.0</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Consultant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Package Managers (n)</w:t>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tcPr>
          <w:p>
            <w:pPr>
              <w:pStyle w:val="MasttTableCell"/>
              <w:spacing w:before="20" w:after="20"/>
            </w:pPr>
            <w:r/>
            <w:r>
              <w:rPr>
                <w:rFonts w:ascii="Segoe UI" w:hAnsi="Segoe UI"/>
                <w:b/>
                <w:color w:val="1D3245"/>
                <w:sz w:val="14"/>
              </w:rPr>
              <w:t>Site supervision / clerk of works</w:t>
            </w:r>
          </w:p>
        </w:tc>
        <w:tc>
          <w:tcPr>
            <w:tcW w:type="dxa" w:w="884"/>
            <w:tcMar>
              <w:top w:w="40" w:type="dxa"/>
              <w:left w:w="110" w:type="dxa"/>
              <w:bottom w:w="40" w:type="dxa"/>
              <w:right w:w="110" w:type="dxa"/>
            </w:tcMar>
          </w:tcPr>
          <w:p>
            <w:pPr>
              <w:pStyle w:val="MasttTableCell"/>
              <w:spacing w:before="20" w:after="20"/>
            </w:pPr>
            <w:r/>
            <w:r>
              <w:rPr>
                <w:rFonts w:ascii="Segoe UI" w:hAnsi="Segoe UI"/>
                <w:color w:val="1D3245"/>
                <w:sz w:val="14"/>
              </w:rPr>
              <w:t>0</w:t>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t>0</w:t>
            </w:r>
          </w:p>
        </w:tc>
        <w:tc>
          <w:tcPr>
            <w:tcW w:type="dxa" w:w="143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tcPr>
          <w:p>
            <w:pPr>
              <w:pStyle w:val="MasttTableCell"/>
              <w:spacing w:before="20" w:after="20"/>
            </w:pPr>
            <w:r/>
            <w:r>
              <w:rPr>
                <w:rFonts w:ascii="Segoe UI" w:hAnsi="Segoe UI"/>
                <w:color w:val="1D3245"/>
                <w:sz w:val="14"/>
              </w:rPr>
              <w:t>Client / consultant</w:t>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r>
          </w:p>
        </w:tc>
        <w:tc>
          <w:tcPr>
            <w:tcW w:type="dxa" w:w="88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4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bl>
    <w:p>
      <w:pPr>
        <w:rPr>
          <w:sz w:val="8"/>
        </w:rPr>
        <w:spacing w:after="40" w:before="0" w:line="240" w:lineRule="auto"/>
      </w:pPr>
    </w:p>
    <w:p>
      <w:pPr>
        <w:pStyle w:val="Heading2"/>
      </w:pPr>
      <w:r>
        <w:t>16.2  Competency and capability</w:t>
      </w:r>
    </w:p>
    <w:p>
      <w:pPr>
        <w:pStyle w:val="ListBullet"/>
        <w:spacing w:after="60"/>
        <w:ind w:left="340"/>
      </w:pPr>
      <w:r>
        <w:rPr>
          <w:rFonts w:ascii="Segoe UI" w:hAnsi="Segoe UI"/>
          <w:color w:val="1D3245"/>
          <w:sz w:val="20"/>
        </w:rPr>
        <w:t>Each role has a defined competency profile covering qualifications, licences, experience on comparable projects and behavioural requirements.</w:t>
      </w:r>
    </w:p>
    <w:p>
      <w:pPr>
        <w:pStyle w:val="ListBullet"/>
        <w:spacing w:after="60"/>
        <w:ind w:left="340"/>
      </w:pPr>
      <w:r>
        <w:rPr>
          <w:rFonts w:ascii="Segoe UI" w:hAnsi="Segoe UI"/>
          <w:color w:val="1D3245"/>
          <w:sz w:val="20"/>
        </w:rPr>
        <w:t>Competency is verified before appointment, not assumed from a job title, and evidence is retained.</w:t>
      </w:r>
    </w:p>
    <w:p>
      <w:pPr>
        <w:pStyle w:val="ListBullet"/>
        <w:spacing w:after="60"/>
        <w:ind w:left="340"/>
      </w:pPr>
      <w:r>
        <w:rPr>
          <w:rFonts w:ascii="Segoe UI" w:hAnsi="Segoe UI"/>
          <w:color w:val="1D3245"/>
          <w:sz w:val="20"/>
        </w:rPr>
        <w:t>A capability gap analysis is undertaken at mobilisation and at each stage gate; gaps are closed by training, mentoring, secondment or external appointment.</w:t>
      </w:r>
    </w:p>
    <w:p>
      <w:pPr>
        <w:pStyle w:val="ListBullet"/>
        <w:spacing w:after="60"/>
        <w:ind w:left="340"/>
      </w:pPr>
      <w:r>
        <w:rPr>
          <w:rFonts w:ascii="Segoe UI" w:hAnsi="Segoe UI"/>
          <w:color w:val="1D3245"/>
          <w:sz w:val="20"/>
        </w:rPr>
        <w:t>Roles with statutory or contractual competency requirements applicable in the jurisdiction - safety, certification, temporary works, high-risk licences - are identified and tracked in the competency register.</w:t>
      </w:r>
    </w:p>
    <w:p>
      <w:pPr>
        <w:pStyle w:val="Heading2"/>
      </w:pPr>
      <w:r>
        <w:t>16.3  Training and development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608"/>
        <w:gridCol w:w="2608"/>
        <w:gridCol w:w="2495"/>
        <w:gridCol w:w="1701"/>
      </w:tblGrid>
      <w:tr>
        <w:trPr>
          <w:tblHeader w:val="true"/>
          <w:cantSplit w:val="true"/>
        </w:trPr>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Training</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Audience</w:t>
            </w:r>
          </w:p>
        </w:tc>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Frequency</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Project induction</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Every person on the project</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On mobilisation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Site safety induction</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Every person entering the site</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 first entry, refreshed per the safety plan</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Systems training - CDE, cost, controls</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All users</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On mobilisation and on system change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Information Manager</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Contract and commercial awareness</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Delivery leads</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Post-award and annually</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Risk facilitation and assessment</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Risk owners</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Annually</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Risk Manager</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Mental health first aid</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Nominated personnel</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On appointment, refreshed per certification</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Cultural awareness</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All personnel</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On mobilisation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Comms Lead</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Operational readiness and asset familiarisation</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 and maintenance staff</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handover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Manager</w:t>
            </w:r>
          </w:p>
        </w:tc>
      </w:tr>
    </w:tbl>
    <w:p>
      <w:pPr>
        <w:rPr>
          <w:sz w:val="8"/>
        </w:rPr>
        <w:spacing w:after="40" w:before="0" w:line="240" w:lineRule="auto"/>
      </w:pPr>
    </w:p>
    <w:p>
      <w:pPr>
        <w:pStyle w:val="Heading2"/>
      </w:pPr>
      <w:r>
        <w:t>16.4  Onboarding and offboarding</w:t>
      </w:r>
    </w:p>
    <w:p>
      <w:pPr>
        <w:pStyle w:val="ListBullet"/>
        <w:spacing w:after="60"/>
        <w:ind w:left="340"/>
      </w:pPr>
      <w:r>
        <w:rPr>
          <w:rFonts w:ascii="Segoe UI" w:hAnsi="Segoe UI"/>
          <w:color w:val="1D3245"/>
          <w:sz w:val="20"/>
        </w:rPr>
        <w:t>New team members complete a structured onboarding within their first week covering this plan, the governance, the systems, the current position and their specific accountabilities.</w:t>
      </w:r>
    </w:p>
    <w:p>
      <w:pPr>
        <w:pStyle w:val="ListBullet"/>
        <w:spacing w:after="60"/>
        <w:ind w:left="340"/>
      </w:pPr>
      <w:r>
        <w:rPr>
          <w:rFonts w:ascii="Segoe UI" w:hAnsi="Segoe UI"/>
          <w:color w:val="1D3245"/>
          <w:sz w:val="20"/>
        </w:rPr>
        <w:t>Access to systems and the CDE is provisioned on the first day and revoked within one working day of departure.</w:t>
      </w:r>
    </w:p>
    <w:p>
      <w:pPr>
        <w:pStyle w:val="ListBullet"/>
        <w:spacing w:after="60"/>
        <w:ind w:left="340"/>
      </w:pPr>
      <w:r>
        <w:rPr>
          <w:rFonts w:ascii="Segoe UI" w:hAnsi="Segoe UI"/>
          <w:color w:val="1D3245"/>
          <w:sz w:val="20"/>
        </w:rPr>
        <w:t>Departing personnel complete a documented handover of their accountabilities, open actions, registers and relationships, and are debriefed for lessons.</w:t>
      </w:r>
    </w:p>
    <w:p>
      <w:pPr>
        <w:pStyle w:val="Heading2"/>
      </w:pPr>
      <w:r>
        <w:t>16.5  Performance management</w:t>
      </w:r>
    </w:p>
    <w:p>
      <w:pPr>
        <w:pStyle w:val="ListBullet"/>
        <w:spacing w:after="60"/>
        <w:ind w:left="340"/>
      </w:pPr>
      <w:r>
        <w:rPr>
          <w:rFonts w:ascii="Segoe UI" w:hAnsi="Segoe UI"/>
          <w:color w:val="1D3245"/>
          <w:sz w:val="20"/>
        </w:rPr>
        <w:t>Individual objectives are aligned to the project objectives in Section 2.4 and are reviewed at least six-monthly.</w:t>
      </w:r>
    </w:p>
    <w:p>
      <w:pPr>
        <w:pStyle w:val="ListBullet"/>
        <w:spacing w:after="60"/>
        <w:ind w:left="340"/>
      </w:pPr>
      <w:r>
        <w:rPr>
          <w:rFonts w:ascii="Segoe UI" w:hAnsi="Segoe UI"/>
          <w:color w:val="1D3245"/>
          <w:sz w:val="20"/>
        </w:rPr>
        <w:t>Consultant and contractor performance is assessed formally against defined criteria at each stage gate and at completion, and the assessment is recorded for use in future procurement.</w:t>
      </w:r>
    </w:p>
    <w:p>
      <w:pPr>
        <w:pStyle w:val="ListBullet"/>
        <w:spacing w:after="60"/>
        <w:ind w:left="340"/>
      </w:pPr>
      <w:r>
        <w:rPr>
          <w:rFonts w:ascii="Segoe UI" w:hAnsi="Segoe UI"/>
          <w:color w:val="1D3245"/>
          <w:sz w:val="20"/>
        </w:rPr>
        <w:t>Poor performance is addressed early, in writing, with a defined improvement period and consequence.</w:t>
      </w:r>
    </w:p>
    <w:p>
      <w:pPr>
        <w:pStyle w:val="Heading2"/>
      </w:pPr>
      <w:r>
        <w:t>16.6  Key person dependencies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Identify the small number of people whose sudden absence would genuinely damage the project, and do something about it now - document their knowledge, name a deputy, and where the contract allows, name them as key personnel who cannot be replaced without consent.</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841"/>
        <w:gridCol w:w="2379"/>
        <w:gridCol w:w="1429"/>
        <w:gridCol w:w="2194"/>
        <w:gridCol w:w="1570"/>
      </w:tblGrid>
      <w:tr>
        <w:trPr>
          <w:tblHeader w:val="true"/>
          <w:cantSplit w:val="true"/>
        </w:trPr>
        <w:tc>
          <w:tcPr>
            <w:tcW w:type="dxa" w:w="18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Role / person</w:t>
            </w:r>
          </w:p>
        </w:tc>
        <w:tc>
          <w:tcPr>
            <w:tcW w:type="dxa" w:w="237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Why critical</w:t>
            </w:r>
          </w:p>
        </w:tc>
        <w:tc>
          <w:tcPr>
            <w:tcW w:type="dxa" w:w="142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Deputy</w:t>
            </w:r>
          </w:p>
        </w:tc>
        <w:tc>
          <w:tcPr>
            <w:tcW w:type="dxa" w:w="21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Mitigation</w:t>
            </w:r>
          </w:p>
        </w:tc>
        <w:tc>
          <w:tcPr>
            <w:tcW w:type="dxa" w:w="157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Contractual key person?</w:t>
            </w:r>
          </w:p>
        </w:tc>
      </w:tr>
      <w:tr>
        <w:trPr>
          <w:cantSplit w:val="true"/>
        </w:trPr>
        <w:tc>
          <w:tcPr>
            <w:tcW w:type="dxa" w:w="1841"/>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37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2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19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18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3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1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1841"/>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37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2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19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18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3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1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1841"/>
            <w:tcMar>
              <w:top w:w="40" w:type="dxa"/>
              <w:left w:w="110" w:type="dxa"/>
              <w:bottom w:w="40" w:type="dxa"/>
              <w:right w:w="110" w:type="dxa"/>
            </w:tcMar>
          </w:tcPr>
          <w:p>
            <w:pPr>
              <w:pStyle w:val="MasttTableCell"/>
              <w:spacing w:before="20" w:after="20"/>
            </w:pPr>
            <w:r/>
            <w:r>
              <w:rPr>
                <w:rFonts w:ascii="Segoe UI" w:hAnsi="Segoe UI"/>
                <w:b/>
                <w:color w:val="1D3245"/>
                <w:sz w:val="17"/>
              </w:rPr>
            </w:r>
          </w:p>
        </w:tc>
        <w:tc>
          <w:tcPr>
            <w:tcW w:type="dxa" w:w="2378"/>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29"/>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219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184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r>
          </w:p>
        </w:tc>
        <w:tc>
          <w:tcPr>
            <w:tcW w:type="dxa" w:w="237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21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5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16.7  Industrial relations</w:t>
      </w:r>
    </w:p>
    <w:p>
      <w:pPr>
        <w:pStyle w:val="ListBullet"/>
        <w:spacing w:after="60"/>
        <w:ind w:left="340"/>
      </w:pPr>
      <w:r>
        <w:rPr>
          <w:rFonts w:ascii="Segoe UI" w:hAnsi="Segoe UI"/>
          <w:color w:val="1D3245"/>
          <w:sz w:val="20"/>
        </w:rPr>
        <w:t>Applicable industrial instruments, site agreements and consultation obligations are identified before mobilisation.</w:t>
      </w:r>
    </w:p>
    <w:p>
      <w:pPr>
        <w:pStyle w:val="ListBullet"/>
        <w:spacing w:after="60"/>
        <w:ind w:left="340"/>
      </w:pPr>
      <w:r>
        <w:rPr>
          <w:rFonts w:ascii="Segoe UI" w:hAnsi="Segoe UI"/>
          <w:color w:val="1D3245"/>
          <w:sz w:val="20"/>
        </w:rPr>
        <w:t>A single point of contact manages industrial relations; site-level commitments outside the agreed framework are not made.</w:t>
      </w:r>
    </w:p>
    <w:p>
      <w:pPr>
        <w:pStyle w:val="ListBullet"/>
        <w:spacing w:after="60"/>
        <w:ind w:left="340"/>
      </w:pPr>
      <w:r>
        <w:rPr>
          <w:rFonts w:ascii="Segoe UI" w:hAnsi="Segoe UI"/>
          <w:color w:val="1D3245"/>
          <w:sz w:val="20"/>
        </w:rPr>
        <w:t>Disputes follow the resolution procedure in the applicable instrument and are escalated in accordance with Section 4.7.</w:t>
      </w:r>
    </w:p>
    <w:p>
      <w:pPr>
        <w:pStyle w:val="ListBullet"/>
        <w:spacing w:after="60"/>
        <w:ind w:left="340"/>
      </w:pPr>
      <w:r>
        <w:rPr>
          <w:rFonts w:ascii="Segoe UI" w:hAnsi="Segoe UI"/>
          <w:color w:val="1D3245"/>
          <w:sz w:val="20"/>
        </w:rPr>
        <w:t>Industrial risk - including the effect of enterprise agreement expiry dates falling within the construction period - is carried in the risk register with a schedule allowance.</w:t>
      </w:r>
    </w:p>
    <w:p>
      <w:pPr>
        <w:pStyle w:val="Heading2"/>
      </w:pPr>
      <w:r>
        <w:t>16.8  Team charter and ways of working</w:t>
      </w:r>
    </w:p>
    <w:p>
      <w:pPr>
        <w:pStyle w:val="ListBullet"/>
        <w:spacing w:after="60"/>
        <w:ind w:left="340"/>
      </w:pPr>
      <w:r>
        <w:rPr>
          <w:rFonts w:ascii="Segoe UI" w:hAnsi="Segoe UI"/>
          <w:color w:val="1D3245"/>
          <w:sz w:val="20"/>
        </w:rPr>
        <w:t>We raise problems early. An early warning is never punished; a concealed problem always is.</w:t>
      </w:r>
    </w:p>
    <w:p>
      <w:pPr>
        <w:pStyle w:val="ListBullet"/>
        <w:spacing w:after="60"/>
        <w:ind w:left="340"/>
      </w:pPr>
      <w:r>
        <w:rPr>
          <w:rFonts w:ascii="Segoe UI" w:hAnsi="Segoe UI"/>
          <w:color w:val="1D3245"/>
          <w:sz w:val="20"/>
        </w:rPr>
        <w:t>We make decisions at the lowest level that has the authority and the information.</w:t>
      </w:r>
    </w:p>
    <w:p>
      <w:pPr>
        <w:pStyle w:val="ListBullet"/>
        <w:spacing w:after="60"/>
        <w:ind w:left="340"/>
      </w:pPr>
      <w:r>
        <w:rPr>
          <w:rFonts w:ascii="Segoe UI" w:hAnsi="Segoe UI"/>
          <w:color w:val="1D3245"/>
          <w:sz w:val="20"/>
        </w:rPr>
        <w:t>We put decisions in writing on the day they are made.</w:t>
      </w:r>
    </w:p>
    <w:p>
      <w:pPr>
        <w:pStyle w:val="ListBullet"/>
        <w:spacing w:after="60"/>
        <w:ind w:left="340"/>
      </w:pPr>
      <w:r>
        <w:rPr>
          <w:rFonts w:ascii="Segoe UI" w:hAnsi="Segoe UI"/>
          <w:color w:val="1D3245"/>
          <w:sz w:val="20"/>
        </w:rPr>
        <w:t>We challenge the work, not the person, and we disagree openly rather than privately.</w:t>
      </w:r>
    </w:p>
    <w:p>
      <w:pPr>
        <w:pStyle w:val="ListBullet"/>
        <w:spacing w:after="60"/>
        <w:ind w:left="340"/>
      </w:pPr>
      <w:r>
        <w:rPr>
          <w:rFonts w:ascii="Segoe UI" w:hAnsi="Segoe UI"/>
          <w:color w:val="1D3245"/>
          <w:sz w:val="20"/>
        </w:rPr>
        <w:t>We do not accept information we know to be wrong in order to keep a meeting short.</w:t>
      </w:r>
    </w:p>
    <w:p>
      <w:pPr>
        <w:pStyle w:val="ListBullet"/>
        <w:spacing w:after="60"/>
        <w:ind w:left="340"/>
      </w:pPr>
      <w:r>
        <w:rPr>
          <w:rFonts w:ascii="Segoe UI" w:hAnsi="Segoe UI"/>
          <w:color w:val="1D3245"/>
          <w:sz w:val="20"/>
        </w:rPr>
        <w:t>We finish what we start: actions have an owner and a date, and we close them.</w:t>
      </w:r>
    </w:p>
    <w:p>
      <w:pPr>
        <w:pStyle w:val="ListBullet"/>
        <w:spacing w:after="60"/>
        <w:ind w:left="340"/>
      </w:pPr>
      <w:r>
        <w:rPr>
          <w:rFonts w:ascii="Segoe UI" w:hAnsi="Segoe UI"/>
          <w:color w:val="1D3245"/>
          <w:sz w:val="20"/>
        </w:rPr>
        <w:t>We look after each other's safety and wellbeing without exception.</w:t>
      </w:r>
    </w:p>
    <w:p>
      <w:pPr>
        <w:pStyle w:val="Heading2"/>
      </w:pPr>
      <w:r>
        <w:t>16.9  Co-location and accommodation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268"/>
        <w:gridCol w:w="3969"/>
        <w:gridCol w:w="1701"/>
        <w:gridCol w:w="1474"/>
      </w:tblGrid>
      <w:tr>
        <w:trPr>
          <w:tblHeader w:val="true"/>
          <w:cantSplit w:val="true"/>
        </w:trPr>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Facility</w:t>
            </w:r>
          </w:p>
        </w:tc>
        <w:tc>
          <w:tcPr>
            <w:tcW w:type="dxa" w:w="39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Requirement</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Provided by</w:t>
            </w:r>
          </w:p>
        </w:tc>
        <w:tc>
          <w:tcPr>
            <w:tcW w:type="dxa" w:w="147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In place by</w:t>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Project office / co-location space</w:t>
            </w:r>
          </w:p>
        </w:tc>
        <w:tc>
          <w:tcPr>
            <w:tcW w:type="dxa" w:w="3969"/>
            <w:tcMar>
              <w:top w:w="40" w:type="dxa"/>
              <w:left w:w="110" w:type="dxa"/>
              <w:bottom w:w="40" w:type="dxa"/>
              <w:right w:w="110" w:type="dxa"/>
            </w:tcMar>
          </w:tcPr>
          <w:p>
            <w:pPr>
              <w:pStyle w:val="MasttTableCell"/>
              <w:spacing w:before="20" w:after="20"/>
            </w:pPr>
            <w:r/>
            <w:r>
              <w:rPr>
                <w:rFonts w:ascii="Segoe UI" w:hAnsi="Segoe UI"/>
                <w:color w:val="1D3245"/>
                <w:sz w:val="17"/>
              </w:rPr>
              <w:t>Desks, meeting rooms, collaboration wall, video conferencing</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Site accommodation</w:t>
            </w:r>
          </w:p>
        </w:tc>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Site office, meeting room, first aid, amenities</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Site welfare facilities</w:t>
            </w:r>
          </w:p>
        </w:tc>
        <w:tc>
          <w:tcPr>
            <w:tcW w:type="dxa" w:w="3969"/>
            <w:tcMar>
              <w:top w:w="40" w:type="dxa"/>
              <w:left w:w="110" w:type="dxa"/>
              <w:bottom w:w="40" w:type="dxa"/>
              <w:right w:w="110" w:type="dxa"/>
            </w:tcMar>
          </w:tcPr>
          <w:p>
            <w:pPr>
              <w:pStyle w:val="MasttTableCell"/>
              <w:spacing w:before="20" w:after="20"/>
            </w:pPr>
            <w:r/>
            <w:r>
              <w:rPr>
                <w:rFonts w:ascii="Segoe UI" w:hAnsi="Segoe UI"/>
                <w:color w:val="1D3245"/>
                <w:sz w:val="17"/>
              </w:rPr>
              <w:t>Sized to peak workforce with climate protection</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Site security and access control</w:t>
            </w:r>
          </w:p>
        </w:tc>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Access system, CCTV, visitor management</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tcPr>
          <w:p>
            <w:pPr>
              <w:pStyle w:val="MasttTableCell"/>
              <w:spacing w:before="20" w:after="20"/>
            </w:pPr>
            <w:r/>
            <w:r>
              <w:rPr>
                <w:rFonts w:ascii="Segoe UI" w:hAnsi="Segoe UI"/>
                <w:b/>
                <w:color w:val="1D3245"/>
                <w:sz w:val="17"/>
              </w:rPr>
              <w:t>IT and connectivity</w:t>
            </w:r>
          </w:p>
        </w:tc>
        <w:tc>
          <w:tcPr>
            <w:tcW w:type="dxa" w:w="3969"/>
            <w:tcMar>
              <w:top w:w="40" w:type="dxa"/>
              <w:left w:w="110" w:type="dxa"/>
              <w:bottom w:w="40" w:type="dxa"/>
              <w:right w:w="110" w:type="dxa"/>
            </w:tcMar>
          </w:tcPr>
          <w:p>
            <w:pPr>
              <w:pStyle w:val="MasttTableCell"/>
              <w:spacing w:before="20" w:after="20"/>
            </w:pPr>
            <w:r/>
            <w:r>
              <w:rPr>
                <w:rFonts w:ascii="Segoe UI" w:hAnsi="Segoe UI"/>
                <w:color w:val="1D3245"/>
                <w:sz w:val="17"/>
              </w:rPr>
              <w:t>Network, systems access, site Wi-Fi, mobile coverage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Visitor and viewing arrangements</w:t>
            </w:r>
          </w:p>
        </w:tc>
        <w:tc>
          <w:tcPr>
            <w:tcW w:type="dxa" w:w="39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Safe viewing point and visitor PPE</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7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17.  Commercial and contract management</w:t>
      </w:r>
    </w:p>
    <w:p>
      <w:pPr>
        <w:pStyle w:val="Heading2"/>
      </w:pPr>
      <w:r>
        <w:t>17.1  Contract administration framework</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Contract administration is a discipline of dates and records. Most entitlement is won or lost on whether a notice was served in time and whether contemporaneous records exist. Build the notice timetable into the project calendar on the day the contract is executed.</w:t>
            </w:r>
          </w:p>
        </w:tc>
      </w:tr>
    </w:tbl>
    <w:p>
      <w:pPr>
        <w:rPr>
          <w:sz w:val="8"/>
        </w:rPr>
        <w:spacing w:after="40" w:before="0" w:line="240" w:lineRule="auto"/>
      </w:pPr>
    </w:p>
    <w:p>
      <w:pPr>
        <w:pStyle w:val="MasttBody"/>
      </w:pPr>
      <w:r>
        <w:t>The contract is administered by the person named in it. This plan does not vary the contract in any respect. Where the roles described here differ from the roles named in the contract, the contract prevails and this plan is corrected.</w:t>
      </w:r>
    </w:p>
    <w:p>
      <w:pPr>
        <w:pStyle w:val="ListBullet"/>
        <w:spacing w:after="60"/>
        <w:ind w:left="340"/>
      </w:pPr>
      <w:r>
        <w:rPr>
          <w:rFonts w:ascii="Segoe UI" w:hAnsi="Segoe UI"/>
          <w:color w:val="1D3245"/>
          <w:sz w:val="20"/>
        </w:rPr>
        <w:t>A contract summary - key dates, notice periods, liquidated damages, caps, securities, insurance obligations and the payment regime - is prepared within 10 working days of execution and briefed to the whole team.</w:t>
      </w:r>
    </w:p>
    <w:p>
      <w:pPr>
        <w:pStyle w:val="ListBullet"/>
        <w:spacing w:after="60"/>
        <w:ind w:left="340"/>
      </w:pPr>
      <w:r>
        <w:rPr>
          <w:rFonts w:ascii="Segoe UI" w:hAnsi="Segoe UI"/>
          <w:color w:val="1D3245"/>
          <w:sz w:val="20"/>
        </w:rPr>
        <w:t>Every obligation with a time limit is entered into the project calendar with an advance reminder.</w:t>
      </w:r>
    </w:p>
    <w:p>
      <w:pPr>
        <w:pStyle w:val="ListBullet"/>
        <w:spacing w:after="60"/>
        <w:ind w:left="340"/>
      </w:pPr>
      <w:r>
        <w:rPr>
          <w:rFonts w:ascii="Segoe UI" w:hAnsi="Segoe UI"/>
          <w:color w:val="1D3245"/>
          <w:sz w:val="20"/>
        </w:rPr>
        <w:t>All formal communication uses the method the contract prescribes; email is used only where the contract permits it.</w:t>
      </w:r>
    </w:p>
    <w:p>
      <w:pPr>
        <w:pStyle w:val="ListBullet"/>
        <w:spacing w:after="60"/>
        <w:ind w:left="340"/>
      </w:pPr>
      <w:r>
        <w:rPr>
          <w:rFonts w:ascii="Segoe UI" w:hAnsi="Segoe UI"/>
          <w:color w:val="1D3245"/>
          <w:sz w:val="20"/>
        </w:rPr>
        <w:t>Contemporaneous records - daily diaries, labour and plant returns, weather, progress photographs, delay events, instructions - are kept from day one by both parties.</w:t>
      </w:r>
    </w:p>
    <w:p>
      <w:pPr>
        <w:pStyle w:val="Heading2"/>
      </w:pPr>
      <w:r>
        <w:t>17.2  Contractual notices register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865"/>
        <w:gridCol w:w="1516"/>
        <w:gridCol w:w="2186"/>
        <w:gridCol w:w="1762"/>
        <w:gridCol w:w="2083"/>
      </w:tblGrid>
      <w:tr>
        <w:trPr>
          <w:tblHeader w:val="true"/>
          <w:cantSplit w:val="true"/>
        </w:trPr>
        <w:tc>
          <w:tcPr>
            <w:tcW w:type="dxa" w:w="186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Notice type</w:t>
            </w:r>
          </w:p>
        </w:tc>
        <w:tc>
          <w:tcPr>
            <w:tcW w:type="dxa" w:w="15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Given by</w:t>
            </w:r>
          </w:p>
        </w:tc>
        <w:tc>
          <w:tcPr>
            <w:tcW w:type="dxa" w:w="21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Trigger</w:t>
            </w:r>
          </w:p>
        </w:tc>
        <w:tc>
          <w:tcPr>
            <w:tcW w:type="dxa" w:w="176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Time limit</w:t>
            </w:r>
          </w:p>
        </w:tc>
        <w:tc>
          <w:tcPr>
            <w:tcW w:type="dxa" w:w="208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Consequence of late or no notice</w:t>
            </w:r>
          </w:p>
        </w:tc>
      </w:tr>
      <w:tr>
        <w:trPr>
          <w:cantSplit w:val="true"/>
        </w:trPr>
        <w:tc>
          <w:tcPr>
            <w:tcW w:type="dxa" w:w="1865"/>
            <w:tcMar>
              <w:top w:w="40" w:type="dxa"/>
              <w:left w:w="110" w:type="dxa"/>
              <w:bottom w:w="40" w:type="dxa"/>
              <w:right w:w="110" w:type="dxa"/>
            </w:tcMar>
          </w:tcPr>
          <w:p>
            <w:pPr>
              <w:pStyle w:val="MasttTableCell"/>
              <w:spacing w:before="20" w:after="20"/>
            </w:pPr>
            <w:r/>
            <w:r>
              <w:rPr>
                <w:rFonts w:ascii="Segoe UI" w:hAnsi="Segoe UI"/>
                <w:b/>
                <w:color w:val="1D3245"/>
                <w:sz w:val="16"/>
              </w:rPr>
              <w:t>Early warning</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Either party</w:t>
            </w:r>
          </w:p>
        </w:tc>
        <w:tc>
          <w:tcPr>
            <w:tcW w:type="dxa" w:w="2186"/>
            <w:tcMar>
              <w:top w:w="40" w:type="dxa"/>
              <w:left w:w="110" w:type="dxa"/>
              <w:bottom w:w="40" w:type="dxa"/>
              <w:right w:w="110" w:type="dxa"/>
            </w:tcMar>
          </w:tcPr>
          <w:p>
            <w:pPr>
              <w:pStyle w:val="MasttTableCell"/>
              <w:spacing w:before="20" w:after="20"/>
            </w:pPr>
            <w:r/>
            <w:r>
              <w:rPr>
                <w:rFonts w:ascii="Segoe UI" w:hAnsi="Segoe UI"/>
                <w:color w:val="1D3245"/>
                <w:sz w:val="16"/>
              </w:rPr>
              <w:t>Awareness of any matter that could affect cost, time, quality or safety</w:t>
            </w:r>
          </w:p>
        </w:tc>
        <w:tc>
          <w:tcPr>
            <w:tcW w:type="dxa" w:w="1762"/>
            <w:tcMar>
              <w:top w:w="40" w:type="dxa"/>
              <w:left w:w="110" w:type="dxa"/>
              <w:bottom w:w="40" w:type="dxa"/>
              <w:right w:w="110" w:type="dxa"/>
            </w:tcMar>
          </w:tcPr>
          <w:p>
            <w:pPr>
              <w:pStyle w:val="MasttTableCell"/>
              <w:spacing w:before="20" w:after="20"/>
            </w:pPr>
            <w:r/>
            <w:r>
              <w:rPr>
                <w:rFonts w:ascii="Segoe UI" w:hAnsi="Segoe UI"/>
                <w:color w:val="1D3245"/>
                <w:sz w:val="16"/>
              </w:rPr>
              <w:t>As soon as aware, typically within days</w:t>
            </w:r>
          </w:p>
        </w:tc>
        <w:tc>
          <w:tcPr>
            <w:tcW w:type="dxa" w:w="2082"/>
            <w:tcMar>
              <w:top w:w="40" w:type="dxa"/>
              <w:left w:w="110" w:type="dxa"/>
              <w:bottom w:w="40" w:type="dxa"/>
              <w:right w:w="110" w:type="dxa"/>
            </w:tcMar>
          </w:tcPr>
          <w:p>
            <w:pPr>
              <w:pStyle w:val="MasttTableCell"/>
              <w:spacing w:before="20" w:after="20"/>
            </w:pPr>
            <w:r/>
            <w:r>
              <w:rPr>
                <w:rFonts w:ascii="Segoe UI" w:hAnsi="Segoe UI"/>
                <w:color w:val="1D3245"/>
                <w:sz w:val="16"/>
              </w:rPr>
              <w:t>Loss of collaborative mitigation; possible reduction of entitlement</w:t>
            </w:r>
          </w:p>
        </w:tc>
      </w:tr>
      <w:tr>
        <w:trPr>
          <w:cantSplit w:val="true"/>
        </w:trPr>
        <w:tc>
          <w:tcPr>
            <w:tcW w:type="dxa" w:w="186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Notice of delay / claim for extension of time</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Contractor</w:t>
            </w:r>
          </w:p>
        </w:tc>
        <w:tc>
          <w:tcPr>
            <w:tcW w:type="dxa" w:w="21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Awareness of a delay event</w:t>
            </w:r>
          </w:p>
        </w:tc>
        <w:tc>
          <w:tcPr>
            <w:tcW w:type="dxa" w:w="1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Typically 10-28 days from awareness</w:t>
            </w:r>
          </w:p>
        </w:tc>
        <w:tc>
          <w:tcPr>
            <w:tcW w:type="dxa" w:w="2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Entitlement may be barred entirely</w:t>
            </w:r>
          </w:p>
        </w:tc>
      </w:tr>
      <w:tr>
        <w:trPr>
          <w:cantSplit w:val="true"/>
        </w:trPr>
        <w:tc>
          <w:tcPr>
            <w:tcW w:type="dxa" w:w="1865"/>
            <w:tcMar>
              <w:top w:w="40" w:type="dxa"/>
              <w:left w:w="110" w:type="dxa"/>
              <w:bottom w:w="40" w:type="dxa"/>
              <w:right w:w="110" w:type="dxa"/>
            </w:tcMar>
          </w:tcPr>
          <w:p>
            <w:pPr>
              <w:pStyle w:val="MasttTableCell"/>
              <w:spacing w:before="20" w:after="20"/>
            </w:pPr>
            <w:r/>
            <w:r>
              <w:rPr>
                <w:rFonts w:ascii="Segoe UI" w:hAnsi="Segoe UI"/>
                <w:b/>
                <w:color w:val="1D3245"/>
                <w:sz w:val="16"/>
              </w:rPr>
              <w:t>Detailed claim submission</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c>
          <w:tcPr>
            <w:tcW w:type="dxa" w:w="2186"/>
            <w:tcMar>
              <w:top w:w="40" w:type="dxa"/>
              <w:left w:w="110" w:type="dxa"/>
              <w:bottom w:w="40" w:type="dxa"/>
              <w:right w:w="110" w:type="dxa"/>
            </w:tcMar>
          </w:tcPr>
          <w:p>
            <w:pPr>
              <w:pStyle w:val="MasttTableCell"/>
              <w:spacing w:before="20" w:after="20"/>
            </w:pPr>
            <w:r/>
            <w:r>
              <w:rPr>
                <w:rFonts w:ascii="Segoe UI" w:hAnsi="Segoe UI"/>
                <w:color w:val="1D3245"/>
                <w:sz w:val="16"/>
              </w:rPr>
              <w:t>Following the initial notice</w:t>
            </w:r>
          </w:p>
        </w:tc>
        <w:tc>
          <w:tcPr>
            <w:tcW w:type="dxa" w:w="1762"/>
            <w:tcMar>
              <w:top w:w="40" w:type="dxa"/>
              <w:left w:w="110" w:type="dxa"/>
              <w:bottom w:w="40" w:type="dxa"/>
              <w:right w:w="110" w:type="dxa"/>
            </w:tcMar>
          </w:tcPr>
          <w:p>
            <w:pPr>
              <w:pStyle w:val="MasttTableCell"/>
              <w:spacing w:before="20" w:after="20"/>
            </w:pPr>
            <w:r/>
            <w:r>
              <w:rPr>
                <w:rFonts w:ascii="Segoe UI" w:hAnsi="Segoe UI"/>
                <w:color w:val="1D3245"/>
                <w:sz w:val="16"/>
              </w:rPr>
              <w:t>Typically 28 days from the notice</w:t>
            </w:r>
          </w:p>
        </w:tc>
        <w:tc>
          <w:tcPr>
            <w:tcW w:type="dxa" w:w="2082"/>
            <w:tcMar>
              <w:top w:w="40" w:type="dxa"/>
              <w:left w:w="110" w:type="dxa"/>
              <w:bottom w:w="40" w:type="dxa"/>
              <w:right w:w="110" w:type="dxa"/>
            </w:tcMar>
          </w:tcPr>
          <w:p>
            <w:pPr>
              <w:pStyle w:val="MasttTableCell"/>
              <w:spacing w:before="20" w:after="20"/>
            </w:pPr>
            <w:r/>
            <w:r>
              <w:rPr>
                <w:rFonts w:ascii="Segoe UI" w:hAnsi="Segoe UI"/>
                <w:color w:val="1D3245"/>
                <w:sz w:val="16"/>
              </w:rPr>
              <w:t>Claim may not be assessed</w:t>
            </w:r>
          </w:p>
        </w:tc>
      </w:tr>
      <w:tr>
        <w:trPr>
          <w:cantSplit w:val="true"/>
        </w:trPr>
        <w:tc>
          <w:tcPr>
            <w:tcW w:type="dxa" w:w="186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Notice of variation / change</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Client Representative</w:t>
            </w:r>
          </w:p>
        </w:tc>
        <w:tc>
          <w:tcPr>
            <w:tcW w:type="dxa" w:w="21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Instruction of a change</w:t>
            </w:r>
          </w:p>
        </w:tc>
        <w:tc>
          <w:tcPr>
            <w:tcW w:type="dxa" w:w="1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On instruction</w:t>
            </w:r>
          </w:p>
        </w:tc>
        <w:tc>
          <w:tcPr>
            <w:tcW w:type="dxa" w:w="2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Work may be carried out without authority to pay</w:t>
            </w:r>
          </w:p>
        </w:tc>
      </w:tr>
      <w:tr>
        <w:trPr>
          <w:cantSplit w:val="true"/>
        </w:trPr>
        <w:tc>
          <w:tcPr>
            <w:tcW w:type="dxa" w:w="1865"/>
            <w:tcMar>
              <w:top w:w="40" w:type="dxa"/>
              <w:left w:w="110" w:type="dxa"/>
              <w:bottom w:w="40" w:type="dxa"/>
              <w:right w:w="110" w:type="dxa"/>
            </w:tcMar>
          </w:tcPr>
          <w:p>
            <w:pPr>
              <w:pStyle w:val="MasttTableCell"/>
              <w:spacing w:before="20" w:after="20"/>
            </w:pPr>
            <w:r/>
            <w:r>
              <w:rPr>
                <w:rFonts w:ascii="Segoe UI" w:hAnsi="Segoe UI"/>
                <w:b/>
                <w:color w:val="1D3245"/>
                <w:sz w:val="16"/>
              </w:rPr>
              <w:t>Notice of intention to claim additional cost</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c>
          <w:tcPr>
            <w:tcW w:type="dxa" w:w="2186"/>
            <w:tcMar>
              <w:top w:w="40" w:type="dxa"/>
              <w:left w:w="110" w:type="dxa"/>
              <w:bottom w:w="40" w:type="dxa"/>
              <w:right w:w="110" w:type="dxa"/>
            </w:tcMar>
          </w:tcPr>
          <w:p>
            <w:pPr>
              <w:pStyle w:val="MasttTableCell"/>
              <w:spacing w:before="20" w:after="20"/>
            </w:pPr>
            <w:r/>
            <w:r>
              <w:rPr>
                <w:rFonts w:ascii="Segoe UI" w:hAnsi="Segoe UI"/>
                <w:color w:val="1D3245"/>
                <w:sz w:val="16"/>
              </w:rPr>
              <w:t>Awareness of the cost event</w:t>
            </w:r>
          </w:p>
        </w:tc>
        <w:tc>
          <w:tcPr>
            <w:tcW w:type="dxa" w:w="1762"/>
            <w:tcMar>
              <w:top w:w="40" w:type="dxa"/>
              <w:left w:w="110" w:type="dxa"/>
              <w:bottom w:w="40" w:type="dxa"/>
              <w:right w:w="110" w:type="dxa"/>
            </w:tcMar>
          </w:tcPr>
          <w:p>
            <w:pPr>
              <w:pStyle w:val="MasttTableCell"/>
              <w:spacing w:before="20" w:after="20"/>
            </w:pPr>
            <w:r/>
            <w:r>
              <w:rPr>
                <w:rFonts w:ascii="Segoe UI" w:hAnsi="Segoe UI"/>
                <w:color w:val="1D3245"/>
                <w:sz w:val="16"/>
              </w:rPr>
              <w:t>Per contract</w:t>
            </w:r>
          </w:p>
        </w:tc>
        <w:tc>
          <w:tcPr>
            <w:tcW w:type="dxa" w:w="2082"/>
            <w:tcMar>
              <w:top w:w="40" w:type="dxa"/>
              <w:left w:w="110" w:type="dxa"/>
              <w:bottom w:w="40" w:type="dxa"/>
              <w:right w:w="110" w:type="dxa"/>
            </w:tcMar>
          </w:tcPr>
          <w:p>
            <w:pPr>
              <w:pStyle w:val="MasttTableCell"/>
              <w:spacing w:before="20" w:after="20"/>
            </w:pPr>
            <w:r/>
            <w:r>
              <w:rPr>
                <w:rFonts w:ascii="Segoe UI" w:hAnsi="Segoe UI"/>
                <w:color w:val="1D3245"/>
                <w:sz w:val="16"/>
              </w:rPr>
              <w:t>Entitlement may be barred</w:t>
            </w:r>
          </w:p>
        </w:tc>
      </w:tr>
      <w:tr>
        <w:trPr>
          <w:cantSplit w:val="true"/>
        </w:trPr>
        <w:tc>
          <w:tcPr>
            <w:tcW w:type="dxa" w:w="186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Payment claim</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Contractor</w:t>
            </w:r>
          </w:p>
        </w:tc>
        <w:tc>
          <w:tcPr>
            <w:tcW w:type="dxa" w:w="21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Reference date under the contract</w:t>
            </w:r>
          </w:p>
        </w:tc>
        <w:tc>
          <w:tcPr>
            <w:tcW w:type="dxa" w:w="1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Per contract and any statutory regime in the jurisdiction</w:t>
            </w:r>
          </w:p>
        </w:tc>
        <w:tc>
          <w:tcPr>
            <w:tcW w:type="dxa" w:w="2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Payment cycle deferred</w:t>
            </w:r>
          </w:p>
        </w:tc>
      </w:tr>
      <w:tr>
        <w:trPr>
          <w:cantSplit w:val="true"/>
        </w:trPr>
        <w:tc>
          <w:tcPr>
            <w:tcW w:type="dxa" w:w="1865"/>
            <w:tcMar>
              <w:top w:w="40" w:type="dxa"/>
              <w:left w:w="110" w:type="dxa"/>
              <w:bottom w:w="40" w:type="dxa"/>
              <w:right w:w="110" w:type="dxa"/>
            </w:tcMar>
          </w:tcPr>
          <w:p>
            <w:pPr>
              <w:pStyle w:val="MasttTableCell"/>
              <w:spacing w:before="20" w:after="20"/>
            </w:pPr>
            <w:r/>
            <w:r>
              <w:rPr>
                <w:rFonts w:ascii="Segoe UI" w:hAnsi="Segoe UI"/>
                <w:b/>
                <w:color w:val="1D3245"/>
                <w:sz w:val="16"/>
              </w:rPr>
              <w:t>Payment schedule / certificate</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Client Representative</w:t>
            </w:r>
          </w:p>
        </w:tc>
        <w:tc>
          <w:tcPr>
            <w:tcW w:type="dxa" w:w="2186"/>
            <w:tcMar>
              <w:top w:w="40" w:type="dxa"/>
              <w:left w:w="110" w:type="dxa"/>
              <w:bottom w:w="40" w:type="dxa"/>
              <w:right w:w="110" w:type="dxa"/>
            </w:tcMar>
          </w:tcPr>
          <w:p>
            <w:pPr>
              <w:pStyle w:val="MasttTableCell"/>
              <w:spacing w:before="20" w:after="20"/>
            </w:pPr>
            <w:r/>
            <w:r>
              <w:rPr>
                <w:rFonts w:ascii="Segoe UI" w:hAnsi="Segoe UI"/>
                <w:color w:val="1D3245"/>
                <w:sz w:val="16"/>
              </w:rPr>
              <w:t>Receipt of a payment claim</w:t>
            </w:r>
          </w:p>
        </w:tc>
        <w:tc>
          <w:tcPr>
            <w:tcW w:type="dxa" w:w="1762"/>
            <w:tcMar>
              <w:top w:w="40" w:type="dxa"/>
              <w:left w:w="110" w:type="dxa"/>
              <w:bottom w:w="40" w:type="dxa"/>
              <w:right w:w="110" w:type="dxa"/>
            </w:tcMar>
          </w:tcPr>
          <w:p>
            <w:pPr>
              <w:pStyle w:val="MasttTableCell"/>
              <w:spacing w:before="20" w:after="20"/>
            </w:pPr>
            <w:r/>
            <w:r>
              <w:rPr>
                <w:rFonts w:ascii="Segoe UI" w:hAnsi="Segoe UI"/>
                <w:color w:val="1D3245"/>
                <w:sz w:val="16"/>
              </w:rPr>
              <w:t>Per contract and any statutory regime</w:t>
            </w:r>
          </w:p>
        </w:tc>
        <w:tc>
          <w:tcPr>
            <w:tcW w:type="dxa" w:w="2082"/>
            <w:tcMar>
              <w:top w:w="40" w:type="dxa"/>
              <w:left w:w="110" w:type="dxa"/>
              <w:bottom w:w="40" w:type="dxa"/>
              <w:right w:w="110" w:type="dxa"/>
            </w:tcMar>
          </w:tcPr>
          <w:p>
            <w:pPr>
              <w:pStyle w:val="MasttTableCell"/>
              <w:spacing w:before="20" w:after="20"/>
            </w:pPr>
            <w:r/>
            <w:r>
              <w:rPr>
                <w:rFonts w:ascii="Segoe UI" w:hAnsi="Segoe UI"/>
                <w:color w:val="1D3245"/>
                <w:sz w:val="16"/>
              </w:rPr>
              <w:t>Client may become liable for the full claimed amount</w:t>
            </w:r>
          </w:p>
        </w:tc>
      </w:tr>
      <w:tr>
        <w:trPr>
          <w:cantSplit w:val="true"/>
        </w:trPr>
        <w:tc>
          <w:tcPr>
            <w:tcW w:type="dxa" w:w="186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Notice of defect</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Client Representative</w:t>
            </w:r>
          </w:p>
        </w:tc>
        <w:tc>
          <w:tcPr>
            <w:tcW w:type="dxa" w:w="21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Identification of a defect</w:t>
            </w:r>
          </w:p>
        </w:tc>
        <w:tc>
          <w:tcPr>
            <w:tcW w:type="dxa" w:w="1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Per contract</w:t>
            </w:r>
          </w:p>
        </w:tc>
        <w:tc>
          <w:tcPr>
            <w:tcW w:type="dxa" w:w="2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Rectification may be at the client's cost</w:t>
            </w:r>
          </w:p>
        </w:tc>
      </w:tr>
      <w:tr>
        <w:trPr>
          <w:cantSplit w:val="true"/>
        </w:trPr>
        <w:tc>
          <w:tcPr>
            <w:tcW w:type="dxa" w:w="1865"/>
            <w:tcMar>
              <w:top w:w="40" w:type="dxa"/>
              <w:left w:w="110" w:type="dxa"/>
              <w:bottom w:w="40" w:type="dxa"/>
              <w:right w:w="110" w:type="dxa"/>
            </w:tcMar>
          </w:tcPr>
          <w:p>
            <w:pPr>
              <w:pStyle w:val="MasttTableCell"/>
              <w:spacing w:before="20" w:after="20"/>
            </w:pPr>
            <w:r/>
            <w:r>
              <w:rPr>
                <w:rFonts w:ascii="Segoe UI" w:hAnsi="Segoe UI"/>
                <w:b/>
                <w:color w:val="1D3245"/>
                <w:sz w:val="16"/>
              </w:rPr>
              <w:t>Notice of practical completion / taking over</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c>
          <w:tcPr>
            <w:tcW w:type="dxa" w:w="2186"/>
            <w:tcMar>
              <w:top w:w="40" w:type="dxa"/>
              <w:left w:w="110" w:type="dxa"/>
              <w:bottom w:w="40" w:type="dxa"/>
              <w:right w:w="110" w:type="dxa"/>
            </w:tcMar>
          </w:tcPr>
          <w:p>
            <w:pPr>
              <w:pStyle w:val="MasttTableCell"/>
              <w:spacing w:before="20" w:after="20"/>
            </w:pPr>
            <w:r/>
            <w:r>
              <w:rPr>
                <w:rFonts w:ascii="Segoe UI" w:hAnsi="Segoe UI"/>
                <w:color w:val="1D3245"/>
                <w:sz w:val="16"/>
              </w:rPr>
              <w:t>Achievement of completion</w:t>
            </w:r>
          </w:p>
        </w:tc>
        <w:tc>
          <w:tcPr>
            <w:tcW w:type="dxa" w:w="1762"/>
            <w:tcMar>
              <w:top w:w="40" w:type="dxa"/>
              <w:left w:w="110" w:type="dxa"/>
              <w:bottom w:w="40" w:type="dxa"/>
              <w:right w:w="110" w:type="dxa"/>
            </w:tcMar>
          </w:tcPr>
          <w:p>
            <w:pPr>
              <w:pStyle w:val="MasttTableCell"/>
              <w:spacing w:before="20" w:after="20"/>
            </w:pPr>
            <w:r/>
            <w:r>
              <w:rPr>
                <w:rFonts w:ascii="Segoe UI" w:hAnsi="Segoe UI"/>
                <w:color w:val="1D3245"/>
                <w:sz w:val="16"/>
              </w:rPr>
              <w:t>Per contract</w:t>
            </w:r>
          </w:p>
        </w:tc>
        <w:tc>
          <w:tcPr>
            <w:tcW w:type="dxa" w:w="2082"/>
            <w:tcMar>
              <w:top w:w="40" w:type="dxa"/>
              <w:left w:w="110" w:type="dxa"/>
              <w:bottom w:w="40" w:type="dxa"/>
              <w:right w:w="110" w:type="dxa"/>
            </w:tcMar>
          </w:tcPr>
          <w:p>
            <w:pPr>
              <w:pStyle w:val="MasttTableCell"/>
              <w:spacing w:before="20" w:after="20"/>
            </w:pPr>
            <w:r/>
            <w:r>
              <w:rPr>
                <w:rFonts w:ascii="Segoe UI" w:hAnsi="Segoe UI"/>
                <w:color w:val="1D3245"/>
                <w:sz w:val="16"/>
              </w:rPr>
              <w:t>Completion date disputed</w:t>
            </w:r>
          </w:p>
        </w:tc>
      </w:tr>
      <w:tr>
        <w:trPr>
          <w:cantSplit w:val="true"/>
        </w:trPr>
        <w:tc>
          <w:tcPr>
            <w:tcW w:type="dxa" w:w="186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Notice to show cause / default</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Either party</w:t>
            </w:r>
          </w:p>
        </w:tc>
        <w:tc>
          <w:tcPr>
            <w:tcW w:type="dxa" w:w="21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Substantial breach</w:t>
            </w:r>
          </w:p>
        </w:tc>
        <w:tc>
          <w:tcPr>
            <w:tcW w:type="dxa" w:w="1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Per contract</w:t>
            </w:r>
          </w:p>
        </w:tc>
        <w:tc>
          <w:tcPr>
            <w:tcW w:type="dxa" w:w="2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Termination rights may be lost</w:t>
            </w:r>
          </w:p>
        </w:tc>
      </w:tr>
      <w:tr>
        <w:trPr>
          <w:cantSplit w:val="true"/>
        </w:trPr>
        <w:tc>
          <w:tcPr>
            <w:tcW w:type="dxa" w:w="1865"/>
            <w:tcMar>
              <w:top w:w="40" w:type="dxa"/>
              <w:left w:w="110" w:type="dxa"/>
              <w:bottom w:w="40" w:type="dxa"/>
              <w:right w:w="110" w:type="dxa"/>
            </w:tcMar>
          </w:tcPr>
          <w:p>
            <w:pPr>
              <w:pStyle w:val="MasttTableCell"/>
              <w:spacing w:before="20" w:after="20"/>
            </w:pPr>
            <w:r/>
            <w:r>
              <w:rPr>
                <w:rFonts w:ascii="Segoe UI" w:hAnsi="Segoe UI"/>
                <w:b/>
                <w:color w:val="1D3245"/>
                <w:sz w:val="16"/>
              </w:rPr>
              <w:t>Notice of dispute</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Either party</w:t>
            </w:r>
          </w:p>
        </w:tc>
        <w:tc>
          <w:tcPr>
            <w:tcW w:type="dxa" w:w="2186"/>
            <w:tcMar>
              <w:top w:w="40" w:type="dxa"/>
              <w:left w:w="110" w:type="dxa"/>
              <w:bottom w:w="40" w:type="dxa"/>
              <w:right w:w="110" w:type="dxa"/>
            </w:tcMar>
          </w:tcPr>
          <w:p>
            <w:pPr>
              <w:pStyle w:val="MasttTableCell"/>
              <w:spacing w:before="20" w:after="20"/>
            </w:pPr>
            <w:r/>
            <w:r>
              <w:rPr>
                <w:rFonts w:ascii="Segoe UI" w:hAnsi="Segoe UI"/>
                <w:color w:val="1D3245"/>
                <w:sz w:val="16"/>
              </w:rPr>
              <w:t>Failure to resolve</w:t>
            </w:r>
          </w:p>
        </w:tc>
        <w:tc>
          <w:tcPr>
            <w:tcW w:type="dxa" w:w="1762"/>
            <w:tcMar>
              <w:top w:w="40" w:type="dxa"/>
              <w:left w:w="110" w:type="dxa"/>
              <w:bottom w:w="40" w:type="dxa"/>
              <w:right w:w="110" w:type="dxa"/>
            </w:tcMar>
          </w:tcPr>
          <w:p>
            <w:pPr>
              <w:pStyle w:val="MasttTableCell"/>
              <w:spacing w:before="20" w:after="20"/>
            </w:pPr>
            <w:r/>
            <w:r>
              <w:rPr>
                <w:rFonts w:ascii="Segoe UI" w:hAnsi="Segoe UI"/>
                <w:color w:val="1D3245"/>
                <w:sz w:val="16"/>
              </w:rPr>
              <w:t>Per contract</w:t>
            </w:r>
          </w:p>
        </w:tc>
        <w:tc>
          <w:tcPr>
            <w:tcW w:type="dxa" w:w="2082"/>
            <w:tcMar>
              <w:top w:w="40" w:type="dxa"/>
              <w:left w:w="110" w:type="dxa"/>
              <w:bottom w:w="40" w:type="dxa"/>
              <w:right w:w="110" w:type="dxa"/>
            </w:tcMar>
          </w:tcPr>
          <w:p>
            <w:pPr>
              <w:pStyle w:val="MasttTableCell"/>
              <w:spacing w:before="20" w:after="20"/>
            </w:pPr>
            <w:r/>
            <w:r>
              <w:rPr>
                <w:rFonts w:ascii="Segoe UI" w:hAnsi="Segoe UI"/>
                <w:color w:val="1D3245"/>
                <w:sz w:val="16"/>
              </w:rPr>
              <w:t>Dispute process cannot be commenced</w:t>
            </w:r>
          </w:p>
        </w:tc>
      </w:tr>
      <w:tr>
        <w:trPr>
          <w:cantSplit w:val="true"/>
        </w:trPr>
        <w:tc>
          <w:tcPr>
            <w:tcW w:type="dxa" w:w="186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Notice of suspension</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Either party</w:t>
            </w:r>
          </w:p>
        </w:tc>
        <w:tc>
          <w:tcPr>
            <w:tcW w:type="dxa" w:w="21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Non-payment or breach</w:t>
            </w:r>
          </w:p>
        </w:tc>
        <w:tc>
          <w:tcPr>
            <w:tcW w:type="dxa" w:w="176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Per contract and any statutory regime</w:t>
            </w:r>
          </w:p>
        </w:tc>
        <w:tc>
          <w:tcPr>
            <w:tcW w:type="dxa" w:w="2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Suspension may be a breach</w:t>
            </w:r>
          </w:p>
        </w:tc>
      </w:tr>
    </w:tbl>
    <w:p>
      <w:pPr>
        <w:rPr>
          <w:sz w:val="8"/>
        </w:rPr>
        <w:spacing w:after="40" w:before="0" w:line="240" w:lineRule="auto"/>
      </w:pPr>
    </w:p>
    <w:p>
      <w:pPr>
        <w:pStyle w:val="MasttCaption"/>
        <w:spacing w:after="180"/>
      </w:pPr>
      <w:r>
        <w:rPr>
          <w:color w:val="8E98A2"/>
          <w:sz w:val="16"/>
        </w:rPr>
        <w:t>Insert the actual periods from the executed contract. The periods shown are indicative only and vary substantially between contract families and jurisdictions.</w:t>
      </w:r>
    </w:p>
    <w:p>
      <w:pPr>
        <w:pStyle w:val="Heading2"/>
      </w:pPr>
      <w:r>
        <w:t>17.3  Instructions and directions</w:t>
      </w:r>
    </w:p>
    <w:p>
      <w:pPr>
        <w:pStyle w:val="ListBullet"/>
        <w:spacing w:after="60"/>
        <w:ind w:left="340"/>
      </w:pPr>
      <w:r>
        <w:rPr>
          <w:rFonts w:ascii="Segoe UI" w:hAnsi="Segoe UI"/>
          <w:color w:val="1D3245"/>
          <w:sz w:val="20"/>
        </w:rPr>
        <w:t>Only the person named in the contract may issue instructions. No other person - including the Project Manager, designers or client staff - may direct the contractor.</w:t>
      </w:r>
    </w:p>
    <w:p>
      <w:pPr>
        <w:pStyle w:val="ListBullet"/>
        <w:spacing w:after="60"/>
        <w:ind w:left="340"/>
      </w:pPr>
      <w:r>
        <w:rPr>
          <w:rFonts w:ascii="Segoe UI" w:hAnsi="Segoe UI"/>
          <w:color w:val="1D3245"/>
          <w:sz w:val="20"/>
        </w:rPr>
        <w:t>Instructions are issued in writing on the numbered instruction form and recorded in the instruction register.</w:t>
      </w:r>
    </w:p>
    <w:p>
      <w:pPr>
        <w:pStyle w:val="ListBullet"/>
        <w:spacing w:after="60"/>
        <w:ind w:left="340"/>
      </w:pPr>
      <w:r>
        <w:rPr>
          <w:rFonts w:ascii="Segoe UI" w:hAnsi="Segoe UI"/>
          <w:color w:val="1D3245"/>
          <w:sz w:val="20"/>
        </w:rPr>
        <w:t>Verbal directions in an emergency are confirmed in writing within 1 working day.</w:t>
      </w:r>
    </w:p>
    <w:p>
      <w:pPr>
        <w:pStyle w:val="ListBullet"/>
        <w:spacing w:after="60"/>
        <w:ind w:left="340"/>
      </w:pPr>
      <w:r>
        <w:rPr>
          <w:rFonts w:ascii="Segoe UI" w:hAnsi="Segoe UI"/>
          <w:color w:val="1D3245"/>
          <w:sz w:val="20"/>
        </w:rPr>
        <w:t>Site instructions that constitute a change must be identified as such and priced before, not after, the work is carried out wherever practicable.</w:t>
      </w:r>
    </w:p>
    <w:p>
      <w:pPr>
        <w:pStyle w:val="ListBullet"/>
        <w:spacing w:after="60"/>
        <w:ind w:left="340"/>
      </w:pPr>
      <w:r>
        <w:rPr>
          <w:rFonts w:ascii="Segoe UI" w:hAnsi="Segoe UI"/>
          <w:color w:val="1D3245"/>
          <w:sz w:val="20"/>
        </w:rPr>
        <w:t>Design team comments, RFI responses and shop drawing reviews are not instructions and must not vary the works.</w:t>
      </w:r>
    </w:p>
    <w:p>
      <w:pPr>
        <w:pStyle w:val="Heading2"/>
      </w:pPr>
      <w:r>
        <w:t>17.4  Claims management</w:t>
      </w:r>
    </w:p>
    <w:p>
      <w:pPr>
        <w:pStyle w:val="ListBullet"/>
        <w:spacing w:after="60"/>
        <w:ind w:left="340"/>
      </w:pPr>
      <w:r>
        <w:rPr>
          <w:rFonts w:ascii="Segoe UI" w:hAnsi="Segoe UI"/>
          <w:color w:val="1D3245"/>
          <w:sz w:val="20"/>
        </w:rPr>
        <w:t>Claims are assessed on entitlement first, then quantum. A claim without established entitlement is not negotiated on value.</w:t>
      </w:r>
    </w:p>
    <w:p>
      <w:pPr>
        <w:pStyle w:val="ListBullet"/>
        <w:spacing w:after="60"/>
        <w:ind w:left="340"/>
      </w:pPr>
      <w:r>
        <w:rPr>
          <w:rFonts w:ascii="Segoe UI" w:hAnsi="Segoe UI"/>
          <w:color w:val="1D3245"/>
          <w:sz w:val="20"/>
        </w:rPr>
        <w:t>Assessment is documented against the contract clause relied on, the facts, the causation and the substantiation provided.</w:t>
      </w:r>
    </w:p>
    <w:p>
      <w:pPr>
        <w:pStyle w:val="ListBullet"/>
        <w:spacing w:after="60"/>
        <w:ind w:left="340"/>
      </w:pPr>
      <w:r>
        <w:rPr>
          <w:rFonts w:ascii="Segoe UI" w:hAnsi="Segoe UI"/>
          <w:color w:val="1D3245"/>
          <w:sz w:val="20"/>
        </w:rPr>
        <w:t>Global claims are rejected in principle; the claimant is required to establish the causal link between each event and its consequence.</w:t>
      </w:r>
    </w:p>
    <w:p>
      <w:pPr>
        <w:pStyle w:val="ListBullet"/>
        <w:spacing w:after="60"/>
        <w:ind w:left="340"/>
      </w:pPr>
      <w:r>
        <w:rPr>
          <w:rFonts w:ascii="Segoe UI" w:hAnsi="Segoe UI"/>
          <w:color w:val="1D3245"/>
          <w:sz w:val="20"/>
        </w:rPr>
        <w:t>The client maintains its own delay analysis and cost records so that any claim can be tested independently.</w:t>
      </w:r>
    </w:p>
    <w:p>
      <w:pPr>
        <w:pStyle w:val="ListBullet"/>
        <w:spacing w:after="60"/>
        <w:ind w:left="340"/>
      </w:pPr>
      <w:r>
        <w:rPr>
          <w:rFonts w:ascii="Segoe UI" w:hAnsi="Segoe UI"/>
          <w:color w:val="1D3245"/>
          <w:sz w:val="20"/>
        </w:rPr>
        <w:t>Claims are assessed and determined within the contractual timeframe. Silence is not a defence and may create entitlement.</w:t>
      </w:r>
    </w:p>
    <w:p>
      <w:pPr>
        <w:pStyle w:val="ListBullet"/>
        <w:spacing w:after="60"/>
        <w:ind w:left="340"/>
      </w:pPr>
      <w:r>
        <w:rPr>
          <w:rFonts w:ascii="Segoe UI" w:hAnsi="Segoe UI"/>
          <w:color w:val="1D3245"/>
          <w:sz w:val="20"/>
        </w:rPr>
        <w:t>A claims position statement is maintained and reported monthly showing claimed, assessed, agreed and disputed values.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788"/>
        <w:gridCol w:w="1871"/>
        <w:gridCol w:w="975"/>
        <w:gridCol w:w="1403"/>
        <w:gridCol w:w="1094"/>
        <w:gridCol w:w="1094"/>
        <w:gridCol w:w="1213"/>
        <w:gridCol w:w="975"/>
      </w:tblGrid>
      <w:tr>
        <w:trPr>
          <w:tblHeader w:val="true"/>
          <w:cantSplit w:val="true"/>
        </w:trPr>
        <w:tc>
          <w:tcPr>
            <w:tcW w:type="dxa" w:w="7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187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Event</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Notice date</w:t>
            </w:r>
          </w:p>
        </w:tc>
        <w:tc>
          <w:tcPr>
            <w:tcW w:type="dxa" w:w="140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Clause relied on</w:t>
            </w:r>
          </w:p>
        </w:tc>
        <w:tc>
          <w:tcPr>
            <w:tcW w:type="dxa" w:w="10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Claimed (time)</w:t>
            </w:r>
          </w:p>
        </w:tc>
        <w:tc>
          <w:tcPr>
            <w:tcW w:type="dxa" w:w="10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Claimed (cost)</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Assessed</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Status</w:t>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CL-01</w:t>
            </w:r>
          </w:p>
        </w:tc>
        <w:tc>
          <w:tcPr>
            <w:tcW w:type="dxa" w:w="187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CL-02</w:t>
            </w:r>
          </w:p>
        </w:tc>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CL-03</w:t>
            </w:r>
          </w:p>
        </w:tc>
        <w:tc>
          <w:tcPr>
            <w:tcW w:type="dxa" w:w="187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CL-04</w:t>
            </w:r>
          </w:p>
        </w:tc>
        <w:tc>
          <w:tcPr>
            <w:tcW w:type="dxa" w:w="187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CL-05</w:t>
            </w:r>
          </w:p>
        </w:tc>
        <w:tc>
          <w:tcPr>
            <w:tcW w:type="dxa" w:w="187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40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94"/>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17.5  Dispute avoidance and resolution</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737"/>
        <w:gridCol w:w="4493"/>
        <w:gridCol w:w="2143"/>
        <w:gridCol w:w="2039"/>
      </w:tblGrid>
      <w:tr>
        <w:trPr>
          <w:tblHeader w:val="true"/>
          <w:cantSplit w:val="true"/>
        </w:trPr>
        <w:tc>
          <w:tcPr>
            <w:tcW w:type="dxa" w:w="7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Step</w:t>
            </w:r>
          </w:p>
        </w:tc>
        <w:tc>
          <w:tcPr>
            <w:tcW w:type="dxa" w:w="449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Mechanism</w:t>
            </w:r>
          </w:p>
        </w:tc>
        <w:tc>
          <w:tcPr>
            <w:tcW w:type="dxa" w:w="214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Timeframe</w:t>
            </w:r>
          </w:p>
        </w:tc>
        <w:tc>
          <w:tcPr>
            <w:tcW w:type="dxa" w:w="203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Decision-maker</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0</w:t>
            </w:r>
          </w:p>
        </w:tc>
        <w:tc>
          <w:tcPr>
            <w:tcW w:type="dxa" w:w="4492"/>
            <w:tcMar>
              <w:top w:w="40" w:type="dxa"/>
              <w:left w:w="110" w:type="dxa"/>
              <w:bottom w:w="40" w:type="dxa"/>
              <w:right w:w="110" w:type="dxa"/>
            </w:tcMar>
          </w:tcPr>
          <w:p>
            <w:pPr>
              <w:pStyle w:val="MasttTableCell"/>
              <w:spacing w:before="20" w:after="20"/>
            </w:pPr>
            <w:r/>
            <w:r>
              <w:rPr>
                <w:rFonts w:ascii="Segoe UI" w:hAnsi="Segoe UI"/>
                <w:color w:val="1D3245"/>
                <w:sz w:val="17"/>
              </w:rPr>
              <w:t>Early warning and joint mitigation at working level</w:t>
            </w:r>
          </w:p>
        </w:tc>
        <w:tc>
          <w:tcPr>
            <w:tcW w:type="dxa" w:w="2143"/>
            <w:tcMar>
              <w:top w:w="40" w:type="dxa"/>
              <w:left w:w="110" w:type="dxa"/>
              <w:bottom w:w="40" w:type="dxa"/>
              <w:right w:w="110" w:type="dxa"/>
            </w:tcMar>
          </w:tcPr>
          <w:p>
            <w:pPr>
              <w:pStyle w:val="MasttTableCell"/>
              <w:spacing w:before="20" w:after="20"/>
            </w:pPr>
            <w:r/>
            <w:r>
              <w:rPr>
                <w:rFonts w:ascii="Segoe UI" w:hAnsi="Segoe UI"/>
                <w:color w:val="1D3245"/>
                <w:sz w:val="17"/>
              </w:rPr>
              <w:t>Continuous</w:t>
            </w:r>
          </w:p>
        </w:tc>
        <w:tc>
          <w:tcPr>
            <w:tcW w:type="dxa" w:w="2039"/>
            <w:tcMar>
              <w:top w:w="40" w:type="dxa"/>
              <w:left w:w="110" w:type="dxa"/>
              <w:bottom w:w="40" w:type="dxa"/>
              <w:right w:w="110" w:type="dxa"/>
            </w:tcMar>
          </w:tcPr>
          <w:p>
            <w:pPr>
              <w:pStyle w:val="MasttTableCell"/>
              <w:spacing w:before="20" w:after="20"/>
            </w:pPr>
            <w:r/>
            <w:r>
              <w:rPr>
                <w:rFonts w:ascii="Segoe UI" w:hAnsi="Segoe UI"/>
                <w:color w:val="1D3245"/>
                <w:sz w:val="17"/>
              </w:rPr>
              <w:t>Project Manager and contractor PM</w:t>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1</w:t>
            </w:r>
          </w:p>
        </w:tc>
        <w:tc>
          <w:tcPr>
            <w:tcW w:type="dxa" w:w="449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Escalation to senior representatives of each party</w:t>
            </w:r>
          </w:p>
        </w:tc>
        <w:tc>
          <w:tcPr>
            <w:tcW w:type="dxa" w:w="21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10 working days of the issue being raised</w:t>
            </w:r>
          </w:p>
        </w:tc>
        <w:tc>
          <w:tcPr>
            <w:tcW w:type="dxa" w:w="20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 and contractor management</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2</w:t>
            </w:r>
          </w:p>
        </w:tc>
        <w:tc>
          <w:tcPr>
            <w:tcW w:type="dxa" w:w="4492"/>
            <w:tcMar>
              <w:top w:w="40" w:type="dxa"/>
              <w:left w:w="110" w:type="dxa"/>
              <w:bottom w:w="40" w:type="dxa"/>
              <w:right w:w="110" w:type="dxa"/>
            </w:tcMar>
          </w:tcPr>
          <w:p>
            <w:pPr>
              <w:pStyle w:val="MasttTableCell"/>
              <w:spacing w:before="20" w:after="20"/>
            </w:pPr>
            <w:r/>
            <w:r>
              <w:rPr>
                <w:rFonts w:ascii="Segoe UI" w:hAnsi="Segoe UI"/>
                <w:color w:val="1D3245"/>
                <w:sz w:val="17"/>
              </w:rPr>
              <w:t>Executive negotiation between senior executives</w:t>
            </w:r>
          </w:p>
        </w:tc>
        <w:tc>
          <w:tcPr>
            <w:tcW w:type="dxa" w:w="2143"/>
            <w:tcMar>
              <w:top w:w="40" w:type="dxa"/>
              <w:left w:w="110" w:type="dxa"/>
              <w:bottom w:w="40" w:type="dxa"/>
              <w:right w:w="110" w:type="dxa"/>
            </w:tcMar>
          </w:tcPr>
          <w:p>
            <w:pPr>
              <w:pStyle w:val="MasttTableCell"/>
              <w:spacing w:before="20" w:after="20"/>
            </w:pPr>
            <w:r/>
            <w:r>
              <w:rPr>
                <w:rFonts w:ascii="Segoe UI" w:hAnsi="Segoe UI"/>
                <w:color w:val="1D3245"/>
                <w:sz w:val="17"/>
              </w:rPr>
              <w:t>Within 20 working days</w:t>
            </w:r>
          </w:p>
        </w:tc>
        <w:tc>
          <w:tcPr>
            <w:tcW w:type="dxa" w:w="2039"/>
            <w:tcMar>
              <w:top w:w="40" w:type="dxa"/>
              <w:left w:w="110" w:type="dxa"/>
              <w:bottom w:w="40" w:type="dxa"/>
              <w:right w:w="110" w:type="dxa"/>
            </w:tcMar>
          </w:tcPr>
          <w:p>
            <w:pPr>
              <w:pStyle w:val="MasttTableCell"/>
              <w:spacing w:before="20" w:after="20"/>
            </w:pPr>
            <w:r/>
            <w:r>
              <w:rPr>
                <w:rFonts w:ascii="Segoe UI" w:hAnsi="Segoe UI"/>
                <w:color w:val="1D3245"/>
                <w:sz w:val="17"/>
              </w:rPr>
              <w:t>Sponsor and contractor executive</w:t>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3</w:t>
            </w:r>
          </w:p>
        </w:tc>
        <w:tc>
          <w:tcPr>
            <w:tcW w:type="dxa" w:w="449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Independent expert determination, dispute avoidance board or adjudication as the contract provides</w:t>
            </w:r>
          </w:p>
        </w:tc>
        <w:tc>
          <w:tcPr>
            <w:tcW w:type="dxa" w:w="21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Per contract</w:t>
            </w:r>
          </w:p>
        </w:tc>
        <w:tc>
          <w:tcPr>
            <w:tcW w:type="dxa" w:w="20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Appointed independent</w:t>
            </w:r>
          </w:p>
        </w:tc>
      </w:tr>
      <w:tr>
        <w:trPr>
          <w:cantSplit w:val="true"/>
        </w:trPr>
        <w:tc>
          <w:tcPr>
            <w:tcW w:type="dxa" w:w="737"/>
            <w:tcMar>
              <w:top w:w="40" w:type="dxa"/>
              <w:left w:w="110" w:type="dxa"/>
              <w:bottom w:w="40" w:type="dxa"/>
              <w:right w:w="110" w:type="dxa"/>
            </w:tcMar>
          </w:tcPr>
          <w:p>
            <w:pPr>
              <w:pStyle w:val="MasttTableCell"/>
              <w:spacing w:before="20" w:after="20"/>
            </w:pPr>
            <w:r/>
            <w:r>
              <w:rPr>
                <w:rFonts w:ascii="Segoe UI" w:hAnsi="Segoe UI"/>
                <w:b/>
                <w:color w:val="1D3245"/>
                <w:sz w:val="17"/>
              </w:rPr>
              <w:t>4</w:t>
            </w:r>
          </w:p>
        </w:tc>
        <w:tc>
          <w:tcPr>
            <w:tcW w:type="dxa" w:w="4492"/>
            <w:tcMar>
              <w:top w:w="40" w:type="dxa"/>
              <w:left w:w="110" w:type="dxa"/>
              <w:bottom w:w="40" w:type="dxa"/>
              <w:right w:w="110" w:type="dxa"/>
            </w:tcMar>
          </w:tcPr>
          <w:p>
            <w:pPr>
              <w:pStyle w:val="MasttTableCell"/>
              <w:spacing w:before="20" w:after="20"/>
            </w:pPr>
            <w:r/>
            <w:r>
              <w:rPr>
                <w:rFonts w:ascii="Segoe UI" w:hAnsi="Segoe UI"/>
                <w:color w:val="1D3245"/>
                <w:sz w:val="17"/>
              </w:rPr>
              <w:t>Mediation or other structured negotiation</w:t>
            </w:r>
          </w:p>
        </w:tc>
        <w:tc>
          <w:tcPr>
            <w:tcW w:type="dxa" w:w="2143"/>
            <w:tcMar>
              <w:top w:w="40" w:type="dxa"/>
              <w:left w:w="110" w:type="dxa"/>
              <w:bottom w:w="40" w:type="dxa"/>
              <w:right w:w="110" w:type="dxa"/>
            </w:tcMar>
          </w:tcPr>
          <w:p>
            <w:pPr>
              <w:pStyle w:val="MasttTableCell"/>
              <w:spacing w:before="20" w:after="20"/>
            </w:pPr>
            <w:r/>
            <w:r>
              <w:rPr>
                <w:rFonts w:ascii="Segoe UI" w:hAnsi="Segoe UI"/>
                <w:color w:val="1D3245"/>
                <w:sz w:val="17"/>
              </w:rPr>
              <w:t>Per contract</w:t>
            </w:r>
          </w:p>
        </w:tc>
        <w:tc>
          <w:tcPr>
            <w:tcW w:type="dxa" w:w="2039"/>
            <w:tcMar>
              <w:top w:w="40" w:type="dxa"/>
              <w:left w:w="110" w:type="dxa"/>
              <w:bottom w:w="40" w:type="dxa"/>
              <w:right w:w="110" w:type="dxa"/>
            </w:tcMar>
          </w:tcPr>
          <w:p>
            <w:pPr>
              <w:pStyle w:val="MasttTableCell"/>
              <w:spacing w:before="20" w:after="20"/>
            </w:pPr>
            <w:r/>
            <w:r>
              <w:rPr>
                <w:rFonts w:ascii="Segoe UI" w:hAnsi="Segoe UI"/>
                <w:color w:val="1D3245"/>
                <w:sz w:val="17"/>
              </w:rPr>
              <w:t>Appointed mediator</w:t>
            </w:r>
          </w:p>
        </w:tc>
      </w:tr>
      <w:tr>
        <w:trPr>
          <w:cantSplit w:val="true"/>
        </w:trPr>
        <w:tc>
          <w:tcPr>
            <w:tcW w:type="dxa" w:w="73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5</w:t>
            </w:r>
          </w:p>
        </w:tc>
        <w:tc>
          <w:tcPr>
            <w:tcW w:type="dxa" w:w="449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Arbitration or litigation as the contract provides</w:t>
            </w:r>
          </w:p>
        </w:tc>
        <w:tc>
          <w:tcPr>
            <w:tcW w:type="dxa" w:w="21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Per contract and the applicable jurisdiction</w:t>
            </w:r>
          </w:p>
        </w:tc>
        <w:tc>
          <w:tcPr>
            <w:tcW w:type="dxa" w:w="20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Tribunal or court</w:t>
            </w:r>
          </w:p>
        </w:tc>
      </w:tr>
    </w:tbl>
    <w:p>
      <w:pPr>
        <w:rPr>
          <w:sz w:val="8"/>
        </w:rPr>
        <w:spacing w:after="40" w:before="0" w:line="240" w:lineRule="auto"/>
      </w:pPr>
    </w:p>
    <w:p>
      <w:pPr>
        <w:pStyle w:val="MasttBody"/>
      </w:pPr>
      <w:r>
        <w:t>Escalation is time-bound at every step: a dispute that stalls at one level moves to the next automatically. Work continues while a dispute is being resolved unless the contract expressly permits suspension.</w:t>
      </w:r>
    </w:p>
    <w:p>
      <w:pPr>
        <w:pStyle w:val="Heading2"/>
      </w:pPr>
      <w:r>
        <w:t>17.6  Securities, bonds and guarantees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1602"/>
        <w:gridCol w:w="1994"/>
        <w:gridCol w:w="1369"/>
        <w:gridCol w:w="1336"/>
        <w:gridCol w:w="1596"/>
        <w:gridCol w:w="1516"/>
      </w:tblGrid>
      <w:tr>
        <w:trPr>
          <w:tblHeader w:val="true"/>
          <w:cantSplit w:val="true"/>
        </w:trPr>
        <w:tc>
          <w:tcPr>
            <w:tcW w:type="dxa" w:w="16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Instrument</w:t>
            </w:r>
          </w:p>
        </w:tc>
        <w:tc>
          <w:tcPr>
            <w:tcW w:type="dxa" w:w="19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Purpose</w:t>
            </w:r>
          </w:p>
        </w:tc>
        <w:tc>
          <w:tcPr>
            <w:tcW w:type="dxa" w:w="13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Value</w:t>
            </w:r>
          </w:p>
        </w:tc>
        <w:tc>
          <w:tcPr>
            <w:tcW w:type="dxa" w:w="133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Provided by</w:t>
            </w:r>
          </w:p>
        </w:tc>
        <w:tc>
          <w:tcPr>
            <w:tcW w:type="dxa" w:w="159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Held until</w:t>
            </w:r>
          </w:p>
        </w:tc>
        <w:tc>
          <w:tcPr>
            <w:tcW w:type="dxa" w:w="15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Release authority</w:t>
            </w:r>
          </w:p>
        </w:tc>
      </w:tr>
      <w:tr>
        <w:trPr>
          <w:cantSplit w:val="true"/>
        </w:trPr>
        <w:tc>
          <w:tcPr>
            <w:tcW w:type="dxa" w:w="1602"/>
            <w:tcMar>
              <w:top w:w="40" w:type="dxa"/>
              <w:left w:w="110" w:type="dxa"/>
              <w:bottom w:w="40" w:type="dxa"/>
              <w:right w:w="110" w:type="dxa"/>
            </w:tcMar>
          </w:tcPr>
          <w:p>
            <w:pPr>
              <w:pStyle w:val="MasttTableCell"/>
              <w:spacing w:before="20" w:after="20"/>
            </w:pPr>
            <w:r/>
            <w:r>
              <w:rPr>
                <w:rFonts w:ascii="Segoe UI" w:hAnsi="Segoe UI"/>
                <w:b/>
                <w:color w:val="1D3245"/>
                <w:sz w:val="16"/>
              </w:rPr>
              <w:t>Performance security / bond</w:t>
            </w:r>
          </w:p>
        </w:tc>
        <w:tc>
          <w:tcPr>
            <w:tcW w:type="dxa" w:w="1994"/>
            <w:tcMar>
              <w:top w:w="40" w:type="dxa"/>
              <w:left w:w="110" w:type="dxa"/>
              <w:bottom w:w="40" w:type="dxa"/>
              <w:right w:w="110" w:type="dxa"/>
            </w:tcMar>
          </w:tcPr>
          <w:p>
            <w:pPr>
              <w:pStyle w:val="MasttTableCell"/>
              <w:spacing w:before="20" w:after="20"/>
            </w:pPr>
            <w:r/>
            <w:r>
              <w:rPr>
                <w:rFonts w:ascii="Segoe UI" w:hAnsi="Segoe UI"/>
                <w:color w:val="1D3245"/>
                <w:sz w:val="16"/>
              </w:rPr>
              <w:t>Secures performance of the contract</w:t>
            </w:r>
          </w:p>
        </w:tc>
        <w:tc>
          <w:tcPr>
            <w:tcW w:type="dxa" w:w="1369"/>
            <w:tcMar>
              <w:top w:w="40" w:type="dxa"/>
              <w:left w:w="110" w:type="dxa"/>
              <w:bottom w:w="40" w:type="dxa"/>
              <w:right w:w="110" w:type="dxa"/>
            </w:tcMar>
          </w:tcPr>
          <w:p>
            <w:pPr>
              <w:pStyle w:val="MasttTableCell"/>
              <w:spacing w:before="20" w:after="20"/>
            </w:pPr>
            <w:r/>
            <w:r>
              <w:rPr>
                <w:rFonts w:ascii="Segoe UI" w:hAnsi="Segoe UI"/>
                <w:color w:val="1D3245"/>
                <w:sz w:val="16"/>
              </w:rPr>
              <w:t>Typically 5-10% of contract value</w:t>
            </w:r>
          </w:p>
        </w:tc>
        <w:tc>
          <w:tcPr>
            <w:tcW w:type="dxa" w:w="1336"/>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6"/>
              </w:rPr>
              <w:t>Practical completion (partial) and end of defects (balance)</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Commercial Manager</w:t>
            </w:r>
          </w:p>
        </w:tc>
      </w:tr>
      <w:tr>
        <w:trPr>
          <w:cantSplit w:val="true"/>
        </w:trPr>
        <w:tc>
          <w:tcPr>
            <w:tcW w:type="dxa" w:w="16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Retention</w:t>
            </w:r>
          </w:p>
        </w:tc>
        <w:tc>
          <w:tcPr>
            <w:tcW w:type="dxa" w:w="19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Secures completion and defect rectification</w:t>
            </w:r>
          </w:p>
        </w:tc>
        <w:tc>
          <w:tcPr>
            <w:tcW w:type="dxa" w:w="13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Typically 5% to a cap</w:t>
            </w:r>
          </w:p>
        </w:tc>
        <w:tc>
          <w:tcPr>
            <w:tcW w:type="dxa" w:w="13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Withheld from payments</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Half at completion, half at end of defects</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Client Representative</w:t>
            </w:r>
          </w:p>
        </w:tc>
      </w:tr>
      <w:tr>
        <w:trPr>
          <w:cantSplit w:val="true"/>
        </w:trPr>
        <w:tc>
          <w:tcPr>
            <w:tcW w:type="dxa" w:w="1602"/>
            <w:tcMar>
              <w:top w:w="40" w:type="dxa"/>
              <w:left w:w="110" w:type="dxa"/>
              <w:bottom w:w="40" w:type="dxa"/>
              <w:right w:w="110" w:type="dxa"/>
            </w:tcMar>
          </w:tcPr>
          <w:p>
            <w:pPr>
              <w:pStyle w:val="MasttTableCell"/>
              <w:spacing w:before="20" w:after="20"/>
            </w:pPr>
            <w:r/>
            <w:r>
              <w:rPr>
                <w:rFonts w:ascii="Segoe UI" w:hAnsi="Segoe UI"/>
                <w:b/>
                <w:color w:val="1D3245"/>
                <w:sz w:val="16"/>
              </w:rPr>
              <w:t>Parent company guarantee</w:t>
            </w:r>
          </w:p>
        </w:tc>
        <w:tc>
          <w:tcPr>
            <w:tcW w:type="dxa" w:w="1994"/>
            <w:tcMar>
              <w:top w:w="40" w:type="dxa"/>
              <w:left w:w="110" w:type="dxa"/>
              <w:bottom w:w="40" w:type="dxa"/>
              <w:right w:w="110" w:type="dxa"/>
            </w:tcMar>
          </w:tcPr>
          <w:p>
            <w:pPr>
              <w:pStyle w:val="MasttTableCell"/>
              <w:spacing w:before="20" w:after="20"/>
            </w:pPr>
            <w:r/>
            <w:r>
              <w:rPr>
                <w:rFonts w:ascii="Segoe UI" w:hAnsi="Segoe UI"/>
                <w:color w:val="1D3245"/>
                <w:sz w:val="16"/>
              </w:rPr>
              <w:t>Secures the obligations of a subsidiary</w:t>
            </w:r>
          </w:p>
        </w:tc>
        <w:tc>
          <w:tcPr>
            <w:tcW w:type="dxa" w:w="1369"/>
            <w:tcMar>
              <w:top w:w="40" w:type="dxa"/>
              <w:left w:w="110" w:type="dxa"/>
              <w:bottom w:w="40" w:type="dxa"/>
              <w:right w:w="110" w:type="dxa"/>
            </w:tcMar>
          </w:tcPr>
          <w:p>
            <w:pPr>
              <w:pStyle w:val="MasttTableCell"/>
              <w:spacing w:before="20" w:after="20"/>
            </w:pPr>
            <w:r/>
            <w:r>
              <w:rPr>
                <w:rFonts w:ascii="Segoe UI" w:hAnsi="Segoe UI"/>
                <w:color w:val="1D3245"/>
                <w:sz w:val="16"/>
              </w:rPr>
              <w:t>Full contract value</w:t>
            </w:r>
          </w:p>
        </w:tc>
        <w:tc>
          <w:tcPr>
            <w:tcW w:type="dxa" w:w="1336"/>
            <w:tcMar>
              <w:top w:w="40" w:type="dxa"/>
              <w:left w:w="110" w:type="dxa"/>
              <w:bottom w:w="40" w:type="dxa"/>
              <w:right w:w="110" w:type="dxa"/>
            </w:tcMar>
          </w:tcPr>
          <w:p>
            <w:pPr>
              <w:pStyle w:val="MasttTableCell"/>
              <w:spacing w:before="20" w:after="20"/>
            </w:pPr>
            <w:r/>
            <w:r>
              <w:rPr>
                <w:rFonts w:ascii="Segoe UI" w:hAnsi="Segoe UI"/>
                <w:color w:val="1D3245"/>
                <w:sz w:val="16"/>
              </w:rPr>
              <w:t>Contractor's parent</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6"/>
              </w:rPr>
              <w:t>End of the liability period</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Commercial Manager</w:t>
            </w:r>
          </w:p>
        </w:tc>
      </w:tr>
      <w:tr>
        <w:trPr>
          <w:cantSplit w:val="true"/>
        </w:trPr>
        <w:tc>
          <w:tcPr>
            <w:tcW w:type="dxa" w:w="16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Advance payment guarantee</w:t>
            </w:r>
          </w:p>
        </w:tc>
        <w:tc>
          <w:tcPr>
            <w:tcW w:type="dxa" w:w="19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Secures repayment of any advance</w:t>
            </w:r>
          </w:p>
        </w:tc>
        <w:tc>
          <w:tcPr>
            <w:tcW w:type="dxa" w:w="13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Value of the advance</w:t>
            </w:r>
          </w:p>
        </w:tc>
        <w:tc>
          <w:tcPr>
            <w:tcW w:type="dxa" w:w="13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Contractor</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Full amortisation</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Commercial Manager</w:t>
            </w:r>
          </w:p>
        </w:tc>
      </w:tr>
      <w:tr>
        <w:trPr>
          <w:cantSplit w:val="true"/>
        </w:trPr>
        <w:tc>
          <w:tcPr>
            <w:tcW w:type="dxa" w:w="1602"/>
            <w:tcMar>
              <w:top w:w="40" w:type="dxa"/>
              <w:left w:w="110" w:type="dxa"/>
              <w:bottom w:w="40" w:type="dxa"/>
              <w:right w:w="110" w:type="dxa"/>
            </w:tcMar>
          </w:tcPr>
          <w:p>
            <w:pPr>
              <w:pStyle w:val="MasttTableCell"/>
              <w:spacing w:before="20" w:after="20"/>
            </w:pPr>
            <w:r/>
            <w:r>
              <w:rPr>
                <w:rFonts w:ascii="Segoe UI" w:hAnsi="Segoe UI"/>
                <w:b/>
                <w:color w:val="1D3245"/>
                <w:sz w:val="16"/>
              </w:rPr>
              <w:t>Off-site materials bond</w:t>
            </w:r>
          </w:p>
        </w:tc>
        <w:tc>
          <w:tcPr>
            <w:tcW w:type="dxa" w:w="1994"/>
            <w:tcMar>
              <w:top w:w="40" w:type="dxa"/>
              <w:left w:w="110" w:type="dxa"/>
              <w:bottom w:w="40" w:type="dxa"/>
              <w:right w:w="110" w:type="dxa"/>
            </w:tcMar>
          </w:tcPr>
          <w:p>
            <w:pPr>
              <w:pStyle w:val="MasttTableCell"/>
              <w:spacing w:before="20" w:after="20"/>
            </w:pPr>
            <w:r/>
            <w:r>
              <w:rPr>
                <w:rFonts w:ascii="Segoe UI" w:hAnsi="Segoe UI"/>
                <w:color w:val="1D3245"/>
                <w:sz w:val="16"/>
              </w:rPr>
              <w:t>Secures payment for materials not on site</w:t>
            </w:r>
          </w:p>
        </w:tc>
        <w:tc>
          <w:tcPr>
            <w:tcW w:type="dxa" w:w="1369"/>
            <w:tcMar>
              <w:top w:w="40" w:type="dxa"/>
              <w:left w:w="110" w:type="dxa"/>
              <w:bottom w:w="40" w:type="dxa"/>
              <w:right w:w="110" w:type="dxa"/>
            </w:tcMar>
          </w:tcPr>
          <w:p>
            <w:pPr>
              <w:pStyle w:val="MasttTableCell"/>
              <w:spacing w:before="20" w:after="20"/>
            </w:pPr>
            <w:r/>
            <w:r>
              <w:rPr>
                <w:rFonts w:ascii="Segoe UI" w:hAnsi="Segoe UI"/>
                <w:color w:val="1D3245"/>
                <w:sz w:val="16"/>
              </w:rPr>
              <w:t>Value of the materials</w:t>
            </w:r>
          </w:p>
        </w:tc>
        <w:tc>
          <w:tcPr>
            <w:tcW w:type="dxa" w:w="1336"/>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6"/>
              </w:rPr>
              <w:t>Delivery to site</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Cost Manager</w:t>
            </w:r>
          </w:p>
        </w:tc>
      </w:tr>
      <w:tr>
        <w:trPr>
          <w:cantSplit w:val="true"/>
        </w:trPr>
        <w:tc>
          <w:tcPr>
            <w:tcW w:type="dxa" w:w="160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Collateral warranties / third-party rights</w:t>
            </w:r>
          </w:p>
        </w:tc>
        <w:tc>
          <w:tcPr>
            <w:tcW w:type="dxa" w:w="19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Provides recourse to funders, purchasers and tenants</w:t>
            </w:r>
          </w:p>
        </w:tc>
        <w:tc>
          <w:tcPr>
            <w:tcW w:type="dxa" w:w="13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n/a</w:t>
            </w:r>
          </w:p>
        </w:tc>
        <w:tc>
          <w:tcPr>
            <w:tcW w:type="dxa" w:w="13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Contractor and consultants</w:t>
            </w:r>
          </w:p>
        </w:tc>
        <w:tc>
          <w:tcPr>
            <w:tcW w:type="dxa" w:w="15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Statutory limitation period</w:t>
            </w:r>
          </w:p>
        </w:tc>
        <w:tc>
          <w:tcPr>
            <w:tcW w:type="dxa" w:w="15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Legal adviser</w:t>
            </w:r>
          </w:p>
        </w:tc>
      </w:tr>
      <w:tr>
        <w:trPr>
          <w:cantSplit w:val="true"/>
        </w:trPr>
        <w:tc>
          <w:tcPr>
            <w:tcW w:type="dxa" w:w="1602"/>
            <w:tcMar>
              <w:top w:w="40" w:type="dxa"/>
              <w:left w:w="110" w:type="dxa"/>
              <w:bottom w:w="40" w:type="dxa"/>
              <w:right w:w="110" w:type="dxa"/>
            </w:tcMar>
          </w:tcPr>
          <w:p>
            <w:pPr>
              <w:pStyle w:val="MasttTableCell"/>
              <w:spacing w:before="20" w:after="20"/>
            </w:pPr>
            <w:r/>
            <w:r>
              <w:rPr>
                <w:rFonts w:ascii="Segoe UI" w:hAnsi="Segoe UI"/>
                <w:b/>
                <w:color w:val="1D3245"/>
                <w:sz w:val="16"/>
              </w:rPr>
              <w:t>Design warranty</w:t>
            </w:r>
          </w:p>
        </w:tc>
        <w:tc>
          <w:tcPr>
            <w:tcW w:type="dxa" w:w="1994"/>
            <w:tcMar>
              <w:top w:w="40" w:type="dxa"/>
              <w:left w:w="110" w:type="dxa"/>
              <w:bottom w:w="40" w:type="dxa"/>
              <w:right w:w="110" w:type="dxa"/>
            </w:tcMar>
          </w:tcPr>
          <w:p>
            <w:pPr>
              <w:pStyle w:val="MasttTableCell"/>
              <w:spacing w:before="20" w:after="20"/>
            </w:pPr>
            <w:r/>
            <w:r>
              <w:rPr>
                <w:rFonts w:ascii="Segoe UI" w:hAnsi="Segoe UI"/>
                <w:color w:val="1D3245"/>
                <w:sz w:val="16"/>
              </w:rPr>
              <w:t>Secures the design obligation of a design sub-contractor</w:t>
            </w:r>
          </w:p>
        </w:tc>
        <w:tc>
          <w:tcPr>
            <w:tcW w:type="dxa" w:w="1369"/>
            <w:tcMar>
              <w:top w:w="40" w:type="dxa"/>
              <w:left w:w="110" w:type="dxa"/>
              <w:bottom w:w="40" w:type="dxa"/>
              <w:right w:w="110" w:type="dxa"/>
            </w:tcMar>
          </w:tcPr>
          <w:p>
            <w:pPr>
              <w:pStyle w:val="MasttTableCell"/>
              <w:spacing w:before="20" w:after="20"/>
            </w:pPr>
            <w:r/>
            <w:r>
              <w:rPr>
                <w:rFonts w:ascii="Segoe UI" w:hAnsi="Segoe UI"/>
                <w:color w:val="1D3245"/>
                <w:sz w:val="16"/>
              </w:rPr>
              <w:t>n/a</w:t>
            </w:r>
          </w:p>
        </w:tc>
        <w:tc>
          <w:tcPr>
            <w:tcW w:type="dxa" w:w="1336"/>
            <w:tcMar>
              <w:top w:w="40" w:type="dxa"/>
              <w:left w:w="110" w:type="dxa"/>
              <w:bottom w:w="40" w:type="dxa"/>
              <w:right w:w="110" w:type="dxa"/>
            </w:tcMar>
          </w:tcPr>
          <w:p>
            <w:pPr>
              <w:pStyle w:val="MasttTableCell"/>
              <w:spacing w:before="20" w:after="20"/>
            </w:pPr>
            <w:r/>
            <w:r>
              <w:rPr>
                <w:rFonts w:ascii="Segoe UI" w:hAnsi="Segoe UI"/>
                <w:color w:val="1D3245"/>
                <w:sz w:val="16"/>
              </w:rPr>
              <w:t>Designer</w:t>
            </w:r>
          </w:p>
        </w:tc>
        <w:tc>
          <w:tcPr>
            <w:tcW w:type="dxa" w:w="1595"/>
            <w:tcMar>
              <w:top w:w="40" w:type="dxa"/>
              <w:left w:w="110" w:type="dxa"/>
              <w:bottom w:w="40" w:type="dxa"/>
              <w:right w:w="110" w:type="dxa"/>
            </w:tcMar>
          </w:tcPr>
          <w:p>
            <w:pPr>
              <w:pStyle w:val="MasttTableCell"/>
              <w:spacing w:before="20" w:after="20"/>
            </w:pPr>
            <w:r/>
            <w:r>
              <w:rPr>
                <w:rFonts w:ascii="Segoe UI" w:hAnsi="Segoe UI"/>
                <w:color w:val="1D3245"/>
                <w:sz w:val="16"/>
              </w:rPr>
              <w:t>Limitation period</w:t>
            </w:r>
          </w:p>
        </w:tc>
        <w:tc>
          <w:tcPr>
            <w:tcW w:type="dxa" w:w="1515"/>
            <w:tcMar>
              <w:top w:w="40" w:type="dxa"/>
              <w:left w:w="110" w:type="dxa"/>
              <w:bottom w:w="40" w:type="dxa"/>
              <w:right w:w="110" w:type="dxa"/>
            </w:tcMar>
          </w:tcPr>
          <w:p>
            <w:pPr>
              <w:pStyle w:val="MasttTableCell"/>
              <w:spacing w:before="20" w:after="20"/>
            </w:pPr>
            <w:r/>
            <w:r>
              <w:rPr>
                <w:rFonts w:ascii="Segoe UI" w:hAnsi="Segoe UI"/>
                <w:color w:val="1D3245"/>
                <w:sz w:val="16"/>
              </w:rPr>
              <w:t>Commercial Manager</w:t>
            </w:r>
          </w:p>
        </w:tc>
      </w:tr>
    </w:tbl>
    <w:p>
      <w:pPr>
        <w:rPr>
          <w:sz w:val="8"/>
        </w:rPr>
        <w:spacing w:after="40" w:before="0" w:line="240" w:lineRule="auto"/>
      </w:pPr>
    </w:p>
    <w:p>
      <w:pPr>
        <w:pStyle w:val="Heading2"/>
      </w:pPr>
      <w:r>
        <w:t>17.7  Insurance administration</w:t>
      </w:r>
    </w:p>
    <w:p>
      <w:pPr>
        <w:pStyle w:val="ListBullet"/>
        <w:spacing w:after="60"/>
        <w:ind w:left="340"/>
      </w:pPr>
      <w:r>
        <w:rPr>
          <w:rFonts w:ascii="Segoe UI" w:hAnsi="Segoe UI"/>
          <w:color w:val="1D3245"/>
          <w:sz w:val="20"/>
        </w:rPr>
        <w:t>Certificates of currency are obtained before mobilisation and are re-verified before each renewal date; expiry dates are diarised.</w:t>
      </w:r>
    </w:p>
    <w:p>
      <w:pPr>
        <w:pStyle w:val="ListBullet"/>
        <w:spacing w:after="60"/>
        <w:ind w:left="340"/>
      </w:pPr>
      <w:r>
        <w:rPr>
          <w:rFonts w:ascii="Segoe UI" w:hAnsi="Segoe UI"/>
          <w:color w:val="1D3245"/>
          <w:sz w:val="20"/>
        </w:rPr>
        <w:t>The client verifies that the interests, sums insured, deductibles and periods match the contract requirements - not merely that a certificate exists.</w:t>
      </w:r>
    </w:p>
    <w:p>
      <w:pPr>
        <w:pStyle w:val="ListBullet"/>
        <w:spacing w:after="60"/>
        <w:ind w:left="340"/>
      </w:pPr>
      <w:r>
        <w:rPr>
          <w:rFonts w:ascii="Segoe UI" w:hAnsi="Segoe UI"/>
          <w:color w:val="1D3245"/>
          <w:sz w:val="20"/>
        </w:rPr>
        <w:t>Claims under project policies are notified within the policy timeframe; late notification can void cover.</w:t>
      </w:r>
    </w:p>
    <w:p>
      <w:pPr>
        <w:pStyle w:val="ListBullet"/>
        <w:spacing w:after="60"/>
        <w:ind w:left="340"/>
      </w:pPr>
      <w:r>
        <w:rPr>
          <w:rFonts w:ascii="Segoe UI" w:hAnsi="Segoe UI"/>
          <w:color w:val="1D3245"/>
          <w:sz w:val="20"/>
        </w:rPr>
        <w:t>Professional indemnity run-off cover is confirmed for the period required after completion.</w:t>
      </w:r>
    </w:p>
    <w:p>
      <w:pPr>
        <w:pStyle w:val="ListBullet"/>
        <w:spacing w:after="60"/>
        <w:ind w:left="340"/>
      </w:pPr>
      <w:r>
        <w:rPr>
          <w:rFonts w:ascii="Segoe UI" w:hAnsi="Segoe UI"/>
          <w:color w:val="1D3245"/>
          <w:sz w:val="20"/>
        </w:rPr>
        <w:t>Refer to the insurance summary table in Section 10.12.</w:t>
      </w:r>
    </w:p>
    <w:p>
      <w:pPr>
        <w:pStyle w:val="Heading2"/>
      </w:pPr>
      <w:r>
        <w:t>17.8  Subcontractor management and flow-down</w:t>
      </w:r>
    </w:p>
    <w:p>
      <w:pPr>
        <w:pStyle w:val="ListBullet"/>
        <w:spacing w:after="60"/>
        <w:ind w:left="340"/>
      </w:pPr>
      <w:r>
        <w:rPr>
          <w:rFonts w:ascii="Segoe UI" w:hAnsi="Segoe UI"/>
          <w:color w:val="1D3245"/>
          <w:sz w:val="20"/>
        </w:rPr>
        <w:t>The contractor's proposed subcontractors for nominated critical packages are subject to client review before engagement.</w:t>
      </w:r>
    </w:p>
    <w:p>
      <w:pPr>
        <w:pStyle w:val="ListBullet"/>
        <w:spacing w:after="60"/>
        <w:ind w:left="340"/>
      </w:pPr>
      <w:r>
        <w:rPr>
          <w:rFonts w:ascii="Segoe UI" w:hAnsi="Segoe UI"/>
          <w:color w:val="1D3245"/>
          <w:sz w:val="20"/>
        </w:rPr>
        <w:t>Obligations relating to safety, quality, environment, information management, ethical sourcing, security, insurance and payment terms flow down to every tier.</w:t>
      </w:r>
    </w:p>
    <w:p>
      <w:pPr>
        <w:pStyle w:val="ListBullet"/>
        <w:spacing w:after="60"/>
        <w:ind w:left="340"/>
      </w:pPr>
      <w:r>
        <w:rPr>
          <w:rFonts w:ascii="Segoe UI" w:hAnsi="Segoe UI"/>
          <w:color w:val="1D3245"/>
          <w:sz w:val="20"/>
        </w:rPr>
        <w:t>Subcontract payment terms may not be less favourable than the head contract terms, and any statutory payment protection applicable in the jurisdiction is complied with.</w:t>
      </w:r>
    </w:p>
    <w:p>
      <w:pPr>
        <w:pStyle w:val="ListBullet"/>
        <w:spacing w:after="60"/>
        <w:ind w:left="340"/>
      </w:pPr>
      <w:r>
        <w:rPr>
          <w:rFonts w:ascii="Segoe UI" w:hAnsi="Segoe UI"/>
          <w:color w:val="1D3245"/>
          <w:sz w:val="20"/>
        </w:rPr>
        <w:t>The client maintains visibility of the subcontractor supply chain through a subcontractor register, including value, scope and financial standing where the exposure is material.</w:t>
      </w:r>
    </w:p>
    <w:p>
      <w:pPr>
        <w:pStyle w:val="ListBullet"/>
        <w:spacing w:after="60"/>
        <w:ind w:left="340"/>
      </w:pPr>
      <w:r>
        <w:rPr>
          <w:rFonts w:ascii="Segoe UI" w:hAnsi="Segoe UI"/>
          <w:color w:val="1D3245"/>
          <w:sz w:val="20"/>
        </w:rPr>
        <w:t>Step-in rights and novation arrangements for critical subcontracts are secured where the consequence of a subcontractor failure would be severe.</w:t>
      </w:r>
    </w:p>
    <w:p>
      <w:pPr>
        <w:pStyle w:val="Heading2"/>
      </w:pPr>
      <w:r>
        <w:t>17.9  Contract close-out obligations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835"/>
        <w:gridCol w:w="3062"/>
        <w:gridCol w:w="1814"/>
        <w:gridCol w:w="1701"/>
      </w:tblGrid>
      <w:tr>
        <w:trPr>
          <w:tblHeader w:val="true"/>
          <w:cantSplit w:val="true"/>
        </w:trPr>
        <w:tc>
          <w:tcPr>
            <w:tcW w:type="dxa" w:w="2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Obligation</w:t>
            </w:r>
          </w:p>
        </w:tc>
        <w:tc>
          <w:tcPr>
            <w:tcW w:type="dxa" w:w="30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Evidence required</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7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Complete by</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Final account agreed and signed</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Signed final account statement</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Per contract</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All claims resolved or expressly reserved</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Settlement record</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final certificate</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Retention and securities released</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Release instruction and confirmation</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Per contract</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Warranties and guarantees delivered</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Executed warranty documents</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At practical completion</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Insurance run-off confirmed</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Certificates of currency</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At final certificate</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Statutory declarations and payment confirmations received</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Declarations as required in the jurisdiction</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 each payment and at final</w:t>
            </w:r>
          </w:p>
        </w:tc>
      </w:tr>
      <w:tr>
        <w:trPr>
          <w:cantSplit w:val="true"/>
        </w:trPr>
        <w:tc>
          <w:tcPr>
            <w:tcW w:type="dxa" w:w="2835"/>
            <w:tcMar>
              <w:top w:w="40" w:type="dxa"/>
              <w:left w:w="110" w:type="dxa"/>
              <w:bottom w:w="40" w:type="dxa"/>
              <w:right w:w="110" w:type="dxa"/>
            </w:tcMar>
          </w:tcPr>
          <w:p>
            <w:pPr>
              <w:pStyle w:val="MasttTableCell"/>
              <w:spacing w:before="20" w:after="20"/>
            </w:pPr>
            <w:r/>
            <w:r>
              <w:rPr>
                <w:rFonts w:ascii="Segoe UI" w:hAnsi="Segoe UI"/>
                <w:b/>
                <w:color w:val="1D3245"/>
                <w:sz w:val="17"/>
              </w:rPr>
              <w:t>Defects rectified and final certificate issued</w:t>
            </w:r>
          </w:p>
        </w:tc>
        <w:tc>
          <w:tcPr>
            <w:tcW w:type="dxa" w:w="3061"/>
            <w:tcMar>
              <w:top w:w="40" w:type="dxa"/>
              <w:left w:w="110" w:type="dxa"/>
              <w:bottom w:w="40" w:type="dxa"/>
              <w:right w:w="110" w:type="dxa"/>
            </w:tcMar>
          </w:tcPr>
          <w:p>
            <w:pPr>
              <w:pStyle w:val="MasttTableCell"/>
              <w:spacing w:before="20" w:after="20"/>
            </w:pPr>
            <w:r/>
            <w:r>
              <w:rPr>
                <w:rFonts w:ascii="Segoe UI" w:hAnsi="Segoe UI"/>
                <w:color w:val="1D3245"/>
                <w:sz w:val="17"/>
              </w:rPr>
              <w:t>Final defects certificate</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Client Representative</w:t>
            </w:r>
          </w:p>
        </w:tc>
        <w:tc>
          <w:tcPr>
            <w:tcW w:type="dxa" w:w="1701"/>
            <w:tcMar>
              <w:top w:w="40" w:type="dxa"/>
              <w:left w:w="110" w:type="dxa"/>
              <w:bottom w:w="40" w:type="dxa"/>
              <w:right w:w="110" w:type="dxa"/>
            </w:tcMar>
          </w:tcPr>
          <w:p>
            <w:pPr>
              <w:pStyle w:val="MasttTableCell"/>
              <w:spacing w:before="20" w:after="20"/>
            </w:pPr>
            <w:r/>
            <w:r>
              <w:rPr>
                <w:rFonts w:ascii="Segoe UI" w:hAnsi="Segoe UI"/>
                <w:color w:val="1D3245"/>
                <w:sz w:val="17"/>
              </w:rPr>
              <w:t>End of defects period</w:t>
            </w:r>
          </w:p>
        </w:tc>
      </w:tr>
      <w:tr>
        <w:trPr>
          <w:cantSplit w:val="true"/>
        </w:trPr>
        <w:tc>
          <w:tcPr>
            <w:tcW w:type="dxa" w:w="2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Contract records archived</w:t>
            </w:r>
          </w:p>
        </w:tc>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Complete contract file in the CDE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Document Controller</w:t>
            </w:r>
          </w:p>
        </w:tc>
        <w:tc>
          <w:tcPr>
            <w:tcW w:type="dxa" w:w="17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3 months of final certificate</w:t>
            </w:r>
          </w:p>
        </w:tc>
      </w:tr>
    </w:tbl>
    <w:p>
      <w:pPr>
        <w:rPr>
          <w:sz w:val="8"/>
        </w:rPr>
        <w:spacing w:after="40" w:before="0" w:line="240" w:lineRule="auto"/>
      </w:pPr>
    </w:p>
    <w:p>
      <w:r>
        <w:br w:type="page"/>
      </w:r>
    </w:p>
    <w:p>
      <w:pPr>
        <w:pStyle w:val="Heading1"/>
        <w:pBdr>
          <w:bottom w:val="single" w:sz="6" w:space="4" w:color="C9D4E0"/>
        </w:pBdr>
      </w:pPr>
      <w:r>
        <w:t>18.  Change control</w:t>
      </w:r>
    </w:p>
    <w:p>
      <w:pPr>
        <w:pStyle w:val="Heading2"/>
      </w:pPr>
      <w:r>
        <w:t>18.1  Principles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Change control is not about preventing change - it is about making sure every change is visible, assessed, priced and authorised before it is built. The single most valuable rule is: no instruction without an approved budget source. Enforce it from the first week.</w:t>
            </w:r>
          </w:p>
        </w:tc>
      </w:tr>
    </w:tbl>
    <w:p>
      <w:pPr>
        <w:rPr>
          <w:sz w:val="8"/>
        </w:rPr>
        <w:spacing w:after="40" w:before="0" w:line="240" w:lineRule="auto"/>
      </w:pPr>
    </w:p>
    <w:p>
      <w:pPr>
        <w:pStyle w:val="ListBullet"/>
        <w:spacing w:after="60"/>
        <w:ind w:left="340"/>
      </w:pPr>
      <w:r>
        <w:rPr>
          <w:rFonts w:ascii="Segoe UI" w:hAnsi="Segoe UI"/>
          <w:color w:val="1D3245"/>
          <w:sz w:val="20"/>
        </w:rPr>
        <w:t>Any change to an approved baseline requires an approved change, regardless of value, including changes that are cost-neutral.</w:t>
      </w:r>
    </w:p>
    <w:p>
      <w:pPr>
        <w:pStyle w:val="ListBullet"/>
        <w:spacing w:after="60"/>
        <w:ind w:left="340"/>
      </w:pPr>
      <w:r>
        <w:rPr>
          <w:rFonts w:ascii="Segoe UI" w:hAnsi="Segoe UI"/>
          <w:color w:val="1D3245"/>
          <w:sz w:val="20"/>
        </w:rPr>
        <w:t>Change is assessed for cost, time, risk, safety, quality, sustainability, operational impact, benefits and interfaces - not cost alone.</w:t>
      </w:r>
    </w:p>
    <w:p>
      <w:pPr>
        <w:pStyle w:val="ListBullet"/>
        <w:spacing w:after="60"/>
        <w:ind w:left="340"/>
      </w:pPr>
      <w:r>
        <w:rPr>
          <w:rFonts w:ascii="Segoe UI" w:hAnsi="Segoe UI"/>
          <w:color w:val="1D3245"/>
          <w:sz w:val="20"/>
        </w:rPr>
        <w:t>No change is instructed without an identified and approved funding source.</w:t>
      </w:r>
    </w:p>
    <w:p>
      <w:pPr>
        <w:pStyle w:val="ListBullet"/>
        <w:spacing w:after="60"/>
        <w:ind w:left="340"/>
      </w:pPr>
      <w:r>
        <w:rPr>
          <w:rFonts w:ascii="Segoe UI" w:hAnsi="Segoe UI"/>
          <w:color w:val="1D3245"/>
          <w:sz w:val="20"/>
        </w:rPr>
        <w:t>Cumulative change is monitored: a series of individually minor changes can consume contingency and float without ever reaching a governance forum.</w:t>
      </w:r>
    </w:p>
    <w:p>
      <w:pPr>
        <w:pStyle w:val="ListBullet"/>
        <w:spacing w:after="60"/>
        <w:ind w:left="340"/>
      </w:pPr>
      <w:r>
        <w:rPr>
          <w:rFonts w:ascii="Segoe UI" w:hAnsi="Segoe UI"/>
          <w:color w:val="1D3245"/>
          <w:sz w:val="20"/>
        </w:rPr>
        <w:t>The change register is the single record of every change, whether approved, rejected, withdrawn or pending.</w:t>
      </w:r>
    </w:p>
    <w:p>
      <w:pPr>
        <w:pStyle w:val="Heading2"/>
      </w:pPr>
      <w:r>
        <w:t>18.2  Change categories</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155"/>
        <w:gridCol w:w="2087"/>
        <w:gridCol w:w="2392"/>
        <w:gridCol w:w="2779"/>
      </w:tblGrid>
      <w:tr>
        <w:trPr>
          <w:tblHeader w:val="true"/>
          <w:cantSplit w:val="true"/>
        </w:trPr>
        <w:tc>
          <w:tcPr>
            <w:tcW w:type="dxa" w:w="21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Category</w:t>
            </w:r>
          </w:p>
        </w:tc>
        <w:tc>
          <w:tcPr>
            <w:tcW w:type="dxa" w:w="20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c>
          <w:tcPr>
            <w:tcW w:type="dxa" w:w="239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Examples</w:t>
            </w:r>
          </w:p>
        </w:tc>
        <w:tc>
          <w:tcPr>
            <w:tcW w:type="dxa" w:w="277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Route</w:t>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Client-initiated scope change</w:t>
            </w:r>
          </w:p>
        </w:tc>
        <w:tc>
          <w:tcPr>
            <w:tcW w:type="dxa" w:w="2086"/>
            <w:tcMar>
              <w:top w:w="40" w:type="dxa"/>
              <w:left w:w="110" w:type="dxa"/>
              <w:bottom w:w="40" w:type="dxa"/>
              <w:right w:w="110" w:type="dxa"/>
            </w:tcMar>
          </w:tcPr>
          <w:p>
            <w:pPr>
              <w:pStyle w:val="MasttTableCell"/>
              <w:spacing w:before="20" w:after="20"/>
            </w:pPr>
            <w:r/>
            <w:r>
              <w:rPr>
                <w:rFonts w:ascii="Segoe UI" w:hAnsi="Segoe UI"/>
                <w:color w:val="1D3245"/>
                <w:sz w:val="17"/>
              </w:rPr>
              <w:t>The client changes what it wants</w:t>
            </w:r>
          </w:p>
        </w:tc>
        <w:tc>
          <w:tcPr>
            <w:tcW w:type="dxa" w:w="2391"/>
            <w:tcMar>
              <w:top w:w="40" w:type="dxa"/>
              <w:left w:w="110" w:type="dxa"/>
              <w:bottom w:w="40" w:type="dxa"/>
              <w:right w:w="110" w:type="dxa"/>
            </w:tcMar>
          </w:tcPr>
          <w:p>
            <w:pPr>
              <w:pStyle w:val="MasttTableCell"/>
              <w:spacing w:before="20" w:after="20"/>
            </w:pPr>
            <w:r/>
            <w:r>
              <w:rPr>
                <w:rFonts w:ascii="Segoe UI" w:hAnsi="Segoe UI"/>
                <w:color w:val="1D3245"/>
                <w:sz w:val="17"/>
              </w:rPr>
              <w:t>Additional area, changed function, upgraded specification</w:t>
            </w:r>
          </w:p>
        </w:tc>
        <w:tc>
          <w:tcPr>
            <w:tcW w:type="dxa" w:w="2779"/>
            <w:tcMar>
              <w:top w:w="40" w:type="dxa"/>
              <w:left w:w="110" w:type="dxa"/>
              <w:bottom w:w="40" w:type="dxa"/>
              <w:right w:w="110" w:type="dxa"/>
            </w:tcMar>
          </w:tcPr>
          <w:p>
            <w:pPr>
              <w:pStyle w:val="MasttTableCell"/>
              <w:spacing w:before="20" w:after="20"/>
            </w:pPr>
            <w:r/>
            <w:r>
              <w:rPr>
                <w:rFonts w:ascii="Segoe UI" w:hAnsi="Segoe UI"/>
                <w:color w:val="1D3245"/>
                <w:sz w:val="17"/>
              </w:rPr>
              <w:t>Full change control with Sponsor approval</w:t>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Design development</w:t>
            </w:r>
          </w:p>
        </w:tc>
        <w:tc>
          <w:tcPr>
            <w:tcW w:type="dxa" w:w="2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Design detail evolving within the approved brief and budget</w:t>
            </w:r>
          </w:p>
        </w:tc>
        <w:tc>
          <w:tcPr>
            <w:tcW w:type="dxa" w:w="23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Detailing, coordination resolution, buildability</w:t>
            </w:r>
          </w:p>
        </w:tc>
        <w:tc>
          <w:tcPr>
            <w:tcW w:type="dxa" w:w="27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No change; managed by the Design Manager unless cost or time is affected</w:t>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Design change beyond the brief</w:t>
            </w:r>
          </w:p>
        </w:tc>
        <w:tc>
          <w:tcPr>
            <w:tcW w:type="dxa" w:w="2086"/>
            <w:tcMar>
              <w:top w:w="40" w:type="dxa"/>
              <w:left w:w="110" w:type="dxa"/>
              <w:bottom w:w="40" w:type="dxa"/>
              <w:right w:w="110" w:type="dxa"/>
            </w:tcMar>
          </w:tcPr>
          <w:p>
            <w:pPr>
              <w:pStyle w:val="MasttTableCell"/>
              <w:spacing w:before="20" w:after="20"/>
            </w:pPr>
            <w:r/>
            <w:r>
              <w:rPr>
                <w:rFonts w:ascii="Segoe UI" w:hAnsi="Segoe UI"/>
                <w:color w:val="1D3245"/>
                <w:sz w:val="17"/>
              </w:rPr>
              <w:t>Design that alters the approved requirement</w:t>
            </w:r>
          </w:p>
        </w:tc>
        <w:tc>
          <w:tcPr>
            <w:tcW w:type="dxa" w:w="2391"/>
            <w:tcMar>
              <w:top w:w="40" w:type="dxa"/>
              <w:left w:w="110" w:type="dxa"/>
              <w:bottom w:w="40" w:type="dxa"/>
              <w:right w:w="110" w:type="dxa"/>
            </w:tcMar>
          </w:tcPr>
          <w:p>
            <w:pPr>
              <w:pStyle w:val="MasttTableCell"/>
              <w:spacing w:before="20" w:after="20"/>
            </w:pPr>
            <w:r/>
            <w:r>
              <w:rPr>
                <w:rFonts w:ascii="Segoe UI" w:hAnsi="Segoe UI"/>
                <w:color w:val="1D3245"/>
                <w:sz w:val="17"/>
              </w:rPr>
              <w:t>Changed system selection, performance change</w:t>
            </w:r>
          </w:p>
        </w:tc>
        <w:tc>
          <w:tcPr>
            <w:tcW w:type="dxa" w:w="2779"/>
            <w:tcMar>
              <w:top w:w="40" w:type="dxa"/>
              <w:left w:w="110" w:type="dxa"/>
              <w:bottom w:w="40" w:type="dxa"/>
              <w:right w:w="110" w:type="dxa"/>
            </w:tcMar>
          </w:tcPr>
          <w:p>
            <w:pPr>
              <w:pStyle w:val="MasttTableCell"/>
              <w:spacing w:before="20" w:after="20"/>
            </w:pPr>
            <w:r/>
            <w:r>
              <w:rPr>
                <w:rFonts w:ascii="Segoe UI" w:hAnsi="Segoe UI"/>
                <w:color w:val="1D3245"/>
                <w:sz w:val="17"/>
              </w:rPr>
              <w:t>Full change control</w:t>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Latent or site condition</w:t>
            </w:r>
          </w:p>
        </w:tc>
        <w:tc>
          <w:tcPr>
            <w:tcW w:type="dxa" w:w="2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Conditions differing from those assumed</w:t>
            </w:r>
          </w:p>
        </w:tc>
        <w:tc>
          <w:tcPr>
            <w:tcW w:type="dxa" w:w="23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Ground conditions, unrecorded services, contamination</w:t>
            </w:r>
          </w:p>
        </w:tc>
        <w:tc>
          <w:tcPr>
            <w:tcW w:type="dxa" w:w="27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Full change control with risk register linkage</w:t>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Statutory or regulatory change</w:t>
            </w:r>
          </w:p>
        </w:tc>
        <w:tc>
          <w:tcPr>
            <w:tcW w:type="dxa" w:w="2086"/>
            <w:tcMar>
              <w:top w:w="40" w:type="dxa"/>
              <w:left w:w="110" w:type="dxa"/>
              <w:bottom w:w="40" w:type="dxa"/>
              <w:right w:w="110" w:type="dxa"/>
            </w:tcMar>
          </w:tcPr>
          <w:p>
            <w:pPr>
              <w:pStyle w:val="MasttTableCell"/>
              <w:spacing w:before="20" w:after="20"/>
            </w:pPr>
            <w:r/>
            <w:r>
              <w:rPr>
                <w:rFonts w:ascii="Segoe UI" w:hAnsi="Segoe UI"/>
                <w:color w:val="1D3245"/>
                <w:sz w:val="17"/>
              </w:rPr>
              <w:t>External change in requirements</w:t>
            </w:r>
          </w:p>
        </w:tc>
        <w:tc>
          <w:tcPr>
            <w:tcW w:type="dxa" w:w="2391"/>
            <w:tcMar>
              <w:top w:w="40" w:type="dxa"/>
              <w:left w:w="110" w:type="dxa"/>
              <w:bottom w:w="40" w:type="dxa"/>
              <w:right w:w="110" w:type="dxa"/>
            </w:tcMar>
          </w:tcPr>
          <w:p>
            <w:pPr>
              <w:pStyle w:val="MasttTableCell"/>
              <w:spacing w:before="20" w:after="20"/>
            </w:pPr>
            <w:r/>
            <w:r>
              <w:rPr>
                <w:rFonts w:ascii="Segoe UI" w:hAnsi="Segoe UI"/>
                <w:color w:val="1D3245"/>
                <w:sz w:val="17"/>
              </w:rPr>
              <w:t>Code change, new consent condition</w:t>
            </w:r>
          </w:p>
        </w:tc>
        <w:tc>
          <w:tcPr>
            <w:tcW w:type="dxa" w:w="2779"/>
            <w:tcMar>
              <w:top w:w="40" w:type="dxa"/>
              <w:left w:w="110" w:type="dxa"/>
              <w:bottom w:w="40" w:type="dxa"/>
              <w:right w:w="110" w:type="dxa"/>
            </w:tcMar>
          </w:tcPr>
          <w:p>
            <w:pPr>
              <w:pStyle w:val="MasttTableCell"/>
              <w:spacing w:before="20" w:after="20"/>
            </w:pPr>
            <w:r/>
            <w:r>
              <w:rPr>
                <w:rFonts w:ascii="Segoe UI" w:hAnsi="Segoe UI"/>
                <w:color w:val="1D3245"/>
                <w:sz w:val="17"/>
              </w:rPr>
              <w:t>Full change control; compliance is mandatory</w:t>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Contractor-initiated</w:t>
            </w:r>
          </w:p>
        </w:tc>
        <w:tc>
          <w:tcPr>
            <w:tcW w:type="dxa" w:w="2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Proposed alternative or value engineering</w:t>
            </w:r>
          </w:p>
        </w:tc>
        <w:tc>
          <w:tcPr>
            <w:tcW w:type="dxa" w:w="23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Alternative method, product substitution</w:t>
            </w:r>
          </w:p>
        </w:tc>
        <w:tc>
          <w:tcPr>
            <w:tcW w:type="dxa" w:w="27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Full change control with designer concurrence</w:t>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Correction of error or omission</w:t>
            </w:r>
          </w:p>
        </w:tc>
        <w:tc>
          <w:tcPr>
            <w:tcW w:type="dxa" w:w="2086"/>
            <w:tcMar>
              <w:top w:w="40" w:type="dxa"/>
              <w:left w:w="110" w:type="dxa"/>
              <w:bottom w:w="40" w:type="dxa"/>
              <w:right w:w="110" w:type="dxa"/>
            </w:tcMar>
          </w:tcPr>
          <w:p>
            <w:pPr>
              <w:pStyle w:val="MasttTableCell"/>
              <w:spacing w:before="20" w:after="20"/>
            </w:pPr>
            <w:r/>
            <w:r>
              <w:rPr>
                <w:rFonts w:ascii="Segoe UI" w:hAnsi="Segoe UI"/>
                <w:color w:val="1D3245"/>
                <w:sz w:val="17"/>
              </w:rPr>
              <w:t>Rectification of a documentation error</w:t>
            </w:r>
          </w:p>
        </w:tc>
        <w:tc>
          <w:tcPr>
            <w:tcW w:type="dxa" w:w="2391"/>
            <w:tcMar>
              <w:top w:w="40" w:type="dxa"/>
              <w:left w:w="110" w:type="dxa"/>
              <w:bottom w:w="40" w:type="dxa"/>
              <w:right w:w="110" w:type="dxa"/>
            </w:tcMar>
          </w:tcPr>
          <w:p>
            <w:pPr>
              <w:pStyle w:val="MasttTableCell"/>
              <w:spacing w:before="20" w:after="20"/>
            </w:pPr>
            <w:r/>
            <w:r>
              <w:rPr>
                <w:rFonts w:ascii="Segoe UI" w:hAnsi="Segoe UI"/>
                <w:color w:val="1D3245"/>
                <w:sz w:val="17"/>
              </w:rPr>
              <w:t>Missing scope, conflicting documents</w:t>
            </w:r>
          </w:p>
        </w:tc>
        <w:tc>
          <w:tcPr>
            <w:tcW w:type="dxa" w:w="2779"/>
            <w:tcMar>
              <w:top w:w="40" w:type="dxa"/>
              <w:left w:w="110" w:type="dxa"/>
              <w:bottom w:w="40" w:type="dxa"/>
              <w:right w:w="110" w:type="dxa"/>
            </w:tcMar>
          </w:tcPr>
          <w:p>
            <w:pPr>
              <w:pStyle w:val="MasttTableCell"/>
              <w:spacing w:before="20" w:after="20"/>
            </w:pPr>
            <w:r/>
            <w:r>
              <w:rPr>
                <w:rFonts w:ascii="Segoe UI" w:hAnsi="Segoe UI"/>
                <w:color w:val="1D3245"/>
                <w:sz w:val="17"/>
              </w:rPr>
              <w:t>Full change control; cause recorded for lessons</w:t>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Risk realisation</w:t>
            </w:r>
          </w:p>
        </w:tc>
        <w:tc>
          <w:tcPr>
            <w:tcW w:type="dxa" w:w="2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registered risk occurring</w:t>
            </w:r>
          </w:p>
        </w:tc>
        <w:tc>
          <w:tcPr>
            <w:tcW w:type="dxa" w:w="23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Weather event beyond the allowance, supplier failure</w:t>
            </w:r>
          </w:p>
        </w:tc>
        <w:tc>
          <w:tcPr>
            <w:tcW w:type="dxa" w:w="27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Contingency drawdown per Section 9.12</w:t>
            </w:r>
          </w:p>
        </w:tc>
      </w:tr>
    </w:tbl>
    <w:p>
      <w:pPr>
        <w:rPr>
          <w:sz w:val="8"/>
        </w:rPr>
        <w:spacing w:after="40" w:before="0" w:line="240" w:lineRule="auto"/>
      </w:pPr>
    </w:p>
    <w:p>
      <w:pPr>
        <w:pStyle w:val="Heading2"/>
      </w:pPr>
      <w:r>
        <w:t>18.3  Change control process</w:t>
      </w:r>
    </w:p>
    <w:p>
      <w:pPr>
        <w:pStyle w:val="ListBullet"/>
        <w:spacing w:after="60"/>
        <w:ind w:left="340"/>
      </w:pPr>
      <w:r>
        <w:rPr>
          <w:rFonts w:ascii="Segoe UI" w:hAnsi="Segoe UI"/>
          <w:color w:val="1D3245"/>
          <w:sz w:val="20"/>
        </w:rPr>
        <w:t>Step 1 - Raise. Any party raises a change request describing the change, the reason, the originator and the date. It is entered in the change register within 2 working days and given a unique number.</w:t>
      </w:r>
    </w:p>
    <w:p>
      <w:pPr>
        <w:pStyle w:val="ListBullet"/>
        <w:spacing w:after="60"/>
        <w:ind w:left="340"/>
      </w:pPr>
      <w:r>
        <w:rPr>
          <w:rFonts w:ascii="Segoe UI" w:hAnsi="Segoe UI"/>
          <w:color w:val="1D3245"/>
          <w:sz w:val="20"/>
        </w:rPr>
        <w:t>Step 2 - Screen. The Project Manager confirms within 3 working days whether it is a genuine change to the baseline, a clarification, or a contractor risk already priced.</w:t>
      </w:r>
    </w:p>
    <w:p>
      <w:pPr>
        <w:pStyle w:val="ListBullet"/>
        <w:spacing w:after="60"/>
        <w:ind w:left="340"/>
      </w:pPr>
      <w:r>
        <w:rPr>
          <w:rFonts w:ascii="Segoe UI" w:hAnsi="Segoe UI"/>
          <w:color w:val="1D3245"/>
          <w:sz w:val="20"/>
        </w:rPr>
        <w:t>Step 3 - Assess. Discipline leads assess the impact: cost (Cost Manager), time (Planner), risk (Risk Manager), safety (HSE Manager), quality (Quality Manager), operations (Operations Representative), benefits (Sponsor's representative), interfaces (Project Manager). Target 10 working days.</w:t>
      </w:r>
    </w:p>
    <w:p>
      <w:pPr>
        <w:pStyle w:val="ListBullet"/>
        <w:spacing w:after="60"/>
        <w:ind w:left="340"/>
      </w:pPr>
      <w:r>
        <w:rPr>
          <w:rFonts w:ascii="Segoe UI" w:hAnsi="Segoe UI"/>
          <w:color w:val="1D3245"/>
          <w:sz w:val="20"/>
        </w:rPr>
        <w:t>Step 4 - Price. The commercial impact is established under the contract mechanism, with a quotation obtained where the contract provides for one.</w:t>
      </w:r>
    </w:p>
    <w:p>
      <w:pPr>
        <w:pStyle w:val="ListBullet"/>
        <w:spacing w:after="60"/>
        <w:ind w:left="340"/>
      </w:pPr>
      <w:r>
        <w:rPr>
          <w:rFonts w:ascii="Segoe UI" w:hAnsi="Segoe UI"/>
          <w:color w:val="1D3245"/>
          <w:sz w:val="20"/>
        </w:rPr>
        <w:t>Step 5 - Recommend. The Project Manager consolidates the assessment into a change recommendation with options, including the option of not proceeding.</w:t>
      </w:r>
    </w:p>
    <w:p>
      <w:pPr>
        <w:pStyle w:val="ListBullet"/>
        <w:spacing w:after="60"/>
        <w:ind w:left="340"/>
      </w:pPr>
      <w:r>
        <w:rPr>
          <w:rFonts w:ascii="Segoe UI" w:hAnsi="Segoe UI"/>
          <w:color w:val="1D3245"/>
          <w:sz w:val="20"/>
        </w:rPr>
        <w:t>Step 6 - Authorise. The change is approved, rejected or deferred at the level set in Section 18.4. The decision and its rationale are recorded.</w:t>
      </w:r>
    </w:p>
    <w:p>
      <w:pPr>
        <w:pStyle w:val="ListBullet"/>
        <w:spacing w:after="60"/>
        <w:ind w:left="340"/>
      </w:pPr>
      <w:r>
        <w:rPr>
          <w:rFonts w:ascii="Segoe UI" w:hAnsi="Segoe UI"/>
          <w:color w:val="1D3245"/>
          <w:sz w:val="20"/>
        </w:rPr>
        <w:t>Step 7 - Instruct. Approved changes are instructed formally under the contract by the person authorised to do so.</w:t>
      </w:r>
    </w:p>
    <w:p>
      <w:pPr>
        <w:pStyle w:val="ListBullet"/>
        <w:spacing w:after="60"/>
        <w:ind w:left="340"/>
      </w:pPr>
      <w:r>
        <w:rPr>
          <w:rFonts w:ascii="Segoe UI" w:hAnsi="Segoe UI"/>
          <w:color w:val="1D3245"/>
          <w:sz w:val="20"/>
        </w:rPr>
        <w:t>Step 8 - Implement and verify. The change is executed and its implementation is verified.</w:t>
      </w:r>
    </w:p>
    <w:p>
      <w:pPr>
        <w:pStyle w:val="ListBullet"/>
        <w:spacing w:after="60"/>
        <w:ind w:left="340"/>
      </w:pPr>
      <w:r>
        <w:rPr>
          <w:rFonts w:ascii="Segoe UI" w:hAnsi="Segoe UI"/>
          <w:color w:val="1D3245"/>
          <w:sz w:val="20"/>
        </w:rPr>
        <w:t>Step 9 - Baseline. Cost, schedule and scope baselines and all affected documents, models and registers are updated at the next control cycle.</w:t>
      </w:r>
    </w:p>
    <w:p>
      <w:pPr>
        <w:pStyle w:val="ListBullet"/>
        <w:spacing w:after="60"/>
        <w:ind w:left="340"/>
      </w:pPr>
      <w:r>
        <w:rPr>
          <w:rFonts w:ascii="Segoe UI" w:hAnsi="Segoe UI"/>
          <w:color w:val="1D3245"/>
          <w:sz w:val="20"/>
        </w:rPr>
        <w:t>Step 10 - Communicate. Every affected party - including designers, contractors, the operator and the information manager - is notified in writing.</w:t>
      </w:r>
    </w:p>
    <w:p>
      <w:pPr>
        <w:pStyle w:val="Heading2"/>
      </w:pPr>
      <w:r>
        <w:t>18.4  Change authority matrix</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608"/>
        <w:gridCol w:w="1814"/>
        <w:gridCol w:w="1588"/>
        <w:gridCol w:w="1814"/>
        <w:gridCol w:w="1588"/>
      </w:tblGrid>
      <w:tr>
        <w:trPr>
          <w:tblHeader w:val="true"/>
          <w:cantSplit w:val="true"/>
        </w:trPr>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Change type and value</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Assessed by</w:t>
            </w:r>
          </w:p>
        </w:tc>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Recommended by</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Approved by</w:t>
            </w:r>
          </w:p>
        </w:tc>
        <w:tc>
          <w:tcPr>
            <w:tcW w:type="dxa" w:w="158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Baseline updated by</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Clarification with no cost or time impact</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Package Manager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 - </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Document Controller</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Cost impact up to [X], no milestone impact</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Manager</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Cost Manager and Planner</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Cost impact up to [Y], or float consumption within tolerance</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Cost Manager and Planner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Project Director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Cost Manager and Planner</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Cost impact up to [Z], or any change to a contractual milestone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 and Planner</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Controls</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Cost impact above [Z], any change to the funding envelope, benefits or scope of the business case</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Project Board / investment authority</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Project Controls</w:t>
            </w:r>
          </w:p>
        </w:tc>
      </w:tr>
      <w:tr>
        <w:trPr>
          <w:cantSplit w:val="true"/>
        </w:trPr>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Any change affecting statutory compliance, safety in design or consent conditions</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HSE Manager and Planning Lead</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 with HSE endorsement</w:t>
            </w:r>
          </w:p>
        </w:tc>
        <w:tc>
          <w:tcPr>
            <w:tcW w:type="dxa" w:w="158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Controls</w:t>
            </w:r>
          </w:p>
        </w:tc>
      </w:tr>
      <w:tr>
        <w:trPr>
          <w:cantSplit w:val="true"/>
        </w:trPr>
        <w:tc>
          <w:tcPr>
            <w:tcW w:type="dxa" w:w="2608"/>
            <w:tcMar>
              <w:top w:w="40" w:type="dxa"/>
              <w:left w:w="110" w:type="dxa"/>
              <w:bottom w:w="40" w:type="dxa"/>
              <w:right w:w="110" w:type="dxa"/>
            </w:tcMar>
          </w:tcPr>
          <w:p>
            <w:pPr>
              <w:pStyle w:val="MasttTableCell"/>
              <w:spacing w:before="20" w:after="20"/>
            </w:pPr>
            <w:r/>
            <w:r>
              <w:rPr>
                <w:rFonts w:ascii="Segoe UI" w:hAnsi="Segoe UI"/>
                <w:b/>
                <w:color w:val="1D3245"/>
                <w:sz w:val="17"/>
              </w:rPr>
              <w:t>Any change affecting the operator's ability to accept or run the asset</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Operations Representative</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587"/>
            <w:tcMar>
              <w:top w:w="40" w:type="dxa"/>
              <w:left w:w="110" w:type="dxa"/>
              <w:bottom w:w="40" w:type="dxa"/>
              <w:right w:w="110" w:type="dxa"/>
            </w:tcMar>
          </w:tcPr>
          <w:p>
            <w:pPr>
              <w:pStyle w:val="MasttTableCell"/>
              <w:spacing w:before="20" w:after="20"/>
            </w:pPr>
            <w:r/>
            <w:r>
              <w:rPr>
                <w:rFonts w:ascii="Segoe UI" w:hAnsi="Segoe UI"/>
                <w:color w:val="1D3245"/>
                <w:sz w:val="17"/>
              </w:rPr>
              <w:t>Project Controls</w:t>
            </w:r>
          </w:p>
        </w:tc>
      </w:tr>
    </w:tbl>
    <w:p>
      <w:pPr>
        <w:rPr>
          <w:sz w:val="8"/>
        </w:rPr>
        <w:spacing w:after="40" w:before="0" w:line="240" w:lineRule="auto"/>
      </w:pPr>
    </w:p>
    <w:p>
      <w:pPr>
        <w:pStyle w:val="Heading2"/>
      </w:pPr>
      <w:r>
        <w:t>18.5  Change request content</w:t>
      </w:r>
    </w:p>
    <w:p>
      <w:pPr>
        <w:pStyle w:val="ListBullet"/>
        <w:spacing w:after="60"/>
        <w:ind w:left="340"/>
      </w:pPr>
      <w:r>
        <w:rPr>
          <w:rFonts w:ascii="Segoe UI" w:hAnsi="Segoe UI"/>
          <w:color w:val="1D3245"/>
          <w:sz w:val="20"/>
        </w:rPr>
        <w:t>Unique reference, title, originator and date raised.</w:t>
      </w:r>
    </w:p>
    <w:p>
      <w:pPr>
        <w:pStyle w:val="ListBullet"/>
        <w:spacing w:after="60"/>
        <w:ind w:left="340"/>
      </w:pPr>
      <w:r>
        <w:rPr>
          <w:rFonts w:ascii="Segoe UI" w:hAnsi="Segoe UI"/>
          <w:color w:val="1D3245"/>
          <w:sz w:val="20"/>
        </w:rPr>
        <w:t>Description of the change and the reason it is required.</w:t>
      </w:r>
    </w:p>
    <w:p>
      <w:pPr>
        <w:pStyle w:val="ListBullet"/>
        <w:spacing w:after="60"/>
        <w:ind w:left="340"/>
      </w:pPr>
      <w:r>
        <w:rPr>
          <w:rFonts w:ascii="Segoe UI" w:hAnsi="Segoe UI"/>
          <w:color w:val="1D3245"/>
          <w:sz w:val="20"/>
        </w:rPr>
        <w:t>Category per Section 18.2 and the baseline element affected.</w:t>
      </w:r>
    </w:p>
    <w:p>
      <w:pPr>
        <w:pStyle w:val="ListBullet"/>
        <w:spacing w:after="60"/>
        <w:ind w:left="340"/>
      </w:pPr>
      <w:r>
        <w:rPr>
          <w:rFonts w:ascii="Segoe UI" w:hAnsi="Segoe UI"/>
          <w:color w:val="1D3245"/>
          <w:sz w:val="20"/>
        </w:rPr>
        <w:t>Options considered, including the do-nothing option and its consequence.</w:t>
      </w:r>
    </w:p>
    <w:p>
      <w:pPr>
        <w:pStyle w:val="ListBullet"/>
        <w:spacing w:after="60"/>
        <w:ind w:left="340"/>
      </w:pPr>
      <w:r>
        <w:rPr>
          <w:rFonts w:ascii="Segoe UI" w:hAnsi="Segoe UI"/>
          <w:color w:val="1D3245"/>
          <w:sz w:val="20"/>
        </w:rPr>
        <w:t>Cost impact - capital, whole-of-life and the proposed funding source.</w:t>
      </w:r>
    </w:p>
    <w:p>
      <w:pPr>
        <w:pStyle w:val="ListBullet"/>
        <w:spacing w:after="60"/>
        <w:ind w:left="340"/>
      </w:pPr>
      <w:r>
        <w:rPr>
          <w:rFonts w:ascii="Segoe UI" w:hAnsi="Segoe UI"/>
          <w:color w:val="1D3245"/>
          <w:sz w:val="20"/>
        </w:rPr>
        <w:t>Time impact - activities affected, float consumed, milestone effect.</w:t>
      </w:r>
    </w:p>
    <w:p>
      <w:pPr>
        <w:pStyle w:val="ListBullet"/>
        <w:spacing w:after="60"/>
        <w:ind w:left="340"/>
      </w:pPr>
      <w:r>
        <w:rPr>
          <w:rFonts w:ascii="Segoe UI" w:hAnsi="Segoe UI"/>
          <w:color w:val="1D3245"/>
          <w:sz w:val="20"/>
        </w:rPr>
        <w:t>Risk impact - risks created, removed or changed, with register references.</w:t>
      </w:r>
    </w:p>
    <w:p>
      <w:pPr>
        <w:pStyle w:val="ListBullet"/>
        <w:spacing w:after="60"/>
        <w:ind w:left="340"/>
      </w:pPr>
      <w:r>
        <w:rPr>
          <w:rFonts w:ascii="Segoe UI" w:hAnsi="Segoe UI"/>
          <w:color w:val="1D3245"/>
          <w:sz w:val="20"/>
        </w:rPr>
        <w:t>Safety, quality, environmental and sustainability impact.</w:t>
      </w:r>
    </w:p>
    <w:p>
      <w:pPr>
        <w:pStyle w:val="ListBullet"/>
        <w:spacing w:after="60"/>
        <w:ind w:left="340"/>
      </w:pPr>
      <w:r>
        <w:rPr>
          <w:rFonts w:ascii="Segoe UI" w:hAnsi="Segoe UI"/>
          <w:color w:val="1D3245"/>
          <w:sz w:val="20"/>
        </w:rPr>
        <w:t>Operational and benefits impact.</w:t>
      </w:r>
    </w:p>
    <w:p>
      <w:pPr>
        <w:pStyle w:val="ListBullet"/>
        <w:spacing w:after="60"/>
        <w:ind w:left="340"/>
      </w:pPr>
      <w:r>
        <w:rPr>
          <w:rFonts w:ascii="Segoe UI" w:hAnsi="Segoe UI"/>
          <w:color w:val="1D3245"/>
          <w:sz w:val="20"/>
        </w:rPr>
        <w:t>Interface and stakeholder impact.</w:t>
      </w:r>
    </w:p>
    <w:p>
      <w:pPr>
        <w:pStyle w:val="ListBullet"/>
        <w:spacing w:after="60"/>
        <w:ind w:left="340"/>
      </w:pPr>
      <w:r>
        <w:rPr>
          <w:rFonts w:ascii="Segoe UI" w:hAnsi="Segoe UI"/>
          <w:color w:val="1D3245"/>
          <w:sz w:val="20"/>
        </w:rPr>
        <w:t>Documents, drawings, models and registers requiring update.</w:t>
      </w:r>
    </w:p>
    <w:p>
      <w:pPr>
        <w:pStyle w:val="ListBullet"/>
        <w:spacing w:after="60"/>
        <w:ind w:left="340"/>
      </w:pPr>
      <w:r>
        <w:rPr>
          <w:rFonts w:ascii="Segoe UI" w:hAnsi="Segoe UI"/>
          <w:color w:val="1D3245"/>
          <w:sz w:val="20"/>
        </w:rPr>
        <w:t>Recommendation, decision, decision-maker and date.</w:t>
      </w:r>
    </w:p>
    <w:p>
      <w:pPr>
        <w:pStyle w:val="Heading2"/>
      </w:pPr>
      <w:r>
        <w:t>18.6  Baseline change management</w:t>
      </w:r>
    </w:p>
    <w:p>
      <w:pPr>
        <w:pStyle w:val="ListBullet"/>
        <w:spacing w:after="60"/>
        <w:ind w:left="340"/>
      </w:pPr>
      <w:r>
        <w:rPr>
          <w:rFonts w:ascii="Segoe UI" w:hAnsi="Segoe UI"/>
          <w:color w:val="1D3245"/>
          <w:sz w:val="20"/>
        </w:rPr>
        <w:t>Baselines are changed only by approved change, never by an update or a correction.</w:t>
      </w:r>
    </w:p>
    <w:p>
      <w:pPr>
        <w:pStyle w:val="ListBullet"/>
        <w:spacing w:after="60"/>
        <w:ind w:left="340"/>
      </w:pPr>
      <w:r>
        <w:rPr>
          <w:rFonts w:ascii="Segoe UI" w:hAnsi="Segoe UI"/>
          <w:color w:val="1D3245"/>
          <w:sz w:val="20"/>
        </w:rPr>
        <w:t>Each baseline version is retained; the current and original baselines are both reported.</w:t>
      </w:r>
    </w:p>
    <w:p>
      <w:pPr>
        <w:pStyle w:val="ListBullet"/>
        <w:spacing w:after="60"/>
        <w:ind w:left="340"/>
      </w:pPr>
      <w:r>
        <w:rPr>
          <w:rFonts w:ascii="Segoe UI" w:hAnsi="Segoe UI"/>
          <w:color w:val="1D3245"/>
          <w:sz w:val="20"/>
        </w:rPr>
        <w:t>Baseline changes are applied at a defined control point each month so that reporting is stable within a period.</w:t>
      </w:r>
    </w:p>
    <w:p>
      <w:pPr>
        <w:pStyle w:val="ListBullet"/>
        <w:spacing w:after="60"/>
        <w:ind w:left="340"/>
      </w:pPr>
      <w:r>
        <w:rPr>
          <w:rFonts w:ascii="Segoe UI" w:hAnsi="Segoe UI"/>
          <w:color w:val="1D3245"/>
          <w:sz w:val="20"/>
        </w:rPr>
        <w:t>A baseline change log records what changed, by how much, on whose authority and when it took effect.</w:t>
      </w:r>
    </w:p>
    <w:p>
      <w:pPr>
        <w:pStyle w:val="Heading2"/>
      </w:pPr>
      <w:r>
        <w:t>18.7  Change register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1" w:type="dxa"/>
      </w:tblPr>
      <w:tblGrid>
        <w:gridCol w:w="788"/>
        <w:gridCol w:w="1470"/>
        <w:gridCol w:w="1213"/>
        <w:gridCol w:w="975"/>
        <w:gridCol w:w="1001"/>
        <w:gridCol w:w="975"/>
        <w:gridCol w:w="975"/>
        <w:gridCol w:w="1213"/>
        <w:gridCol w:w="802"/>
      </w:tblGrid>
      <w:tr>
        <w:trPr>
          <w:tblHeader w:val="true"/>
          <w:cantSplit w:val="true"/>
        </w:trPr>
        <w:tc>
          <w:tcPr>
            <w:tcW w:type="dxa" w:w="7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147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Title</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Category</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Raised</w:t>
            </w:r>
          </w:p>
        </w:tc>
        <w:tc>
          <w:tcPr>
            <w:tcW w:type="dxa" w:w="10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Cost impact</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Time impact</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Status</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Approved by</w:t>
            </w:r>
          </w:p>
        </w:tc>
        <w:tc>
          <w:tcPr>
            <w:tcW w:type="dxa" w:w="8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Date</w:t>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CR-01</w:t>
            </w:r>
          </w:p>
        </w:tc>
        <w:tc>
          <w:tcPr>
            <w:tcW w:type="dxa" w:w="147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02"/>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CR-02</w:t>
            </w:r>
          </w:p>
        </w:tc>
        <w:tc>
          <w:tcPr>
            <w:tcW w:type="dxa" w:w="14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8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CR-03</w:t>
            </w:r>
          </w:p>
        </w:tc>
        <w:tc>
          <w:tcPr>
            <w:tcW w:type="dxa" w:w="147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02"/>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CR-04</w:t>
            </w:r>
          </w:p>
        </w:tc>
        <w:tc>
          <w:tcPr>
            <w:tcW w:type="dxa" w:w="14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8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CR-05</w:t>
            </w:r>
          </w:p>
        </w:tc>
        <w:tc>
          <w:tcPr>
            <w:tcW w:type="dxa" w:w="147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02"/>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CR-06</w:t>
            </w:r>
          </w:p>
        </w:tc>
        <w:tc>
          <w:tcPr>
            <w:tcW w:type="dxa" w:w="147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8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18.8  Communication of approved changes</w:t>
      </w:r>
    </w:p>
    <w:p>
      <w:pPr>
        <w:pStyle w:val="MasttBody"/>
      </w:pPr>
      <w:r>
        <w:t>An approved change is not complete until every party who must act on it has been told, in writing, what has changed and what they must do differently. The Project Manager confirms distribution and records it against the change in the register. Where a change affects information already issued for construction, the affected documents are reissued at a new revision - never marked up in isolation.</w:t>
      </w:r>
    </w:p>
    <w:p>
      <w:r>
        <w:br w:type="page"/>
      </w:r>
    </w:p>
    <w:p>
      <w:pPr>
        <w:pStyle w:val="Heading1"/>
        <w:pBdr>
          <w:bottom w:val="single" w:sz="6" w:space="4" w:color="C9D4E0"/>
        </w:pBdr>
      </w:pPr>
      <w:r>
        <w:t>19.  Reporting and performance management</w:t>
      </w:r>
    </w:p>
    <w:p>
      <w:pPr>
        <w:pStyle w:val="Heading2"/>
      </w:pPr>
      <w:r>
        <w:t>19.1  Reporting framework</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Design reporting around decisions. For each report ask: who reads it, what will they decide, and what would they do differently if the number moved? Reports that survive that test get read. Everything else becomes a monthly ritual that consumes the team's best week.</w:t>
            </w:r>
          </w:p>
        </w:tc>
      </w:tr>
    </w:tbl>
    <w:p>
      <w:pPr>
        <w:rPr>
          <w:sz w:val="8"/>
        </w:rPr>
        <w:spacing w:after="40" w:before="0" w:line="240" w:lineRule="auto"/>
      </w:pPr>
    </w:p>
    <w:p>
      <w:pPr>
        <w:pStyle w:val="ListBullet"/>
        <w:spacing w:after="60"/>
        <w:ind w:left="340"/>
      </w:pPr>
      <w:r>
        <w:rPr>
          <w:rFonts w:ascii="Segoe UI" w:hAnsi="Segoe UI"/>
          <w:color w:val="1D3245"/>
          <w:sz w:val="20"/>
        </w:rPr>
        <w:t>One set of numbers: every report draws from the same source systems, so the Board and the site team see the same position.</w:t>
      </w:r>
    </w:p>
    <w:p>
      <w:pPr>
        <w:pStyle w:val="ListBullet"/>
        <w:spacing w:after="60"/>
        <w:ind w:left="340"/>
      </w:pPr>
      <w:r>
        <w:rPr>
          <w:rFonts w:ascii="Segoe UI" w:hAnsi="Segoe UI"/>
          <w:color w:val="1D3245"/>
          <w:sz w:val="20"/>
        </w:rPr>
        <w:t>Report by exception against tolerance, with the detail available but not compulsory.</w:t>
      </w:r>
    </w:p>
    <w:p>
      <w:pPr>
        <w:pStyle w:val="ListBullet"/>
        <w:spacing w:after="60"/>
        <w:ind w:left="340"/>
      </w:pPr>
      <w:r>
        <w:rPr>
          <w:rFonts w:ascii="Segoe UI" w:hAnsi="Segoe UI"/>
          <w:color w:val="1D3245"/>
          <w:sz w:val="20"/>
        </w:rPr>
        <w:t>Every report states the data date, so no reader compares figures from different periods.</w:t>
      </w:r>
    </w:p>
    <w:p>
      <w:pPr>
        <w:pStyle w:val="ListBullet"/>
        <w:spacing w:after="60"/>
        <w:ind w:left="340"/>
      </w:pPr>
      <w:r>
        <w:rPr>
          <w:rFonts w:ascii="Segoe UI" w:hAnsi="Segoe UI"/>
          <w:color w:val="1D3245"/>
          <w:sz w:val="20"/>
        </w:rPr>
        <w:t>Forecasts are reported alongside actuals; a report of the past alone is not a management report.</w:t>
      </w:r>
    </w:p>
    <w:p>
      <w:pPr>
        <w:pStyle w:val="ListBullet"/>
        <w:spacing w:after="60"/>
        <w:ind w:left="340"/>
      </w:pPr>
      <w:r>
        <w:rPr>
          <w:rFonts w:ascii="Segoe UI" w:hAnsi="Segoe UI"/>
          <w:color w:val="1D3245"/>
          <w:sz w:val="20"/>
        </w:rPr>
        <w:t>Bad news travels at the same speed as good news.</w:t>
      </w:r>
    </w:p>
    <w:p>
      <w:pPr>
        <w:pStyle w:val="Heading2"/>
      </w:pPr>
      <w:r>
        <w:t>19.2  Report suite</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1715"/>
        <w:gridCol w:w="2285"/>
        <w:gridCol w:w="1604"/>
        <w:gridCol w:w="1268"/>
        <w:gridCol w:w="1269"/>
        <w:gridCol w:w="1272"/>
      </w:tblGrid>
      <w:tr>
        <w:trPr>
          <w:tblHeader w:val="true"/>
          <w:cantSplit w:val="true"/>
        </w:trPr>
        <w:tc>
          <w:tcPr>
            <w:tcW w:type="dxa" w:w="17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Report</w:t>
            </w:r>
          </w:p>
        </w:tc>
        <w:tc>
          <w:tcPr>
            <w:tcW w:type="dxa" w:w="228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Purpose</w:t>
            </w:r>
          </w:p>
        </w:tc>
        <w:tc>
          <w:tcPr>
            <w:tcW w:type="dxa" w:w="160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Audience</w:t>
            </w:r>
          </w:p>
        </w:tc>
        <w:tc>
          <w:tcPr>
            <w:tcW w:type="dxa" w:w="1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Author</w:t>
            </w:r>
          </w:p>
        </w:tc>
        <w:tc>
          <w:tcPr>
            <w:tcW w:type="dxa" w:w="126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Frequency</w:t>
            </w:r>
          </w:p>
        </w:tc>
        <w:tc>
          <w:tcPr>
            <w:tcW w:type="dxa" w:w="127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Due</w:t>
            </w:r>
          </w:p>
        </w:tc>
      </w:tr>
      <w:tr>
        <w:trPr>
          <w:cantSplit w:val="true"/>
        </w:trPr>
        <w:tc>
          <w:tcPr>
            <w:tcW w:type="dxa" w:w="1714"/>
            <w:tcMar>
              <w:top w:w="40" w:type="dxa"/>
              <w:left w:w="110" w:type="dxa"/>
              <w:bottom w:w="40" w:type="dxa"/>
              <w:right w:w="110" w:type="dxa"/>
            </w:tcMar>
          </w:tcPr>
          <w:p>
            <w:pPr>
              <w:pStyle w:val="MasttTableCell"/>
              <w:spacing w:before="20" w:after="20"/>
            </w:pPr>
            <w:r/>
            <w:r>
              <w:rPr>
                <w:rFonts w:ascii="Segoe UI" w:hAnsi="Segoe UI"/>
                <w:b/>
                <w:color w:val="1D3245"/>
                <w:sz w:val="16"/>
              </w:rPr>
              <w:t>Weekly delivery report</w:t>
            </w:r>
          </w:p>
        </w:tc>
        <w:tc>
          <w:tcPr>
            <w:tcW w:type="dxa" w:w="2285"/>
            <w:tcMar>
              <w:top w:w="40" w:type="dxa"/>
              <w:left w:w="110" w:type="dxa"/>
              <w:bottom w:w="40" w:type="dxa"/>
              <w:right w:w="110" w:type="dxa"/>
            </w:tcMar>
          </w:tcPr>
          <w:p>
            <w:pPr>
              <w:pStyle w:val="MasttTableCell"/>
              <w:spacing w:before="20" w:after="20"/>
            </w:pPr>
            <w:r/>
            <w:r>
              <w:rPr>
                <w:rFonts w:ascii="Segoe UI" w:hAnsi="Segoe UI"/>
                <w:color w:val="1D3245"/>
                <w:sz w:val="16"/>
              </w:rPr>
              <w:t>Short-term progress, blockers and look-ahead</w:t>
            </w:r>
          </w:p>
        </w:tc>
        <w:tc>
          <w:tcPr>
            <w:tcW w:type="dxa" w:w="1604"/>
            <w:tcMar>
              <w:top w:w="40" w:type="dxa"/>
              <w:left w:w="110" w:type="dxa"/>
              <w:bottom w:w="40" w:type="dxa"/>
              <w:right w:w="110" w:type="dxa"/>
            </w:tcMar>
          </w:tcPr>
          <w:p>
            <w:pPr>
              <w:pStyle w:val="MasttTableCell"/>
              <w:spacing w:before="20" w:after="20"/>
            </w:pPr>
            <w:r/>
            <w:r>
              <w:rPr>
                <w:rFonts w:ascii="Segoe UI" w:hAnsi="Segoe UI"/>
                <w:color w:val="1D3245"/>
                <w:sz w:val="16"/>
              </w:rPr>
              <w:t>Delivery team</w:t>
            </w:r>
          </w:p>
        </w:tc>
        <w:tc>
          <w:tcPr>
            <w:tcW w:type="dxa" w:w="1268"/>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t>Weekly</w:t>
            </w:r>
          </w:p>
        </w:tc>
        <w:tc>
          <w:tcPr>
            <w:tcW w:type="dxa" w:w="1272"/>
            <w:tcMar>
              <w:top w:w="40" w:type="dxa"/>
              <w:left w:w="110" w:type="dxa"/>
              <w:bottom w:w="40" w:type="dxa"/>
              <w:right w:w="110" w:type="dxa"/>
            </w:tcMar>
          </w:tcPr>
          <w:p>
            <w:pPr>
              <w:pStyle w:val="MasttTableCell"/>
              <w:spacing w:before="20" w:after="20"/>
            </w:pPr>
            <w:r/>
            <w:r>
              <w:rPr>
                <w:rFonts w:ascii="Segoe UI" w:hAnsi="Segoe UI"/>
                <w:color w:val="1D3245"/>
                <w:sz w:val="16"/>
              </w:rPr>
              <w:t>Monday close</w:t>
            </w:r>
          </w:p>
        </w:tc>
      </w:tr>
      <w:tr>
        <w:trPr>
          <w:cantSplit w:val="true"/>
        </w:trPr>
        <w:tc>
          <w:tcPr>
            <w:tcW w:type="dxa" w:w="17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Weekly HSE report</w:t>
            </w:r>
          </w:p>
        </w:tc>
        <w:tc>
          <w:tcPr>
            <w:tcW w:type="dxa" w:w="228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Incidents, lead indicators, actions</w:t>
            </w:r>
          </w:p>
        </w:tc>
        <w:tc>
          <w:tcPr>
            <w:tcW w:type="dxa" w:w="16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Delivery team and client</w:t>
            </w:r>
          </w:p>
        </w:tc>
        <w:tc>
          <w:tcPr>
            <w:tcW w:type="dxa" w:w="1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Manager</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Weekly</w:t>
            </w:r>
          </w:p>
        </w:tc>
        <w:tc>
          <w:tcPr>
            <w:tcW w:type="dxa" w:w="12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Monday close</w:t>
            </w:r>
          </w:p>
        </w:tc>
      </w:tr>
      <w:tr>
        <w:trPr>
          <w:cantSplit w:val="true"/>
        </w:trPr>
        <w:tc>
          <w:tcPr>
            <w:tcW w:type="dxa" w:w="1714"/>
            <w:tcMar>
              <w:top w:w="40" w:type="dxa"/>
              <w:left w:w="110" w:type="dxa"/>
              <w:bottom w:w="40" w:type="dxa"/>
              <w:right w:w="110" w:type="dxa"/>
            </w:tcMar>
          </w:tcPr>
          <w:p>
            <w:pPr>
              <w:pStyle w:val="MasttTableCell"/>
              <w:spacing w:before="20" w:after="20"/>
            </w:pPr>
            <w:r/>
            <w:r>
              <w:rPr>
                <w:rFonts w:ascii="Segoe UI" w:hAnsi="Segoe UI"/>
                <w:b/>
                <w:color w:val="1D3245"/>
                <w:sz w:val="16"/>
              </w:rPr>
              <w:t>Monthly project report</w:t>
            </w:r>
          </w:p>
        </w:tc>
        <w:tc>
          <w:tcPr>
            <w:tcW w:type="dxa" w:w="2285"/>
            <w:tcMar>
              <w:top w:w="40" w:type="dxa"/>
              <w:left w:w="110" w:type="dxa"/>
              <w:bottom w:w="40" w:type="dxa"/>
              <w:right w:w="110" w:type="dxa"/>
            </w:tcMar>
          </w:tcPr>
          <w:p>
            <w:pPr>
              <w:pStyle w:val="MasttTableCell"/>
              <w:spacing w:before="20" w:after="20"/>
            </w:pPr>
            <w:r/>
            <w:r>
              <w:rPr>
                <w:rFonts w:ascii="Segoe UI" w:hAnsi="Segoe UI"/>
                <w:color w:val="1D3245"/>
                <w:sz w:val="16"/>
              </w:rPr>
              <w:t>Full performance position against baseline</w:t>
            </w:r>
          </w:p>
        </w:tc>
        <w:tc>
          <w:tcPr>
            <w:tcW w:type="dxa" w:w="1604"/>
            <w:tcMar>
              <w:top w:w="40" w:type="dxa"/>
              <w:left w:w="110" w:type="dxa"/>
              <w:bottom w:w="40" w:type="dxa"/>
              <w:right w:w="110" w:type="dxa"/>
            </w:tcMar>
          </w:tcPr>
          <w:p>
            <w:pPr>
              <w:pStyle w:val="MasttTableCell"/>
              <w:spacing w:before="20" w:after="20"/>
            </w:pPr>
            <w:r/>
            <w:r>
              <w:rPr>
                <w:rFonts w:ascii="Segoe UI" w:hAnsi="Segoe UI"/>
                <w:color w:val="1D3245"/>
                <w:sz w:val="16"/>
              </w:rPr>
              <w:t>Sponsor and Control Group</w:t>
            </w:r>
          </w:p>
        </w:tc>
        <w:tc>
          <w:tcPr>
            <w:tcW w:type="dxa" w:w="1268"/>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tcPr>
          <w:p>
            <w:pPr>
              <w:pStyle w:val="MasttTableCell"/>
              <w:spacing w:before="20" w:after="20"/>
            </w:pPr>
            <w:r/>
            <w:r>
              <w:rPr>
                <w:rFonts w:ascii="Segoe UI" w:hAnsi="Segoe UI"/>
                <w:color w:val="1D3245"/>
                <w:sz w:val="16"/>
              </w:rPr>
              <w:t>Working day 8</w:t>
            </w:r>
          </w:p>
        </w:tc>
      </w:tr>
      <w:tr>
        <w:trPr>
          <w:cantSplit w:val="true"/>
        </w:trPr>
        <w:tc>
          <w:tcPr>
            <w:tcW w:type="dxa" w:w="17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Monthly cost report</w:t>
            </w:r>
          </w:p>
        </w:tc>
        <w:tc>
          <w:tcPr>
            <w:tcW w:type="dxa" w:w="228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Budget, commitment, actual, forecast, change, contingency</w:t>
            </w:r>
          </w:p>
        </w:tc>
        <w:tc>
          <w:tcPr>
            <w:tcW w:type="dxa" w:w="16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Control Group</w:t>
            </w:r>
          </w:p>
        </w:tc>
        <w:tc>
          <w:tcPr>
            <w:tcW w:type="dxa" w:w="1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Cost Manager</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Working day 6</w:t>
            </w:r>
          </w:p>
        </w:tc>
      </w:tr>
      <w:tr>
        <w:trPr>
          <w:cantSplit w:val="true"/>
        </w:trPr>
        <w:tc>
          <w:tcPr>
            <w:tcW w:type="dxa" w:w="1714"/>
            <w:tcMar>
              <w:top w:w="40" w:type="dxa"/>
              <w:left w:w="110" w:type="dxa"/>
              <w:bottom w:w="40" w:type="dxa"/>
              <w:right w:w="110" w:type="dxa"/>
            </w:tcMar>
          </w:tcPr>
          <w:p>
            <w:pPr>
              <w:pStyle w:val="MasttTableCell"/>
              <w:spacing w:before="20" w:after="20"/>
            </w:pPr>
            <w:r/>
            <w:r>
              <w:rPr>
                <w:rFonts w:ascii="Segoe UI" w:hAnsi="Segoe UI"/>
                <w:b/>
                <w:color w:val="1D3245"/>
                <w:sz w:val="16"/>
              </w:rPr>
              <w:t>Monthly schedule report</w:t>
            </w:r>
          </w:p>
        </w:tc>
        <w:tc>
          <w:tcPr>
            <w:tcW w:type="dxa" w:w="2285"/>
            <w:tcMar>
              <w:top w:w="40" w:type="dxa"/>
              <w:left w:w="110" w:type="dxa"/>
              <w:bottom w:w="40" w:type="dxa"/>
              <w:right w:w="110" w:type="dxa"/>
            </w:tcMar>
          </w:tcPr>
          <w:p>
            <w:pPr>
              <w:pStyle w:val="MasttTableCell"/>
              <w:spacing w:before="20" w:after="20"/>
            </w:pPr>
            <w:r/>
            <w:r>
              <w:rPr>
                <w:rFonts w:ascii="Segoe UI" w:hAnsi="Segoe UI"/>
                <w:color w:val="1D3245"/>
                <w:sz w:val="16"/>
              </w:rPr>
              <w:t>Milestones, critical path, float, SPI</w:t>
            </w:r>
          </w:p>
        </w:tc>
        <w:tc>
          <w:tcPr>
            <w:tcW w:type="dxa" w:w="1604"/>
            <w:tcMar>
              <w:top w:w="40" w:type="dxa"/>
              <w:left w:w="110" w:type="dxa"/>
              <w:bottom w:w="40" w:type="dxa"/>
              <w:right w:w="110" w:type="dxa"/>
            </w:tcMar>
          </w:tcPr>
          <w:p>
            <w:pPr>
              <w:pStyle w:val="MasttTableCell"/>
              <w:spacing w:before="20" w:after="20"/>
            </w:pPr>
            <w:r/>
            <w:r>
              <w:rPr>
                <w:rFonts w:ascii="Segoe UI" w:hAnsi="Segoe UI"/>
                <w:color w:val="1D3245"/>
                <w:sz w:val="16"/>
              </w:rPr>
              <w:t>Control Group</w:t>
            </w:r>
          </w:p>
        </w:tc>
        <w:tc>
          <w:tcPr>
            <w:tcW w:type="dxa" w:w="1268"/>
            <w:tcMar>
              <w:top w:w="40" w:type="dxa"/>
              <w:left w:w="110" w:type="dxa"/>
              <w:bottom w:w="40" w:type="dxa"/>
              <w:right w:w="110" w:type="dxa"/>
            </w:tcMar>
          </w:tcPr>
          <w:p>
            <w:pPr>
              <w:pStyle w:val="MasttTableCell"/>
              <w:spacing w:before="20" w:after="20"/>
            </w:pPr>
            <w:r/>
            <w:r>
              <w:rPr>
                <w:rFonts w:ascii="Segoe UI" w:hAnsi="Segoe UI"/>
                <w:color w:val="1D3245"/>
                <w:sz w:val="16"/>
              </w:rPr>
              <w:t>Planner</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tcPr>
          <w:p>
            <w:pPr>
              <w:pStyle w:val="MasttTableCell"/>
              <w:spacing w:before="20" w:after="20"/>
            </w:pPr>
            <w:r/>
            <w:r>
              <w:rPr>
                <w:rFonts w:ascii="Segoe UI" w:hAnsi="Segoe UI"/>
                <w:color w:val="1D3245"/>
                <w:sz w:val="16"/>
              </w:rPr>
              <w:t>Working day 5</w:t>
            </w:r>
          </w:p>
        </w:tc>
      </w:tr>
      <w:tr>
        <w:trPr>
          <w:cantSplit w:val="true"/>
        </w:trPr>
        <w:tc>
          <w:tcPr>
            <w:tcW w:type="dxa" w:w="17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Monthly risk report</w:t>
            </w:r>
          </w:p>
        </w:tc>
        <w:tc>
          <w:tcPr>
            <w:tcW w:type="dxa" w:w="228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Top risks, movement, treatment status, exposure vs contingency</w:t>
            </w:r>
          </w:p>
        </w:tc>
        <w:tc>
          <w:tcPr>
            <w:tcW w:type="dxa" w:w="16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Control Group</w:t>
            </w:r>
          </w:p>
        </w:tc>
        <w:tc>
          <w:tcPr>
            <w:tcW w:type="dxa" w:w="1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Risk Manager</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Working day 5</w:t>
            </w:r>
          </w:p>
        </w:tc>
      </w:tr>
      <w:tr>
        <w:trPr>
          <w:cantSplit w:val="true"/>
        </w:trPr>
        <w:tc>
          <w:tcPr>
            <w:tcW w:type="dxa" w:w="1714"/>
            <w:tcMar>
              <w:top w:w="40" w:type="dxa"/>
              <w:left w:w="110" w:type="dxa"/>
              <w:bottom w:w="40" w:type="dxa"/>
              <w:right w:w="110" w:type="dxa"/>
            </w:tcMar>
          </w:tcPr>
          <w:p>
            <w:pPr>
              <w:pStyle w:val="MasttTableCell"/>
              <w:spacing w:before="20" w:after="20"/>
            </w:pPr>
            <w:r/>
            <w:r>
              <w:rPr>
                <w:rFonts w:ascii="Segoe UI" w:hAnsi="Segoe UI"/>
                <w:b/>
                <w:color w:val="1D3245"/>
                <w:sz w:val="16"/>
              </w:rPr>
              <w:t>Monthly quality report</w:t>
            </w:r>
          </w:p>
        </w:tc>
        <w:tc>
          <w:tcPr>
            <w:tcW w:type="dxa" w:w="2285"/>
            <w:tcMar>
              <w:top w:w="40" w:type="dxa"/>
              <w:left w:w="110" w:type="dxa"/>
              <w:bottom w:w="40" w:type="dxa"/>
              <w:right w:w="110" w:type="dxa"/>
            </w:tcMar>
          </w:tcPr>
          <w:p>
            <w:pPr>
              <w:pStyle w:val="MasttTableCell"/>
              <w:spacing w:before="20" w:after="20"/>
            </w:pPr>
            <w:r/>
            <w:r>
              <w:rPr>
                <w:rFonts w:ascii="Segoe UI" w:hAnsi="Segoe UI"/>
                <w:color w:val="1D3245"/>
                <w:sz w:val="16"/>
              </w:rPr>
              <w:t>NCRs, ITP status, audit findings</w:t>
            </w:r>
          </w:p>
        </w:tc>
        <w:tc>
          <w:tcPr>
            <w:tcW w:type="dxa" w:w="1604"/>
            <w:tcMar>
              <w:top w:w="40" w:type="dxa"/>
              <w:left w:w="110" w:type="dxa"/>
              <w:bottom w:w="40" w:type="dxa"/>
              <w:right w:w="110" w:type="dxa"/>
            </w:tcMar>
          </w:tcPr>
          <w:p>
            <w:pPr>
              <w:pStyle w:val="MasttTableCell"/>
              <w:spacing w:before="20" w:after="20"/>
            </w:pPr>
            <w:r/>
            <w:r>
              <w:rPr>
                <w:rFonts w:ascii="Segoe UI" w:hAnsi="Segoe UI"/>
                <w:color w:val="1D3245"/>
                <w:sz w:val="16"/>
              </w:rPr>
              <w:t>Control Group</w:t>
            </w:r>
          </w:p>
        </w:tc>
        <w:tc>
          <w:tcPr>
            <w:tcW w:type="dxa" w:w="1268"/>
            <w:tcMar>
              <w:top w:w="40" w:type="dxa"/>
              <w:left w:w="110" w:type="dxa"/>
              <w:bottom w:w="40" w:type="dxa"/>
              <w:right w:w="110" w:type="dxa"/>
            </w:tcMar>
          </w:tcPr>
          <w:p>
            <w:pPr>
              <w:pStyle w:val="MasttTableCell"/>
              <w:spacing w:before="20" w:after="20"/>
            </w:pPr>
            <w:r/>
            <w:r>
              <w:rPr>
                <w:rFonts w:ascii="Segoe UI" w:hAnsi="Segoe UI"/>
                <w:color w:val="1D3245"/>
                <w:sz w:val="16"/>
              </w:rPr>
              <w:t>Quality Manager</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tcPr>
          <w:p>
            <w:pPr>
              <w:pStyle w:val="MasttTableCell"/>
              <w:spacing w:before="20" w:after="20"/>
            </w:pPr>
            <w:r/>
            <w:r>
              <w:rPr>
                <w:rFonts w:ascii="Segoe UI" w:hAnsi="Segoe UI"/>
                <w:color w:val="1D3245"/>
                <w:sz w:val="16"/>
              </w:rPr>
              <w:t>Working day 5</w:t>
            </w:r>
          </w:p>
        </w:tc>
      </w:tr>
      <w:tr>
        <w:trPr>
          <w:cantSplit w:val="true"/>
        </w:trPr>
        <w:tc>
          <w:tcPr>
            <w:tcW w:type="dxa" w:w="17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Monthly ESG report</w:t>
            </w:r>
          </w:p>
        </w:tc>
        <w:tc>
          <w:tcPr>
            <w:tcW w:type="dxa" w:w="228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Environmental compliance, sustainability and social value</w:t>
            </w:r>
          </w:p>
        </w:tc>
        <w:tc>
          <w:tcPr>
            <w:tcW w:type="dxa" w:w="16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Control Group</w:t>
            </w:r>
          </w:p>
        </w:tc>
        <w:tc>
          <w:tcPr>
            <w:tcW w:type="dxa" w:w="1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ESG Lead</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Working day 6</w:t>
            </w:r>
          </w:p>
        </w:tc>
      </w:tr>
      <w:tr>
        <w:trPr>
          <w:cantSplit w:val="true"/>
        </w:trPr>
        <w:tc>
          <w:tcPr>
            <w:tcW w:type="dxa" w:w="1714"/>
            <w:tcMar>
              <w:top w:w="40" w:type="dxa"/>
              <w:left w:w="110" w:type="dxa"/>
              <w:bottom w:w="40" w:type="dxa"/>
              <w:right w:w="110" w:type="dxa"/>
            </w:tcMar>
          </w:tcPr>
          <w:p>
            <w:pPr>
              <w:pStyle w:val="MasttTableCell"/>
              <w:spacing w:before="20" w:after="20"/>
            </w:pPr>
            <w:r/>
            <w:r>
              <w:rPr>
                <w:rFonts w:ascii="Segoe UI" w:hAnsi="Segoe UI"/>
                <w:b/>
                <w:color w:val="1D3245"/>
                <w:sz w:val="16"/>
              </w:rPr>
              <w:t>Board pack</w:t>
            </w:r>
          </w:p>
        </w:tc>
        <w:tc>
          <w:tcPr>
            <w:tcW w:type="dxa" w:w="2285"/>
            <w:tcMar>
              <w:top w:w="40" w:type="dxa"/>
              <w:left w:w="110" w:type="dxa"/>
              <w:bottom w:w="40" w:type="dxa"/>
              <w:right w:w="110" w:type="dxa"/>
            </w:tcMar>
          </w:tcPr>
          <w:p>
            <w:pPr>
              <w:pStyle w:val="MasttTableCell"/>
              <w:spacing w:before="20" w:after="20"/>
            </w:pPr>
            <w:r/>
            <w:r>
              <w:rPr>
                <w:rFonts w:ascii="Segoe UI" w:hAnsi="Segoe UI"/>
                <w:color w:val="1D3245"/>
                <w:sz w:val="16"/>
              </w:rPr>
              <w:t>Decisions required, exceptions, assurance</w:t>
            </w:r>
          </w:p>
        </w:tc>
        <w:tc>
          <w:tcPr>
            <w:tcW w:type="dxa" w:w="1604"/>
            <w:tcMar>
              <w:top w:w="40" w:type="dxa"/>
              <w:left w:w="110" w:type="dxa"/>
              <w:bottom w:w="40" w:type="dxa"/>
              <w:right w:w="110" w:type="dxa"/>
            </w:tcMar>
          </w:tcPr>
          <w:p>
            <w:pPr>
              <w:pStyle w:val="MasttTableCell"/>
              <w:spacing w:before="20" w:after="20"/>
            </w:pPr>
            <w:r/>
            <w:r>
              <w:rPr>
                <w:rFonts w:ascii="Segoe UI" w:hAnsi="Segoe UI"/>
                <w:color w:val="1D3245"/>
                <w:sz w:val="16"/>
              </w:rPr>
              <w:t>Project Board</w:t>
            </w:r>
          </w:p>
        </w:tc>
        <w:tc>
          <w:tcPr>
            <w:tcW w:type="dxa" w:w="1268"/>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tcPr>
          <w:p>
            <w:pPr>
              <w:pStyle w:val="MasttTableCell"/>
              <w:spacing w:before="20" w:after="20"/>
            </w:pPr>
            <w:r/>
            <w:r>
              <w:rPr>
                <w:rFonts w:ascii="Segoe UI" w:hAnsi="Segoe UI"/>
                <w:color w:val="1D3245"/>
                <w:sz w:val="16"/>
              </w:rPr>
              <w:t>5 days before Board</w:t>
            </w:r>
          </w:p>
        </w:tc>
      </w:tr>
      <w:tr>
        <w:trPr>
          <w:cantSplit w:val="true"/>
        </w:trPr>
        <w:tc>
          <w:tcPr>
            <w:tcW w:type="dxa" w:w="17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Executive dashboard</w:t>
            </w:r>
          </w:p>
        </w:tc>
        <w:tc>
          <w:tcPr>
            <w:tcW w:type="dxa" w:w="228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One-page portfolio view</w:t>
            </w:r>
          </w:p>
        </w:tc>
        <w:tc>
          <w:tcPr>
            <w:tcW w:type="dxa" w:w="16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Executive</w:t>
            </w:r>
          </w:p>
        </w:tc>
        <w:tc>
          <w:tcPr>
            <w:tcW w:type="dxa" w:w="1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PMO</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Monthly</w:t>
            </w:r>
          </w:p>
        </w:tc>
        <w:tc>
          <w:tcPr>
            <w:tcW w:type="dxa" w:w="12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Working day 10</w:t>
            </w:r>
          </w:p>
        </w:tc>
      </w:tr>
      <w:tr>
        <w:trPr>
          <w:cantSplit w:val="true"/>
        </w:trPr>
        <w:tc>
          <w:tcPr>
            <w:tcW w:type="dxa" w:w="1714"/>
            <w:tcMar>
              <w:top w:w="40" w:type="dxa"/>
              <w:left w:w="110" w:type="dxa"/>
              <w:bottom w:w="40" w:type="dxa"/>
              <w:right w:w="110" w:type="dxa"/>
            </w:tcMar>
          </w:tcPr>
          <w:p>
            <w:pPr>
              <w:pStyle w:val="MasttTableCell"/>
              <w:spacing w:before="20" w:after="20"/>
            </w:pPr>
            <w:r/>
            <w:r>
              <w:rPr>
                <w:rFonts w:ascii="Segoe UI" w:hAnsi="Segoe UI"/>
                <w:b/>
                <w:color w:val="1D3245"/>
                <w:sz w:val="16"/>
              </w:rPr>
              <w:t>Quarterly assurance report</w:t>
            </w:r>
          </w:p>
        </w:tc>
        <w:tc>
          <w:tcPr>
            <w:tcW w:type="dxa" w:w="2285"/>
            <w:tcMar>
              <w:top w:w="40" w:type="dxa"/>
              <w:left w:w="110" w:type="dxa"/>
              <w:bottom w:w="40" w:type="dxa"/>
              <w:right w:w="110" w:type="dxa"/>
            </w:tcMar>
          </w:tcPr>
          <w:p>
            <w:pPr>
              <w:pStyle w:val="MasttTableCell"/>
              <w:spacing w:before="20" w:after="20"/>
            </w:pPr>
            <w:r/>
            <w:r>
              <w:rPr>
                <w:rFonts w:ascii="Segoe UI" w:hAnsi="Segoe UI"/>
                <w:color w:val="1D3245"/>
                <w:sz w:val="16"/>
              </w:rPr>
              <w:t>Independent view of control effectiveness</w:t>
            </w:r>
          </w:p>
        </w:tc>
        <w:tc>
          <w:tcPr>
            <w:tcW w:type="dxa" w:w="1604"/>
            <w:tcMar>
              <w:top w:w="40" w:type="dxa"/>
              <w:left w:w="110" w:type="dxa"/>
              <w:bottom w:w="40" w:type="dxa"/>
              <w:right w:w="110" w:type="dxa"/>
            </w:tcMar>
          </w:tcPr>
          <w:p>
            <w:pPr>
              <w:pStyle w:val="MasttTableCell"/>
              <w:spacing w:before="20" w:after="20"/>
            </w:pPr>
            <w:r/>
            <w:r>
              <w:rPr>
                <w:rFonts w:ascii="Segoe UI" w:hAnsi="Segoe UI"/>
                <w:color w:val="1D3245"/>
                <w:sz w:val="16"/>
              </w:rPr>
              <w:t>Sponsor and Board</w:t>
            </w:r>
          </w:p>
        </w:tc>
        <w:tc>
          <w:tcPr>
            <w:tcW w:type="dxa" w:w="1268"/>
            <w:tcMar>
              <w:top w:w="40" w:type="dxa"/>
              <w:left w:w="110" w:type="dxa"/>
              <w:bottom w:w="40" w:type="dxa"/>
              <w:right w:w="110" w:type="dxa"/>
            </w:tcMar>
          </w:tcPr>
          <w:p>
            <w:pPr>
              <w:pStyle w:val="MasttTableCell"/>
              <w:spacing w:before="20" w:after="20"/>
            </w:pPr>
            <w:r/>
            <w:r>
              <w:rPr>
                <w:rFonts w:ascii="Segoe UI" w:hAnsi="Segoe UI"/>
                <w:color w:val="1D3245"/>
                <w:sz w:val="16"/>
              </w:rPr>
              <w:t>Assurance Lead</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t>Quarterly</w:t>
            </w:r>
          </w:p>
        </w:tc>
        <w:tc>
          <w:tcPr>
            <w:tcW w:type="dxa" w:w="1272"/>
            <w:tcMar>
              <w:top w:w="40" w:type="dxa"/>
              <w:left w:w="110" w:type="dxa"/>
              <w:bottom w:w="40" w:type="dxa"/>
              <w:right w:w="110" w:type="dxa"/>
            </w:tcMar>
          </w:tcPr>
          <w:p>
            <w:pPr>
              <w:pStyle w:val="MasttTableCell"/>
              <w:spacing w:before="20" w:after="20"/>
            </w:pPr>
            <w:r/>
            <w:r>
              <w:rPr>
                <w:rFonts w:ascii="Segoe UI" w:hAnsi="Segoe UI"/>
                <w:color w:val="1D3245"/>
                <w:sz w:val="16"/>
              </w:rPr>
              <w:t>+15 working days</w:t>
            </w:r>
          </w:p>
        </w:tc>
      </w:tr>
      <w:tr>
        <w:trPr>
          <w:cantSplit w:val="true"/>
        </w:trPr>
        <w:tc>
          <w:tcPr>
            <w:tcW w:type="dxa" w:w="17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Stage gate report</w:t>
            </w:r>
          </w:p>
        </w:tc>
        <w:tc>
          <w:tcPr>
            <w:tcW w:type="dxa" w:w="228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Readiness to proceed</w:t>
            </w:r>
          </w:p>
        </w:tc>
        <w:tc>
          <w:tcPr>
            <w:tcW w:type="dxa" w:w="16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Board and investment authority</w:t>
            </w:r>
          </w:p>
        </w:tc>
        <w:tc>
          <w:tcPr>
            <w:tcW w:type="dxa" w:w="1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Manager</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At each gate</w:t>
            </w:r>
          </w:p>
        </w:tc>
        <w:tc>
          <w:tcPr>
            <w:tcW w:type="dxa" w:w="12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Per gate schedule</w:t>
            </w:r>
          </w:p>
        </w:tc>
      </w:tr>
      <w:tr>
        <w:trPr>
          <w:cantSplit w:val="true"/>
        </w:trPr>
        <w:tc>
          <w:tcPr>
            <w:tcW w:type="dxa" w:w="1714"/>
            <w:tcMar>
              <w:top w:w="40" w:type="dxa"/>
              <w:left w:w="110" w:type="dxa"/>
              <w:bottom w:w="40" w:type="dxa"/>
              <w:right w:w="110" w:type="dxa"/>
            </w:tcMar>
          </w:tcPr>
          <w:p>
            <w:pPr>
              <w:pStyle w:val="MasttTableCell"/>
              <w:spacing w:before="20" w:after="20"/>
            </w:pPr>
            <w:r/>
            <w:r>
              <w:rPr>
                <w:rFonts w:ascii="Segoe UI" w:hAnsi="Segoe UI"/>
                <w:b/>
                <w:color w:val="1D3245"/>
                <w:sz w:val="16"/>
              </w:rPr>
              <w:t>Exception report</w:t>
            </w:r>
          </w:p>
        </w:tc>
        <w:tc>
          <w:tcPr>
            <w:tcW w:type="dxa" w:w="2285"/>
            <w:tcMar>
              <w:top w:w="40" w:type="dxa"/>
              <w:left w:w="110" w:type="dxa"/>
              <w:bottom w:w="40" w:type="dxa"/>
              <w:right w:w="110" w:type="dxa"/>
            </w:tcMar>
          </w:tcPr>
          <w:p>
            <w:pPr>
              <w:pStyle w:val="MasttTableCell"/>
              <w:spacing w:before="20" w:after="20"/>
            </w:pPr>
            <w:r/>
            <w:r>
              <w:rPr>
                <w:rFonts w:ascii="Segoe UI" w:hAnsi="Segoe UI"/>
                <w:color w:val="1D3245"/>
                <w:sz w:val="16"/>
              </w:rPr>
              <w:t>Any breach of tolerance</w:t>
            </w:r>
          </w:p>
        </w:tc>
        <w:tc>
          <w:tcPr>
            <w:tcW w:type="dxa" w:w="1604"/>
            <w:tcMar>
              <w:top w:w="40" w:type="dxa"/>
              <w:left w:w="110" w:type="dxa"/>
              <w:bottom w:w="40" w:type="dxa"/>
              <w:right w:w="110" w:type="dxa"/>
            </w:tcMar>
          </w:tcPr>
          <w:p>
            <w:pPr>
              <w:pStyle w:val="MasttTableCell"/>
              <w:spacing w:before="20" w:after="20"/>
            </w:pPr>
            <w:r/>
            <w:r>
              <w:rPr>
                <w:rFonts w:ascii="Segoe UI" w:hAnsi="Segoe UI"/>
                <w:color w:val="1D3245"/>
                <w:sz w:val="16"/>
              </w:rPr>
              <w:t>Sponsor</w:t>
            </w:r>
          </w:p>
        </w:tc>
        <w:tc>
          <w:tcPr>
            <w:tcW w:type="dxa" w:w="1268"/>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269"/>
            <w:tcMar>
              <w:top w:w="40" w:type="dxa"/>
              <w:left w:w="110" w:type="dxa"/>
              <w:bottom w:w="40" w:type="dxa"/>
              <w:right w:w="110" w:type="dxa"/>
            </w:tcMar>
          </w:tcPr>
          <w:p>
            <w:pPr>
              <w:pStyle w:val="MasttTableCell"/>
              <w:spacing w:before="20" w:after="20"/>
            </w:pPr>
            <w:r/>
            <w:r>
              <w:rPr>
                <w:rFonts w:ascii="Segoe UI" w:hAnsi="Segoe UI"/>
                <w:color w:val="1D3245"/>
                <w:sz w:val="16"/>
              </w:rPr>
              <w:t>On trigger</w:t>
            </w:r>
          </w:p>
        </w:tc>
        <w:tc>
          <w:tcPr>
            <w:tcW w:type="dxa" w:w="1272"/>
            <w:tcMar>
              <w:top w:w="40" w:type="dxa"/>
              <w:left w:w="110" w:type="dxa"/>
              <w:bottom w:w="40" w:type="dxa"/>
              <w:right w:w="110" w:type="dxa"/>
            </w:tcMar>
          </w:tcPr>
          <w:p>
            <w:pPr>
              <w:pStyle w:val="MasttTableCell"/>
              <w:spacing w:before="20" w:after="20"/>
            </w:pPr>
            <w:r/>
            <w:r>
              <w:rPr>
                <w:rFonts w:ascii="Segoe UI" w:hAnsi="Segoe UI"/>
                <w:color w:val="1D3245"/>
                <w:sz w:val="16"/>
              </w:rPr>
              <w:t>Within 2 working days</w:t>
            </w:r>
          </w:p>
        </w:tc>
      </w:tr>
      <w:tr>
        <w:trPr>
          <w:cantSplit w:val="true"/>
        </w:trPr>
        <w:tc>
          <w:tcPr>
            <w:tcW w:type="dxa" w:w="171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Closeout report</w:t>
            </w:r>
          </w:p>
        </w:tc>
        <w:tc>
          <w:tcPr>
            <w:tcW w:type="dxa" w:w="228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Outcome, performance and lessons</w:t>
            </w:r>
          </w:p>
        </w:tc>
        <w:tc>
          <w:tcPr>
            <w:tcW w:type="dxa" w:w="160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Sponsor</w:t>
            </w:r>
          </w:p>
        </w:tc>
        <w:tc>
          <w:tcPr>
            <w:tcW w:type="dxa" w:w="1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Manager</w:t>
            </w:r>
          </w:p>
        </w:tc>
        <w:tc>
          <w:tcPr>
            <w:tcW w:type="dxa" w:w="126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At closeout</w:t>
            </w:r>
          </w:p>
        </w:tc>
        <w:tc>
          <w:tcPr>
            <w:tcW w:type="dxa" w:w="127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Within 3 months of completion</w:t>
            </w:r>
          </w:p>
        </w:tc>
      </w:tr>
    </w:tbl>
    <w:p>
      <w:pPr>
        <w:rPr>
          <w:sz w:val="8"/>
        </w:rPr>
        <w:spacing w:after="40" w:before="0" w:line="240" w:lineRule="auto"/>
      </w:pPr>
    </w:p>
    <w:p>
      <w:pPr>
        <w:pStyle w:val="Heading2"/>
      </w:pPr>
      <w:r>
        <w:t>19.3  Key performance indicators</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Twenty well-chosen indicators beat sixty. Each must have a formula that two people would calculate identically, a target, an escalation threshold and an owner. If nobody can state the formula, the indicator is decoration.</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505"/>
        <w:gridCol w:w="1628"/>
        <w:gridCol w:w="2512"/>
        <w:gridCol w:w="1073"/>
        <w:gridCol w:w="1244"/>
        <w:gridCol w:w="1206"/>
        <w:gridCol w:w="1243"/>
      </w:tblGrid>
      <w:tr>
        <w:trPr>
          <w:tblHeader w:val="true"/>
          <w:cantSplit w:val="true"/>
        </w:trPr>
        <w:tc>
          <w:tcPr>
            <w:tcW w:type="dxa" w:w="50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w:t>
            </w:r>
          </w:p>
        </w:tc>
        <w:tc>
          <w:tcPr>
            <w:tcW w:type="dxa" w:w="16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KPI</w:t>
            </w:r>
          </w:p>
        </w:tc>
        <w:tc>
          <w:tcPr>
            <w:tcW w:type="dxa" w:w="251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Definition / formula</w:t>
            </w:r>
          </w:p>
        </w:tc>
        <w:tc>
          <w:tcPr>
            <w:tcW w:type="dxa" w:w="107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Target</w:t>
            </w:r>
          </w:p>
        </w:tc>
        <w:tc>
          <w:tcPr>
            <w:tcW w:type="dxa" w:w="124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Threshold</w:t>
            </w:r>
          </w:p>
        </w:tc>
        <w:tc>
          <w:tcPr>
            <w:tcW w:type="dxa" w:w="120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Frequency</w:t>
            </w:r>
          </w:p>
        </w:tc>
        <w:tc>
          <w:tcPr>
            <w:tcW w:type="dxa" w:w="124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Owner</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1</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TRIFR</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Recordable injuries × 1,000,000 ÷ hours worked</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Below benchmark</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Any increase over 3 months</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HSE</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2</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LTIFR</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Lost time injuries × 1,000,000 ÷ hours worked</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Any occurrence</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HSE</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3</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High-potential incidents</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Count of incidents with potential for serious harm</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0</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Any occurrence</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HSE</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4</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Safety lead indicator compliance</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Completed HSE inspections and interactions ÷ planned</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100%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&lt;90%</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HSE</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5</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SPI</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Earned value ÷ planned value</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≥0.95</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&lt;0.90</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Planner</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6</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Milestone achievement</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Milestones achieved on or before the planned date ÷ milestones due</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≥90%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&lt;80%</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Planner</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7</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Critical path float</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Total float on the critical path</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≥0 days</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Negative</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Planner</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8</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Percent plan complete</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Look-ahead activities completed as promised ÷ promised</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≥80%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&lt;70%</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Weekly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PM</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9</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CPI</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Earned value ÷ actual cost</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≥0.95</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&lt;0.90</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Cost Manager</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10</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Forecast variance at completion</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(BAC − EAC) ÷ BAC × 100</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&lt;−2%</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Cost Manager</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11</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Contingency drawdown ratio</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Contingency drawn ÷ contingency budget, compared with percent complete</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 percent complete</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10 points above</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Commercial</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12</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Change value</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Approved change value ÷ original contract sum</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≤5%</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&gt;10%</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Commercial</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13</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Change assessment cycle time</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Average working days from raised to decided</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≤15 days</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&gt;25 days</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PM</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14</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Commitment coverage</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Value committed ÷ value budgeted</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Aligned to plan</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±10% of plan</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Cost Manager</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15</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First-time inspection pass rate</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Inspections passed first time ÷ inspections carried out</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≥95%</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&lt;90%</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Quality</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16</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Open NCRs beyond 20 days</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Count of NCRs open more than 20 working days</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&gt;3</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Quality</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17</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Design comment closure</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Comments closed ÷ comments raised, by due date</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≥95%</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&lt;85%</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Design Manager</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18</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RFI response time</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Average working days to respond to an RFI</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≤7 days</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&gt;14 days</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Design Manager</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19</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Clash closure rate</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Class 1 clashes closed ÷ raised per federation cycle</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≥95%</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&lt;85%</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Fortnightly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Information Manager</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20</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Environmental incidents</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Count of reportable environmental incidents</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Any occurrence</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ESG Lead</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21</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Waste diversion</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Waste diverted from landfill ÷ total waste by mass</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≥90%</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&lt;80%</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Contractor</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22</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Embodied carbon vs baseline</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Assessed embodied carbon ÷ baseline design carbon</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 target</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&gt;baseline</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At each design stage</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ESG Lead</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23</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Consent condition compliance</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Conditions verified compliant ÷ conditions due</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100%</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&lt;100%</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Planning Lead</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24</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Local employment</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Local workforce hours ÷ total workforce hours</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 target</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&lt;target</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Contractor</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25</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Complaint response</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Complaints substantively answered within 5 working days ÷ complaints received</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100%</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&lt;95%</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Comms Lead</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26</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Stakeholder commitments closed</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Commitments met by due date ÷ commitments due</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100%</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&lt;90%</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Comms Lead</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27</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Action closure</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Governance actions closed by due date ÷ due</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≥90%</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&lt;80%</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PM</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28</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Decision latency</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Average working days from decision request to recorded decision</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≤10 days</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&gt;20 days</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PM</w:t>
            </w:r>
          </w:p>
        </w:tc>
      </w:tr>
      <w:tr>
        <w:trPr>
          <w:cantSplit w:val="true"/>
        </w:trPr>
        <w:tc>
          <w:tcPr>
            <w:tcW w:type="dxa" w:w="505"/>
            <w:tcMar>
              <w:top w:w="40" w:type="dxa"/>
              <w:left w:w="110" w:type="dxa"/>
              <w:bottom w:w="40" w:type="dxa"/>
              <w:right w:w="110" w:type="dxa"/>
            </w:tcMar>
          </w:tcPr>
          <w:p>
            <w:pPr>
              <w:pStyle w:val="MasttTableCell"/>
              <w:spacing w:before="20" w:after="20"/>
            </w:pPr>
            <w:r/>
            <w:r>
              <w:rPr>
                <w:rFonts w:ascii="Segoe UI" w:hAnsi="Segoe UI"/>
                <w:b/>
                <w:color w:val="1D3245"/>
                <w:sz w:val="15"/>
              </w:rPr>
              <w:t>29</w:t>
            </w:r>
          </w:p>
        </w:tc>
        <w:tc>
          <w:tcPr>
            <w:tcW w:type="dxa" w:w="1628"/>
            <w:tcMar>
              <w:top w:w="40" w:type="dxa"/>
              <w:left w:w="110" w:type="dxa"/>
              <w:bottom w:w="40" w:type="dxa"/>
              <w:right w:w="110" w:type="dxa"/>
            </w:tcMar>
          </w:tcPr>
          <w:p>
            <w:pPr>
              <w:pStyle w:val="MasttTableCell"/>
              <w:spacing w:before="20" w:after="20"/>
            </w:pPr>
            <w:r/>
            <w:r>
              <w:rPr>
                <w:rFonts w:ascii="Segoe UI" w:hAnsi="Segoe UI"/>
                <w:color w:val="1D3245"/>
                <w:sz w:val="15"/>
              </w:rPr>
              <w:t>Information delivery</w:t>
            </w:r>
          </w:p>
        </w:tc>
        <w:tc>
          <w:tcPr>
            <w:tcW w:type="dxa" w:w="2512"/>
            <w:tcMar>
              <w:top w:w="40" w:type="dxa"/>
              <w:left w:w="110" w:type="dxa"/>
              <w:bottom w:w="40" w:type="dxa"/>
              <w:right w:w="110" w:type="dxa"/>
            </w:tcMar>
          </w:tcPr>
          <w:p>
            <w:pPr>
              <w:pStyle w:val="MasttTableCell"/>
              <w:spacing w:before="20" w:after="20"/>
            </w:pPr>
            <w:r/>
            <w:r>
              <w:rPr>
                <w:rFonts w:ascii="Segoe UI" w:hAnsi="Segoe UI"/>
                <w:color w:val="1D3245"/>
                <w:sz w:val="15"/>
              </w:rPr>
              <w:t>Deliverables issued on or before the MIDP date ÷ due</w:t>
            </w:r>
          </w:p>
        </w:tc>
        <w:tc>
          <w:tcPr>
            <w:tcW w:type="dxa" w:w="1073"/>
            <w:tcMar>
              <w:top w:w="40" w:type="dxa"/>
              <w:left w:w="110" w:type="dxa"/>
              <w:bottom w:w="40" w:type="dxa"/>
              <w:right w:w="110" w:type="dxa"/>
            </w:tcMar>
          </w:tcPr>
          <w:p>
            <w:pPr>
              <w:pStyle w:val="MasttTableCell"/>
              <w:spacing w:before="20" w:after="20"/>
            </w:pPr>
            <w:r/>
            <w:r>
              <w:rPr>
                <w:rFonts w:ascii="Segoe UI" w:hAnsi="Segoe UI"/>
                <w:color w:val="1D3245"/>
                <w:sz w:val="15"/>
              </w:rPr>
              <w:t>≥95%</w:t>
            </w:r>
          </w:p>
        </w:tc>
        <w:tc>
          <w:tcPr>
            <w:tcW w:type="dxa" w:w="1244"/>
            <w:tcMar>
              <w:top w:w="40" w:type="dxa"/>
              <w:left w:w="110" w:type="dxa"/>
              <w:bottom w:w="40" w:type="dxa"/>
              <w:right w:w="110" w:type="dxa"/>
            </w:tcMar>
          </w:tcPr>
          <w:p>
            <w:pPr>
              <w:pStyle w:val="MasttTableCell"/>
              <w:spacing w:before="20" w:after="20"/>
            </w:pPr>
            <w:r/>
            <w:r>
              <w:rPr>
                <w:rFonts w:ascii="Segoe UI" w:hAnsi="Segoe UI"/>
                <w:color w:val="1D3245"/>
                <w:sz w:val="15"/>
              </w:rPr>
              <w:t>&lt;85%</w:t>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tcPr>
          <w:p>
            <w:pPr>
              <w:pStyle w:val="MasttTableCell"/>
              <w:spacing w:before="20" w:after="20"/>
            </w:pPr>
            <w:r/>
            <w:r>
              <w:rPr>
                <w:rFonts w:ascii="Segoe UI" w:hAnsi="Segoe UI"/>
                <w:color w:val="1D3245"/>
                <w:sz w:val="15"/>
              </w:rPr>
              <w:t>Information Manager</w:t>
            </w:r>
          </w:p>
        </w:tc>
      </w:tr>
      <w:tr>
        <w:trPr>
          <w:cantSplit w:val="true"/>
        </w:trPr>
        <w:tc>
          <w:tcPr>
            <w:tcW w:type="dxa" w:w="50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30</w:t>
            </w:r>
          </w:p>
        </w:tc>
        <w:tc>
          <w:tcPr>
            <w:tcW w:type="dxa" w:w="1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Operational readiness completion</w:t>
            </w:r>
          </w:p>
        </w:tc>
        <w:tc>
          <w:tcPr>
            <w:tcW w:type="dxa" w:w="251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Readiness checklist items complete ÷ due</w:t>
            </w:r>
          </w:p>
        </w:tc>
        <w:tc>
          <w:tcPr>
            <w:tcW w:type="dxa" w:w="10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100% by handover</w:t>
            </w:r>
          </w:p>
        </w:tc>
        <w:tc>
          <w:tcPr>
            <w:tcW w:type="dxa" w:w="124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&lt;90% at 3 months out</w:t>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Monthly</w:t>
            </w:r>
          </w:p>
        </w:tc>
        <w:tc>
          <w:tcPr>
            <w:tcW w:type="dxa" w:w="124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t>Operations Rep</w:t>
            </w:r>
          </w:p>
        </w:tc>
      </w:tr>
    </w:tbl>
    <w:p>
      <w:pPr>
        <w:rPr>
          <w:sz w:val="8"/>
        </w:rPr>
        <w:spacing w:after="40" w:before="0" w:line="240" w:lineRule="auto"/>
      </w:pPr>
    </w:p>
    <w:p>
      <w:pPr>
        <w:pStyle w:val="Heading2"/>
      </w:pPr>
      <w:r>
        <w:t>19.4  Dashboard content</w:t>
      </w:r>
    </w:p>
    <w:p>
      <w:pPr>
        <w:pStyle w:val="ListBullet"/>
        <w:spacing w:after="60"/>
        <w:ind w:left="340"/>
      </w:pPr>
      <w:r>
        <w:rPr>
          <w:rFonts w:ascii="Segoe UI" w:hAnsi="Segoe UI"/>
          <w:color w:val="1D3245"/>
          <w:sz w:val="20"/>
        </w:rPr>
        <w:t>Header: project name, data date, overall status, and the Project Manager's one-sentence assessment.</w:t>
      </w:r>
    </w:p>
    <w:p>
      <w:pPr>
        <w:pStyle w:val="ListBullet"/>
        <w:spacing w:after="60"/>
        <w:ind w:left="340"/>
      </w:pPr>
      <w:r>
        <w:rPr>
          <w:rFonts w:ascii="Segoe UI" w:hAnsi="Segoe UI"/>
          <w:color w:val="1D3245"/>
          <w:sz w:val="20"/>
        </w:rPr>
        <w:t>Safety: TRIFR and LTIFR trend, high-potential incidents, lead indicator compliance.</w:t>
      </w:r>
    </w:p>
    <w:p>
      <w:pPr>
        <w:pStyle w:val="ListBullet"/>
        <w:spacing w:after="60"/>
        <w:ind w:left="340"/>
      </w:pPr>
      <w:r>
        <w:rPr>
          <w:rFonts w:ascii="Segoe UI" w:hAnsi="Segoe UI"/>
          <w:color w:val="1D3245"/>
          <w:sz w:val="20"/>
        </w:rPr>
        <w:t>Schedule: milestone tracker with planned, forecast and actual dates; critical path float trend; SPI.</w:t>
      </w:r>
    </w:p>
    <w:p>
      <w:pPr>
        <w:pStyle w:val="ListBullet"/>
        <w:spacing w:after="60"/>
        <w:ind w:left="340"/>
      </w:pPr>
      <w:r>
        <w:rPr>
          <w:rFonts w:ascii="Segoe UI" w:hAnsi="Segoe UI"/>
          <w:color w:val="1D3245"/>
          <w:sz w:val="20"/>
        </w:rPr>
        <w:t>Cost: budget, commitment, actual, forecast and variance; S-curve against plan; contingency drawdown against percent complete.</w:t>
      </w:r>
    </w:p>
    <w:p>
      <w:pPr>
        <w:pStyle w:val="ListBullet"/>
        <w:spacing w:after="60"/>
        <w:ind w:left="340"/>
      </w:pPr>
      <w:r>
        <w:rPr>
          <w:rFonts w:ascii="Segoe UI" w:hAnsi="Segoe UI"/>
          <w:color w:val="1D3245"/>
          <w:sz w:val="20"/>
        </w:rPr>
        <w:t>Change: approved, pending and rejected change with cumulative value.</w:t>
      </w:r>
    </w:p>
    <w:p>
      <w:pPr>
        <w:pStyle w:val="ListBullet"/>
        <w:spacing w:after="60"/>
        <w:ind w:left="340"/>
      </w:pPr>
      <w:r>
        <w:rPr>
          <w:rFonts w:ascii="Segoe UI" w:hAnsi="Segoe UI"/>
          <w:color w:val="1D3245"/>
          <w:sz w:val="20"/>
        </w:rPr>
        <w:t>Risk: top ten risks by residual exposure with movement arrows; exposure against remaining contingency.</w:t>
      </w:r>
    </w:p>
    <w:p>
      <w:pPr>
        <w:pStyle w:val="ListBullet"/>
        <w:spacing w:after="60"/>
        <w:ind w:left="340"/>
      </w:pPr>
      <w:r>
        <w:rPr>
          <w:rFonts w:ascii="Segoe UI" w:hAnsi="Segoe UI"/>
          <w:color w:val="1D3245"/>
          <w:sz w:val="20"/>
        </w:rPr>
        <w:t>Quality: open NCRs, ageing, first-time pass rate.</w:t>
      </w:r>
    </w:p>
    <w:p>
      <w:pPr>
        <w:pStyle w:val="ListBullet"/>
        <w:spacing w:after="60"/>
        <w:ind w:left="340"/>
      </w:pPr>
      <w:r>
        <w:rPr>
          <w:rFonts w:ascii="Segoe UI" w:hAnsi="Segoe UI"/>
          <w:color w:val="1D3245"/>
          <w:sz w:val="20"/>
        </w:rPr>
        <w:t>ESG: incidents, waste diversion, carbon against baseline, social value.</w:t>
      </w:r>
    </w:p>
    <w:p>
      <w:pPr>
        <w:pStyle w:val="ListBullet"/>
        <w:spacing w:after="60"/>
        <w:ind w:left="340"/>
      </w:pPr>
      <w:r>
        <w:rPr>
          <w:rFonts w:ascii="Segoe UI" w:hAnsi="Segoe UI"/>
          <w:color w:val="1D3245"/>
          <w:sz w:val="20"/>
        </w:rPr>
        <w:t>Decisions required this period, with the date each is needed by.</w:t>
      </w:r>
    </w:p>
    <w:p>
      <w:pPr>
        <w:pStyle w:val="Heading2"/>
      </w:pPr>
      <w:r>
        <w:t>19.5  Data sources and integrity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2495"/>
        <w:gridCol w:w="1814"/>
        <w:gridCol w:w="3175"/>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Metric group</w:t>
            </w:r>
          </w:p>
        </w:tc>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Source system</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Data owner</w:t>
            </w:r>
          </w:p>
        </w:tc>
        <w:tc>
          <w:tcPr>
            <w:tcW w:type="dxa" w:w="31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Validation</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Safety</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HSE management system</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HSE Manager</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Reconciled to contractor returns monthly</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Schedule</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Scheduling software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Planner</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Progress verified on site before acceptance</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Cost</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Project cost system</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Cost Manager</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Reconciled to the corporate ledger monthly</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Change</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Change register</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Reconciled to cost and schedule baselines</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Risk</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Risk register</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Risk Manager</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Quarterly quality audit of the register</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Quality</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Field management system</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Quality Manager</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Sampled against physical records</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Environment and social</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Contractor returns and monitoring data</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ESG Lead</w:t>
            </w:r>
          </w:p>
        </w:tc>
        <w:tc>
          <w:tcPr>
            <w:tcW w:type="dxa" w:w="3175"/>
            <w:tcMar>
              <w:top w:w="40" w:type="dxa"/>
              <w:left w:w="110" w:type="dxa"/>
              <w:bottom w:w="40" w:type="dxa"/>
              <w:right w:w="110" w:type="dxa"/>
            </w:tcMar>
          </w:tcPr>
          <w:p>
            <w:pPr>
              <w:pStyle w:val="MasttTableCell"/>
              <w:spacing w:before="20" w:after="20"/>
            </w:pPr>
            <w:r/>
            <w:r>
              <w:rPr>
                <w:rFonts w:ascii="Segoe UI" w:hAnsi="Segoe UI"/>
                <w:color w:val="1D3245"/>
                <w:sz w:val="17"/>
              </w:rPr>
              <w:t>Verified against weighbridge and monitoring records</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Information</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Common data environment</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Information Manager</w:t>
            </w:r>
          </w:p>
        </w:tc>
        <w:tc>
          <w:tcPr>
            <w:tcW w:type="dxa" w:w="31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Automated validation reporting</w:t>
            </w:r>
          </w:p>
        </w:tc>
      </w:tr>
    </w:tbl>
    <w:p>
      <w:pPr>
        <w:rPr>
          <w:sz w:val="8"/>
        </w:rPr>
        <w:spacing w:after="40" w:before="0" w:line="240" w:lineRule="auto"/>
      </w:pPr>
    </w:p>
    <w:p>
      <w:pPr>
        <w:pStyle w:val="Heading2"/>
      </w:pPr>
      <w:r>
        <w:t>19.6  Exception reporting</w:t>
      </w:r>
    </w:p>
    <w:p>
      <w:pPr>
        <w:pStyle w:val="MasttBody"/>
      </w:pPr>
      <w:r>
        <w:t>An exception report is issued to the Sponsor within 2 working days whenever a tolerance in Section 2.4 is forecast to be breached, a risk rated Extreme emerges, a notifiable incident occurs, a contractual milestone is forecast to be missed, or the forecast cost at completion exceeds the approved budget. The report states what happened, the forecast impact, the options, the recommendation and the decision required.</w:t>
      </w:r>
    </w:p>
    <w:p>
      <w:pPr>
        <w:pStyle w:val="Heading2"/>
      </w:pPr>
      <w:r>
        <w:t>19.7  Lessons capture</w:t>
      </w:r>
    </w:p>
    <w:p>
      <w:pPr>
        <w:pStyle w:val="ListBullet"/>
        <w:spacing w:after="60"/>
        <w:ind w:left="340"/>
      </w:pPr>
      <w:r>
        <w:rPr>
          <w:rFonts w:ascii="Segoe UI" w:hAnsi="Segoe UI"/>
          <w:color w:val="1D3245"/>
          <w:sz w:val="20"/>
        </w:rPr>
        <w:t>Lessons are captured continuously in the lessons register, not retrospectively at closeout.</w:t>
      </w:r>
    </w:p>
    <w:p>
      <w:pPr>
        <w:pStyle w:val="ListBullet"/>
        <w:spacing w:after="60"/>
        <w:ind w:left="340"/>
      </w:pPr>
      <w:r>
        <w:rPr>
          <w:rFonts w:ascii="Segoe UI" w:hAnsi="Segoe UI"/>
          <w:color w:val="1D3245"/>
          <w:sz w:val="20"/>
        </w:rPr>
        <w:t>A facilitated lessons session is held at every stage gate, after every significant incident or claim, and at completion of every major package.</w:t>
      </w:r>
    </w:p>
    <w:p>
      <w:pPr>
        <w:pStyle w:val="ListBullet"/>
        <w:spacing w:after="60"/>
        <w:ind w:left="340"/>
      </w:pPr>
      <w:r>
        <w:rPr>
          <w:rFonts w:ascii="Segoe UI" w:hAnsi="Segoe UI"/>
          <w:color w:val="1D3245"/>
          <w:sz w:val="20"/>
        </w:rPr>
        <w:t>Each lesson records the situation, what happened, the root cause, the recommendation and the owner of the change to practice.</w:t>
      </w:r>
    </w:p>
    <w:p>
      <w:pPr>
        <w:pStyle w:val="ListBullet"/>
        <w:spacing w:after="60"/>
        <w:ind w:left="340"/>
      </w:pPr>
      <w:r>
        <w:rPr>
          <w:rFonts w:ascii="Segoe UI" w:hAnsi="Segoe UI"/>
          <w:color w:val="1D3245"/>
          <w:sz w:val="20"/>
        </w:rPr>
        <w:t>Lessons relevant to the wider portfolio are transmitted to the PMO within 20 working days and are actively fed into future project plans.</w:t>
      </w:r>
    </w:p>
    <w:p>
      <w:r>
        <w:br w:type="page"/>
      </w:r>
    </w:p>
    <w:p>
      <w:pPr>
        <w:pStyle w:val="Heading1"/>
        <w:pBdr>
          <w:bottom w:val="single" w:sz="6" w:space="4" w:color="C9D4E0"/>
        </w:pBdr>
      </w:pPr>
      <w:r>
        <w:t>20.  Testing, commissioning, handover and closeout</w:t>
      </w:r>
    </w:p>
    <w:p>
      <w:pPr>
        <w:pStyle w:val="Heading2"/>
      </w:pPr>
      <w:r>
        <w:t>20.1  Commissioning strategy</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Commissioning is where projects run out of time, because it is planned last and starts late. Build the commissioning programme backwards from the required operational date, and protect it - every day of construction overrun consumes a day of commissioning unless the completion date moves with it.</w:t>
            </w:r>
          </w:p>
        </w:tc>
      </w:tr>
    </w:tbl>
    <w:p>
      <w:pPr>
        <w:rPr>
          <w:sz w:val="8"/>
        </w:rPr>
        <w:spacing w:after="40" w:before="0" w:line="240" w:lineRule="auto"/>
      </w:pPr>
    </w:p>
    <w:p>
      <w:pPr>
        <w:pStyle w:val="MasttBody"/>
      </w:pPr>
      <w:r>
        <w:t>Commissioning is planned from design stage, with the commissioning manager appointed no later than the end of developed design. The commissioning programme is a distinct section of the master schedule with its own milestones, resources and float.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48"/>
        <w:gridCol w:w="3060"/>
        <w:gridCol w:w="1896"/>
        <w:gridCol w:w="2509"/>
      </w:tblGrid>
      <w:tr>
        <w:trPr>
          <w:tblHeader w:val="true"/>
          <w:cantSplit w:val="true"/>
        </w:trPr>
        <w:tc>
          <w:tcPr>
            <w:tcW w:type="dxa" w:w="194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Stage</w:t>
            </w:r>
          </w:p>
        </w:tc>
        <w:tc>
          <w:tcPr>
            <w:tcW w:type="dxa" w:w="305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Activity</w:t>
            </w:r>
          </w:p>
        </w:tc>
        <w:tc>
          <w:tcPr>
            <w:tcW w:type="dxa" w:w="189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Responsible</w:t>
            </w:r>
          </w:p>
        </w:tc>
        <w:tc>
          <w:tcPr>
            <w:tcW w:type="dxa" w:w="250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Evidence</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Design</w:t>
            </w:r>
          </w:p>
        </w:tc>
        <w:tc>
          <w:tcPr>
            <w:tcW w:type="dxa" w:w="3059"/>
            <w:tcMar>
              <w:top w:w="40" w:type="dxa"/>
              <w:left w:w="110" w:type="dxa"/>
              <w:bottom w:w="40" w:type="dxa"/>
              <w:right w:w="110" w:type="dxa"/>
            </w:tcMar>
          </w:tcPr>
          <w:p>
            <w:pPr>
              <w:pStyle w:val="MasttTableCell"/>
              <w:spacing w:before="20" w:after="20"/>
            </w:pPr>
            <w:r/>
            <w:r>
              <w:rPr>
                <w:rFonts w:ascii="Segoe UI" w:hAnsi="Segoe UI"/>
                <w:color w:val="1D3245"/>
                <w:sz w:val="17"/>
              </w:rPr>
              <w:t>Commissionability review; specification of testing regimes, access and metering</w:t>
            </w:r>
          </w:p>
        </w:tc>
        <w:tc>
          <w:tcPr>
            <w:tcW w:type="dxa" w:w="1896"/>
            <w:tcMar>
              <w:top w:w="40" w:type="dxa"/>
              <w:left w:w="110" w:type="dxa"/>
              <w:bottom w:w="40" w:type="dxa"/>
              <w:right w:w="110" w:type="dxa"/>
            </w:tcMar>
          </w:tcPr>
          <w:p>
            <w:pPr>
              <w:pStyle w:val="MasttTableCell"/>
              <w:spacing w:before="20" w:after="20"/>
            </w:pPr>
            <w:r/>
            <w:r>
              <w:rPr>
                <w:rFonts w:ascii="Segoe UI" w:hAnsi="Segoe UI"/>
                <w:color w:val="1D3245"/>
                <w:sz w:val="17"/>
              </w:rPr>
              <w:t>Commissioning Manager</w:t>
            </w:r>
          </w:p>
        </w:tc>
        <w:tc>
          <w:tcPr>
            <w:tcW w:type="dxa" w:w="2509"/>
            <w:tcMar>
              <w:top w:w="40" w:type="dxa"/>
              <w:left w:w="110" w:type="dxa"/>
              <w:bottom w:w="40" w:type="dxa"/>
              <w:right w:w="110" w:type="dxa"/>
            </w:tcMar>
          </w:tcPr>
          <w:p>
            <w:pPr>
              <w:pStyle w:val="MasttTableCell"/>
              <w:spacing w:before="20" w:after="20"/>
            </w:pPr>
            <w:r/>
            <w:r>
              <w:rPr>
                <w:rFonts w:ascii="Segoe UI" w:hAnsi="Segoe UI"/>
                <w:color w:val="1D3245"/>
                <w:sz w:val="17"/>
              </w:rPr>
              <w:t>Commissioning strategy and specification</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Pre-construction</w:t>
            </w:r>
          </w:p>
        </w:tc>
        <w:tc>
          <w:tcPr>
            <w:tcW w:type="dxa" w:w="30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programme, method statements and witnessing schedule agreed</w:t>
            </w:r>
          </w:p>
        </w:tc>
        <w:tc>
          <w:tcPr>
            <w:tcW w:type="dxa" w:w="18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Manager</w:t>
            </w:r>
          </w:p>
        </w:tc>
        <w:tc>
          <w:tcPr>
            <w:tcW w:type="dxa" w:w="25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Accepted commissioning plan</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Installation</w:t>
            </w:r>
          </w:p>
        </w:tc>
        <w:tc>
          <w:tcPr>
            <w:tcW w:type="dxa" w:w="3059"/>
            <w:tcMar>
              <w:top w:w="40" w:type="dxa"/>
              <w:left w:w="110" w:type="dxa"/>
              <w:bottom w:w="40" w:type="dxa"/>
              <w:right w:w="110" w:type="dxa"/>
            </w:tcMar>
          </w:tcPr>
          <w:p>
            <w:pPr>
              <w:pStyle w:val="MasttTableCell"/>
              <w:spacing w:before="20" w:after="20"/>
            </w:pPr>
            <w:r/>
            <w:r>
              <w:rPr>
                <w:rFonts w:ascii="Segoe UI" w:hAnsi="Segoe UI"/>
                <w:color w:val="1D3245"/>
                <w:sz w:val="17"/>
              </w:rPr>
              <w:t>Installation checks and quality verification against ITPs</w:t>
            </w:r>
          </w:p>
        </w:tc>
        <w:tc>
          <w:tcPr>
            <w:tcW w:type="dxa" w:w="1896"/>
            <w:tcMar>
              <w:top w:w="40" w:type="dxa"/>
              <w:left w:w="110" w:type="dxa"/>
              <w:bottom w:w="40" w:type="dxa"/>
              <w:right w:w="110" w:type="dxa"/>
            </w:tcMar>
          </w:tcPr>
          <w:p>
            <w:pPr>
              <w:pStyle w:val="MasttTableCell"/>
              <w:spacing w:before="20" w:after="20"/>
            </w:pPr>
            <w:r/>
            <w:r>
              <w:rPr>
                <w:rFonts w:ascii="Segoe UI" w:hAnsi="Segoe UI"/>
                <w:color w:val="1D3245"/>
                <w:sz w:val="17"/>
              </w:rPr>
              <w:t>Contractor</w:t>
            </w:r>
          </w:p>
        </w:tc>
        <w:tc>
          <w:tcPr>
            <w:tcW w:type="dxa" w:w="2509"/>
            <w:tcMar>
              <w:top w:w="40" w:type="dxa"/>
              <w:left w:w="110" w:type="dxa"/>
              <w:bottom w:w="40" w:type="dxa"/>
              <w:right w:w="110" w:type="dxa"/>
            </w:tcMar>
          </w:tcPr>
          <w:p>
            <w:pPr>
              <w:pStyle w:val="MasttTableCell"/>
              <w:spacing w:before="20" w:after="20"/>
            </w:pPr>
            <w:r/>
            <w:r>
              <w:rPr>
                <w:rFonts w:ascii="Segoe UI" w:hAnsi="Segoe UI"/>
                <w:color w:val="1D3245"/>
                <w:sz w:val="17"/>
              </w:rPr>
              <w:t>Signed ITPs and installation checksheets</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Static commissioning</w:t>
            </w:r>
          </w:p>
        </w:tc>
        <w:tc>
          <w:tcPr>
            <w:tcW w:type="dxa" w:w="30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Pre-commissioning checks, cleaning, flushing, pressure and continuity testing, energisation readiness</w:t>
            </w:r>
          </w:p>
        </w:tc>
        <w:tc>
          <w:tcPr>
            <w:tcW w:type="dxa" w:w="18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w:t>
            </w:r>
          </w:p>
        </w:tc>
        <w:tc>
          <w:tcPr>
            <w:tcW w:type="dxa" w:w="25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Static completion certificates</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Dynamic commissioning</w:t>
            </w:r>
          </w:p>
        </w:tc>
        <w:tc>
          <w:tcPr>
            <w:tcW w:type="dxa" w:w="3059"/>
            <w:tcMar>
              <w:top w:w="40" w:type="dxa"/>
              <w:left w:w="110" w:type="dxa"/>
              <w:bottom w:w="40" w:type="dxa"/>
              <w:right w:w="110" w:type="dxa"/>
            </w:tcMar>
          </w:tcPr>
          <w:p>
            <w:pPr>
              <w:pStyle w:val="MasttTableCell"/>
              <w:spacing w:before="20" w:after="20"/>
            </w:pPr>
            <w:r/>
            <w:r>
              <w:rPr>
                <w:rFonts w:ascii="Segoe UI" w:hAnsi="Segoe UI"/>
                <w:color w:val="1D3245"/>
                <w:sz w:val="17"/>
              </w:rPr>
              <w:t>Individual system setting to work, balancing, control verification</w:t>
            </w:r>
          </w:p>
        </w:tc>
        <w:tc>
          <w:tcPr>
            <w:tcW w:type="dxa" w:w="1896"/>
            <w:tcMar>
              <w:top w:w="40" w:type="dxa"/>
              <w:left w:w="110" w:type="dxa"/>
              <w:bottom w:w="40" w:type="dxa"/>
              <w:right w:w="110" w:type="dxa"/>
            </w:tcMar>
          </w:tcPr>
          <w:p>
            <w:pPr>
              <w:pStyle w:val="MasttTableCell"/>
              <w:spacing w:before="20" w:after="20"/>
            </w:pPr>
            <w:r/>
            <w:r>
              <w:rPr>
                <w:rFonts w:ascii="Segoe UI" w:hAnsi="Segoe UI"/>
                <w:color w:val="1D3245"/>
                <w:sz w:val="17"/>
              </w:rPr>
              <w:t>Contractor and specialists</w:t>
            </w:r>
          </w:p>
        </w:tc>
        <w:tc>
          <w:tcPr>
            <w:tcW w:type="dxa" w:w="2509"/>
            <w:tcMar>
              <w:top w:w="40" w:type="dxa"/>
              <w:left w:w="110" w:type="dxa"/>
              <w:bottom w:w="40" w:type="dxa"/>
              <w:right w:w="110" w:type="dxa"/>
            </w:tcMar>
          </w:tcPr>
          <w:p>
            <w:pPr>
              <w:pStyle w:val="MasttTableCell"/>
              <w:spacing w:before="20" w:after="20"/>
            </w:pPr>
            <w:r/>
            <w:r>
              <w:rPr>
                <w:rFonts w:ascii="Segoe UI" w:hAnsi="Segoe UI"/>
                <w:color w:val="1D3245"/>
                <w:sz w:val="17"/>
              </w:rPr>
              <w:t>System commissioning records</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Integrated systems testing</w:t>
            </w:r>
          </w:p>
        </w:tc>
        <w:tc>
          <w:tcPr>
            <w:tcW w:type="dxa" w:w="30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Cause-and-effect testing across interacting systems</w:t>
            </w:r>
          </w:p>
        </w:tc>
        <w:tc>
          <w:tcPr>
            <w:tcW w:type="dxa" w:w="18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Manager</w:t>
            </w:r>
          </w:p>
        </w:tc>
        <w:tc>
          <w:tcPr>
            <w:tcW w:type="dxa" w:w="25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Witnessed IST results</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Performance verification</w:t>
            </w:r>
          </w:p>
        </w:tc>
        <w:tc>
          <w:tcPr>
            <w:tcW w:type="dxa" w:w="3059"/>
            <w:tcMar>
              <w:top w:w="40" w:type="dxa"/>
              <w:left w:w="110" w:type="dxa"/>
              <w:bottom w:w="40" w:type="dxa"/>
              <w:right w:w="110" w:type="dxa"/>
            </w:tcMar>
          </w:tcPr>
          <w:p>
            <w:pPr>
              <w:pStyle w:val="MasttTableCell"/>
              <w:spacing w:before="20" w:after="20"/>
            </w:pPr>
            <w:r/>
            <w:r>
              <w:rPr>
                <w:rFonts w:ascii="Segoe UI" w:hAnsi="Segoe UI"/>
                <w:color w:val="1D3245"/>
                <w:sz w:val="17"/>
              </w:rPr>
              <w:t>Testing against specified performance under representative conditions</w:t>
            </w:r>
          </w:p>
        </w:tc>
        <w:tc>
          <w:tcPr>
            <w:tcW w:type="dxa" w:w="1896"/>
            <w:tcMar>
              <w:top w:w="40" w:type="dxa"/>
              <w:left w:w="110" w:type="dxa"/>
              <w:bottom w:w="40" w:type="dxa"/>
              <w:right w:w="110" w:type="dxa"/>
            </w:tcMar>
          </w:tcPr>
          <w:p>
            <w:pPr>
              <w:pStyle w:val="MasttTableCell"/>
              <w:spacing w:before="20" w:after="20"/>
            </w:pPr>
            <w:r/>
            <w:r>
              <w:rPr>
                <w:rFonts w:ascii="Segoe UI" w:hAnsi="Segoe UI"/>
                <w:color w:val="1D3245"/>
                <w:sz w:val="17"/>
              </w:rPr>
              <w:t>Independent commissioning agent</w:t>
            </w:r>
          </w:p>
        </w:tc>
        <w:tc>
          <w:tcPr>
            <w:tcW w:type="dxa" w:w="2509"/>
            <w:tcMar>
              <w:top w:w="40" w:type="dxa"/>
              <w:left w:w="110" w:type="dxa"/>
              <w:bottom w:w="40" w:type="dxa"/>
              <w:right w:w="110" w:type="dxa"/>
            </w:tcMar>
          </w:tcPr>
          <w:p>
            <w:pPr>
              <w:pStyle w:val="MasttTableCell"/>
              <w:spacing w:before="20" w:after="20"/>
            </w:pPr>
            <w:r/>
            <w:r>
              <w:rPr>
                <w:rFonts w:ascii="Segoe UI" w:hAnsi="Segoe UI"/>
                <w:color w:val="1D3245"/>
                <w:sz w:val="17"/>
              </w:rPr>
              <w:t>Performance test report</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Regulatory testing</w:t>
            </w:r>
          </w:p>
        </w:tc>
        <w:tc>
          <w:tcPr>
            <w:tcW w:type="dxa" w:w="30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Statutory tests and certification required in the jurisdiction</w:t>
            </w:r>
          </w:p>
        </w:tc>
        <w:tc>
          <w:tcPr>
            <w:tcW w:type="dxa" w:w="18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Certifier / authority</w:t>
            </w:r>
          </w:p>
        </w:tc>
        <w:tc>
          <w:tcPr>
            <w:tcW w:type="dxa" w:w="25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Statutory certificates</w:t>
            </w:r>
          </w:p>
        </w:tc>
      </w:tr>
      <w:tr>
        <w:trPr>
          <w:cantSplit w:val="true"/>
        </w:trPr>
        <w:tc>
          <w:tcPr>
            <w:tcW w:type="dxa" w:w="1947"/>
            <w:tcMar>
              <w:top w:w="40" w:type="dxa"/>
              <w:left w:w="110" w:type="dxa"/>
              <w:bottom w:w="40" w:type="dxa"/>
              <w:right w:w="110" w:type="dxa"/>
            </w:tcMar>
          </w:tcPr>
          <w:p>
            <w:pPr>
              <w:pStyle w:val="MasttTableCell"/>
              <w:spacing w:before="20" w:after="20"/>
            </w:pPr>
            <w:r/>
            <w:r>
              <w:rPr>
                <w:rFonts w:ascii="Segoe UI" w:hAnsi="Segoe UI"/>
                <w:b/>
                <w:color w:val="1D3245"/>
                <w:sz w:val="17"/>
              </w:rPr>
              <w:t>Seasonal commissioning</w:t>
            </w:r>
          </w:p>
        </w:tc>
        <w:tc>
          <w:tcPr>
            <w:tcW w:type="dxa" w:w="3059"/>
            <w:tcMar>
              <w:top w:w="40" w:type="dxa"/>
              <w:left w:w="110" w:type="dxa"/>
              <w:bottom w:w="40" w:type="dxa"/>
              <w:right w:w="110" w:type="dxa"/>
            </w:tcMar>
          </w:tcPr>
          <w:p>
            <w:pPr>
              <w:pStyle w:val="MasttTableCell"/>
              <w:spacing w:before="20" w:after="20"/>
            </w:pPr>
            <w:r/>
            <w:r>
              <w:rPr>
                <w:rFonts w:ascii="Segoe UI" w:hAnsi="Segoe UI"/>
                <w:color w:val="1D3245"/>
                <w:sz w:val="17"/>
              </w:rPr>
              <w:t>Verification under opposite seasonal conditions</w:t>
            </w:r>
          </w:p>
        </w:tc>
        <w:tc>
          <w:tcPr>
            <w:tcW w:type="dxa" w:w="1896"/>
            <w:tcMar>
              <w:top w:w="40" w:type="dxa"/>
              <w:left w:w="110" w:type="dxa"/>
              <w:bottom w:w="40" w:type="dxa"/>
              <w:right w:w="110" w:type="dxa"/>
            </w:tcMar>
          </w:tcPr>
          <w:p>
            <w:pPr>
              <w:pStyle w:val="MasttTableCell"/>
              <w:spacing w:before="20" w:after="20"/>
            </w:pPr>
            <w:r/>
            <w:r>
              <w:rPr>
                <w:rFonts w:ascii="Segoe UI" w:hAnsi="Segoe UI"/>
                <w:color w:val="1D3245"/>
                <w:sz w:val="17"/>
              </w:rPr>
              <w:t>Commissioning Manager</w:t>
            </w:r>
          </w:p>
        </w:tc>
        <w:tc>
          <w:tcPr>
            <w:tcW w:type="dxa" w:w="2509"/>
            <w:tcMar>
              <w:top w:w="40" w:type="dxa"/>
              <w:left w:w="110" w:type="dxa"/>
              <w:bottom w:w="40" w:type="dxa"/>
              <w:right w:w="110" w:type="dxa"/>
            </w:tcMar>
          </w:tcPr>
          <w:p>
            <w:pPr>
              <w:pStyle w:val="MasttTableCell"/>
              <w:spacing w:before="20" w:after="20"/>
            </w:pPr>
            <w:r/>
            <w:r>
              <w:rPr>
                <w:rFonts w:ascii="Segoe UI" w:hAnsi="Segoe UI"/>
                <w:color w:val="1D3245"/>
                <w:sz w:val="17"/>
              </w:rPr>
              <w:t>Seasonal test report</w:t>
            </w:r>
          </w:p>
        </w:tc>
      </w:tr>
      <w:tr>
        <w:trPr>
          <w:cantSplit w:val="true"/>
        </w:trPr>
        <w:tc>
          <w:tcPr>
            <w:tcW w:type="dxa" w:w="194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Fine tuning and aftercare</w:t>
            </w:r>
          </w:p>
        </w:tc>
        <w:tc>
          <w:tcPr>
            <w:tcW w:type="dxa" w:w="30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Optimisation in use during the first period of operation</w:t>
            </w:r>
          </w:p>
        </w:tc>
        <w:tc>
          <w:tcPr>
            <w:tcW w:type="dxa" w:w="18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Contractor and operator</w:t>
            </w:r>
          </w:p>
        </w:tc>
        <w:tc>
          <w:tcPr>
            <w:tcW w:type="dxa" w:w="250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Aftercare records</w:t>
            </w:r>
          </w:p>
        </w:tc>
      </w:tr>
    </w:tbl>
    <w:p>
      <w:pPr>
        <w:rPr>
          <w:sz w:val="8"/>
        </w:rPr>
        <w:spacing w:after="40" w:before="0" w:line="240" w:lineRule="auto"/>
      </w:pPr>
    </w:p>
    <w:p>
      <w:pPr>
        <w:pStyle w:val="Heading2"/>
      </w:pPr>
      <w:r>
        <w:t>20.2  Integrated systems testing</w:t>
      </w:r>
    </w:p>
    <w:p>
      <w:pPr>
        <w:pStyle w:val="ListBullet"/>
        <w:spacing w:after="60"/>
        <w:ind w:left="340"/>
      </w:pPr>
      <w:r>
        <w:rPr>
          <w:rFonts w:ascii="Segoe UI" w:hAnsi="Segoe UI"/>
          <w:color w:val="1D3245"/>
          <w:sz w:val="20"/>
        </w:rPr>
        <w:t>Integrated systems testing verifies that systems behave correctly together - typically fire detection and alarm with smoke control, lifts, access control, door release, public address and emergency power.</w:t>
      </w:r>
    </w:p>
    <w:p>
      <w:pPr>
        <w:pStyle w:val="ListBullet"/>
        <w:spacing w:after="60"/>
        <w:ind w:left="340"/>
      </w:pPr>
      <w:r>
        <w:rPr>
          <w:rFonts w:ascii="Segoe UI" w:hAnsi="Segoe UI"/>
          <w:color w:val="1D3245"/>
          <w:sz w:val="20"/>
        </w:rPr>
        <w:t>A cause-and-effect matrix is prepared at design stage, agreed with the authority and the operator, and forms the test script.</w:t>
      </w:r>
    </w:p>
    <w:p>
      <w:pPr>
        <w:pStyle w:val="ListBullet"/>
        <w:spacing w:after="60"/>
        <w:ind w:left="340"/>
      </w:pPr>
      <w:r>
        <w:rPr>
          <w:rFonts w:ascii="Segoe UI" w:hAnsi="Segoe UI"/>
          <w:color w:val="1D3245"/>
          <w:sz w:val="20"/>
        </w:rPr>
        <w:t>Testing is witnessed by the client, the operator, the certifier and the insurer where required, and every result is recorded against the matrix.</w:t>
      </w:r>
    </w:p>
    <w:p>
      <w:pPr>
        <w:pStyle w:val="ListBullet"/>
        <w:spacing w:after="60"/>
        <w:ind w:left="340"/>
      </w:pPr>
      <w:r>
        <w:rPr>
          <w:rFonts w:ascii="Segoe UI" w:hAnsi="Segoe UI"/>
          <w:color w:val="1D3245"/>
          <w:sz w:val="20"/>
        </w:rPr>
        <w:t>Failed tests are rectified and the affected sequence is re-tested in full, not in part.</w:t>
      </w:r>
    </w:p>
    <w:p>
      <w:pPr>
        <w:pStyle w:val="ListBullet"/>
        <w:spacing w:after="60"/>
        <w:ind w:left="340"/>
      </w:pPr>
      <w:r>
        <w:rPr>
          <w:rFonts w:ascii="Segoe UI" w:hAnsi="Segoe UI"/>
          <w:color w:val="1D3245"/>
          <w:sz w:val="20"/>
        </w:rPr>
        <w:t>Integrated testing cannot begin until every contributing system has passed its own commissioning.</w:t>
      </w:r>
    </w:p>
    <w:p>
      <w:pPr>
        <w:pStyle w:val="Heading2"/>
      </w:pPr>
      <w:r>
        <w:t>20.3  Training and familiarisation</w:t>
      </w:r>
    </w:p>
    <w:p>
      <w:pPr>
        <w:pStyle w:val="ListBullet"/>
        <w:spacing w:after="60"/>
        <w:ind w:left="340"/>
      </w:pPr>
      <w:r>
        <w:rPr>
          <w:rFonts w:ascii="Segoe UI" w:hAnsi="Segoe UI"/>
          <w:color w:val="1D3245"/>
          <w:sz w:val="20"/>
        </w:rPr>
        <w:t>A training needs analysis is completed at least six months before planned completion, covering operations, maintenance, security, cleaning and end users.</w:t>
      </w:r>
    </w:p>
    <w:p>
      <w:pPr>
        <w:pStyle w:val="ListBullet"/>
        <w:spacing w:after="60"/>
        <w:ind w:left="340"/>
      </w:pPr>
      <w:r>
        <w:rPr>
          <w:rFonts w:ascii="Segoe UI" w:hAnsi="Segoe UI"/>
          <w:color w:val="1D3245"/>
          <w:sz w:val="20"/>
        </w:rPr>
        <w:t>Training is delivered on the installed systems, on site, by the installers, before handover - not by video afterwards.</w:t>
      </w:r>
    </w:p>
    <w:p>
      <w:pPr>
        <w:pStyle w:val="ListBullet"/>
        <w:spacing w:after="60"/>
        <w:ind w:left="340"/>
      </w:pPr>
      <w:r>
        <w:rPr>
          <w:rFonts w:ascii="Segoe UI" w:hAnsi="Segoe UI"/>
          <w:color w:val="1D3245"/>
          <w:sz w:val="20"/>
        </w:rPr>
        <w:t>Training is recorded, and recordings and materials are provided as part of the handover documentation for future staff.</w:t>
      </w:r>
    </w:p>
    <w:p>
      <w:pPr>
        <w:pStyle w:val="ListBullet"/>
        <w:spacing w:after="60"/>
        <w:ind w:left="340"/>
      </w:pPr>
      <w:r>
        <w:rPr>
          <w:rFonts w:ascii="Segoe UI" w:hAnsi="Segoe UI"/>
          <w:color w:val="1D3245"/>
          <w:sz w:val="20"/>
        </w:rPr>
        <w:t>Familiarisation walkthroughs are undertaken with the operator during construction so that concealed services and access routes are understood.</w:t>
      </w:r>
    </w:p>
    <w:p>
      <w:pPr>
        <w:pStyle w:val="Heading2"/>
      </w:pPr>
      <w:r>
        <w:t>20.4  Soft landings and aftercare</w:t>
      </w:r>
    </w:p>
    <w:p>
      <w:pPr>
        <w:pStyle w:val="ListBullet"/>
        <w:spacing w:after="60"/>
        <w:ind w:left="340"/>
      </w:pPr>
      <w:r>
        <w:rPr>
          <w:rFonts w:ascii="Segoe UI" w:hAnsi="Segoe UI"/>
          <w:color w:val="1D3245"/>
          <w:sz w:val="20"/>
        </w:rPr>
        <w:t>The design and construction teams remain engaged after handover for a defined aftercare period - commonly 12 months, extending through a full seasonal cycle.</w:t>
      </w:r>
    </w:p>
    <w:p>
      <w:pPr>
        <w:pStyle w:val="ListBullet"/>
        <w:spacing w:after="60"/>
        <w:ind w:left="340"/>
      </w:pPr>
      <w:r>
        <w:rPr>
          <w:rFonts w:ascii="Segoe UI" w:hAnsi="Segoe UI"/>
          <w:color w:val="1D3245"/>
          <w:sz w:val="20"/>
        </w:rPr>
        <w:t>An aftercare team, resident on site initially and then on call, resolves operational issues and tunes system performance.</w:t>
      </w:r>
    </w:p>
    <w:p>
      <w:pPr>
        <w:pStyle w:val="ListBullet"/>
        <w:spacing w:after="60"/>
        <w:ind w:left="340"/>
      </w:pPr>
      <w:r>
        <w:rPr>
          <w:rFonts w:ascii="Segoe UI" w:hAnsi="Segoe UI"/>
          <w:color w:val="1D3245"/>
          <w:sz w:val="20"/>
        </w:rPr>
        <w:t>Performance in use is measured against the design intent, and the gap is analysed and acted on rather than explained away.</w:t>
      </w:r>
    </w:p>
    <w:p>
      <w:pPr>
        <w:pStyle w:val="ListBullet"/>
        <w:spacing w:after="60"/>
        <w:ind w:left="340"/>
      </w:pPr>
      <w:r>
        <w:rPr>
          <w:rFonts w:ascii="Segoe UI" w:hAnsi="Segoe UI"/>
          <w:color w:val="1D3245"/>
          <w:sz w:val="20"/>
        </w:rPr>
        <w:t>A post-occupancy evaluation is undertaken and its findings feed both the asset's operation and the client's future briefs.</w:t>
      </w:r>
    </w:p>
    <w:p>
      <w:pPr>
        <w:pStyle w:val="Heading2"/>
      </w:pPr>
      <w:r>
        <w:t>20.5  Documentation and asset data handover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2000"/>
        <w:gridCol w:w="3530"/>
        <w:gridCol w:w="2118"/>
        <w:gridCol w:w="1765"/>
      </w:tblGrid>
      <w:tr>
        <w:trPr>
          <w:tblHeader w:val="true"/>
          <w:cantSplit w:val="true"/>
        </w:trPr>
        <w:tc>
          <w:tcPr>
            <w:tcW w:type="dxa" w:w="200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Deliverable</w:t>
            </w:r>
          </w:p>
        </w:tc>
        <w:tc>
          <w:tcPr>
            <w:tcW w:type="dxa" w:w="352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Content</w:t>
            </w:r>
          </w:p>
        </w:tc>
        <w:tc>
          <w:tcPr>
            <w:tcW w:type="dxa" w:w="211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Required by</w:t>
            </w:r>
          </w:p>
        </w:tc>
        <w:tc>
          <w:tcPr>
            <w:tcW w:type="dxa" w:w="176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Accepted by</w:t>
            </w:r>
          </w:p>
        </w:tc>
      </w:tr>
      <w:tr>
        <w:trPr>
          <w:cantSplit w:val="true"/>
        </w:trPr>
        <w:tc>
          <w:tcPr>
            <w:tcW w:type="dxa" w:w="2000"/>
            <w:tcMar>
              <w:top w:w="40" w:type="dxa"/>
              <w:left w:w="110" w:type="dxa"/>
              <w:bottom w:w="40" w:type="dxa"/>
              <w:right w:w="110" w:type="dxa"/>
            </w:tcMar>
          </w:tcPr>
          <w:p>
            <w:pPr>
              <w:pStyle w:val="MasttTableCell"/>
              <w:spacing w:before="20" w:after="20"/>
            </w:pPr>
            <w:r/>
            <w:r>
              <w:rPr>
                <w:rFonts w:ascii="Segoe UI" w:hAnsi="Segoe UI"/>
                <w:b/>
                <w:color w:val="1D3245"/>
                <w:sz w:val="17"/>
              </w:rPr>
              <w:t>As-built drawings and models</w:t>
            </w:r>
          </w:p>
        </w:tc>
        <w:tc>
          <w:tcPr>
            <w:tcW w:type="dxa" w:w="3529"/>
            <w:tcMar>
              <w:top w:w="40" w:type="dxa"/>
              <w:left w:w="110" w:type="dxa"/>
              <w:bottom w:w="40" w:type="dxa"/>
              <w:right w:w="110" w:type="dxa"/>
            </w:tcMar>
          </w:tcPr>
          <w:p>
            <w:pPr>
              <w:pStyle w:val="MasttTableCell"/>
              <w:spacing w:before="20" w:after="20"/>
            </w:pPr>
            <w:r/>
            <w:r>
              <w:rPr>
                <w:rFonts w:ascii="Segoe UI" w:hAnsi="Segoe UI"/>
                <w:color w:val="1D3245"/>
                <w:sz w:val="17"/>
              </w:rPr>
              <w:t>Verified record of the works as constructed, to the agreed tolerance</w:t>
            </w:r>
          </w:p>
        </w:tc>
        <w:tc>
          <w:tcPr>
            <w:tcW w:type="dxa" w:w="2117"/>
            <w:tcMar>
              <w:top w:w="40" w:type="dxa"/>
              <w:left w:w="110" w:type="dxa"/>
              <w:bottom w:w="40" w:type="dxa"/>
              <w:right w:w="110" w:type="dxa"/>
            </w:tcMar>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tcPr>
          <w:p>
            <w:pPr>
              <w:pStyle w:val="MasttTableCell"/>
              <w:spacing w:before="20" w:after="20"/>
            </w:pPr>
            <w:r/>
            <w:r>
              <w:rPr>
                <w:rFonts w:ascii="Segoe UI" w:hAnsi="Segoe UI"/>
                <w:color w:val="1D3245"/>
                <w:sz w:val="17"/>
              </w:rPr>
              <w:t>Information Manager</w:t>
            </w:r>
          </w:p>
        </w:tc>
      </w:tr>
      <w:tr>
        <w:trPr>
          <w:cantSplit w:val="true"/>
        </w:trPr>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Operation and maintenance manuals</w:t>
            </w:r>
          </w:p>
        </w:tc>
        <w:tc>
          <w:tcPr>
            <w:tcW w:type="dxa" w:w="35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System descriptions, operating procedures, maintenance regimes, spares</w:t>
            </w:r>
          </w:p>
        </w:tc>
        <w:tc>
          <w:tcPr>
            <w:tcW w:type="dxa" w:w="21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4 weeks before practical completion (draft), final at PC</w:t>
            </w:r>
          </w:p>
        </w:tc>
        <w:tc>
          <w:tcPr>
            <w:tcW w:type="dxa" w:w="17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w:t>
            </w:r>
          </w:p>
        </w:tc>
      </w:tr>
      <w:tr>
        <w:trPr>
          <w:cantSplit w:val="true"/>
        </w:trPr>
        <w:tc>
          <w:tcPr>
            <w:tcW w:type="dxa" w:w="2000"/>
            <w:tcMar>
              <w:top w:w="40" w:type="dxa"/>
              <w:left w:w="110" w:type="dxa"/>
              <w:bottom w:w="40" w:type="dxa"/>
              <w:right w:w="110" w:type="dxa"/>
            </w:tcMar>
          </w:tcPr>
          <w:p>
            <w:pPr>
              <w:pStyle w:val="MasttTableCell"/>
              <w:spacing w:before="20" w:after="20"/>
            </w:pPr>
            <w:r/>
            <w:r>
              <w:rPr>
                <w:rFonts w:ascii="Segoe UI" w:hAnsi="Segoe UI"/>
                <w:b/>
                <w:color w:val="1D3245"/>
                <w:sz w:val="17"/>
              </w:rPr>
              <w:t>Asset register data</w:t>
            </w:r>
          </w:p>
        </w:tc>
        <w:tc>
          <w:tcPr>
            <w:tcW w:type="dxa" w:w="3529"/>
            <w:tcMar>
              <w:top w:w="40" w:type="dxa"/>
              <w:left w:w="110" w:type="dxa"/>
              <w:bottom w:w="40" w:type="dxa"/>
              <w:right w:w="110" w:type="dxa"/>
            </w:tcMar>
          </w:tcPr>
          <w:p>
            <w:pPr>
              <w:pStyle w:val="MasttTableCell"/>
              <w:spacing w:before="20" w:after="20"/>
            </w:pPr>
            <w:r/>
            <w:r>
              <w:rPr>
                <w:rFonts w:ascii="Segoe UI" w:hAnsi="Segoe UI"/>
                <w:color w:val="1D3245"/>
                <w:sz w:val="17"/>
              </w:rPr>
              <w:t>Populated to the asset information requirements with unique asset identifiers, location, classification and maintenance attributes</w:t>
            </w:r>
          </w:p>
        </w:tc>
        <w:tc>
          <w:tcPr>
            <w:tcW w:type="dxa" w:w="2117"/>
            <w:tcMar>
              <w:top w:w="40" w:type="dxa"/>
              <w:left w:w="110" w:type="dxa"/>
              <w:bottom w:w="40" w:type="dxa"/>
              <w:right w:w="110" w:type="dxa"/>
            </w:tcMar>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tcPr>
          <w:p>
            <w:pPr>
              <w:pStyle w:val="MasttTableCell"/>
              <w:spacing w:before="20" w:after="20"/>
            </w:pPr>
            <w:r/>
            <w:r>
              <w:rPr>
                <w:rFonts w:ascii="Segoe UI" w:hAnsi="Segoe UI"/>
                <w:color w:val="1D3245"/>
                <w:sz w:val="17"/>
              </w:rPr>
              <w:t>Operations</w:t>
            </w:r>
          </w:p>
        </w:tc>
      </w:tr>
      <w:tr>
        <w:trPr>
          <w:cantSplit w:val="true"/>
        </w:trPr>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Test and commissioning records</w:t>
            </w:r>
          </w:p>
        </w:tc>
        <w:tc>
          <w:tcPr>
            <w:tcW w:type="dxa" w:w="35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All ITPs, test certificates, commissioning results and IST records</w:t>
            </w:r>
          </w:p>
        </w:tc>
        <w:tc>
          <w:tcPr>
            <w:tcW w:type="dxa" w:w="21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Commissioning Manager</w:t>
            </w:r>
          </w:p>
        </w:tc>
      </w:tr>
      <w:tr>
        <w:trPr>
          <w:cantSplit w:val="true"/>
        </w:trPr>
        <w:tc>
          <w:tcPr>
            <w:tcW w:type="dxa" w:w="2000"/>
            <w:tcMar>
              <w:top w:w="40" w:type="dxa"/>
              <w:left w:w="110" w:type="dxa"/>
              <w:bottom w:w="40" w:type="dxa"/>
              <w:right w:w="110" w:type="dxa"/>
            </w:tcMar>
          </w:tcPr>
          <w:p>
            <w:pPr>
              <w:pStyle w:val="MasttTableCell"/>
              <w:spacing w:before="20" w:after="20"/>
            </w:pPr>
            <w:r/>
            <w:r>
              <w:rPr>
                <w:rFonts w:ascii="Segoe UI" w:hAnsi="Segoe UI"/>
                <w:b/>
                <w:color w:val="1D3245"/>
                <w:sz w:val="17"/>
              </w:rPr>
              <w:t>Statutory certificates and approvals</w:t>
            </w:r>
          </w:p>
        </w:tc>
        <w:tc>
          <w:tcPr>
            <w:tcW w:type="dxa" w:w="3529"/>
            <w:tcMar>
              <w:top w:w="40" w:type="dxa"/>
              <w:left w:w="110" w:type="dxa"/>
              <w:bottom w:w="40" w:type="dxa"/>
              <w:right w:w="110" w:type="dxa"/>
            </w:tcMar>
          </w:tcPr>
          <w:p>
            <w:pPr>
              <w:pStyle w:val="MasttTableCell"/>
              <w:spacing w:before="20" w:after="20"/>
            </w:pPr>
            <w:r/>
            <w:r>
              <w:rPr>
                <w:rFonts w:ascii="Segoe UI" w:hAnsi="Segoe UI"/>
                <w:color w:val="1D3245"/>
                <w:sz w:val="17"/>
              </w:rPr>
              <w:t>All certificates required in the jurisdiction for occupation and operation</w:t>
            </w:r>
          </w:p>
        </w:tc>
        <w:tc>
          <w:tcPr>
            <w:tcW w:type="dxa" w:w="2117"/>
            <w:tcMar>
              <w:top w:w="40" w:type="dxa"/>
              <w:left w:w="110" w:type="dxa"/>
              <w:bottom w:w="40" w:type="dxa"/>
              <w:right w:w="110" w:type="dxa"/>
            </w:tcMar>
          </w:tcPr>
          <w:p>
            <w:pPr>
              <w:pStyle w:val="MasttTableCell"/>
              <w:spacing w:before="20" w:after="20"/>
            </w:pPr>
            <w:r/>
            <w:r>
              <w:rPr>
                <w:rFonts w:ascii="Segoe UI" w:hAnsi="Segoe UI"/>
                <w:color w:val="1D3245"/>
                <w:sz w:val="17"/>
              </w:rPr>
              <w:t>Before occupation</w:t>
            </w:r>
          </w:p>
        </w:tc>
        <w:tc>
          <w:tcPr>
            <w:tcW w:type="dxa" w:w="1765"/>
            <w:tcMar>
              <w:top w:w="40" w:type="dxa"/>
              <w:left w:w="110" w:type="dxa"/>
              <w:bottom w:w="40" w:type="dxa"/>
              <w:right w:w="110" w:type="dxa"/>
            </w:tcMar>
          </w:tcPr>
          <w:p>
            <w:pPr>
              <w:pStyle w:val="MasttTableCell"/>
              <w:spacing w:before="20" w:after="20"/>
            </w:pPr>
            <w:r/>
            <w:r>
              <w:rPr>
                <w:rFonts w:ascii="Segoe UI" w:hAnsi="Segoe UI"/>
                <w:color w:val="1D3245"/>
                <w:sz w:val="17"/>
              </w:rPr>
              <w:t>Client Representative</w:t>
            </w:r>
          </w:p>
        </w:tc>
      </w:tr>
      <w:tr>
        <w:trPr>
          <w:cantSplit w:val="true"/>
        </w:trPr>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Warranties and guarantees</w:t>
            </w:r>
          </w:p>
        </w:tc>
        <w:tc>
          <w:tcPr>
            <w:tcW w:type="dxa" w:w="35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Executed warranties with commencement dates and claim procedures</w:t>
            </w:r>
          </w:p>
        </w:tc>
        <w:tc>
          <w:tcPr>
            <w:tcW w:type="dxa" w:w="21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r>
      <w:tr>
        <w:trPr>
          <w:cantSplit w:val="true"/>
        </w:trPr>
        <w:tc>
          <w:tcPr>
            <w:tcW w:type="dxa" w:w="2000"/>
            <w:tcMar>
              <w:top w:w="40" w:type="dxa"/>
              <w:left w:w="110" w:type="dxa"/>
              <w:bottom w:w="40" w:type="dxa"/>
              <w:right w:w="110" w:type="dxa"/>
            </w:tcMar>
          </w:tcPr>
          <w:p>
            <w:pPr>
              <w:pStyle w:val="MasttTableCell"/>
              <w:spacing w:before="20" w:after="20"/>
            </w:pPr>
            <w:r/>
            <w:r>
              <w:rPr>
                <w:rFonts w:ascii="Segoe UI" w:hAnsi="Segoe UI"/>
                <w:b/>
                <w:color w:val="1D3245"/>
                <w:sz w:val="17"/>
              </w:rPr>
              <w:t>Spares, special tools and consumables</w:t>
            </w:r>
          </w:p>
        </w:tc>
        <w:tc>
          <w:tcPr>
            <w:tcW w:type="dxa" w:w="3529"/>
            <w:tcMar>
              <w:top w:w="40" w:type="dxa"/>
              <w:left w:w="110" w:type="dxa"/>
              <w:bottom w:w="40" w:type="dxa"/>
              <w:right w:w="110" w:type="dxa"/>
            </w:tcMar>
          </w:tcPr>
          <w:p>
            <w:pPr>
              <w:pStyle w:val="MasttTableCell"/>
              <w:spacing w:before="20" w:after="20"/>
            </w:pPr>
            <w:r/>
            <w:r>
              <w:rPr>
                <w:rFonts w:ascii="Segoe UI" w:hAnsi="Segoe UI"/>
                <w:color w:val="1D3245"/>
                <w:sz w:val="17"/>
              </w:rPr>
              <w:t>As specified, delivered and receipted</w:t>
            </w:r>
          </w:p>
        </w:tc>
        <w:tc>
          <w:tcPr>
            <w:tcW w:type="dxa" w:w="2117"/>
            <w:tcMar>
              <w:top w:w="40" w:type="dxa"/>
              <w:left w:w="110" w:type="dxa"/>
              <w:bottom w:w="40" w:type="dxa"/>
              <w:right w:w="110" w:type="dxa"/>
            </w:tcMar>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tcPr>
          <w:p>
            <w:pPr>
              <w:pStyle w:val="MasttTableCell"/>
              <w:spacing w:before="20" w:after="20"/>
            </w:pPr>
            <w:r/>
            <w:r>
              <w:rPr>
                <w:rFonts w:ascii="Segoe UI" w:hAnsi="Segoe UI"/>
                <w:color w:val="1D3245"/>
                <w:sz w:val="17"/>
              </w:rPr>
              <w:t>Operations</w:t>
            </w:r>
          </w:p>
        </w:tc>
      </w:tr>
      <w:tr>
        <w:trPr>
          <w:cantSplit w:val="true"/>
        </w:trPr>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Health and safety file / residual risk information</w:t>
            </w:r>
          </w:p>
        </w:tc>
        <w:tc>
          <w:tcPr>
            <w:tcW w:type="dxa" w:w="35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Residual risks for operation, maintenance, alteration and demolition</w:t>
            </w:r>
          </w:p>
        </w:tc>
        <w:tc>
          <w:tcPr>
            <w:tcW w:type="dxa" w:w="21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w:t>
            </w:r>
          </w:p>
        </w:tc>
      </w:tr>
      <w:tr>
        <w:trPr>
          <w:cantSplit w:val="true"/>
        </w:trPr>
        <w:tc>
          <w:tcPr>
            <w:tcW w:type="dxa" w:w="2000"/>
            <w:tcMar>
              <w:top w:w="40" w:type="dxa"/>
              <w:left w:w="110" w:type="dxa"/>
              <w:bottom w:w="40" w:type="dxa"/>
              <w:right w:w="110" w:type="dxa"/>
            </w:tcMar>
          </w:tcPr>
          <w:p>
            <w:pPr>
              <w:pStyle w:val="MasttTableCell"/>
              <w:spacing w:before="20" w:after="20"/>
            </w:pPr>
            <w:r/>
            <w:r>
              <w:rPr>
                <w:rFonts w:ascii="Segoe UI" w:hAnsi="Segoe UI"/>
                <w:b/>
                <w:color w:val="1D3245"/>
                <w:sz w:val="17"/>
              </w:rPr>
              <w:t>Training records and materials</w:t>
            </w:r>
          </w:p>
        </w:tc>
        <w:tc>
          <w:tcPr>
            <w:tcW w:type="dxa" w:w="3529"/>
            <w:tcMar>
              <w:top w:w="40" w:type="dxa"/>
              <w:left w:w="110" w:type="dxa"/>
              <w:bottom w:w="40" w:type="dxa"/>
              <w:right w:w="110" w:type="dxa"/>
            </w:tcMar>
          </w:tcPr>
          <w:p>
            <w:pPr>
              <w:pStyle w:val="MasttTableCell"/>
              <w:spacing w:before="20" w:after="20"/>
            </w:pPr>
            <w:r/>
            <w:r>
              <w:rPr>
                <w:rFonts w:ascii="Segoe UI" w:hAnsi="Segoe UI"/>
                <w:color w:val="1D3245"/>
                <w:sz w:val="17"/>
              </w:rPr>
              <w:t>Attendance records, materials, recordings</w:t>
            </w:r>
          </w:p>
        </w:tc>
        <w:tc>
          <w:tcPr>
            <w:tcW w:type="dxa" w:w="2117"/>
            <w:tcMar>
              <w:top w:w="40" w:type="dxa"/>
              <w:left w:w="110" w:type="dxa"/>
              <w:bottom w:w="40" w:type="dxa"/>
              <w:right w:w="110" w:type="dxa"/>
            </w:tcMar>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tcPr>
          <w:p>
            <w:pPr>
              <w:pStyle w:val="MasttTableCell"/>
              <w:spacing w:before="20" w:after="20"/>
            </w:pPr>
            <w:r/>
            <w:r>
              <w:rPr>
                <w:rFonts w:ascii="Segoe UI" w:hAnsi="Segoe UI"/>
                <w:color w:val="1D3245"/>
                <w:sz w:val="17"/>
              </w:rPr>
              <w:t>Operations</w:t>
            </w:r>
          </w:p>
        </w:tc>
      </w:tr>
      <w:tr>
        <w:trPr>
          <w:cantSplit w:val="true"/>
        </w:trPr>
        <w:tc>
          <w:tcPr>
            <w:tcW w:type="dxa" w:w="2000"/>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Building tuning and seasonal plan</w:t>
            </w:r>
          </w:p>
        </w:tc>
        <w:tc>
          <w:tcPr>
            <w:tcW w:type="dxa" w:w="352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Programme for post-handover optimisation</w:t>
            </w:r>
          </w:p>
        </w:tc>
        <w:tc>
          <w:tcPr>
            <w:tcW w:type="dxa" w:w="211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Practical completion</w:t>
            </w:r>
          </w:p>
        </w:tc>
        <w:tc>
          <w:tcPr>
            <w:tcW w:type="dxa" w:w="17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Operations</w:t>
            </w:r>
          </w:p>
        </w:tc>
      </w:tr>
    </w:tbl>
    <w:p>
      <w:pPr>
        <w:rPr>
          <w:sz w:val="8"/>
        </w:rPr>
        <w:spacing w:after="40" w:before="0" w:line="240" w:lineRule="auto"/>
      </w:pPr>
    </w:p>
    <w:p>
      <w:pPr>
        <w:pStyle w:val="Heading2"/>
      </w:pPr>
      <w:r>
        <w:t>20.6  Practical completion and taking over</w:t>
      </w:r>
    </w:p>
    <w:p>
      <w:pPr>
        <w:pStyle w:val="ListBullet"/>
        <w:spacing w:after="60"/>
        <w:ind w:left="340"/>
      </w:pPr>
      <w:r>
        <w:rPr>
          <w:rFonts w:ascii="Segoe UI" w:hAnsi="Segoe UI"/>
          <w:color w:val="1D3245"/>
          <w:sz w:val="20"/>
        </w:rPr>
        <w:t>The criteria for practical completion are defined in the contract and are restated in a completion criteria schedule agreed at least three months before the forecast date, so that there is no argument at the moment it matters.</w:t>
      </w:r>
    </w:p>
    <w:p>
      <w:pPr>
        <w:pStyle w:val="ListBullet"/>
        <w:spacing w:after="60"/>
        <w:ind w:left="340"/>
      </w:pPr>
      <w:r>
        <w:rPr>
          <w:rFonts w:ascii="Segoe UI" w:hAnsi="Segoe UI"/>
          <w:color w:val="1D3245"/>
          <w:sz w:val="20"/>
        </w:rPr>
        <w:t>Pre-completion inspections are staged by area and by system, so that defects are found and fixed progressively rather than in a single overwhelming list.</w:t>
      </w:r>
    </w:p>
    <w:p>
      <w:pPr>
        <w:pStyle w:val="ListBullet"/>
        <w:spacing w:after="60"/>
        <w:ind w:left="340"/>
      </w:pPr>
      <w:r>
        <w:rPr>
          <w:rFonts w:ascii="Segoe UI" w:hAnsi="Segoe UI"/>
          <w:color w:val="1D3245"/>
          <w:sz w:val="20"/>
        </w:rPr>
        <w:t>Defects are categorised - Category A prevents completion, Category B must be rectified within a defined period, Category C is minor and tracked to closure.</w:t>
      </w:r>
    </w:p>
    <w:p>
      <w:pPr>
        <w:pStyle w:val="ListBullet"/>
        <w:spacing w:after="60"/>
        <w:ind w:left="340"/>
      </w:pPr>
      <w:r>
        <w:rPr>
          <w:rFonts w:ascii="Segoe UI" w:hAnsi="Segoe UI"/>
          <w:color w:val="1D3245"/>
          <w:sz w:val="20"/>
        </w:rPr>
        <w:t>Practical completion is certified only when the criteria are met, including the statutory approvals required for occupation and the operational readiness confirmation in Section 20.8.</w:t>
      </w:r>
    </w:p>
    <w:p>
      <w:pPr>
        <w:pStyle w:val="ListBullet"/>
        <w:spacing w:after="60"/>
        <w:ind w:left="340"/>
      </w:pPr>
      <w:r>
        <w:rPr>
          <w:rFonts w:ascii="Segoe UI" w:hAnsi="Segoe UI"/>
          <w:color w:val="1D3245"/>
          <w:sz w:val="20"/>
        </w:rPr>
        <w:t>Insurance, security, risk of loss, utilities accounts and maintenance responsibility transfer on the date recorded in the certificate; the transfer is confirmed in writing to all parties.</w:t>
      </w:r>
    </w:p>
    <w:p>
      <w:pPr>
        <w:pStyle w:val="Heading2"/>
      </w:pPr>
      <w:r>
        <w:t>20.7  Defects liability administration</w:t>
      </w:r>
    </w:p>
    <w:p>
      <w:pPr>
        <w:pStyle w:val="ListBullet"/>
        <w:spacing w:after="60"/>
        <w:ind w:left="340"/>
      </w:pPr>
      <w:r>
        <w:rPr>
          <w:rFonts w:ascii="Segoe UI" w:hAnsi="Segoe UI"/>
          <w:color w:val="1D3245"/>
          <w:sz w:val="20"/>
        </w:rPr>
        <w:t>A single defects register is maintained from the first pre-completion inspection through to the end of the defects liability period.</w:t>
      </w:r>
    </w:p>
    <w:p>
      <w:pPr>
        <w:pStyle w:val="ListBullet"/>
        <w:spacing w:after="60"/>
        <w:ind w:left="340"/>
      </w:pPr>
      <w:r>
        <w:rPr>
          <w:rFonts w:ascii="Segoe UI" w:hAnsi="Segoe UI"/>
          <w:color w:val="1D3245"/>
          <w:sz w:val="20"/>
        </w:rPr>
        <w:t>The operator reports defects through one defined channel with a defined response and rectification time by severity.</w:t>
      </w:r>
    </w:p>
    <w:p>
      <w:pPr>
        <w:pStyle w:val="ListBullet"/>
        <w:spacing w:after="60"/>
        <w:ind w:left="340"/>
      </w:pPr>
      <w:r>
        <w:rPr>
          <w:rFonts w:ascii="Segoe UI" w:hAnsi="Segoe UI"/>
          <w:color w:val="1D3245"/>
          <w:sz w:val="20"/>
        </w:rPr>
        <w:t>Latent and recurring defects are escalated and investigated for root cause; a repeated defect is a system failure, not a maintenance item.</w:t>
      </w:r>
    </w:p>
    <w:p>
      <w:pPr>
        <w:pStyle w:val="ListBullet"/>
        <w:spacing w:after="60"/>
        <w:ind w:left="340"/>
      </w:pPr>
      <w:r>
        <w:rPr>
          <w:rFonts w:ascii="Segoe UI" w:hAnsi="Segoe UI"/>
          <w:color w:val="1D3245"/>
          <w:sz w:val="20"/>
        </w:rPr>
        <w:t>The final defects certificate is issued only when every notified defect is verified closed, and it triggers release of the remaining security.</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3629"/>
        <w:gridCol w:w="1814"/>
        <w:gridCol w:w="2041"/>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Category</w:t>
            </w:r>
          </w:p>
        </w:tc>
        <w:tc>
          <w:tcPr>
            <w:tcW w:type="dxa" w:w="36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Definition</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Response time</w:t>
            </w:r>
          </w:p>
        </w:tc>
        <w:tc>
          <w:tcPr>
            <w:tcW w:type="dxa" w:w="20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Rectification time</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Category A - critical</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Prevents safe or lawful occupation or operation</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Immediate</w:t>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t>Before practical completion</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Category B - major</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Materially affects use, performance or appearance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 working day</w:t>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20 working days</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Category C - minor</w:t>
            </w:r>
          </w:p>
        </w:tc>
        <w:tc>
          <w:tcPr>
            <w:tcW w:type="dxa" w:w="3628"/>
            <w:tcMar>
              <w:top w:w="40" w:type="dxa"/>
              <w:left w:w="110" w:type="dxa"/>
              <w:bottom w:w="40" w:type="dxa"/>
              <w:right w:w="110" w:type="dxa"/>
            </w:tcMar>
          </w:tcPr>
          <w:p>
            <w:pPr>
              <w:pStyle w:val="MasttTableCell"/>
              <w:spacing w:before="20" w:after="20"/>
            </w:pPr>
            <w:r/>
            <w:r>
              <w:rPr>
                <w:rFonts w:ascii="Segoe UI" w:hAnsi="Segoe UI"/>
                <w:color w:val="1D3245"/>
                <w:sz w:val="17"/>
              </w:rPr>
              <w:t>Does not affect use</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5 working days</w:t>
            </w:r>
          </w:p>
        </w:tc>
        <w:tc>
          <w:tcPr>
            <w:tcW w:type="dxa" w:w="2041"/>
            <w:tcMar>
              <w:top w:w="40" w:type="dxa"/>
              <w:left w:w="110" w:type="dxa"/>
              <w:bottom w:w="40" w:type="dxa"/>
              <w:right w:w="110" w:type="dxa"/>
            </w:tcMar>
          </w:tcPr>
          <w:p>
            <w:pPr>
              <w:pStyle w:val="MasttTableCell"/>
              <w:spacing w:before="20" w:after="20"/>
            </w:pPr>
            <w:r/>
            <w:r>
              <w:rPr>
                <w:rFonts w:ascii="Segoe UI" w:hAnsi="Segoe UI"/>
                <w:color w:val="1D3245"/>
                <w:sz w:val="17"/>
              </w:rPr>
              <w:t>Within the defects liability period</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Emergency during DLP</w:t>
            </w:r>
          </w:p>
        </w:tc>
        <w:tc>
          <w:tcPr>
            <w:tcW w:type="dxa" w:w="36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Loss of an essential service or a safety hazard</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2 hours</w:t>
            </w:r>
          </w:p>
        </w:tc>
        <w:tc>
          <w:tcPr>
            <w:tcW w:type="dxa" w:w="20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Make safe immediately; rectify within 24 hours</w:t>
            </w:r>
          </w:p>
        </w:tc>
      </w:tr>
    </w:tbl>
    <w:p>
      <w:pPr>
        <w:rPr>
          <w:sz w:val="8"/>
        </w:rPr>
        <w:spacing w:after="40" w:before="0" w:line="240" w:lineRule="auto"/>
      </w:pPr>
    </w:p>
    <w:p>
      <w:pPr>
        <w:pStyle w:val="Heading2"/>
      </w:pPr>
      <w:r>
        <w:t>20.8  Operational readiness</w:t>
      </w:r>
    </w:p>
    <w:p>
      <w:pPr>
        <w:pStyle w:val="ListBullet"/>
        <w:spacing w:after="60"/>
        <w:ind w:left="340"/>
      </w:pPr>
      <w:r>
        <w:rPr>
          <w:rFonts w:ascii="Segoe UI" w:hAnsi="Segoe UI"/>
          <w:color w:val="1D3245"/>
          <w:sz w:val="20"/>
        </w:rPr>
        <w:t>Operational readiness runs in parallel with construction, not after it, and is owned by the operator with support from the project.</w:t>
      </w:r>
    </w:p>
    <w:p>
      <w:pPr>
        <w:pStyle w:val="ListBullet"/>
        <w:spacing w:after="60"/>
        <w:ind w:left="340"/>
      </w:pPr>
      <w:r>
        <w:rPr>
          <w:rFonts w:ascii="Segoe UI" w:hAnsi="Segoe UI"/>
          <w:color w:val="1D3245"/>
          <w:sz w:val="20"/>
        </w:rPr>
        <w:t>Readiness activities include: recruitment and rostering; operating procedures; maintenance contracts and strategy; spares and consumables; IT and communications; security and access; cleaning and waste; signage and wayfinding; supply arrangements; insurance; licences to operate; and the migration or decant plan.</w:t>
      </w:r>
    </w:p>
    <w:p>
      <w:pPr>
        <w:pStyle w:val="ListBullet"/>
        <w:spacing w:after="60"/>
        <w:ind w:left="340"/>
      </w:pPr>
      <w:r>
        <w:rPr>
          <w:rFonts w:ascii="Segoe UI" w:hAnsi="Segoe UI"/>
          <w:color w:val="1D3245"/>
          <w:sz w:val="20"/>
        </w:rPr>
        <w:t>A readiness checklist is maintained with an owner and a due date for every item, reported monthly and weekly from six months out.</w:t>
      </w:r>
    </w:p>
    <w:p>
      <w:pPr>
        <w:pStyle w:val="ListBullet"/>
        <w:spacing w:after="60"/>
        <w:ind w:left="340"/>
      </w:pPr>
      <w:r>
        <w:rPr>
          <w:rFonts w:ascii="Segoe UI" w:hAnsi="Segoe UI"/>
          <w:color w:val="1D3245"/>
          <w:sz w:val="20"/>
        </w:rPr>
        <w:t>Go / no-go readiness reviews are held at three months, one month and two weeks before the planned operational date.</w:t>
      </w:r>
    </w:p>
    <w:p>
      <w:pPr>
        <w:pStyle w:val="ListBullet"/>
        <w:spacing w:after="60"/>
        <w:ind w:left="340"/>
      </w:pPr>
      <w:r>
        <w:rPr>
          <w:rFonts w:ascii="Segoe UI" w:hAnsi="Segoe UI"/>
          <w:color w:val="1D3245"/>
          <w:sz w:val="20"/>
        </w:rPr>
        <w:t>Refer to the Handover Checklist for the detailed item-by-item requirement.</w:t>
      </w:r>
    </w:p>
    <w:p>
      <w:pPr>
        <w:pStyle w:val="Heading2"/>
      </w:pPr>
      <w:r>
        <w:t>20.9  Benefits realisation handover</w:t>
      </w:r>
    </w:p>
    <w:p>
      <w:pPr>
        <w:pStyle w:val="MasttBody"/>
      </w:pPr>
      <w:r>
        <w:t>Accountability for realising the benefits transfers from the project to the business owner at handover. The transfer is formal: the benefits register, the measurement baseline, the data sources and the review schedule are handed over and accepted, and the date of the post-implementation review is set. See Section 21.</w:t>
      </w:r>
    </w:p>
    <w:p>
      <w:pPr>
        <w:pStyle w:val="Heading2"/>
      </w:pPr>
      <w:r>
        <w:t>20.10  Project closeout</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3062"/>
        <w:gridCol w:w="1928"/>
        <w:gridCol w:w="2608"/>
        <w:gridCol w:w="1814"/>
      </w:tblGrid>
      <w:tr>
        <w:trPr>
          <w:tblHeader w:val="true"/>
          <w:cantSplit w:val="true"/>
        </w:trPr>
        <w:tc>
          <w:tcPr>
            <w:tcW w:type="dxa" w:w="306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Closeout activity</w:t>
            </w:r>
          </w:p>
        </w:tc>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26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Evidence</w:t>
            </w:r>
          </w:p>
        </w:tc>
        <w:tc>
          <w:tcPr>
            <w:tcW w:type="dxa" w:w="181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Complete by</w:t>
            </w:r>
          </w:p>
        </w:tc>
      </w:tr>
      <w:tr>
        <w:trPr>
          <w:cantSplit w:val="true"/>
        </w:trPr>
        <w:tc>
          <w:tcPr>
            <w:tcW w:type="dxa" w:w="3061"/>
            <w:tcMar>
              <w:top w:w="40" w:type="dxa"/>
              <w:left w:w="110" w:type="dxa"/>
              <w:bottom w:w="40" w:type="dxa"/>
              <w:right w:w="110" w:type="dxa"/>
            </w:tcMar>
          </w:tcPr>
          <w:p>
            <w:pPr>
              <w:pStyle w:val="MasttTableCell"/>
              <w:spacing w:before="20" w:after="20"/>
            </w:pPr>
            <w:r/>
            <w:r>
              <w:rPr>
                <w:rFonts w:ascii="Segoe UI" w:hAnsi="Segoe UI"/>
                <w:b/>
                <w:color w:val="1D3245"/>
                <w:sz w:val="17"/>
              </w:rPr>
              <w:t>Final account agreed and paid</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Signed final account</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Per contract</w:t>
            </w:r>
          </w:p>
        </w:tc>
      </w:tr>
      <w:tr>
        <w:trPr>
          <w:cantSplit w:val="true"/>
        </w:trPr>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All claims and disputes resolved</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Settlement records</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Before final certificate</w:t>
            </w:r>
          </w:p>
        </w:tc>
      </w:tr>
      <w:tr>
        <w:trPr>
          <w:cantSplit w:val="true"/>
        </w:trPr>
        <w:tc>
          <w:tcPr>
            <w:tcW w:type="dxa" w:w="3061"/>
            <w:tcMar>
              <w:top w:w="40" w:type="dxa"/>
              <w:left w:w="110" w:type="dxa"/>
              <w:bottom w:w="40" w:type="dxa"/>
              <w:right w:w="110" w:type="dxa"/>
            </w:tcMar>
          </w:tcPr>
          <w:p>
            <w:pPr>
              <w:pStyle w:val="MasttTableCell"/>
              <w:spacing w:before="20" w:after="20"/>
            </w:pPr>
            <w:r/>
            <w:r>
              <w:rPr>
                <w:rFonts w:ascii="Segoe UI" w:hAnsi="Segoe UI"/>
                <w:b/>
                <w:color w:val="1D3245"/>
                <w:sz w:val="17"/>
              </w:rPr>
              <w:t>Securities and retention released</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Commercial Manager</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Release confirmations</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Per contract</w:t>
            </w:r>
          </w:p>
        </w:tc>
      </w:tr>
      <w:tr>
        <w:trPr>
          <w:cantSplit w:val="true"/>
        </w:trPr>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All defects closed and final certificate issued</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Client Representative</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Final defects certificate</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End of DLP</w:t>
            </w:r>
          </w:p>
        </w:tc>
      </w:tr>
      <w:tr>
        <w:trPr>
          <w:cantSplit w:val="true"/>
        </w:trPr>
        <w:tc>
          <w:tcPr>
            <w:tcW w:type="dxa" w:w="3061"/>
            <w:tcMar>
              <w:top w:w="40" w:type="dxa"/>
              <w:left w:w="110" w:type="dxa"/>
              <w:bottom w:w="40" w:type="dxa"/>
              <w:right w:w="110" w:type="dxa"/>
            </w:tcMar>
          </w:tcPr>
          <w:p>
            <w:pPr>
              <w:pStyle w:val="MasttTableCell"/>
              <w:spacing w:before="20" w:after="20"/>
            </w:pPr>
            <w:r/>
            <w:r>
              <w:rPr>
                <w:rFonts w:ascii="Segoe UI" w:hAnsi="Segoe UI"/>
                <w:b/>
                <w:color w:val="1D3245"/>
                <w:sz w:val="17"/>
              </w:rPr>
              <w:t>Asset capitalised and entered into the asset register</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Client finance</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Capitalisation record</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Within 3 months of PC</w:t>
            </w:r>
          </w:p>
        </w:tc>
      </w:tr>
      <w:tr>
        <w:trPr>
          <w:cantSplit w:val="true"/>
        </w:trPr>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Project records archived</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Document Controller</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Complete CDE archive with retention applied</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3 months of PC</w:t>
            </w:r>
          </w:p>
        </w:tc>
      </w:tr>
      <w:tr>
        <w:trPr>
          <w:cantSplit w:val="true"/>
        </w:trPr>
        <w:tc>
          <w:tcPr>
            <w:tcW w:type="dxa" w:w="3061"/>
            <w:tcMar>
              <w:top w:w="40" w:type="dxa"/>
              <w:left w:w="110" w:type="dxa"/>
              <w:bottom w:w="40" w:type="dxa"/>
              <w:right w:w="110" w:type="dxa"/>
            </w:tcMar>
          </w:tcPr>
          <w:p>
            <w:pPr>
              <w:pStyle w:val="MasttTableCell"/>
              <w:spacing w:before="20" w:after="20"/>
            </w:pPr>
            <w:r/>
            <w:r>
              <w:rPr>
                <w:rFonts w:ascii="Segoe UI" w:hAnsi="Segoe UI"/>
                <w:b/>
                <w:color w:val="1D3245"/>
                <w:sz w:val="17"/>
              </w:rPr>
              <w:t>Team demobilised and resources released</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Demobilisation record</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Per plan</w:t>
            </w:r>
          </w:p>
        </w:tc>
      </w:tr>
      <w:tr>
        <w:trPr>
          <w:cantSplit w:val="true"/>
        </w:trPr>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Contracts and appointments formally closed</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Commercial Manager</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Closure letters</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At final certificate</w:t>
            </w:r>
          </w:p>
        </w:tc>
      </w:tr>
      <w:tr>
        <w:trPr>
          <w:cantSplit w:val="true"/>
        </w:trPr>
        <w:tc>
          <w:tcPr>
            <w:tcW w:type="dxa" w:w="3061"/>
            <w:tcMar>
              <w:top w:w="40" w:type="dxa"/>
              <w:left w:w="110" w:type="dxa"/>
              <w:bottom w:w="40" w:type="dxa"/>
              <w:right w:w="110" w:type="dxa"/>
            </w:tcMar>
          </w:tcPr>
          <w:p>
            <w:pPr>
              <w:pStyle w:val="MasttTableCell"/>
              <w:spacing w:before="20" w:after="20"/>
            </w:pPr>
            <w:r/>
            <w:r>
              <w:rPr>
                <w:rFonts w:ascii="Segoe UI" w:hAnsi="Segoe UI"/>
                <w:b/>
                <w:color w:val="1D3245"/>
                <w:sz w:val="17"/>
              </w:rPr>
              <w:t>Lessons learned finalised and transmitted</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Lessons register and PMO submission</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Within 1 month of PC</w:t>
            </w:r>
          </w:p>
        </w:tc>
      </w:tr>
      <w:tr>
        <w:trPr>
          <w:cantSplit w:val="true"/>
        </w:trPr>
        <w:tc>
          <w:tcPr>
            <w:tcW w:type="dxa" w:w="306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Closeout report approved</w:t>
            </w:r>
          </w:p>
        </w:tc>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26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 approval</w:t>
            </w:r>
          </w:p>
        </w:tc>
        <w:tc>
          <w:tcPr>
            <w:tcW w:type="dxa" w:w="181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Within 3 months of PC</w:t>
            </w:r>
          </w:p>
        </w:tc>
      </w:tr>
      <w:tr>
        <w:trPr>
          <w:cantSplit w:val="true"/>
        </w:trPr>
        <w:tc>
          <w:tcPr>
            <w:tcW w:type="dxa" w:w="3061"/>
            <w:tcMar>
              <w:top w:w="40" w:type="dxa"/>
              <w:left w:w="110" w:type="dxa"/>
              <w:bottom w:w="40" w:type="dxa"/>
              <w:right w:w="110" w:type="dxa"/>
            </w:tcMar>
          </w:tcPr>
          <w:p>
            <w:pPr>
              <w:pStyle w:val="MasttTableCell"/>
              <w:spacing w:before="20" w:after="20"/>
            </w:pPr>
            <w:r/>
            <w:r>
              <w:rPr>
                <w:rFonts w:ascii="Segoe UI" w:hAnsi="Segoe UI"/>
                <w:b/>
                <w:color w:val="1D3245"/>
                <w:sz w:val="17"/>
              </w:rPr>
              <w:t>Post-implementation review completed</w:t>
            </w:r>
          </w:p>
        </w:tc>
        <w:tc>
          <w:tcPr>
            <w:tcW w:type="dxa" w:w="1928"/>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2608"/>
            <w:tcMar>
              <w:top w:w="40" w:type="dxa"/>
              <w:left w:w="110" w:type="dxa"/>
              <w:bottom w:w="40" w:type="dxa"/>
              <w:right w:w="110" w:type="dxa"/>
            </w:tcMar>
          </w:tcPr>
          <w:p>
            <w:pPr>
              <w:pStyle w:val="MasttTableCell"/>
              <w:spacing w:before="20" w:after="20"/>
            </w:pPr>
            <w:r/>
            <w:r>
              <w:rPr>
                <w:rFonts w:ascii="Segoe UI" w:hAnsi="Segoe UI"/>
                <w:color w:val="1D3245"/>
                <w:sz w:val="17"/>
              </w:rPr>
              <w:t>Review report</w:t>
            </w:r>
          </w:p>
        </w:tc>
        <w:tc>
          <w:tcPr>
            <w:tcW w:type="dxa" w:w="1814"/>
            <w:tcMar>
              <w:top w:w="40" w:type="dxa"/>
              <w:left w:w="110" w:type="dxa"/>
              <w:bottom w:w="40" w:type="dxa"/>
              <w:right w:w="110" w:type="dxa"/>
            </w:tcMar>
          </w:tcPr>
          <w:p>
            <w:pPr>
              <w:pStyle w:val="MasttTableCell"/>
              <w:spacing w:before="20" w:after="20"/>
            </w:pPr>
            <w:r/>
            <w:r>
              <w:rPr>
                <w:rFonts w:ascii="Segoe UI" w:hAnsi="Segoe UI"/>
                <w:color w:val="1D3245"/>
                <w:sz w:val="17"/>
              </w:rPr>
              <w:t>6-12 months after handover</w:t>
            </w:r>
          </w:p>
        </w:tc>
      </w:tr>
    </w:tbl>
    <w:p>
      <w:pPr>
        <w:rPr>
          <w:sz w:val="8"/>
        </w:rPr>
        <w:spacing w:after="40" w:before="0" w:line="240" w:lineRule="auto"/>
      </w:pPr>
    </w:p>
    <w:p>
      <w:pPr>
        <w:pStyle w:val="MasttBody"/>
      </w:pPr>
      <w:r>
        <w:t>Refer to the Closeout Checklist for the detailed item-by-item requirement.</w:t>
      </w:r>
    </w:p>
    <w:p>
      <w:r>
        <w:br w:type="page"/>
      </w:r>
    </w:p>
    <w:p>
      <w:pPr>
        <w:pStyle w:val="Heading1"/>
        <w:pBdr>
          <w:bottom w:val="single" w:sz="6" w:space="4" w:color="C9D4E0"/>
        </w:pBdr>
      </w:pPr>
      <w:r>
        <w:t>21.  Benefits realisation</w:t>
      </w:r>
    </w:p>
    <w:p>
      <w:pPr>
        <w:pStyle w:val="Heading2"/>
      </w:pPr>
      <w:r>
        <w:t>21.1  Approach</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The project does not exist to produce an asset; it exists to produce a benefit. Name the person in the business who is accountable for each benefit, and confirm they accept it - a benefit owned by the project team is a benefit that will never be measured, because the project team will have moved on.</w:t>
            </w:r>
          </w:p>
        </w:tc>
      </w:tr>
    </w:tbl>
    <w:p>
      <w:pPr>
        <w:rPr>
          <w:sz w:val="8"/>
        </w:rPr>
        <w:spacing w:after="40" w:before="0" w:line="240" w:lineRule="auto"/>
      </w:pPr>
    </w:p>
    <w:p>
      <w:pPr>
        <w:pStyle w:val="MasttBody"/>
      </w:pPr>
      <w:r>
        <w:t>Benefits are defined in the business case, refined during delivery, and measured after the asset is in use. The project is accountable for creating the capability; the business owner is accountable for converting that capability into benefit.</w:t>
      </w:r>
    </w:p>
    <w:p>
      <w:pPr>
        <w:pStyle w:val="Heading2"/>
      </w:pPr>
      <w:r>
        <w:t>21.2  Benefits map</w:t>
      </w:r>
    </w:p>
    <w:p>
      <w:pPr>
        <w:pStyle w:val="MasttBody"/>
      </w:pPr>
      <w:r>
        <w:t>The benefits map traces the logic from project outputs through capabilities and business changes to measurable outcomes and, ultimately, to strategic objectives. Insert the map below and test every link: if a step cannot be explained, the benefit is not real.</w:t>
      </w:r>
    </w:p>
    <w:tbl>
      <w:tblPr>
        <w:tblW w:type="auto" w:w="0"/>
        <w:tblLook w:firstColumn="1" w:firstRow="1" w:lastColumn="0" w:lastRow="0" w:noHBand="0" w:noVBand="1" w:val="04A0"/>
        <w:tblBorders>
          <w:top w:val="single" w:sz="4" w:space="0" w:color="C9D4E0"/>
          <w:left w:val="single" w:sz="4" w:space="0" w:color="C9D4E0"/>
          <w:bottom w:val="single" w:sz="4" w:space="0" w:color="C9D4E0"/>
          <w:right w:val="single" w:sz="4" w:space="0" w:color="C9D4E0"/>
        </w:tblBorders>
        <w:tblLayout w:type="fixed"/>
        <w:tblW w:w="9412" w:type="dxa"/>
      </w:tblPr>
      <w:tblGrid>
        <w:gridCol w:w="9412"/>
      </w:tblGrid>
      <w:tr>
        <w:trPr>
          <w:trHeight w:val="3685" w:hRule="atLeast"/>
        </w:trPr>
        <w:tc>
          <w:tcPr>
            <w:tcW w:type="dxa" w:w="9411"/>
            <w:shd w:val="clear" w:color="auto" w:fill="F6F9FC"/>
            <w:tcMar>
              <w:top w:w="200" w:type="dxa"/>
              <w:left w:w="160" w:type="dxa"/>
              <w:bottom w:w="200" w:type="dxa"/>
              <w:right w:w="160" w:type="dxa"/>
            </w:tcMar>
          </w:tcPr>
          <w:p>
            <w:pPr>
              <w:pStyle w:val="MasttInput"/>
              <w:jc w:val="center"/>
            </w:pPr>
            <w:r/>
            <w:r>
              <w:rPr>
                <w:rFonts w:ascii="Segoe UI" w:hAnsi="Segoe UI"/>
                <w:i/>
                <w:color w:val="8E98A2"/>
                <w:sz w:val="18"/>
              </w:rPr>
              <w:t>[Insert benefits map - outputs → capabilities → business change → outcomes → strategic objectives]</w:t>
            </w:r>
          </w:p>
        </w:tc>
      </w:tr>
    </w:tbl>
    <w:p>
      <w:pPr>
        <w:spacing w:after="80"/>
      </w:pPr>
    </w:p>
    <w:p>
      <w:pPr>
        <w:pStyle w:val="Heading2"/>
      </w:pPr>
      <w:r>
        <w:t>21.3  Benefits register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573"/>
        <w:gridCol w:w="1210"/>
        <w:gridCol w:w="1293"/>
        <w:gridCol w:w="1086"/>
        <w:gridCol w:w="1045"/>
        <w:gridCol w:w="849"/>
        <w:gridCol w:w="1339"/>
        <w:gridCol w:w="777"/>
        <w:gridCol w:w="1241"/>
      </w:tblGrid>
      <w:tr>
        <w:trPr>
          <w:tblHeader w:val="true"/>
          <w:cantSplit w:val="true"/>
        </w:trPr>
        <w:tc>
          <w:tcPr>
            <w:tcW w:type="dxa" w:w="57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Ref</w:t>
            </w:r>
          </w:p>
        </w:tc>
        <w:tc>
          <w:tcPr>
            <w:tcW w:type="dxa" w:w="121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Benefit</w:t>
            </w:r>
          </w:p>
        </w:tc>
        <w:tc>
          <w:tcPr>
            <w:tcW w:type="dxa" w:w="129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Type</w:t>
            </w:r>
          </w:p>
        </w:tc>
        <w:tc>
          <w:tcPr>
            <w:tcW w:type="dxa" w:w="10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Measure</w:t>
            </w:r>
          </w:p>
        </w:tc>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Baseline</w:t>
            </w:r>
          </w:p>
        </w:tc>
        <w:tc>
          <w:tcPr>
            <w:tcW w:type="dxa" w:w="8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Target</w:t>
            </w:r>
          </w:p>
        </w:tc>
        <w:tc>
          <w:tcPr>
            <w:tcW w:type="dxa" w:w="133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Realisation date</w:t>
            </w:r>
          </w:p>
        </w:tc>
        <w:tc>
          <w:tcPr>
            <w:tcW w:type="dxa" w:w="77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Owner</w:t>
            </w:r>
          </w:p>
        </w:tc>
        <w:tc>
          <w:tcPr>
            <w:tcW w:type="dxa" w:w="124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Dependency</w:t>
            </w:r>
          </w:p>
        </w:tc>
      </w:tr>
      <w:tr>
        <w:trPr>
          <w:cantSplit w:val="true"/>
        </w:trPr>
        <w:tc>
          <w:tcPr>
            <w:tcW w:type="dxa" w:w="573"/>
            <w:tcMar>
              <w:top w:w="40" w:type="dxa"/>
              <w:left w:w="110" w:type="dxa"/>
              <w:bottom w:w="40" w:type="dxa"/>
              <w:right w:w="110" w:type="dxa"/>
            </w:tcMar>
          </w:tcPr>
          <w:p>
            <w:pPr>
              <w:pStyle w:val="MasttTableCell"/>
              <w:spacing w:before="20" w:after="20"/>
            </w:pPr>
            <w:r/>
            <w:r>
              <w:rPr>
                <w:rFonts w:ascii="Segoe UI" w:hAnsi="Segoe UI"/>
                <w:b/>
                <w:color w:val="1D3245"/>
                <w:sz w:val="14"/>
              </w:rPr>
              <w:t>B01</w:t>
            </w:r>
          </w:p>
        </w:tc>
        <w:tc>
          <w:tcPr>
            <w:tcW w:type="dxa" w:w="12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tcPr>
          <w:p>
            <w:pPr>
              <w:pStyle w:val="MasttTableCell"/>
              <w:spacing w:before="20" w:after="20"/>
            </w:pPr>
            <w:r/>
            <w:r>
              <w:rPr>
                <w:rFonts w:ascii="Segoe UI" w:hAnsi="Segoe UI"/>
                <w:color w:val="1D3245"/>
                <w:sz w:val="14"/>
              </w:rPr>
              <w:t>Financial - cost saving</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B02</w:t>
            </w:r>
          </w:p>
        </w:tc>
        <w:tc>
          <w:tcPr>
            <w:tcW w:type="dxa" w:w="12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Financial - revenue</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tcPr>
          <w:p>
            <w:pPr>
              <w:pStyle w:val="MasttTableCell"/>
              <w:spacing w:before="20" w:after="20"/>
            </w:pPr>
            <w:r/>
            <w:r>
              <w:rPr>
                <w:rFonts w:ascii="Segoe UI" w:hAnsi="Segoe UI"/>
                <w:b/>
                <w:color w:val="1D3245"/>
                <w:sz w:val="14"/>
              </w:rPr>
              <w:t>B03</w:t>
            </w:r>
          </w:p>
        </w:tc>
        <w:tc>
          <w:tcPr>
            <w:tcW w:type="dxa" w:w="12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tcPr>
          <w:p>
            <w:pPr>
              <w:pStyle w:val="MasttTableCell"/>
              <w:spacing w:before="20" w:after="20"/>
            </w:pPr>
            <w:r/>
            <w:r>
              <w:rPr>
                <w:rFonts w:ascii="Segoe UI" w:hAnsi="Segoe UI"/>
                <w:color w:val="1D3245"/>
                <w:sz w:val="14"/>
              </w:rPr>
              <w:t>Service - capacity</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B04</w:t>
            </w:r>
          </w:p>
        </w:tc>
        <w:tc>
          <w:tcPr>
            <w:tcW w:type="dxa" w:w="12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Service - quality</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tcPr>
          <w:p>
            <w:pPr>
              <w:pStyle w:val="MasttTableCell"/>
              <w:spacing w:before="20" w:after="20"/>
            </w:pPr>
            <w:r/>
            <w:r>
              <w:rPr>
                <w:rFonts w:ascii="Segoe UI" w:hAnsi="Segoe UI"/>
                <w:b/>
                <w:color w:val="1D3245"/>
                <w:sz w:val="14"/>
              </w:rPr>
              <w:t>B05</w:t>
            </w:r>
          </w:p>
        </w:tc>
        <w:tc>
          <w:tcPr>
            <w:tcW w:type="dxa" w:w="12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tcPr>
          <w:p>
            <w:pPr>
              <w:pStyle w:val="MasttTableCell"/>
              <w:spacing w:before="20" w:after="20"/>
            </w:pPr>
            <w:r/>
            <w:r>
              <w:rPr>
                <w:rFonts w:ascii="Segoe UI" w:hAnsi="Segoe UI"/>
                <w:color w:val="1D3245"/>
                <w:sz w:val="14"/>
              </w:rPr>
              <w:t>Compliance / risk reduction</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B06</w:t>
            </w:r>
          </w:p>
        </w:tc>
        <w:tc>
          <w:tcPr>
            <w:tcW w:type="dxa" w:w="12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Safety</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tcPr>
          <w:p>
            <w:pPr>
              <w:pStyle w:val="MasttTableCell"/>
              <w:spacing w:before="20" w:after="20"/>
            </w:pPr>
            <w:r/>
            <w:r>
              <w:rPr>
                <w:rFonts w:ascii="Segoe UI" w:hAnsi="Segoe UI"/>
                <w:b/>
                <w:color w:val="1D3245"/>
                <w:sz w:val="14"/>
              </w:rPr>
              <w:t>B07</w:t>
            </w:r>
          </w:p>
        </w:tc>
        <w:tc>
          <w:tcPr>
            <w:tcW w:type="dxa" w:w="12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tcPr>
          <w:p>
            <w:pPr>
              <w:pStyle w:val="MasttTableCell"/>
              <w:spacing w:before="20" w:after="20"/>
            </w:pPr>
            <w:r/>
            <w:r>
              <w:rPr>
                <w:rFonts w:ascii="Segoe UI" w:hAnsi="Segoe UI"/>
                <w:color w:val="1D3245"/>
                <w:sz w:val="14"/>
              </w:rPr>
              <w:t>Environmental / carbon</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B08</w:t>
            </w:r>
          </w:p>
        </w:tc>
        <w:tc>
          <w:tcPr>
            <w:tcW w:type="dxa" w:w="12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Social / community</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tcPr>
          <w:p>
            <w:pPr>
              <w:pStyle w:val="MasttTableCell"/>
              <w:spacing w:before="20" w:after="20"/>
            </w:pPr>
            <w:r/>
            <w:r>
              <w:rPr>
                <w:rFonts w:ascii="Segoe UI" w:hAnsi="Segoe UI"/>
                <w:b/>
                <w:color w:val="1D3245"/>
                <w:sz w:val="14"/>
              </w:rPr>
              <w:t>B09</w:t>
            </w:r>
          </w:p>
        </w:tc>
        <w:tc>
          <w:tcPr>
            <w:tcW w:type="dxa" w:w="12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tcPr>
          <w:p>
            <w:pPr>
              <w:pStyle w:val="MasttTableCell"/>
              <w:spacing w:before="20" w:after="20"/>
            </w:pPr>
            <w:r/>
            <w:r>
              <w:rPr>
                <w:rFonts w:ascii="Segoe UI" w:hAnsi="Segoe UI"/>
                <w:color w:val="1D3245"/>
                <w:sz w:val="14"/>
              </w:rPr>
              <w:t>Staff / user experience</w:t>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B10</w:t>
            </w:r>
          </w:p>
        </w:tc>
        <w:tc>
          <w:tcPr>
            <w:tcW w:type="dxa" w:w="12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t>Whole-of-life cost</w:t>
            </w:r>
          </w:p>
        </w:tc>
        <w:tc>
          <w:tcPr>
            <w:tcW w:type="dxa" w:w="10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73"/>
            <w:tcMar>
              <w:top w:w="40" w:type="dxa"/>
              <w:left w:w="110" w:type="dxa"/>
              <w:bottom w:w="40" w:type="dxa"/>
              <w:right w:w="110" w:type="dxa"/>
            </w:tcMar>
          </w:tcPr>
          <w:p>
            <w:pPr>
              <w:pStyle w:val="MasttTableCell"/>
              <w:spacing w:before="20" w:after="20"/>
            </w:pPr>
            <w:r/>
            <w:r>
              <w:rPr>
                <w:rFonts w:ascii="Segoe UI" w:hAnsi="Segoe UI"/>
                <w:b/>
                <w:color w:val="1D3245"/>
                <w:sz w:val="14"/>
              </w:rPr>
            </w:r>
          </w:p>
        </w:tc>
        <w:tc>
          <w:tcPr>
            <w:tcW w:type="dxa" w:w="12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8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33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7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41"/>
            <w:tcMar>
              <w:top w:w="40" w:type="dxa"/>
              <w:left w:w="110" w:type="dxa"/>
              <w:bottom w:w="40" w:type="dxa"/>
              <w:right w:w="110" w:type="dxa"/>
            </w:tcMar>
          </w:tcPr>
          <w:p>
            <w:pPr>
              <w:pStyle w:val="MasttTableCell"/>
              <w:spacing w:before="20" w:after="20"/>
            </w:pPr>
            <w:r/>
            <w:r>
              <w:rPr>
                <w:rFonts w:ascii="Segoe UI" w:hAnsi="Segoe UI"/>
                <w:color w:val="1D3245"/>
                <w:sz w:val="14"/>
              </w:rPr>
            </w:r>
          </w:p>
        </w:tc>
      </w:tr>
    </w:tbl>
    <w:p>
      <w:pPr>
        <w:rPr>
          <w:sz w:val="8"/>
        </w:rPr>
        <w:spacing w:after="40" w:before="0" w:line="240" w:lineRule="auto"/>
      </w:pPr>
    </w:p>
    <w:p>
      <w:pPr>
        <w:pStyle w:val="Heading2"/>
      </w:pPr>
      <w:r>
        <w:t>21.4  Measurement approach</w:t>
      </w:r>
    </w:p>
    <w:p>
      <w:pPr>
        <w:pStyle w:val="ListBullet"/>
        <w:spacing w:after="60"/>
        <w:ind w:left="340"/>
      </w:pPr>
      <w:r>
        <w:rPr>
          <w:rFonts w:ascii="Segoe UI" w:hAnsi="Segoe UI"/>
          <w:color w:val="1D3245"/>
          <w:sz w:val="20"/>
        </w:rPr>
        <w:t>Every benefit has a baseline measured before the change; a benefit without a baseline cannot be evidenced.</w:t>
      </w:r>
    </w:p>
    <w:p>
      <w:pPr>
        <w:pStyle w:val="ListBullet"/>
        <w:spacing w:after="60"/>
        <w:ind w:left="340"/>
      </w:pPr>
      <w:r>
        <w:rPr>
          <w:rFonts w:ascii="Segoe UI" w:hAnsi="Segoe UI"/>
          <w:color w:val="1D3245"/>
          <w:sz w:val="20"/>
        </w:rPr>
        <w:t>The measurement method, data source, frequency and responsible party are agreed before handover.</w:t>
      </w:r>
    </w:p>
    <w:p>
      <w:pPr>
        <w:pStyle w:val="ListBullet"/>
        <w:spacing w:after="60"/>
        <w:ind w:left="340"/>
      </w:pPr>
      <w:r>
        <w:rPr>
          <w:rFonts w:ascii="Segoe UI" w:hAnsi="Segoe UI"/>
          <w:color w:val="1D3245"/>
          <w:sz w:val="20"/>
        </w:rPr>
        <w:t>Double counting across benefits and across projects in the same programme is explicitly checked and eliminated.</w:t>
      </w:r>
    </w:p>
    <w:p>
      <w:pPr>
        <w:pStyle w:val="ListBullet"/>
        <w:spacing w:after="60"/>
        <w:ind w:left="340"/>
      </w:pPr>
      <w:r>
        <w:rPr>
          <w:rFonts w:ascii="Segoe UI" w:hAnsi="Segoe UI"/>
          <w:color w:val="1D3245"/>
          <w:sz w:val="20"/>
        </w:rPr>
        <w:t>Disbenefits - the things that get worse - are recorded and reported alongside benefits.</w:t>
      </w:r>
    </w:p>
    <w:p>
      <w:pPr>
        <w:pStyle w:val="ListBullet"/>
        <w:spacing w:after="60"/>
        <w:ind w:left="340"/>
      </w:pPr>
      <w:r>
        <w:rPr>
          <w:rFonts w:ascii="Segoe UI" w:hAnsi="Segoe UI"/>
          <w:color w:val="1D3245"/>
          <w:sz w:val="20"/>
        </w:rPr>
        <w:t>Benefit forecasts are updated whenever scope changes materially; the change control process in Section 18 requires a benefits impact assessment.</w:t>
      </w:r>
    </w:p>
    <w:p>
      <w:pPr>
        <w:pStyle w:val="Heading2"/>
      </w:pPr>
      <w:r>
        <w:t>21.5  Post-implementation review</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2155"/>
        <w:gridCol w:w="1659"/>
        <w:gridCol w:w="2919"/>
        <w:gridCol w:w="1383"/>
        <w:gridCol w:w="1296"/>
      </w:tblGrid>
      <w:tr>
        <w:trPr>
          <w:tblHeader w:val="true"/>
          <w:cantSplit w:val="true"/>
        </w:trPr>
        <w:tc>
          <w:tcPr>
            <w:tcW w:type="dxa" w:w="21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Review</w:t>
            </w:r>
          </w:p>
        </w:tc>
        <w:tc>
          <w:tcPr>
            <w:tcW w:type="dxa" w:w="165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Timing</w:t>
            </w:r>
          </w:p>
        </w:tc>
        <w:tc>
          <w:tcPr>
            <w:tcW w:type="dxa" w:w="291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Focus</w:t>
            </w:r>
          </w:p>
        </w:tc>
        <w:tc>
          <w:tcPr>
            <w:tcW w:type="dxa" w:w="138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29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Reported to</w:t>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Handover review</w:t>
            </w:r>
          </w:p>
        </w:tc>
        <w:tc>
          <w:tcPr>
            <w:tcW w:type="dxa" w:w="1659"/>
            <w:tcMar>
              <w:top w:w="40" w:type="dxa"/>
              <w:left w:w="110" w:type="dxa"/>
              <w:bottom w:w="40" w:type="dxa"/>
              <w:right w:w="110" w:type="dxa"/>
            </w:tcMar>
          </w:tcPr>
          <w:p>
            <w:pPr>
              <w:pStyle w:val="MasttTableCell"/>
              <w:spacing w:before="20" w:after="20"/>
            </w:pPr>
            <w:r/>
            <w:r>
              <w:rPr>
                <w:rFonts w:ascii="Segoe UI" w:hAnsi="Segoe UI"/>
                <w:color w:val="1D3245"/>
                <w:sz w:val="17"/>
              </w:rPr>
              <w:t>At practical completion</w:t>
            </w:r>
          </w:p>
        </w:tc>
        <w:tc>
          <w:tcPr>
            <w:tcW w:type="dxa" w:w="2919"/>
            <w:tcMar>
              <w:top w:w="40" w:type="dxa"/>
              <w:left w:w="110" w:type="dxa"/>
              <w:bottom w:w="40" w:type="dxa"/>
              <w:right w:w="110" w:type="dxa"/>
            </w:tcMar>
          </w:tcPr>
          <w:p>
            <w:pPr>
              <w:pStyle w:val="MasttTableCell"/>
              <w:spacing w:before="20" w:after="20"/>
            </w:pPr>
            <w:r/>
            <w:r>
              <w:rPr>
                <w:rFonts w:ascii="Segoe UI" w:hAnsi="Segoe UI"/>
                <w:color w:val="1D3245"/>
                <w:sz w:val="17"/>
              </w:rPr>
              <w:t>Delivery performance, outstanding items, readiness</w:t>
            </w:r>
          </w:p>
        </w:tc>
        <w:tc>
          <w:tcPr>
            <w:tcW w:type="dxa" w:w="1383"/>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1296"/>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Early benefits review</w:t>
            </w:r>
          </w:p>
        </w:tc>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3-6 months after handover</w:t>
            </w:r>
          </w:p>
        </w:tc>
        <w:tc>
          <w:tcPr>
            <w:tcW w:type="dxa" w:w="29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Asset performance in use, early benefit indicators, defects</w:t>
            </w:r>
          </w:p>
        </w:tc>
        <w:tc>
          <w:tcPr>
            <w:tcW w:type="dxa" w:w="13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Business owner</w:t>
            </w:r>
          </w:p>
        </w:tc>
        <w:tc>
          <w:tcPr>
            <w:tcW w:type="dxa" w:w="12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Sponsor</w:t>
            </w:r>
          </w:p>
        </w:tc>
      </w:tr>
      <w:tr>
        <w:trPr>
          <w:cantSplit w:val="true"/>
        </w:trPr>
        <w:tc>
          <w:tcPr>
            <w:tcW w:type="dxa" w:w="2154"/>
            <w:tcMar>
              <w:top w:w="40" w:type="dxa"/>
              <w:left w:w="110" w:type="dxa"/>
              <w:bottom w:w="40" w:type="dxa"/>
              <w:right w:w="110" w:type="dxa"/>
            </w:tcMar>
          </w:tcPr>
          <w:p>
            <w:pPr>
              <w:pStyle w:val="MasttTableCell"/>
              <w:spacing w:before="20" w:after="20"/>
            </w:pPr>
            <w:r/>
            <w:r>
              <w:rPr>
                <w:rFonts w:ascii="Segoe UI" w:hAnsi="Segoe UI"/>
                <w:b/>
                <w:color w:val="1D3245"/>
                <w:sz w:val="17"/>
              </w:rPr>
              <w:t>Post-implementation review</w:t>
            </w:r>
          </w:p>
        </w:tc>
        <w:tc>
          <w:tcPr>
            <w:tcW w:type="dxa" w:w="1659"/>
            <w:tcMar>
              <w:top w:w="40" w:type="dxa"/>
              <w:left w:w="110" w:type="dxa"/>
              <w:bottom w:w="40" w:type="dxa"/>
              <w:right w:w="110" w:type="dxa"/>
            </w:tcMar>
          </w:tcPr>
          <w:p>
            <w:pPr>
              <w:pStyle w:val="MasttTableCell"/>
              <w:spacing w:before="20" w:after="20"/>
            </w:pPr>
            <w:r/>
            <w:r>
              <w:rPr>
                <w:rFonts w:ascii="Segoe UI" w:hAnsi="Segoe UI"/>
                <w:color w:val="1D3245"/>
                <w:sz w:val="17"/>
              </w:rPr>
              <w:t>12 months after handover</w:t>
            </w:r>
          </w:p>
        </w:tc>
        <w:tc>
          <w:tcPr>
            <w:tcW w:type="dxa" w:w="2919"/>
            <w:tcMar>
              <w:top w:w="40" w:type="dxa"/>
              <w:left w:w="110" w:type="dxa"/>
              <w:bottom w:w="40" w:type="dxa"/>
              <w:right w:w="110" w:type="dxa"/>
            </w:tcMar>
          </w:tcPr>
          <w:p>
            <w:pPr>
              <w:pStyle w:val="MasttTableCell"/>
              <w:spacing w:before="20" w:after="20"/>
            </w:pPr>
            <w:r/>
            <w:r>
              <w:rPr>
                <w:rFonts w:ascii="Segoe UI" w:hAnsi="Segoe UI"/>
                <w:color w:val="1D3245"/>
                <w:sz w:val="17"/>
              </w:rPr>
              <w:t>Benefits realised against target, cost and schedule outturn, lessons</w:t>
            </w:r>
          </w:p>
        </w:tc>
        <w:tc>
          <w:tcPr>
            <w:tcW w:type="dxa" w:w="1383"/>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c>
          <w:tcPr>
            <w:tcW w:type="dxa" w:w="1296"/>
            <w:tcMar>
              <w:top w:w="40" w:type="dxa"/>
              <w:left w:w="110" w:type="dxa"/>
              <w:bottom w:w="40" w:type="dxa"/>
              <w:right w:w="110" w:type="dxa"/>
            </w:tcMar>
          </w:tcPr>
          <w:p>
            <w:pPr>
              <w:pStyle w:val="MasttTableCell"/>
              <w:spacing w:before="20" w:after="20"/>
            </w:pPr>
            <w:r/>
            <w:r>
              <w:rPr>
                <w:rFonts w:ascii="Segoe UI" w:hAnsi="Segoe UI"/>
                <w:color w:val="1D3245"/>
                <w:sz w:val="17"/>
              </w:rPr>
              <w:t>Investment authority</w:t>
            </w:r>
          </w:p>
        </w:tc>
      </w:tr>
      <w:tr>
        <w:trPr>
          <w:cantSplit w:val="true"/>
        </w:trPr>
        <w:tc>
          <w:tcPr>
            <w:tcW w:type="dxa" w:w="215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Benefits sustainment review</w:t>
            </w:r>
          </w:p>
        </w:tc>
        <w:tc>
          <w:tcPr>
            <w:tcW w:type="dxa" w:w="165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24-36 months after handover</w:t>
            </w:r>
          </w:p>
        </w:tc>
        <w:tc>
          <w:tcPr>
            <w:tcW w:type="dxa" w:w="291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Whether benefits are being sustained and the asset performs as designed</w:t>
            </w:r>
          </w:p>
        </w:tc>
        <w:tc>
          <w:tcPr>
            <w:tcW w:type="dxa" w:w="138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Business owner</w:t>
            </w:r>
          </w:p>
        </w:tc>
        <w:tc>
          <w:tcPr>
            <w:tcW w:type="dxa" w:w="12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Investment authority</w:t>
            </w:r>
          </w:p>
        </w:tc>
      </w:tr>
    </w:tbl>
    <w:p>
      <w:pPr>
        <w:rPr>
          <w:sz w:val="8"/>
        </w:rPr>
        <w:spacing w:after="40" w:before="0" w:line="240" w:lineRule="auto"/>
      </w:pPr>
    </w:p>
    <w:p>
      <w:pPr>
        <w:pStyle w:val="Heading2"/>
      </w:pPr>
      <w:r>
        <w:t>21.6  Transition to business as usual</w:t>
      </w:r>
    </w:p>
    <w:p>
      <w:pPr>
        <w:pStyle w:val="ListBullet"/>
        <w:spacing w:after="60"/>
        <w:ind w:left="340"/>
      </w:pPr>
      <w:r>
        <w:rPr>
          <w:rFonts w:ascii="Segoe UI" w:hAnsi="Segoe UI"/>
          <w:color w:val="1D3245"/>
          <w:sz w:val="20"/>
        </w:rPr>
        <w:t>The business change required to realise the benefits - new processes, roles, ways of working - is planned and resourced alongside the physical works, not after them.</w:t>
      </w:r>
    </w:p>
    <w:p>
      <w:pPr>
        <w:pStyle w:val="ListBullet"/>
        <w:spacing w:after="60"/>
        <w:ind w:left="340"/>
      </w:pPr>
      <w:r>
        <w:rPr>
          <w:rFonts w:ascii="Segoe UI" w:hAnsi="Segoe UI"/>
          <w:color w:val="1D3245"/>
          <w:sz w:val="20"/>
        </w:rPr>
        <w:t>The transition plan names what changes, who changes it, when, and how it will be sustained.</w:t>
      </w:r>
    </w:p>
    <w:p>
      <w:pPr>
        <w:pStyle w:val="ListBullet"/>
        <w:spacing w:after="60"/>
        <w:ind w:left="340"/>
      </w:pPr>
      <w:r>
        <w:rPr>
          <w:rFonts w:ascii="Segoe UI" w:hAnsi="Segoe UI"/>
          <w:color w:val="1D3245"/>
          <w:sz w:val="20"/>
        </w:rPr>
        <w:t>Ongoing operating and maintenance budget is confirmed before handover; an asset handed over without a funded operating budget will degrade.</w:t>
      </w:r>
    </w:p>
    <w:p>
      <w:pPr>
        <w:pStyle w:val="ListBullet"/>
        <w:spacing w:after="60"/>
        <w:ind w:left="340"/>
      </w:pPr>
      <w:r>
        <w:rPr>
          <w:rFonts w:ascii="Segoe UI" w:hAnsi="Segoe UI"/>
          <w:color w:val="1D3245"/>
          <w:sz w:val="20"/>
        </w:rPr>
        <w:t>Whole-of-life asset management responsibilities transfer in accordance with ISO 55000 principles and the client's asset management framework.</w:t>
      </w:r>
    </w:p>
    <w:p>
      <w:r>
        <w:br w:type="page"/>
      </w:r>
    </w:p>
    <w:p>
      <w:pPr>
        <w:pStyle w:val="Heading1"/>
        <w:pBdr>
          <w:bottom w:val="single" w:sz="6" w:space="4" w:color="C9D4E0"/>
        </w:pBdr>
      </w:pPr>
      <w:r>
        <w:t>22.  Plan maintenance and continuous improvement</w:t>
      </w:r>
    </w:p>
    <w:p>
      <w:pPr>
        <w:pStyle w:val="Heading2"/>
      </w:pPr>
      <w:r>
        <w:t>22.1  Review and update</w:t>
      </w:r>
    </w:p>
    <w:p>
      <w:pPr>
        <w:pStyle w:val="MasttBody"/>
      </w:pPr>
      <w:r>
        <w:t>This plan is reviewed against the triggers in Section 1.5. Each review confirms that the plan still describes how the project is actually run, that the organisation and authorities are current, and that the controls remain proportionate to the risk.</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928"/>
        <w:gridCol w:w="2495"/>
        <w:gridCol w:w="2268"/>
        <w:gridCol w:w="2722"/>
      </w:tblGrid>
      <w:tr>
        <w:trPr>
          <w:tblHeader w:val="true"/>
          <w:cantSplit w:val="true"/>
        </w:trPr>
        <w:tc>
          <w:tcPr>
            <w:tcW w:type="dxa" w:w="19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Review</w:t>
            </w:r>
          </w:p>
        </w:tc>
        <w:tc>
          <w:tcPr>
            <w:tcW w:type="dxa" w:w="249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Scope</w:t>
            </w:r>
          </w:p>
        </w:tc>
        <w:tc>
          <w:tcPr>
            <w:tcW w:type="dxa" w:w="226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27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Approval</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Stage gate review</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Full document</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Project Manager</w:t>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t>Sponsor</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Periodic review</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Full document</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Director</w:t>
            </w:r>
          </w:p>
        </w:tc>
      </w:tr>
      <w:tr>
        <w:trPr>
          <w:cantSplit w:val="true"/>
        </w:trPr>
        <w:tc>
          <w:tcPr>
            <w:tcW w:type="dxa" w:w="1928"/>
            <w:tcMar>
              <w:top w:w="40" w:type="dxa"/>
              <w:left w:w="110" w:type="dxa"/>
              <w:bottom w:w="40" w:type="dxa"/>
              <w:right w:w="110" w:type="dxa"/>
            </w:tcMar>
          </w:tcPr>
          <w:p>
            <w:pPr>
              <w:pStyle w:val="MasttTableCell"/>
              <w:spacing w:before="20" w:after="20"/>
            </w:pPr>
            <w:r/>
            <w:r>
              <w:rPr>
                <w:rFonts w:ascii="Segoe UI" w:hAnsi="Segoe UI"/>
                <w:b/>
                <w:color w:val="1D3245"/>
                <w:sz w:val="17"/>
              </w:rPr>
              <w:t>Targeted revision</w:t>
            </w:r>
          </w:p>
        </w:tc>
        <w:tc>
          <w:tcPr>
            <w:tcW w:type="dxa" w:w="2494"/>
            <w:tcMar>
              <w:top w:w="40" w:type="dxa"/>
              <w:left w:w="110" w:type="dxa"/>
              <w:bottom w:w="40" w:type="dxa"/>
              <w:right w:w="110" w:type="dxa"/>
            </w:tcMar>
          </w:tcPr>
          <w:p>
            <w:pPr>
              <w:pStyle w:val="MasttTableCell"/>
              <w:spacing w:before="20" w:after="20"/>
            </w:pPr>
            <w:r/>
            <w:r>
              <w:rPr>
                <w:rFonts w:ascii="Segoe UI" w:hAnsi="Segoe UI"/>
                <w:color w:val="1D3245"/>
                <w:sz w:val="17"/>
              </w:rPr>
              <w:t>Affected sections only</w:t>
            </w:r>
          </w:p>
        </w:tc>
        <w:tc>
          <w:tcPr>
            <w:tcW w:type="dxa" w:w="2268"/>
            <w:tcMar>
              <w:top w:w="40" w:type="dxa"/>
              <w:left w:w="110" w:type="dxa"/>
              <w:bottom w:w="40" w:type="dxa"/>
              <w:right w:w="110" w:type="dxa"/>
            </w:tcMar>
          </w:tcPr>
          <w:p>
            <w:pPr>
              <w:pStyle w:val="MasttTableCell"/>
              <w:spacing w:before="20" w:after="20"/>
            </w:pPr>
            <w:r/>
            <w:r>
              <w:rPr>
                <w:rFonts w:ascii="Segoe UI" w:hAnsi="Segoe UI"/>
                <w:color w:val="1D3245"/>
                <w:sz w:val="17"/>
              </w:rPr>
              <w:t>Section owner</w:t>
            </w:r>
          </w:p>
        </w:tc>
        <w:tc>
          <w:tcPr>
            <w:tcW w:type="dxa" w:w="2721"/>
            <w:tcMar>
              <w:top w:w="40" w:type="dxa"/>
              <w:left w:w="110" w:type="dxa"/>
              <w:bottom w:w="40" w:type="dxa"/>
              <w:right w:w="110" w:type="dxa"/>
            </w:tcMar>
          </w:tcPr>
          <w:p>
            <w:pPr>
              <w:pStyle w:val="MasttTableCell"/>
              <w:spacing w:before="20" w:after="20"/>
            </w:pPr>
            <w:r/>
            <w:r>
              <w:rPr>
                <w:rFonts w:ascii="Segoe UI" w:hAnsi="Segoe UI"/>
                <w:color w:val="1D3245"/>
                <w:sz w:val="17"/>
              </w:rPr>
              <w:t>Project Manager or above per Section 4.6</w:t>
            </w:r>
          </w:p>
        </w:tc>
      </w:tr>
      <w:tr>
        <w:trPr>
          <w:cantSplit w:val="true"/>
        </w:trPr>
        <w:tc>
          <w:tcPr>
            <w:tcW w:type="dxa" w:w="19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Administrative update</w:t>
            </w:r>
          </w:p>
        </w:tc>
        <w:tc>
          <w:tcPr>
            <w:tcW w:type="dxa" w:w="249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Names, contacts, dates only</w:t>
            </w:r>
          </w:p>
        </w:tc>
        <w:tc>
          <w:tcPr>
            <w:tcW w:type="dxa" w:w="226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Document Controller</w:t>
            </w:r>
          </w:p>
        </w:tc>
        <w:tc>
          <w:tcPr>
            <w:tcW w:type="dxa" w:w="27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Project Manager</w:t>
            </w:r>
          </w:p>
        </w:tc>
      </w:tr>
    </w:tbl>
    <w:p>
      <w:pPr>
        <w:rPr>
          <w:sz w:val="8"/>
        </w:rPr>
        <w:spacing w:after="40" w:before="0" w:line="240" w:lineRule="auto"/>
      </w:pPr>
    </w:p>
    <w:p>
      <w:pPr>
        <w:pStyle w:val="Heading2"/>
      </w:pPr>
      <w:r>
        <w:t>22.2  Lessons learned process</w:t>
      </w:r>
    </w:p>
    <w:p>
      <w:pPr>
        <w:pStyle w:val="ListBullet"/>
        <w:spacing w:after="60"/>
        <w:ind w:left="340"/>
      </w:pPr>
      <w:r>
        <w:rPr>
          <w:rFonts w:ascii="Segoe UI" w:hAnsi="Segoe UI"/>
          <w:color w:val="1D3245"/>
          <w:sz w:val="20"/>
        </w:rPr>
        <w:t>Capture - anyone may raise a lesson at any time through the lessons register.</w:t>
      </w:r>
    </w:p>
    <w:p>
      <w:pPr>
        <w:pStyle w:val="ListBullet"/>
        <w:spacing w:after="60"/>
        <w:ind w:left="340"/>
      </w:pPr>
      <w:r>
        <w:rPr>
          <w:rFonts w:ascii="Segoe UI" w:hAnsi="Segoe UI"/>
          <w:color w:val="1D3245"/>
          <w:sz w:val="20"/>
        </w:rPr>
        <w:t>Facilitate - structured sessions at each stage gate, after each major package, and after any significant incident, claim or dispute.</w:t>
      </w:r>
    </w:p>
    <w:p>
      <w:pPr>
        <w:pStyle w:val="ListBullet"/>
        <w:spacing w:after="60"/>
        <w:ind w:left="340"/>
      </w:pPr>
      <w:r>
        <w:rPr>
          <w:rFonts w:ascii="Segoe UI" w:hAnsi="Segoe UI"/>
          <w:color w:val="1D3245"/>
          <w:sz w:val="20"/>
        </w:rPr>
        <w:t>Analyse - identify the root cause and whether the lesson is specific to this project or applicable to the portfolio.</w:t>
      </w:r>
    </w:p>
    <w:p>
      <w:pPr>
        <w:pStyle w:val="ListBullet"/>
        <w:spacing w:after="60"/>
        <w:ind w:left="340"/>
      </w:pPr>
      <w:r>
        <w:rPr>
          <w:rFonts w:ascii="Segoe UI" w:hAnsi="Segoe UI"/>
          <w:color w:val="1D3245"/>
          <w:sz w:val="20"/>
        </w:rPr>
        <w:t>Act - convert each accepted lesson into a specific change: to this plan, to a process, to a template, to a specification or to a procurement requirement.</w:t>
      </w:r>
    </w:p>
    <w:p>
      <w:pPr>
        <w:pStyle w:val="ListBullet"/>
        <w:spacing w:after="60"/>
        <w:ind w:left="340"/>
      </w:pPr>
      <w:r>
        <w:rPr>
          <w:rFonts w:ascii="Segoe UI" w:hAnsi="Segoe UI"/>
          <w:color w:val="1D3245"/>
          <w:sz w:val="20"/>
        </w:rPr>
        <w:t>Share - transmit portfolio-relevant lessons to the PMO within 20 working days.</w:t>
      </w:r>
    </w:p>
    <w:p>
      <w:pPr>
        <w:pStyle w:val="ListBullet"/>
        <w:spacing w:after="60"/>
        <w:ind w:left="340"/>
      </w:pPr>
      <w:r>
        <w:rPr>
          <w:rFonts w:ascii="Segoe UI" w:hAnsi="Segoe UI"/>
          <w:color w:val="1D3245"/>
          <w:sz w:val="20"/>
        </w:rPr>
        <w:t>Verify - confirm at the next gate that the change was actually made. A lesson that changes nothing has not been learned.</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788"/>
        <w:gridCol w:w="1255"/>
        <w:gridCol w:w="1213"/>
        <w:gridCol w:w="1100"/>
        <w:gridCol w:w="1927"/>
        <w:gridCol w:w="1060"/>
        <w:gridCol w:w="856"/>
        <w:gridCol w:w="1213"/>
      </w:tblGrid>
      <w:tr>
        <w:trPr>
          <w:tblHeader w:val="true"/>
          <w:cantSplit w:val="true"/>
        </w:trPr>
        <w:tc>
          <w:tcPr>
            <w:tcW w:type="dxa" w:w="7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125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Lesson</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Category</w:t>
            </w:r>
          </w:p>
        </w:tc>
        <w:tc>
          <w:tcPr>
            <w:tcW w:type="dxa" w:w="110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Root cause</w:t>
            </w:r>
          </w:p>
        </w:tc>
        <w:tc>
          <w:tcPr>
            <w:tcW w:type="dxa" w:w="192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Recommendation</w:t>
            </w:r>
          </w:p>
        </w:tc>
        <w:tc>
          <w:tcPr>
            <w:tcW w:type="dxa" w:w="106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Change made to</w:t>
            </w:r>
          </w:p>
        </w:tc>
        <w:tc>
          <w:tcPr>
            <w:tcW w:type="dxa" w:w="85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21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Verified</w:t>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LL-01</w:t>
            </w:r>
          </w:p>
        </w:tc>
        <w:tc>
          <w:tcPr>
            <w:tcW w:type="dxa" w:w="125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0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6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5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LL-02</w:t>
            </w:r>
          </w:p>
        </w:tc>
        <w:tc>
          <w:tcPr>
            <w:tcW w:type="dxa" w:w="12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LL-03</w:t>
            </w:r>
          </w:p>
        </w:tc>
        <w:tc>
          <w:tcPr>
            <w:tcW w:type="dxa" w:w="125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0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6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5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LL-04</w:t>
            </w:r>
          </w:p>
        </w:tc>
        <w:tc>
          <w:tcPr>
            <w:tcW w:type="dxa" w:w="125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1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6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85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LL-05</w:t>
            </w:r>
          </w:p>
        </w:tc>
        <w:tc>
          <w:tcPr>
            <w:tcW w:type="dxa" w:w="125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10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927"/>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6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85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13"/>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pPr>
        <w:pStyle w:val="Heading2"/>
      </w:pPr>
      <w:r>
        <w:t>22.3  Knowledge management</w:t>
      </w:r>
    </w:p>
    <w:p>
      <w:pPr>
        <w:pStyle w:val="ListBullet"/>
        <w:spacing w:after="60"/>
        <w:ind w:left="340"/>
      </w:pPr>
      <w:r>
        <w:rPr>
          <w:rFonts w:ascii="Segoe UI" w:hAnsi="Segoe UI"/>
          <w:color w:val="1D3245"/>
          <w:sz w:val="20"/>
        </w:rPr>
        <w:t>Project knowledge - decisions, rationale, precedents and data - is captured in the common data environment as it is created, so that it survives personnel change.</w:t>
      </w:r>
    </w:p>
    <w:p>
      <w:pPr>
        <w:pStyle w:val="ListBullet"/>
        <w:spacing w:after="60"/>
        <w:ind w:left="340"/>
      </w:pPr>
      <w:r>
        <w:rPr>
          <w:rFonts w:ascii="Segoe UI" w:hAnsi="Segoe UI"/>
          <w:color w:val="1D3245"/>
          <w:sz w:val="20"/>
        </w:rPr>
        <w:t>Decision rationale is recorded at the time; reconstructing why a decision was made two years later is unreliable and expensive.</w:t>
      </w:r>
    </w:p>
    <w:p>
      <w:pPr>
        <w:pStyle w:val="ListBullet"/>
        <w:spacing w:after="60"/>
        <w:ind w:left="340"/>
      </w:pPr>
      <w:r>
        <w:rPr>
          <w:rFonts w:ascii="Segoe UI" w:hAnsi="Segoe UI"/>
          <w:color w:val="1D3245"/>
          <w:sz w:val="20"/>
        </w:rPr>
        <w:t>Benchmark data - rates, durations, productivity, carbon intensity - is captured in a form the organisation can reuse on the next project.</w:t>
      </w:r>
    </w:p>
    <w:p>
      <w:pPr>
        <w:pStyle w:val="ListBullet"/>
        <w:spacing w:after="60"/>
        <w:ind w:left="340"/>
      </w:pPr>
      <w:r>
        <w:rPr>
          <w:rFonts w:ascii="Segoe UI" w:hAnsi="Segoe UI"/>
          <w:color w:val="1D3245"/>
          <w:sz w:val="20"/>
        </w:rPr>
        <w:t>Key documents are handed to the PMO at closeout in a reusable form, not merely archived.</w:t>
      </w:r>
    </w:p>
    <w:p>
      <w:pPr>
        <w:pStyle w:val="Heading2"/>
      </w:pPr>
      <w:r>
        <w:t>22.4  Continuous improvement register</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788"/>
        <w:gridCol w:w="2387"/>
        <w:gridCol w:w="1315"/>
        <w:gridCol w:w="1730"/>
        <w:gridCol w:w="1201"/>
        <w:gridCol w:w="1015"/>
        <w:gridCol w:w="975"/>
      </w:tblGrid>
      <w:tr>
        <w:trPr>
          <w:tblHeader w:val="true"/>
          <w:cantSplit w:val="true"/>
        </w:trPr>
        <w:tc>
          <w:tcPr>
            <w:tcW w:type="dxa" w:w="78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Ref</w:t>
            </w:r>
          </w:p>
        </w:tc>
        <w:tc>
          <w:tcPr>
            <w:tcW w:type="dxa" w:w="23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Improvement opportunity</w:t>
            </w:r>
          </w:p>
        </w:tc>
        <w:tc>
          <w:tcPr>
            <w:tcW w:type="dxa" w:w="13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Source</w:t>
            </w:r>
          </w:p>
        </w:tc>
        <w:tc>
          <w:tcPr>
            <w:tcW w:type="dxa" w:w="173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Benefit</w:t>
            </w:r>
          </w:p>
        </w:tc>
        <w:tc>
          <w:tcPr>
            <w:tcW w:type="dxa" w:w="12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Owner</w:t>
            </w:r>
          </w:p>
        </w:tc>
        <w:tc>
          <w:tcPr>
            <w:tcW w:type="dxa" w:w="101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Target date</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Status</w:t>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CI-01</w:t>
            </w:r>
          </w:p>
        </w:tc>
        <w:tc>
          <w:tcPr>
            <w:tcW w:type="dxa" w:w="238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1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73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1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CI-02</w:t>
            </w:r>
          </w:p>
        </w:tc>
        <w:tc>
          <w:tcPr>
            <w:tcW w:type="dxa" w:w="23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7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CI-03</w:t>
            </w:r>
          </w:p>
        </w:tc>
        <w:tc>
          <w:tcPr>
            <w:tcW w:type="dxa" w:w="238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1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73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1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CI-04</w:t>
            </w:r>
          </w:p>
        </w:tc>
        <w:tc>
          <w:tcPr>
            <w:tcW w:type="dxa" w:w="23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3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7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2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101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r>
          </w:p>
        </w:tc>
      </w:tr>
      <w:tr>
        <w:trPr>
          <w:cantSplit w:val="true"/>
        </w:trPr>
        <w:tc>
          <w:tcPr>
            <w:tcW w:type="dxa" w:w="788"/>
            <w:tcMar>
              <w:top w:w="40" w:type="dxa"/>
              <w:left w:w="110" w:type="dxa"/>
              <w:bottom w:w="40" w:type="dxa"/>
              <w:right w:w="110" w:type="dxa"/>
            </w:tcMar>
          </w:tcPr>
          <w:p>
            <w:pPr>
              <w:pStyle w:val="MasttTableCell"/>
              <w:spacing w:before="20" w:after="20"/>
            </w:pPr>
            <w:r/>
            <w:r>
              <w:rPr>
                <w:rFonts w:ascii="Segoe UI" w:hAnsi="Segoe UI"/>
                <w:b/>
                <w:color w:val="1D3245"/>
                <w:sz w:val="17"/>
              </w:rPr>
              <w:t>CI-05</w:t>
            </w:r>
          </w:p>
        </w:tc>
        <w:tc>
          <w:tcPr>
            <w:tcW w:type="dxa" w:w="2386"/>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31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730"/>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201"/>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1015"/>
            <w:tcMar>
              <w:top w:w="40" w:type="dxa"/>
              <w:left w:w="110" w:type="dxa"/>
              <w:bottom w:w="40" w:type="dxa"/>
              <w:right w:w="110" w:type="dxa"/>
            </w:tcMar>
          </w:tcPr>
          <w:p>
            <w:pPr>
              <w:pStyle w:val="MasttTableCell"/>
              <w:spacing w:before="20" w:after="20"/>
            </w:pPr>
            <w:r/>
            <w:r>
              <w:rPr>
                <w:rFonts w:ascii="Segoe UI" w:hAnsi="Segoe UI"/>
                <w:color w:val="1D3245"/>
                <w:sz w:val="17"/>
              </w:rPr>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r>
          </w:p>
        </w:tc>
      </w:tr>
    </w:tbl>
    <w:p>
      <w:pPr>
        <w:rPr>
          <w:sz w:val="8"/>
        </w:rPr>
        <w:spacing w:after="40" w:before="0" w:line="240" w:lineRule="auto"/>
      </w:pPr>
    </w:p>
    <w:p>
      <w:r>
        <w:br w:type="page"/>
      </w:r>
    </w:p>
    <w:p>
      <w:pPr>
        <w:pStyle w:val="Heading1"/>
        <w:pBdr>
          <w:bottom w:val="single" w:sz="6" w:space="4" w:color="C9D4E0"/>
        </w:pBdr>
      </w:pPr>
      <w:r>
        <w:t>Appendix A - Milestone schedule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Reproduce the approved milestone set from Section 8.5, adding the baseline date on approval. Forecast and actual dates are updated each month; variance is the difference between forecast and baseline, and is the number the Board reads first.</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535"/>
        <w:gridCol w:w="1102"/>
        <w:gridCol w:w="1291"/>
        <w:gridCol w:w="1008"/>
        <w:gridCol w:w="1008"/>
        <w:gridCol w:w="818"/>
        <w:gridCol w:w="1008"/>
        <w:gridCol w:w="1102"/>
        <w:gridCol w:w="724"/>
        <w:gridCol w:w="818"/>
      </w:tblGrid>
      <w:tr>
        <w:trPr>
          <w:tblHeader w:val="true"/>
          <w:cantSplit w:val="true"/>
        </w:trPr>
        <w:tc>
          <w:tcPr>
            <w:tcW w:type="dxa" w:w="5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Ref</w:t>
            </w:r>
          </w:p>
        </w:tc>
        <w:tc>
          <w:tcPr>
            <w:tcW w:type="dxa" w:w="11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Milestone</w:t>
            </w:r>
          </w:p>
        </w:tc>
        <w:tc>
          <w:tcPr>
            <w:tcW w:type="dxa" w:w="129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Predecessor</w:t>
            </w:r>
          </w:p>
        </w:tc>
        <w:tc>
          <w:tcPr>
            <w:tcW w:type="dxa" w:w="100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Baseline date</w:t>
            </w:r>
          </w:p>
        </w:tc>
        <w:tc>
          <w:tcPr>
            <w:tcW w:type="dxa" w:w="100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Forecast date</w:t>
            </w:r>
          </w:p>
        </w:tc>
        <w:tc>
          <w:tcPr>
            <w:tcW w:type="dxa" w:w="81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Actual date</w:t>
            </w:r>
          </w:p>
        </w:tc>
        <w:tc>
          <w:tcPr>
            <w:tcW w:type="dxa" w:w="100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Variance (days)</w:t>
            </w:r>
          </w:p>
        </w:tc>
        <w:tc>
          <w:tcPr>
            <w:tcW w:type="dxa" w:w="110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Tolerance</w:t>
            </w:r>
          </w:p>
        </w:tc>
        <w:tc>
          <w:tcPr>
            <w:tcW w:type="dxa" w:w="72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Owner</w:t>
            </w:r>
          </w:p>
        </w:tc>
        <w:tc>
          <w:tcPr>
            <w:tcW w:type="dxa" w:w="81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Status</w:t>
            </w:r>
          </w:p>
        </w:tc>
      </w:tr>
      <w:tr>
        <w:trPr>
          <w:cantSplit w:val="true"/>
        </w:trPr>
        <w:tc>
          <w:tcPr>
            <w:tcW w:type="dxa" w:w="535"/>
            <w:tcMar>
              <w:top w:w="40" w:type="dxa"/>
              <w:left w:w="110" w:type="dxa"/>
              <w:bottom w:w="40" w:type="dxa"/>
              <w:right w:w="110" w:type="dxa"/>
            </w:tcMar>
          </w:tcPr>
          <w:p>
            <w:pPr>
              <w:pStyle w:val="MasttTableCell"/>
              <w:spacing w:before="20" w:after="20"/>
            </w:pPr>
            <w:r/>
            <w:r>
              <w:rPr>
                <w:rFonts w:ascii="Segoe UI" w:hAnsi="Segoe UI"/>
                <w:b/>
                <w:color w:val="1D3245"/>
                <w:sz w:val="14"/>
              </w:rPr>
              <w:t>M01</w:t>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M02</w:t>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tcPr>
          <w:p>
            <w:pPr>
              <w:pStyle w:val="MasttTableCell"/>
              <w:spacing w:before="20" w:after="20"/>
            </w:pPr>
            <w:r/>
            <w:r>
              <w:rPr>
                <w:rFonts w:ascii="Segoe UI" w:hAnsi="Segoe UI"/>
                <w:b/>
                <w:color w:val="1D3245"/>
                <w:sz w:val="14"/>
              </w:rPr>
              <w:t>M03</w:t>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M04</w:t>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tcPr>
          <w:p>
            <w:pPr>
              <w:pStyle w:val="MasttTableCell"/>
              <w:spacing w:before="20" w:after="20"/>
            </w:pPr>
            <w:r/>
            <w:r>
              <w:rPr>
                <w:rFonts w:ascii="Segoe UI" w:hAnsi="Segoe UI"/>
                <w:b/>
                <w:color w:val="1D3245"/>
                <w:sz w:val="14"/>
              </w:rPr>
              <w:t>M05</w:t>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M06</w:t>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tcPr>
          <w:p>
            <w:pPr>
              <w:pStyle w:val="MasttTableCell"/>
              <w:spacing w:before="20" w:after="20"/>
            </w:pPr>
            <w:r/>
            <w:r>
              <w:rPr>
                <w:rFonts w:ascii="Segoe UI" w:hAnsi="Segoe UI"/>
                <w:b/>
                <w:color w:val="1D3245"/>
                <w:sz w:val="14"/>
              </w:rPr>
              <w:t>M07</w:t>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M08</w:t>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tcPr>
          <w:p>
            <w:pPr>
              <w:pStyle w:val="MasttTableCell"/>
              <w:spacing w:before="20" w:after="20"/>
            </w:pPr>
            <w:r/>
            <w:r>
              <w:rPr>
                <w:rFonts w:ascii="Segoe UI" w:hAnsi="Segoe UI"/>
                <w:b/>
                <w:color w:val="1D3245"/>
                <w:sz w:val="14"/>
              </w:rPr>
              <w:t>M09</w:t>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M10</w:t>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tcPr>
          <w:p>
            <w:pPr>
              <w:pStyle w:val="MasttTableCell"/>
              <w:spacing w:before="20" w:after="20"/>
            </w:pPr>
            <w:r/>
            <w:r>
              <w:rPr>
                <w:rFonts w:ascii="Segoe UI" w:hAnsi="Segoe UI"/>
                <w:b/>
                <w:color w:val="1D3245"/>
                <w:sz w:val="14"/>
              </w:rPr>
              <w:t>M11</w:t>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M12</w:t>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tcPr>
          <w:p>
            <w:pPr>
              <w:pStyle w:val="MasttTableCell"/>
              <w:spacing w:before="20" w:after="20"/>
            </w:pPr>
            <w:r/>
            <w:r>
              <w:rPr>
                <w:rFonts w:ascii="Segoe UI" w:hAnsi="Segoe UI"/>
                <w:b/>
                <w:color w:val="1D3245"/>
                <w:sz w:val="14"/>
              </w:rPr>
              <w:t>M13</w:t>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5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M14</w:t>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2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00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10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7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1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bl>
    <w:p>
      <w:pPr>
        <w:rPr>
          <w:sz w:val="8"/>
        </w:rPr>
        <w:spacing w:after="40" w:before="0" w:line="240" w:lineRule="auto"/>
      </w:pPr>
    </w:p>
    <w:p>
      <w:pPr>
        <w:sectPr>
          <w:headerReference w:type="default" r:id="rId11"/>
          <w:footerReference w:type="default" r:id="rId12"/>
          <w:footerReference w:type="first" r:id="rId13"/>
          <w:pgSz w:w="11906" w:h="16838"/>
          <w:pgMar w:top="1134" w:right="1247" w:bottom="1020" w:left="1247" w:header="567" w:footer="510" w:gutter="0"/>
          <w:cols w:space="720"/>
          <w:titlePg/>
          <w:docGrid w:linePitch="360"/>
        </w:sectPr>
      </w:pPr>
    </w:p>
    <w:p>
      <w:pPr>
        <w:pStyle w:val="Heading1"/>
        <w:pBdr>
          <w:bottom w:val="single" w:sz="6" w:space="4" w:color="C9D4E0"/>
        </w:pBdr>
      </w:pPr>
      <w:r>
        <w:t>Appendix B - RACI matrix</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14570"/>
      </w:tblGrid>
      <w:tr>
        <w:tc>
          <w:tcPr>
            <w:tcW w:type="dxa" w:w="14570"/>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Complete one row per delivery activity. Exactly one A per row. Add columns for project-specific roles and delete those that do not apply. Review at every stage gate - responsibilities that were right in design are rarely right in construction.</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14573" w:type="dxa"/>
      </w:tblPr>
      <w:tblGrid>
        <w:gridCol w:w="4564"/>
        <w:gridCol w:w="834"/>
        <w:gridCol w:w="834"/>
        <w:gridCol w:w="834"/>
        <w:gridCol w:w="834"/>
        <w:gridCol w:w="834"/>
        <w:gridCol w:w="834"/>
        <w:gridCol w:w="834"/>
        <w:gridCol w:w="834"/>
        <w:gridCol w:w="834"/>
        <w:gridCol w:w="834"/>
        <w:gridCol w:w="834"/>
        <w:gridCol w:w="834"/>
      </w:tblGrid>
      <w:tr>
        <w:trPr>
          <w:tblHeader w:val="true"/>
          <w:cantSplit w:val="true"/>
        </w:trPr>
        <w:tc>
          <w:tcPr>
            <w:tcW w:type="dxa" w:w="456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Activity</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SPO</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PD</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PM</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CM</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DM</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PL</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HSE</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QM</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IM</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ESG</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OPS</w:t>
            </w:r>
          </w:p>
        </w:tc>
        <w:tc>
          <w:tcPr>
            <w:tcW w:type="dxa" w:w="83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CON</w:t>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Approve the business case and funding</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Approve this PEP</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Maintain this PEP</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Define the design brief</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Manage design delivery</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Approve design deliverables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Undertake safety in design</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Obtain statutory approvals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Develop the procurement strategy</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Prequalify tenderers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Evaluate tenders</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Award contracts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Administer the contract</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Develop and baseline the schedule</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Update and report the schedule</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Assess extensions of time</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Prepare and maintain the cost plan</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Value work and certify payment</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Forecast cost at completion</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the risk register</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Approve contingency drawdown</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Raise and assess change</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Authorise change</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the quality system</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Release hold points</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site HSE performance</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Investigate incidents</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environmental compliance</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Report sustainability performance</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stakeholders and communications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Manage interfaces</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Set the information standard</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Manage the CDE</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Plan and manage commissioning</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Deliver training</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Confirm operational readiness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Accept handover</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Manage defects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Agree the final account</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Close out contracts</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tcPr>
          <w:p>
            <w:pPr>
              <w:pStyle w:val="MasttTableCell"/>
              <w:spacing w:before="20" w:after="20"/>
            </w:pPr>
            <w:r/>
            <w:r>
              <w:rPr>
                <w:rFonts w:ascii="Segoe UI" w:hAnsi="Segoe UI"/>
                <w:b/>
                <w:color w:val="1D3245"/>
                <w:sz w:val="16"/>
              </w:rPr>
              <w:t>Capture lessons learned</w:t>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4564"/>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Report benefits realisation</w:t>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83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bl>
    <w:p>
      <w:pPr>
        <w:rPr>
          <w:sz w:val="8"/>
        </w:rPr>
        <w:spacing w:after="40" w:before="0" w:line="240" w:lineRule="auto"/>
      </w:pPr>
    </w:p>
    <w:p>
      <w:pPr>
        <w:pStyle w:val="MasttCaption"/>
        <w:spacing w:after="180"/>
      </w:pPr>
      <w:r>
        <w:rPr>
          <w:color w:val="8E98A2"/>
          <w:sz w:val="16"/>
        </w:rPr>
        <w:t>SPO Sponsor · PD Project Director · PM Project Manager · CM Commercial Manager · DM Design Manager · PL Planner · HSE HSE Manager · QM Quality Manager · IM Information Manager · ESG Environmental and Sustainability Lead · OPS Operations Representative · CON Contractor</w:t>
      </w:r>
    </w:p>
    <w:p>
      <w:r>
        <w:br w:type="page"/>
      </w:r>
    </w:p>
    <w:p>
      <w:pPr>
        <w:pStyle w:val="Heading1"/>
        <w:pBdr>
          <w:bottom w:val="single" w:sz="6" w:space="4" w:color="C9D4E0"/>
        </w:pBdr>
      </w:pPr>
      <w:r>
        <w:t>Appendix C - Risk register template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14570"/>
      </w:tblGrid>
      <w:tr>
        <w:tc>
          <w:tcPr>
            <w:tcW w:type="dxa" w:w="14570"/>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Write each risk as cause → event → consequence. Rate inherent risk first, then residual after planned treatment. Every treatment needs an owner and a date; every risk needs a proximity so the team knows when to worry about it.</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14570" w:type="dxa"/>
      </w:tblPr>
      <w:tblGrid>
        <w:gridCol w:w="610"/>
        <w:gridCol w:w="1045"/>
        <w:gridCol w:w="2167"/>
        <w:gridCol w:w="908"/>
        <w:gridCol w:w="1465"/>
        <w:gridCol w:w="653"/>
        <w:gridCol w:w="653"/>
        <w:gridCol w:w="849"/>
        <w:gridCol w:w="1610"/>
        <w:gridCol w:w="930"/>
        <w:gridCol w:w="679"/>
        <w:gridCol w:w="653"/>
        <w:gridCol w:w="653"/>
        <w:gridCol w:w="849"/>
        <w:gridCol w:w="849"/>
      </w:tblGrid>
      <w:tr>
        <w:trPr>
          <w:tblHeader w:val="true"/>
          <w:cantSplit w:val="true"/>
        </w:trPr>
        <w:tc>
          <w:tcPr>
            <w:tcW w:type="dxa" w:w="60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ID</w:t>
            </w:r>
          </w:p>
        </w:tc>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Category</w:t>
            </w:r>
          </w:p>
        </w:tc>
        <w:tc>
          <w:tcPr>
            <w:tcW w:type="dxa" w:w="216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Risk (cause → event → consequence)</w:t>
            </w:r>
          </w:p>
        </w:tc>
        <w:tc>
          <w:tcPr>
            <w:tcW w:type="dxa" w:w="90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Owner</w:t>
            </w:r>
          </w:p>
        </w:tc>
        <w:tc>
          <w:tcPr>
            <w:tcW w:type="dxa" w:w="146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Existing controls</w:t>
            </w:r>
          </w:p>
        </w:tc>
        <w:tc>
          <w:tcPr>
            <w:tcW w:type="dxa" w:w="6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Inh. L</w:t>
            </w:r>
          </w:p>
        </w:tc>
        <w:tc>
          <w:tcPr>
            <w:tcW w:type="dxa" w:w="6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Inh. C</w:t>
            </w:r>
          </w:p>
        </w:tc>
        <w:tc>
          <w:tcPr>
            <w:tcW w:type="dxa" w:w="8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Inh. rating</w:t>
            </w:r>
          </w:p>
        </w:tc>
        <w:tc>
          <w:tcPr>
            <w:tcW w:type="dxa" w:w="161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Treatment</w:t>
            </w:r>
          </w:p>
        </w:tc>
        <w:tc>
          <w:tcPr>
            <w:tcW w:type="dxa" w:w="93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Action owner</w:t>
            </w:r>
          </w:p>
        </w:tc>
        <w:tc>
          <w:tcPr>
            <w:tcW w:type="dxa" w:w="67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Due</w:t>
            </w:r>
          </w:p>
        </w:tc>
        <w:tc>
          <w:tcPr>
            <w:tcW w:type="dxa" w:w="6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Res. L</w:t>
            </w:r>
          </w:p>
        </w:tc>
        <w:tc>
          <w:tcPr>
            <w:tcW w:type="dxa" w:w="6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Res. C</w:t>
            </w:r>
          </w:p>
        </w:tc>
        <w:tc>
          <w:tcPr>
            <w:tcW w:type="dxa" w:w="8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Res. rating</w:t>
            </w:r>
          </w:p>
        </w:tc>
        <w:tc>
          <w:tcPr>
            <w:tcW w:type="dxa" w:w="849"/>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4"/>
              </w:rPr>
              <w:t>Status</w:t>
            </w:r>
          </w:p>
        </w:tc>
      </w:tr>
      <w:tr>
        <w:trPr>
          <w:cantSplit w:val="true"/>
        </w:trPr>
        <w:tc>
          <w:tcPr>
            <w:tcW w:type="dxa" w:w="609"/>
            <w:tcMar>
              <w:top w:w="40" w:type="dxa"/>
              <w:left w:w="110" w:type="dxa"/>
              <w:bottom w:w="40" w:type="dxa"/>
              <w:right w:w="110" w:type="dxa"/>
            </w:tcMar>
          </w:tcPr>
          <w:p>
            <w:pPr>
              <w:pStyle w:val="MasttTableCell"/>
              <w:spacing w:before="20" w:after="20"/>
            </w:pPr>
            <w:r/>
            <w:r>
              <w:rPr>
                <w:rFonts w:ascii="Segoe UI" w:hAnsi="Segoe UI"/>
                <w:b/>
                <w:color w:val="1D3245"/>
                <w:sz w:val="14"/>
              </w:rPr>
              <w:t>R01</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R02</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tcPr>
          <w:p>
            <w:pPr>
              <w:pStyle w:val="MasttTableCell"/>
              <w:spacing w:before="20" w:after="20"/>
            </w:pPr>
            <w:r/>
            <w:r>
              <w:rPr>
                <w:rFonts w:ascii="Segoe UI" w:hAnsi="Segoe UI"/>
                <w:b/>
                <w:color w:val="1D3245"/>
                <w:sz w:val="14"/>
              </w:rPr>
              <w:t>R03</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R04</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tcPr>
          <w:p>
            <w:pPr>
              <w:pStyle w:val="MasttTableCell"/>
              <w:spacing w:before="20" w:after="20"/>
            </w:pPr>
            <w:r/>
            <w:r>
              <w:rPr>
                <w:rFonts w:ascii="Segoe UI" w:hAnsi="Segoe UI"/>
                <w:b/>
                <w:color w:val="1D3245"/>
                <w:sz w:val="14"/>
              </w:rPr>
              <w:t>R05</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R06</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tcPr>
          <w:p>
            <w:pPr>
              <w:pStyle w:val="MasttTableCell"/>
              <w:spacing w:before="20" w:after="20"/>
            </w:pPr>
            <w:r/>
            <w:r>
              <w:rPr>
                <w:rFonts w:ascii="Segoe UI" w:hAnsi="Segoe UI"/>
                <w:b/>
                <w:color w:val="1D3245"/>
                <w:sz w:val="14"/>
              </w:rPr>
              <w:t>R07</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R08</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tcPr>
          <w:p>
            <w:pPr>
              <w:pStyle w:val="MasttTableCell"/>
              <w:spacing w:before="20" w:after="20"/>
            </w:pPr>
            <w:r/>
            <w:r>
              <w:rPr>
                <w:rFonts w:ascii="Segoe UI" w:hAnsi="Segoe UI"/>
                <w:b/>
                <w:color w:val="1D3245"/>
                <w:sz w:val="14"/>
              </w:rPr>
              <w:t>R09</w:t>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tcPr>
          <w:p>
            <w:pPr>
              <w:pStyle w:val="MasttTableCell"/>
              <w:spacing w:before="20" w:after="20"/>
            </w:pPr>
            <w:r/>
            <w:r>
              <w:rPr>
                <w:rFonts w:ascii="Segoe UI" w:hAnsi="Segoe UI"/>
                <w:color w:val="1D3245"/>
                <w:sz w:val="14"/>
              </w:rPr>
            </w:r>
          </w:p>
        </w:tc>
      </w:tr>
      <w:tr>
        <w:trPr>
          <w:cantSplit w:val="true"/>
        </w:trPr>
        <w:tc>
          <w:tcPr>
            <w:tcW w:type="dxa" w:w="609"/>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4"/>
              </w:rPr>
              <w:t>R10</w:t>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216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0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46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161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93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7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6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c>
          <w:tcPr>
            <w:tcW w:type="dxa" w:w="849"/>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4"/>
              </w:rPr>
            </w:r>
          </w:p>
        </w:tc>
      </w:tr>
    </w:tbl>
    <w:p>
      <w:pPr>
        <w:rPr>
          <w:sz w:val="8"/>
        </w:rPr>
        <w:spacing w:after="40" w:before="0" w:line="240" w:lineRule="auto"/>
      </w:pPr>
    </w:p>
    <w:p>
      <w:r>
        <w:br w:type="page"/>
      </w:r>
    </w:p>
    <w:p>
      <w:pPr>
        <w:pStyle w:val="Heading1"/>
        <w:pBdr>
          <w:bottom w:val="single" w:sz="6" w:space="4" w:color="C9D4E0"/>
        </w:pBdr>
      </w:pPr>
      <w:r>
        <w:t>Appendix D - Interface register template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14570"/>
      </w:tblGrid>
      <w:tr>
        <w:tc>
          <w:tcPr>
            <w:tcW w:type="dxa" w:w="14570"/>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Every interface has two named owners - one on each side - and one date. If either is missing, the interface is not managed.</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14573" w:type="dxa"/>
      </w:tblPr>
      <w:tblGrid>
        <w:gridCol w:w="835"/>
        <w:gridCol w:w="1082"/>
        <w:gridCol w:w="2324"/>
        <w:gridCol w:w="1246"/>
        <w:gridCol w:w="1246"/>
        <w:gridCol w:w="1246"/>
        <w:gridCol w:w="1246"/>
        <w:gridCol w:w="1996"/>
        <w:gridCol w:w="1101"/>
        <w:gridCol w:w="921"/>
        <w:gridCol w:w="1332"/>
      </w:tblGrid>
      <w:tr>
        <w:trPr>
          <w:tblHeader w:val="true"/>
          <w:cantSplit w:val="true"/>
        </w:trPr>
        <w:tc>
          <w:tcPr>
            <w:tcW w:type="dxa" w:w="83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ID</w:t>
            </w:r>
          </w:p>
        </w:tc>
        <w:tc>
          <w:tcPr>
            <w:tcW w:type="dxa" w:w="108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Class</w:t>
            </w:r>
          </w:p>
        </w:tc>
        <w:tc>
          <w:tcPr>
            <w:tcW w:type="dxa" w:w="232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Interface description</w:t>
            </w:r>
          </w:p>
        </w:tc>
        <w:tc>
          <w:tcPr>
            <w:tcW w:type="dxa" w:w="124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Party A</w:t>
            </w:r>
          </w:p>
        </w:tc>
        <w:tc>
          <w:tcPr>
            <w:tcW w:type="dxa" w:w="124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Party A owner</w:t>
            </w:r>
          </w:p>
        </w:tc>
        <w:tc>
          <w:tcPr>
            <w:tcW w:type="dxa" w:w="124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Party B</w:t>
            </w:r>
          </w:p>
        </w:tc>
        <w:tc>
          <w:tcPr>
            <w:tcW w:type="dxa" w:w="124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Party B owner</w:t>
            </w:r>
          </w:p>
        </w:tc>
        <w:tc>
          <w:tcPr>
            <w:tcW w:type="dxa" w:w="199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Deliverable required</w:t>
            </w:r>
          </w:p>
        </w:tc>
        <w:tc>
          <w:tcPr>
            <w:tcW w:type="dxa" w:w="11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Required by</w:t>
            </w:r>
          </w:p>
        </w:tc>
        <w:tc>
          <w:tcPr>
            <w:tcW w:type="dxa" w:w="92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Status</w:t>
            </w:r>
          </w:p>
        </w:tc>
        <w:tc>
          <w:tcPr>
            <w:tcW w:type="dxa" w:w="13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Comment</w:t>
            </w:r>
          </w:p>
        </w:tc>
      </w:tr>
      <w:tr>
        <w:trPr>
          <w:cantSplit w:val="true"/>
        </w:trPr>
        <w:tc>
          <w:tcPr>
            <w:tcW w:type="dxa" w:w="835"/>
            <w:tcMar>
              <w:top w:w="40" w:type="dxa"/>
              <w:left w:w="110" w:type="dxa"/>
              <w:bottom w:w="40" w:type="dxa"/>
              <w:right w:w="110" w:type="dxa"/>
            </w:tcMar>
          </w:tcPr>
          <w:p>
            <w:pPr>
              <w:pStyle w:val="MasttTableCell"/>
              <w:spacing w:before="20" w:after="20"/>
            </w:pPr>
            <w:r/>
            <w:r>
              <w:rPr>
                <w:rFonts w:ascii="Segoe UI" w:hAnsi="Segoe UI"/>
                <w:b/>
                <w:color w:val="1D3245"/>
                <w:sz w:val="15"/>
              </w:rPr>
              <w:t>IF-01</w:t>
            </w:r>
          </w:p>
        </w:tc>
        <w:tc>
          <w:tcPr>
            <w:tcW w:type="dxa" w:w="1082"/>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IF-02</w:t>
            </w:r>
          </w:p>
        </w:tc>
        <w:tc>
          <w:tcPr>
            <w:tcW w:type="dxa" w:w="1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tcPr>
          <w:p>
            <w:pPr>
              <w:pStyle w:val="MasttTableCell"/>
              <w:spacing w:before="20" w:after="20"/>
            </w:pPr>
            <w:r/>
            <w:r>
              <w:rPr>
                <w:rFonts w:ascii="Segoe UI" w:hAnsi="Segoe UI"/>
                <w:b/>
                <w:color w:val="1D3245"/>
                <w:sz w:val="15"/>
              </w:rPr>
              <w:t>IF-03</w:t>
            </w:r>
          </w:p>
        </w:tc>
        <w:tc>
          <w:tcPr>
            <w:tcW w:type="dxa" w:w="1082"/>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IF-04</w:t>
            </w:r>
          </w:p>
        </w:tc>
        <w:tc>
          <w:tcPr>
            <w:tcW w:type="dxa" w:w="1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tcPr>
          <w:p>
            <w:pPr>
              <w:pStyle w:val="MasttTableCell"/>
              <w:spacing w:before="20" w:after="20"/>
            </w:pPr>
            <w:r/>
            <w:r>
              <w:rPr>
                <w:rFonts w:ascii="Segoe UI" w:hAnsi="Segoe UI"/>
                <w:b/>
                <w:color w:val="1D3245"/>
                <w:sz w:val="15"/>
              </w:rPr>
              <w:t>IF-05</w:t>
            </w:r>
          </w:p>
        </w:tc>
        <w:tc>
          <w:tcPr>
            <w:tcW w:type="dxa" w:w="1082"/>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IF-06</w:t>
            </w:r>
          </w:p>
        </w:tc>
        <w:tc>
          <w:tcPr>
            <w:tcW w:type="dxa" w:w="1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tcPr>
          <w:p>
            <w:pPr>
              <w:pStyle w:val="MasttTableCell"/>
              <w:spacing w:before="20" w:after="20"/>
            </w:pPr>
            <w:r/>
            <w:r>
              <w:rPr>
                <w:rFonts w:ascii="Segoe UI" w:hAnsi="Segoe UI"/>
                <w:b/>
                <w:color w:val="1D3245"/>
                <w:sz w:val="15"/>
              </w:rPr>
              <w:t>IF-07</w:t>
            </w:r>
          </w:p>
        </w:tc>
        <w:tc>
          <w:tcPr>
            <w:tcW w:type="dxa" w:w="1082"/>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IF-08</w:t>
            </w:r>
          </w:p>
        </w:tc>
        <w:tc>
          <w:tcPr>
            <w:tcW w:type="dxa" w:w="1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tcPr>
          <w:p>
            <w:pPr>
              <w:pStyle w:val="MasttTableCell"/>
              <w:spacing w:before="20" w:after="20"/>
            </w:pPr>
            <w:r/>
            <w:r>
              <w:rPr>
                <w:rFonts w:ascii="Segoe UI" w:hAnsi="Segoe UI"/>
                <w:b/>
                <w:color w:val="1D3245"/>
                <w:sz w:val="15"/>
              </w:rPr>
              <w:t>IF-09</w:t>
            </w:r>
          </w:p>
        </w:tc>
        <w:tc>
          <w:tcPr>
            <w:tcW w:type="dxa" w:w="1082"/>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835"/>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IF-10</w:t>
            </w:r>
          </w:p>
        </w:tc>
        <w:tc>
          <w:tcPr>
            <w:tcW w:type="dxa" w:w="108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32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4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99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2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bl>
    <w:p>
      <w:pPr>
        <w:rPr>
          <w:sz w:val="8"/>
        </w:rPr>
        <w:spacing w:after="40" w:before="0" w:line="240" w:lineRule="auto"/>
      </w:pPr>
    </w:p>
    <w:p>
      <w:r>
        <w:br w:type="page"/>
      </w:r>
    </w:p>
    <w:p>
      <w:pPr>
        <w:pStyle w:val="Heading1"/>
        <w:pBdr>
          <w:bottom w:val="single" w:sz="6" w:space="4" w:color="C9D4E0"/>
        </w:pBdr>
      </w:pPr>
      <w:r>
        <w:t>Appendix E - Change register template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14570"/>
      </w:tblGrid>
      <w:tr>
        <w:tc>
          <w:tcPr>
            <w:tcW w:type="dxa" w:w="14570"/>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Record every change, including those rejected and withdrawn - the rejected ones are the evidence that the process is working. Track the cumulative approved value against the original contract sum.</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14572" w:type="dxa"/>
      </w:tblPr>
      <w:tblGrid>
        <w:gridCol w:w="728"/>
        <w:gridCol w:w="1873"/>
        <w:gridCol w:w="1195"/>
        <w:gridCol w:w="1311"/>
        <w:gridCol w:w="957"/>
        <w:gridCol w:w="1091"/>
        <w:gridCol w:w="1024"/>
        <w:gridCol w:w="1024"/>
        <w:gridCol w:w="1176"/>
        <w:gridCol w:w="1101"/>
        <w:gridCol w:w="1101"/>
        <w:gridCol w:w="1101"/>
        <w:gridCol w:w="891"/>
      </w:tblGrid>
      <w:tr>
        <w:trPr>
          <w:tblHeader w:val="true"/>
          <w:cantSplit w:val="true"/>
        </w:trPr>
        <w:tc>
          <w:tcPr>
            <w:tcW w:type="dxa" w:w="72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ID</w:t>
            </w:r>
          </w:p>
        </w:tc>
        <w:tc>
          <w:tcPr>
            <w:tcW w:type="dxa" w:w="187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Title</w:t>
            </w:r>
          </w:p>
        </w:tc>
        <w:tc>
          <w:tcPr>
            <w:tcW w:type="dxa" w:w="119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Category</w:t>
            </w:r>
          </w:p>
        </w:tc>
        <w:tc>
          <w:tcPr>
            <w:tcW w:type="dxa" w:w="131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Originator</w:t>
            </w:r>
          </w:p>
        </w:tc>
        <w:tc>
          <w:tcPr>
            <w:tcW w:type="dxa" w:w="9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Date raised</w:t>
            </w:r>
          </w:p>
        </w:tc>
        <w:tc>
          <w:tcPr>
            <w:tcW w:type="dxa" w:w="109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Cost impact</w:t>
            </w:r>
          </w:p>
        </w:tc>
        <w:tc>
          <w:tcPr>
            <w:tcW w:type="dxa" w:w="102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Time impact (days)</w:t>
            </w:r>
          </w:p>
        </w:tc>
        <w:tc>
          <w:tcPr>
            <w:tcW w:type="dxa" w:w="102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Risk impact</w:t>
            </w:r>
          </w:p>
        </w:tc>
        <w:tc>
          <w:tcPr>
            <w:tcW w:type="dxa" w:w="117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Funding source</w:t>
            </w:r>
          </w:p>
        </w:tc>
        <w:tc>
          <w:tcPr>
            <w:tcW w:type="dxa" w:w="11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Assessed by</w:t>
            </w:r>
          </w:p>
        </w:tc>
        <w:tc>
          <w:tcPr>
            <w:tcW w:type="dxa" w:w="11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Approved by</w:t>
            </w:r>
          </w:p>
        </w:tc>
        <w:tc>
          <w:tcPr>
            <w:tcW w:type="dxa" w:w="110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Decision date</w:t>
            </w:r>
          </w:p>
        </w:tc>
        <w:tc>
          <w:tcPr>
            <w:tcW w:type="dxa" w:w="89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Status</w:t>
            </w:r>
          </w:p>
        </w:tc>
      </w:tr>
      <w:tr>
        <w:trPr>
          <w:cantSplit w:val="true"/>
        </w:trPr>
        <w:tc>
          <w:tcPr>
            <w:tcW w:type="dxa" w:w="728"/>
            <w:tcMar>
              <w:top w:w="40" w:type="dxa"/>
              <w:left w:w="110" w:type="dxa"/>
              <w:bottom w:w="40" w:type="dxa"/>
              <w:right w:w="110" w:type="dxa"/>
            </w:tcMar>
          </w:tcPr>
          <w:p>
            <w:pPr>
              <w:pStyle w:val="MasttTableCell"/>
              <w:spacing w:before="20" w:after="20"/>
            </w:pPr>
            <w:r/>
            <w:r>
              <w:rPr>
                <w:rFonts w:ascii="Segoe UI" w:hAnsi="Segoe UI"/>
                <w:b/>
                <w:color w:val="1D3245"/>
                <w:sz w:val="15"/>
              </w:rPr>
              <w:t>CR-01</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CR-02</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tcPr>
          <w:p>
            <w:pPr>
              <w:pStyle w:val="MasttTableCell"/>
              <w:spacing w:before="20" w:after="20"/>
            </w:pPr>
            <w:r/>
            <w:r>
              <w:rPr>
                <w:rFonts w:ascii="Segoe UI" w:hAnsi="Segoe UI"/>
                <w:b/>
                <w:color w:val="1D3245"/>
                <w:sz w:val="15"/>
              </w:rPr>
              <w:t>CR-03</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CR-04</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tcPr>
          <w:p>
            <w:pPr>
              <w:pStyle w:val="MasttTableCell"/>
              <w:spacing w:before="20" w:after="20"/>
            </w:pPr>
            <w:r/>
            <w:r>
              <w:rPr>
                <w:rFonts w:ascii="Segoe UI" w:hAnsi="Segoe UI"/>
                <w:b/>
                <w:color w:val="1D3245"/>
                <w:sz w:val="15"/>
              </w:rPr>
              <w:t>CR-05</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CR-06</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tcPr>
          <w:p>
            <w:pPr>
              <w:pStyle w:val="MasttTableCell"/>
              <w:spacing w:before="20" w:after="20"/>
            </w:pPr>
            <w:r/>
            <w:r>
              <w:rPr>
                <w:rFonts w:ascii="Segoe UI" w:hAnsi="Segoe UI"/>
                <w:b/>
                <w:color w:val="1D3245"/>
                <w:sz w:val="15"/>
              </w:rPr>
              <w:t>CR-07</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CR-08</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tcPr>
          <w:p>
            <w:pPr>
              <w:pStyle w:val="MasttTableCell"/>
              <w:spacing w:before="20" w:after="20"/>
            </w:pPr>
            <w:r/>
            <w:r>
              <w:rPr>
                <w:rFonts w:ascii="Segoe UI" w:hAnsi="Segoe UI"/>
                <w:b/>
                <w:color w:val="1D3245"/>
                <w:sz w:val="15"/>
              </w:rPr>
              <w:t>CR-09</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728"/>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CR-10</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9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31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9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2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7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0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bl>
    <w:p>
      <w:pPr>
        <w:rPr>
          <w:sz w:val="8"/>
        </w:rPr>
        <w:spacing w:after="40" w:before="0" w:line="240" w:lineRule="auto"/>
      </w:pPr>
    </w:p>
    <w:p>
      <w:r>
        <w:br w:type="page"/>
      </w:r>
    </w:p>
    <w:p>
      <w:pPr>
        <w:pStyle w:val="Heading1"/>
        <w:pBdr>
          <w:bottom w:val="single" w:sz="6" w:space="4" w:color="C9D4E0"/>
        </w:pBdr>
      </w:pPr>
      <w:r>
        <w:t>Appendix F - KPI reporting template</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14570"/>
      </w:tblGrid>
      <w:tr>
        <w:tc>
          <w:tcPr>
            <w:tcW w:type="dxa" w:w="14570"/>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Report actual against target every period and record the trend arrow. Any indicator breaching its threshold requires a written action with an owner and a date - an amber KPI with no action is a reporting failure, not a performance one.</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14572" w:type="dxa"/>
      </w:tblPr>
      <w:tblGrid>
        <w:gridCol w:w="662"/>
        <w:gridCol w:w="2116"/>
        <w:gridCol w:w="2455"/>
        <w:gridCol w:w="1000"/>
        <w:gridCol w:w="1206"/>
        <w:gridCol w:w="1081"/>
        <w:gridCol w:w="1081"/>
        <w:gridCol w:w="786"/>
        <w:gridCol w:w="891"/>
        <w:gridCol w:w="2136"/>
        <w:gridCol w:w="1158"/>
      </w:tblGrid>
      <w:tr>
        <w:trPr>
          <w:tblHeader w:val="true"/>
          <w:cantSplit w:val="true"/>
        </w:trPr>
        <w:tc>
          <w:tcPr>
            <w:tcW w:type="dxa" w:w="66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w:t>
            </w:r>
          </w:p>
        </w:tc>
        <w:tc>
          <w:tcPr>
            <w:tcW w:type="dxa" w:w="211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KPI</w:t>
            </w:r>
          </w:p>
        </w:tc>
        <w:tc>
          <w:tcPr>
            <w:tcW w:type="dxa" w:w="2454"/>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Formula</w:t>
            </w:r>
          </w:p>
        </w:tc>
        <w:tc>
          <w:tcPr>
            <w:tcW w:type="dxa" w:w="100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Target</w:t>
            </w:r>
          </w:p>
        </w:tc>
        <w:tc>
          <w:tcPr>
            <w:tcW w:type="dxa" w:w="120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Threshold</w:t>
            </w:r>
          </w:p>
        </w:tc>
        <w:tc>
          <w:tcPr>
            <w:tcW w:type="dxa" w:w="10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This period</w:t>
            </w:r>
          </w:p>
        </w:tc>
        <w:tc>
          <w:tcPr>
            <w:tcW w:type="dxa" w:w="10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Last period</w:t>
            </w:r>
          </w:p>
        </w:tc>
        <w:tc>
          <w:tcPr>
            <w:tcW w:type="dxa" w:w="7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Trend</w:t>
            </w:r>
          </w:p>
        </w:tc>
        <w:tc>
          <w:tcPr>
            <w:tcW w:type="dxa" w:w="89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Status</w:t>
            </w:r>
          </w:p>
        </w:tc>
        <w:tc>
          <w:tcPr>
            <w:tcW w:type="dxa" w:w="213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Action required</w:t>
            </w:r>
          </w:p>
        </w:tc>
        <w:tc>
          <w:tcPr>
            <w:tcW w:type="dxa" w:w="1158"/>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5"/>
              </w:rPr>
              <w:t>Owner</w:t>
            </w:r>
          </w:p>
        </w:tc>
      </w:tr>
      <w:tr>
        <w:trPr>
          <w:cantSplit w:val="true"/>
        </w:trPr>
        <w:tc>
          <w:tcPr>
            <w:tcW w:type="dxa" w:w="662"/>
            <w:tcMar>
              <w:top w:w="40" w:type="dxa"/>
              <w:left w:w="110" w:type="dxa"/>
              <w:bottom w:w="40" w:type="dxa"/>
              <w:right w:w="110" w:type="dxa"/>
            </w:tcMar>
          </w:tcPr>
          <w:p>
            <w:pPr>
              <w:pStyle w:val="MasttTableCell"/>
              <w:spacing w:before="20" w:after="20"/>
            </w:pPr>
            <w:r/>
            <w:r>
              <w:rPr>
                <w:rFonts w:ascii="Segoe UI" w:hAnsi="Segoe UI"/>
                <w:b/>
                <w:color w:val="1D3245"/>
                <w:sz w:val="15"/>
              </w:rPr>
              <w:t>01</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02</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tcPr>
          <w:p>
            <w:pPr>
              <w:pStyle w:val="MasttTableCell"/>
              <w:spacing w:before="20" w:after="20"/>
            </w:pPr>
            <w:r/>
            <w:r>
              <w:rPr>
                <w:rFonts w:ascii="Segoe UI" w:hAnsi="Segoe UI"/>
                <w:b/>
                <w:color w:val="1D3245"/>
                <w:sz w:val="15"/>
              </w:rPr>
              <w:t>03</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04</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tcPr>
          <w:p>
            <w:pPr>
              <w:pStyle w:val="MasttTableCell"/>
              <w:spacing w:before="20" w:after="20"/>
            </w:pPr>
            <w:r/>
            <w:r>
              <w:rPr>
                <w:rFonts w:ascii="Segoe UI" w:hAnsi="Segoe UI"/>
                <w:b/>
                <w:color w:val="1D3245"/>
                <w:sz w:val="15"/>
              </w:rPr>
              <w:t>05</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06</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tcPr>
          <w:p>
            <w:pPr>
              <w:pStyle w:val="MasttTableCell"/>
              <w:spacing w:before="20" w:after="20"/>
            </w:pPr>
            <w:r/>
            <w:r>
              <w:rPr>
                <w:rFonts w:ascii="Segoe UI" w:hAnsi="Segoe UI"/>
                <w:b/>
                <w:color w:val="1D3245"/>
                <w:sz w:val="15"/>
              </w:rPr>
              <w:t>07</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08</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tcPr>
          <w:p>
            <w:pPr>
              <w:pStyle w:val="MasttTableCell"/>
              <w:spacing w:before="20" w:after="20"/>
            </w:pPr>
            <w:r/>
            <w:r>
              <w:rPr>
                <w:rFonts w:ascii="Segoe UI" w:hAnsi="Segoe UI"/>
                <w:b/>
                <w:color w:val="1D3245"/>
                <w:sz w:val="15"/>
              </w:rPr>
              <w:t>09</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10</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tcPr>
          <w:p>
            <w:pPr>
              <w:pStyle w:val="MasttTableCell"/>
              <w:spacing w:before="20" w:after="20"/>
            </w:pPr>
            <w:r/>
            <w:r>
              <w:rPr>
                <w:rFonts w:ascii="Segoe UI" w:hAnsi="Segoe UI"/>
                <w:b/>
                <w:color w:val="1D3245"/>
                <w:sz w:val="15"/>
              </w:rPr>
              <w:t>11</w:t>
            </w:r>
          </w:p>
        </w:tc>
        <w:tc>
          <w:tcPr>
            <w:tcW w:type="dxa" w:w="211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tcPr>
          <w:p>
            <w:pPr>
              <w:pStyle w:val="MasttTableCell"/>
              <w:spacing w:before="20" w:after="20"/>
            </w:pPr>
            <w:r/>
            <w:r>
              <w:rPr>
                <w:rFonts w:ascii="Segoe UI" w:hAnsi="Segoe UI"/>
                <w:color w:val="1D3245"/>
                <w:sz w:val="15"/>
              </w:rPr>
            </w:r>
          </w:p>
        </w:tc>
      </w:tr>
      <w:tr>
        <w:trPr>
          <w:cantSplit w:val="true"/>
        </w:trPr>
        <w:tc>
          <w:tcPr>
            <w:tcW w:type="dxa" w:w="662"/>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5"/>
              </w:rPr>
              <w:t>12</w:t>
            </w:r>
          </w:p>
        </w:tc>
        <w:tc>
          <w:tcPr>
            <w:tcW w:type="dxa" w:w="211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454"/>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0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20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0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7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89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213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c>
          <w:tcPr>
            <w:tcW w:type="dxa" w:w="1158"/>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5"/>
              </w:rPr>
            </w:r>
          </w:p>
        </w:tc>
      </w:tr>
    </w:tbl>
    <w:p>
      <w:pPr>
        <w:rPr>
          <w:sz w:val="8"/>
        </w:rPr>
        <w:spacing w:after="40" w:before="0" w:line="240" w:lineRule="auto"/>
      </w:pPr>
    </w:p>
    <w:p>
      <w:pPr>
        <w:sectPr>
          <w:headerReference w:type="default" r:id="rId14"/>
          <w:footerReference w:type="default" r:id="rId15"/>
          <w:pgSz w:w="16838" w:h="11906" w:orient="landscape"/>
          <w:pgMar w:top="1020" w:right="1134" w:bottom="907" w:left="1134" w:header="567" w:footer="510" w:gutter="0"/>
          <w:cols w:space="720"/>
          <w:docGrid w:linePitch="360"/>
        </w:sectPr>
      </w:pPr>
    </w:p>
    <w:p>
      <w:pPr>
        <w:pStyle w:val="Heading1"/>
        <w:pBdr>
          <w:bottom w:val="single" w:sz="6" w:space="4" w:color="C9D4E0"/>
        </w:pBdr>
      </w:pPr>
      <w:r>
        <w:t>Appendix G - Meeting and reporting calendar</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Publish the calendar at the start of each year and hold to it. Reporting cut-offs must fall before the meetings that consume them, and Board papers must be issued far enough ahead to be read.</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346"/>
        <w:gridCol w:w="1886"/>
        <w:gridCol w:w="1067"/>
        <w:gridCol w:w="1353"/>
        <w:gridCol w:w="1886"/>
        <w:gridCol w:w="1873"/>
      </w:tblGrid>
      <w:tr>
        <w:trPr>
          <w:tblHeader w:val="true"/>
          <w:cantSplit w:val="true"/>
        </w:trPr>
        <w:tc>
          <w:tcPr>
            <w:tcW w:type="dxa" w:w="134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Working day</w:t>
            </w:r>
          </w:p>
        </w:tc>
        <w:tc>
          <w:tcPr>
            <w:tcW w:type="dxa" w:w="18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Activity</w:t>
            </w:r>
          </w:p>
        </w:tc>
        <w:tc>
          <w:tcPr>
            <w:tcW w:type="dxa" w:w="106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Type</w:t>
            </w:r>
          </w:p>
        </w:tc>
        <w:tc>
          <w:tcPr>
            <w:tcW w:type="dxa" w:w="135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Owner</w:t>
            </w:r>
          </w:p>
        </w:tc>
        <w:tc>
          <w:tcPr>
            <w:tcW w:type="dxa" w:w="1886"/>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Input required from</w:t>
            </w:r>
          </w:p>
        </w:tc>
        <w:tc>
          <w:tcPr>
            <w:tcW w:type="dxa" w:w="1873"/>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Output</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WD -3 (25th)</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Schedule and payment claim cut-off</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Cut-off</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Site records</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Progress claim and updated programme</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Last working day</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Cost and commitment cut-off</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Cut-off</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Cost Manager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Finance system</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Cost ledger position</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WD 1</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Site progress verification</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Activity</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Contractor</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Verified progress</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WD 2</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Schedule update and analysis</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Activity</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Planner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Verified progress</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Updated schedule</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WD 3</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Risk register update</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Activity</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Risk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Risk owners</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Updated register</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WD 4</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Cost report drafted</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Report</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Cost Manager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Commitments, accruals, forecasts</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Draft cost report</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WD 5</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Schedule, risk and quality reports issued</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Report</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Discipline leads</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Updated registers</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Discipline reports</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WD 5</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Control Group meeting</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Director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Discipline reports</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Actions and decisions</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WD 7</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Monthly project report drafted</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Report</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All discipline reports</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Draft report</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WD 8</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Monthly project report issued</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Report</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Manager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Reviewed draft</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Issued report</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WD 10</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Board pack issued</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Report</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Monthly report and decision papers</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Board pack</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WD 15</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Board meeting</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Sponsor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Board pack</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Minutes and decisions</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Weekly - Monday</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Delivery team meeting</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Look-aheads</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Actions</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Weekly - Tuesday</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Design coordination meeting</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Design Manager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Clash and RFI status</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Design actions</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Weekly - Wednesday</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Site progress meeting</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Contractor report</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Minutes</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Weekly - Thursday</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walk and toolbox review</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Activity</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Manager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Site inspection</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actions</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Monthly</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Risk workshop</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Risk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Register</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Updated register</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Monthly</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committee</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Manager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report</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HSE actions</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Monthly</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Interface forum</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Project Manager</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Interface register</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Updated register</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Monthly</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Operational readiness group</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Meeting</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Operations Rep</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Readiness checklist</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Readiness status</w:t>
            </w:r>
          </w:p>
        </w:tc>
      </w:tr>
      <w:tr>
        <w:trPr>
          <w:cantSplit w:val="true"/>
        </w:trPr>
        <w:tc>
          <w:tcPr>
            <w:tcW w:type="dxa" w:w="1346"/>
            <w:tcMar>
              <w:top w:w="40" w:type="dxa"/>
              <w:left w:w="110" w:type="dxa"/>
              <w:bottom w:w="40" w:type="dxa"/>
              <w:right w:w="110" w:type="dxa"/>
            </w:tcMar>
          </w:tcPr>
          <w:p>
            <w:pPr>
              <w:pStyle w:val="MasttTableCell"/>
              <w:spacing w:before="20" w:after="20"/>
            </w:pPr>
            <w:r/>
            <w:r>
              <w:rPr>
                <w:rFonts w:ascii="Segoe UI" w:hAnsi="Segoe UI"/>
                <w:b/>
                <w:color w:val="1D3245"/>
                <w:sz w:val="16"/>
              </w:rPr>
              <w:t>Quarterly</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Assurance review</w:t>
            </w:r>
          </w:p>
        </w:tc>
        <w:tc>
          <w:tcPr>
            <w:tcW w:type="dxa" w:w="1067"/>
            <w:tcMar>
              <w:top w:w="40" w:type="dxa"/>
              <w:left w:w="110" w:type="dxa"/>
              <w:bottom w:w="40" w:type="dxa"/>
              <w:right w:w="110" w:type="dxa"/>
            </w:tcMar>
          </w:tcPr>
          <w:p>
            <w:pPr>
              <w:pStyle w:val="MasttTableCell"/>
              <w:spacing w:before="20" w:after="20"/>
            </w:pPr>
            <w:r/>
            <w:r>
              <w:rPr>
                <w:rFonts w:ascii="Segoe UI" w:hAnsi="Segoe UI"/>
                <w:color w:val="1D3245"/>
                <w:sz w:val="16"/>
              </w:rPr>
              <w:t>Assurance</w:t>
            </w:r>
          </w:p>
        </w:tc>
        <w:tc>
          <w:tcPr>
            <w:tcW w:type="dxa" w:w="1353"/>
            <w:tcMar>
              <w:top w:w="40" w:type="dxa"/>
              <w:left w:w="110" w:type="dxa"/>
              <w:bottom w:w="40" w:type="dxa"/>
              <w:right w:w="110" w:type="dxa"/>
            </w:tcMar>
          </w:tcPr>
          <w:p>
            <w:pPr>
              <w:pStyle w:val="MasttTableCell"/>
              <w:spacing w:before="20" w:after="20"/>
            </w:pPr>
            <w:r/>
            <w:r>
              <w:rPr>
                <w:rFonts w:ascii="Segoe UI" w:hAnsi="Segoe UI"/>
                <w:color w:val="1D3245"/>
                <w:sz w:val="16"/>
              </w:rPr>
              <w:t>Assurance Lead</w:t>
            </w:r>
          </w:p>
        </w:tc>
        <w:tc>
          <w:tcPr>
            <w:tcW w:type="dxa" w:w="1886"/>
            <w:tcMar>
              <w:top w:w="40" w:type="dxa"/>
              <w:left w:w="110" w:type="dxa"/>
              <w:bottom w:w="40" w:type="dxa"/>
              <w:right w:w="110" w:type="dxa"/>
            </w:tcMar>
          </w:tcPr>
          <w:p>
            <w:pPr>
              <w:pStyle w:val="MasttTableCell"/>
              <w:spacing w:before="20" w:after="20"/>
            </w:pPr>
            <w:r/>
            <w:r>
              <w:rPr>
                <w:rFonts w:ascii="Segoe UI" w:hAnsi="Segoe UI"/>
                <w:color w:val="1D3245"/>
                <w:sz w:val="16"/>
              </w:rPr>
              <w:t>All registers and reports</w:t>
            </w:r>
          </w:p>
        </w:tc>
        <w:tc>
          <w:tcPr>
            <w:tcW w:type="dxa" w:w="1873"/>
            <w:tcMar>
              <w:top w:w="40" w:type="dxa"/>
              <w:left w:w="110" w:type="dxa"/>
              <w:bottom w:w="40" w:type="dxa"/>
              <w:right w:w="110" w:type="dxa"/>
            </w:tcMar>
          </w:tcPr>
          <w:p>
            <w:pPr>
              <w:pStyle w:val="MasttTableCell"/>
              <w:spacing w:before="20" w:after="20"/>
            </w:pPr>
            <w:r/>
            <w:r>
              <w:rPr>
                <w:rFonts w:ascii="Segoe UI" w:hAnsi="Segoe UI"/>
                <w:color w:val="1D3245"/>
                <w:sz w:val="16"/>
              </w:rPr>
              <w:t>Assurance report</w:t>
            </w:r>
          </w:p>
        </w:tc>
      </w:tr>
      <w:tr>
        <w:trPr>
          <w:cantSplit w:val="true"/>
        </w:trPr>
        <w:tc>
          <w:tcPr>
            <w:tcW w:type="dxa" w:w="1346"/>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At each gate</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Gateway review and lessons session</w:t>
            </w:r>
          </w:p>
        </w:tc>
        <w:tc>
          <w:tcPr>
            <w:tcW w:type="dxa" w:w="106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Assurance</w:t>
            </w:r>
          </w:p>
        </w:tc>
        <w:tc>
          <w:tcPr>
            <w:tcW w:type="dxa" w:w="135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Independent reviewer</w:t>
            </w:r>
          </w:p>
        </w:tc>
        <w:tc>
          <w:tcPr>
            <w:tcW w:type="dxa" w:w="1886"/>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Gate submission</w:t>
            </w:r>
          </w:p>
        </w:tc>
        <w:tc>
          <w:tcPr>
            <w:tcW w:type="dxa" w:w="1873"/>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Gate report and lessons</w:t>
            </w:r>
          </w:p>
        </w:tc>
      </w:tr>
    </w:tbl>
    <w:p>
      <w:pPr>
        <w:rPr>
          <w:sz w:val="8"/>
        </w:rPr>
        <w:spacing w:after="40" w:before="0" w:line="240" w:lineRule="auto"/>
      </w:pPr>
    </w:p>
    <w:p>
      <w:r>
        <w:br w:type="page"/>
      </w:r>
    </w:p>
    <w:p>
      <w:pPr>
        <w:pStyle w:val="Heading1"/>
        <w:pBdr>
          <w:bottom w:val="single" w:sz="6" w:space="4" w:color="C9D4E0"/>
        </w:pBdr>
      </w:pPr>
      <w:r>
        <w:t>Appendix H - Document numbering convention</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Agree the convention before the first document is issued and enforce it in the CDE. Changing a numbering convention mid-project is one of the most expensive administrative mistakes a project can make.</w:t>
            </w:r>
          </w:p>
        </w:tc>
      </w:tr>
    </w:tbl>
    <w:p>
      <w:pPr>
        <w:rPr>
          <w:sz w:val="8"/>
        </w:rPr>
        <w:spacing w:after="40" w:before="0" w:line="240" w:lineRule="auto"/>
      </w:pPr>
    </w:p>
    <w:p>
      <w:pPr>
        <w:pStyle w:val="MasttBody"/>
      </w:pPr>
      <w:r>
        <w:t>Format:  PROJECT - ORIGINATOR - VOLUME/SYSTEM - LEVEL/LOCATION - TYPE - DISCIPLINE - NUMBER  [ - REVISION - STATUS ]</w:t>
      </w: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2" w:type="dxa"/>
      </w:tblPr>
      <w:tblGrid>
        <w:gridCol w:w="1467"/>
        <w:gridCol w:w="975"/>
        <w:gridCol w:w="2237"/>
        <w:gridCol w:w="4733"/>
      </w:tblGrid>
      <w:tr>
        <w:trPr>
          <w:tblHeader w:val="true"/>
          <w:cantSplit w:val="true"/>
        </w:trPr>
        <w:tc>
          <w:tcPr>
            <w:tcW w:type="dxa" w:w="146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Field</w:t>
            </w:r>
          </w:p>
        </w:tc>
        <w:tc>
          <w:tcPr>
            <w:tcW w:type="dxa" w:w="97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Length</w:t>
            </w:r>
          </w:p>
        </w:tc>
        <w:tc>
          <w:tcPr>
            <w:tcW w:type="dxa" w:w="22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Description</w:t>
            </w:r>
          </w:p>
        </w:tc>
        <w:tc>
          <w:tcPr>
            <w:tcW w:type="dxa" w:w="4732"/>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7"/>
              </w:rPr>
              <w:t>Examples</w:t>
            </w:r>
          </w:p>
        </w:tc>
      </w:tr>
      <w:tr>
        <w:trPr>
          <w:cantSplit w:val="true"/>
        </w:trPr>
        <w:tc>
          <w:tcPr>
            <w:tcW w:type="dxa" w:w="1467"/>
            <w:tcMar>
              <w:top w:w="40" w:type="dxa"/>
              <w:left w:w="110" w:type="dxa"/>
              <w:bottom w:w="40" w:type="dxa"/>
              <w:right w:w="110" w:type="dxa"/>
            </w:tcMar>
          </w:tcPr>
          <w:p>
            <w:pPr>
              <w:pStyle w:val="MasttTableCell"/>
              <w:spacing w:before="20" w:after="20"/>
            </w:pPr>
            <w:r/>
            <w:r>
              <w:rPr>
                <w:rFonts w:ascii="Segoe UI" w:hAnsi="Segoe UI"/>
                <w:b/>
                <w:color w:val="1D3245"/>
                <w:sz w:val="17"/>
              </w:rPr>
              <w:t>Project</w:t>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t>2-6</w:t>
            </w:r>
          </w:p>
        </w:tc>
        <w:tc>
          <w:tcPr>
            <w:tcW w:type="dxa" w:w="2237"/>
            <w:tcMar>
              <w:top w:w="40" w:type="dxa"/>
              <w:left w:w="110" w:type="dxa"/>
              <w:bottom w:w="40" w:type="dxa"/>
              <w:right w:w="110" w:type="dxa"/>
            </w:tcMar>
          </w:tcPr>
          <w:p>
            <w:pPr>
              <w:pStyle w:val="MasttTableCell"/>
              <w:spacing w:before="20" w:after="20"/>
            </w:pPr>
            <w:r/>
            <w:r>
              <w:rPr>
                <w:rFonts w:ascii="Segoe UI" w:hAnsi="Segoe UI"/>
                <w:color w:val="1D3245"/>
                <w:sz w:val="17"/>
              </w:rPr>
              <w:t>Fixed project code</w:t>
            </w:r>
          </w:p>
        </w:tc>
        <w:tc>
          <w:tcPr>
            <w:tcW w:type="dxa" w:w="4732"/>
            <w:tcMar>
              <w:top w:w="40" w:type="dxa"/>
              <w:left w:w="110" w:type="dxa"/>
              <w:bottom w:w="40" w:type="dxa"/>
              <w:right w:w="110" w:type="dxa"/>
            </w:tcMar>
          </w:tcPr>
          <w:p>
            <w:pPr>
              <w:pStyle w:val="MasttTableCell"/>
              <w:spacing w:before="20" w:after="20"/>
            </w:pPr>
            <w:r/>
            <w:r>
              <w:rPr>
                <w:rFonts w:ascii="Segoe UI" w:hAnsi="Segoe UI"/>
                <w:color w:val="1D3245"/>
                <w:sz w:val="17"/>
              </w:rPr>
              <w:t>ABC1</w:t>
            </w:r>
          </w:p>
        </w:tc>
      </w:tr>
      <w:tr>
        <w:trPr>
          <w:cantSplit w:val="true"/>
        </w:trPr>
        <w:tc>
          <w:tcPr>
            <w:tcW w:type="dxa" w:w="146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Originator</w:t>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3-6</w:t>
            </w:r>
          </w:p>
        </w:tc>
        <w:tc>
          <w:tcPr>
            <w:tcW w:type="dxa" w:w="22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Organisation producing the information</w:t>
            </w:r>
          </w:p>
        </w:tc>
        <w:tc>
          <w:tcPr>
            <w:tcW w:type="dxa" w:w="47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MST, ARC, STR, MEP, CON</w:t>
            </w:r>
          </w:p>
        </w:tc>
      </w:tr>
      <w:tr>
        <w:trPr>
          <w:cantSplit w:val="true"/>
        </w:trPr>
        <w:tc>
          <w:tcPr>
            <w:tcW w:type="dxa" w:w="1467"/>
            <w:tcMar>
              <w:top w:w="40" w:type="dxa"/>
              <w:left w:w="110" w:type="dxa"/>
              <w:bottom w:w="40" w:type="dxa"/>
              <w:right w:w="110" w:type="dxa"/>
            </w:tcMar>
          </w:tcPr>
          <w:p>
            <w:pPr>
              <w:pStyle w:val="MasttTableCell"/>
              <w:spacing w:before="20" w:after="20"/>
            </w:pPr>
            <w:r/>
            <w:r>
              <w:rPr>
                <w:rFonts w:ascii="Segoe UI" w:hAnsi="Segoe UI"/>
                <w:b/>
                <w:color w:val="1D3245"/>
                <w:sz w:val="17"/>
              </w:rPr>
              <w:t>Volume / system</w:t>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t>2</w:t>
            </w:r>
          </w:p>
        </w:tc>
        <w:tc>
          <w:tcPr>
            <w:tcW w:type="dxa" w:w="2237"/>
            <w:tcMar>
              <w:top w:w="40" w:type="dxa"/>
              <w:left w:w="110" w:type="dxa"/>
              <w:bottom w:w="40" w:type="dxa"/>
              <w:right w:w="110" w:type="dxa"/>
            </w:tcMar>
          </w:tcPr>
          <w:p>
            <w:pPr>
              <w:pStyle w:val="MasttTableCell"/>
              <w:spacing w:before="20" w:after="20"/>
            </w:pPr>
            <w:r/>
            <w:r>
              <w:rPr>
                <w:rFonts w:ascii="Segoe UI" w:hAnsi="Segoe UI"/>
                <w:color w:val="1D3245"/>
                <w:sz w:val="17"/>
              </w:rPr>
              <w:t>Building, zone or system</w:t>
            </w:r>
          </w:p>
        </w:tc>
        <w:tc>
          <w:tcPr>
            <w:tcW w:type="dxa" w:w="4732"/>
            <w:tcMar>
              <w:top w:w="40" w:type="dxa"/>
              <w:left w:w="110" w:type="dxa"/>
              <w:bottom w:w="40" w:type="dxa"/>
              <w:right w:w="110" w:type="dxa"/>
            </w:tcMar>
          </w:tcPr>
          <w:p>
            <w:pPr>
              <w:pStyle w:val="MasttTableCell"/>
              <w:spacing w:before="20" w:after="20"/>
            </w:pPr>
            <w:r/>
            <w:r>
              <w:rPr>
                <w:rFonts w:ascii="Segoe UI" w:hAnsi="Segoe UI"/>
                <w:color w:val="1D3245"/>
                <w:sz w:val="17"/>
              </w:rPr>
              <w:t>ZZ (all), 01, 02</w:t>
            </w:r>
          </w:p>
        </w:tc>
      </w:tr>
      <w:tr>
        <w:trPr>
          <w:cantSplit w:val="true"/>
        </w:trPr>
        <w:tc>
          <w:tcPr>
            <w:tcW w:type="dxa" w:w="146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Level / location</w:t>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2</w:t>
            </w:r>
          </w:p>
        </w:tc>
        <w:tc>
          <w:tcPr>
            <w:tcW w:type="dxa" w:w="22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Floor or location</w:t>
            </w:r>
          </w:p>
        </w:tc>
        <w:tc>
          <w:tcPr>
            <w:tcW w:type="dxa" w:w="47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ZZ, GF, 01, B1, XX</w:t>
            </w:r>
          </w:p>
        </w:tc>
      </w:tr>
      <w:tr>
        <w:trPr>
          <w:cantSplit w:val="true"/>
        </w:trPr>
        <w:tc>
          <w:tcPr>
            <w:tcW w:type="dxa" w:w="1467"/>
            <w:tcMar>
              <w:top w:w="40" w:type="dxa"/>
              <w:left w:w="110" w:type="dxa"/>
              <w:bottom w:w="40" w:type="dxa"/>
              <w:right w:w="110" w:type="dxa"/>
            </w:tcMar>
          </w:tcPr>
          <w:p>
            <w:pPr>
              <w:pStyle w:val="MasttTableCell"/>
              <w:spacing w:before="20" w:after="20"/>
            </w:pPr>
            <w:r/>
            <w:r>
              <w:rPr>
                <w:rFonts w:ascii="Segoe UI" w:hAnsi="Segoe UI"/>
                <w:b/>
                <w:color w:val="1D3245"/>
                <w:sz w:val="17"/>
              </w:rPr>
              <w:t>Type</w:t>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t>2</w:t>
            </w:r>
          </w:p>
        </w:tc>
        <w:tc>
          <w:tcPr>
            <w:tcW w:type="dxa" w:w="2237"/>
            <w:tcMar>
              <w:top w:w="40" w:type="dxa"/>
              <w:left w:w="110" w:type="dxa"/>
              <w:bottom w:w="40" w:type="dxa"/>
              <w:right w:w="110" w:type="dxa"/>
            </w:tcMar>
          </w:tcPr>
          <w:p>
            <w:pPr>
              <w:pStyle w:val="MasttTableCell"/>
              <w:spacing w:before="20" w:after="20"/>
            </w:pPr>
            <w:r/>
            <w:r>
              <w:rPr>
                <w:rFonts w:ascii="Segoe UI" w:hAnsi="Segoe UI"/>
                <w:color w:val="1D3245"/>
                <w:sz w:val="17"/>
              </w:rPr>
              <w:t>Information type</w:t>
            </w:r>
          </w:p>
        </w:tc>
        <w:tc>
          <w:tcPr>
            <w:tcW w:type="dxa" w:w="4732"/>
            <w:tcMar>
              <w:top w:w="40" w:type="dxa"/>
              <w:left w:w="110" w:type="dxa"/>
              <w:bottom w:w="40" w:type="dxa"/>
              <w:right w:w="110" w:type="dxa"/>
            </w:tcMar>
          </w:tcPr>
          <w:p>
            <w:pPr>
              <w:pStyle w:val="MasttTableCell"/>
              <w:spacing w:before="20" w:after="20"/>
            </w:pPr>
            <w:r/>
            <w:r>
              <w:rPr>
                <w:rFonts w:ascii="Segoe UI" w:hAnsi="Segoe UI"/>
                <w:color w:val="1D3245"/>
                <w:sz w:val="17"/>
              </w:rPr>
              <w:t>DR drawing, MO model, SP specification, RP report, SH schedule, CA calculation, PP presentation, PH photograph</w:t>
            </w:r>
          </w:p>
        </w:tc>
      </w:tr>
      <w:tr>
        <w:trPr>
          <w:cantSplit w:val="true"/>
        </w:trPr>
        <w:tc>
          <w:tcPr>
            <w:tcW w:type="dxa" w:w="146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Discipline</w:t>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1-2</w:t>
            </w:r>
          </w:p>
        </w:tc>
        <w:tc>
          <w:tcPr>
            <w:tcW w:type="dxa" w:w="22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Originating discipline</w:t>
            </w:r>
          </w:p>
        </w:tc>
        <w:tc>
          <w:tcPr>
            <w:tcW w:type="dxa" w:w="47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 architectural, S structural, C civil, M mechanical, E electrical, P public health, F fire, L landscape, Q quantity surveying, Z general</w:t>
            </w:r>
          </w:p>
        </w:tc>
      </w:tr>
      <w:tr>
        <w:trPr>
          <w:cantSplit w:val="true"/>
        </w:trPr>
        <w:tc>
          <w:tcPr>
            <w:tcW w:type="dxa" w:w="1467"/>
            <w:tcMar>
              <w:top w:w="40" w:type="dxa"/>
              <w:left w:w="110" w:type="dxa"/>
              <w:bottom w:w="40" w:type="dxa"/>
              <w:right w:w="110" w:type="dxa"/>
            </w:tcMar>
          </w:tcPr>
          <w:p>
            <w:pPr>
              <w:pStyle w:val="MasttTableCell"/>
              <w:spacing w:before="20" w:after="20"/>
            </w:pPr>
            <w:r/>
            <w:r>
              <w:rPr>
                <w:rFonts w:ascii="Segoe UI" w:hAnsi="Segoe UI"/>
                <w:b/>
                <w:color w:val="1D3245"/>
                <w:sz w:val="17"/>
              </w:rPr>
              <w:t>Number</w:t>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t>4-6</w:t>
            </w:r>
          </w:p>
        </w:tc>
        <w:tc>
          <w:tcPr>
            <w:tcW w:type="dxa" w:w="2237"/>
            <w:tcMar>
              <w:top w:w="40" w:type="dxa"/>
              <w:left w:w="110" w:type="dxa"/>
              <w:bottom w:w="40" w:type="dxa"/>
              <w:right w:w="110" w:type="dxa"/>
            </w:tcMar>
          </w:tcPr>
          <w:p>
            <w:pPr>
              <w:pStyle w:val="MasttTableCell"/>
              <w:spacing w:before="20" w:after="20"/>
            </w:pPr>
            <w:r/>
            <w:r>
              <w:rPr>
                <w:rFonts w:ascii="Segoe UI" w:hAnsi="Segoe UI"/>
                <w:color w:val="1D3245"/>
                <w:sz w:val="17"/>
              </w:rPr>
              <w:t>Sequential within the preceding fields</w:t>
            </w:r>
          </w:p>
        </w:tc>
        <w:tc>
          <w:tcPr>
            <w:tcW w:type="dxa" w:w="4732"/>
            <w:tcMar>
              <w:top w:w="40" w:type="dxa"/>
              <w:left w:w="110" w:type="dxa"/>
              <w:bottom w:w="40" w:type="dxa"/>
              <w:right w:w="110" w:type="dxa"/>
            </w:tcMar>
          </w:tcPr>
          <w:p>
            <w:pPr>
              <w:pStyle w:val="MasttTableCell"/>
              <w:spacing w:before="20" w:after="20"/>
            </w:pPr>
            <w:r/>
            <w:r>
              <w:rPr>
                <w:rFonts w:ascii="Segoe UI" w:hAnsi="Segoe UI"/>
                <w:color w:val="1D3245"/>
                <w:sz w:val="17"/>
              </w:rPr>
              <w:t>0001</w:t>
            </w:r>
          </w:p>
        </w:tc>
      </w:tr>
      <w:tr>
        <w:trPr>
          <w:cantSplit w:val="true"/>
        </w:trPr>
        <w:tc>
          <w:tcPr>
            <w:tcW w:type="dxa" w:w="1467"/>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7"/>
              </w:rPr>
              <w:t>Revision</w:t>
            </w:r>
          </w:p>
        </w:tc>
        <w:tc>
          <w:tcPr>
            <w:tcW w:type="dxa" w:w="97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2-3</w:t>
            </w:r>
          </w:p>
        </w:tc>
        <w:tc>
          <w:tcPr>
            <w:tcW w:type="dxa" w:w="22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Alphabetic in development, numeric from first issue for construction</w:t>
            </w:r>
          </w:p>
        </w:tc>
        <w:tc>
          <w:tcPr>
            <w:tcW w:type="dxa" w:w="4732"/>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7"/>
              </w:rPr>
              <w:t>P01, C01, A, B, 0, 1</w:t>
            </w:r>
          </w:p>
        </w:tc>
      </w:tr>
      <w:tr>
        <w:trPr>
          <w:cantSplit w:val="true"/>
        </w:trPr>
        <w:tc>
          <w:tcPr>
            <w:tcW w:type="dxa" w:w="1467"/>
            <w:tcMar>
              <w:top w:w="40" w:type="dxa"/>
              <w:left w:w="110" w:type="dxa"/>
              <w:bottom w:w="40" w:type="dxa"/>
              <w:right w:w="110" w:type="dxa"/>
            </w:tcMar>
          </w:tcPr>
          <w:p>
            <w:pPr>
              <w:pStyle w:val="MasttTableCell"/>
              <w:spacing w:before="20" w:after="20"/>
            </w:pPr>
            <w:r/>
            <w:r>
              <w:rPr>
                <w:rFonts w:ascii="Segoe UI" w:hAnsi="Segoe UI"/>
                <w:b/>
                <w:color w:val="1D3245"/>
                <w:sz w:val="17"/>
              </w:rPr>
              <w:t>Status</w:t>
            </w:r>
          </w:p>
        </w:tc>
        <w:tc>
          <w:tcPr>
            <w:tcW w:type="dxa" w:w="975"/>
            <w:tcMar>
              <w:top w:w="40" w:type="dxa"/>
              <w:left w:w="110" w:type="dxa"/>
              <w:bottom w:w="40" w:type="dxa"/>
              <w:right w:w="110" w:type="dxa"/>
            </w:tcMar>
          </w:tcPr>
          <w:p>
            <w:pPr>
              <w:pStyle w:val="MasttTableCell"/>
              <w:spacing w:before="20" w:after="20"/>
            </w:pPr>
            <w:r/>
            <w:r>
              <w:rPr>
                <w:rFonts w:ascii="Segoe UI" w:hAnsi="Segoe UI"/>
                <w:color w:val="1D3245"/>
                <w:sz w:val="17"/>
              </w:rPr>
              <w:t>2</w:t>
            </w:r>
          </w:p>
        </w:tc>
        <w:tc>
          <w:tcPr>
            <w:tcW w:type="dxa" w:w="2237"/>
            <w:tcMar>
              <w:top w:w="40" w:type="dxa"/>
              <w:left w:w="110" w:type="dxa"/>
              <w:bottom w:w="40" w:type="dxa"/>
              <w:right w:w="110" w:type="dxa"/>
            </w:tcMar>
          </w:tcPr>
          <w:p>
            <w:pPr>
              <w:pStyle w:val="MasttTableCell"/>
              <w:spacing w:before="20" w:after="20"/>
            </w:pPr>
            <w:r/>
            <w:r>
              <w:rPr>
                <w:rFonts w:ascii="Segoe UI" w:hAnsi="Segoe UI"/>
                <w:color w:val="1D3245"/>
                <w:sz w:val="17"/>
              </w:rPr>
              <w:t>Suitability code</w:t>
            </w:r>
          </w:p>
        </w:tc>
        <w:tc>
          <w:tcPr>
            <w:tcW w:type="dxa" w:w="4732"/>
            <w:tcMar>
              <w:top w:w="40" w:type="dxa"/>
              <w:left w:w="110" w:type="dxa"/>
              <w:bottom w:w="40" w:type="dxa"/>
              <w:right w:w="110" w:type="dxa"/>
            </w:tcMar>
          </w:tcPr>
          <w:p>
            <w:pPr>
              <w:pStyle w:val="MasttTableCell"/>
              <w:spacing w:before="20" w:after="20"/>
            </w:pPr>
            <w:r/>
            <w:r>
              <w:rPr>
                <w:rFonts w:ascii="Segoe UI" w:hAnsi="Segoe UI"/>
                <w:color w:val="1D3245"/>
                <w:sz w:val="17"/>
              </w:rPr>
              <w:t>S0 WIP, S1 coordination, S2 information, S3 review and comment, S4 stage approval, A1 authorised for construction, B1 authorised with comments</w:t>
            </w:r>
          </w:p>
        </w:tc>
      </w:tr>
    </w:tbl>
    <w:p>
      <w:pPr>
        <w:rPr>
          <w:sz w:val="8"/>
        </w:rPr>
        <w:spacing w:after="40" w:before="0" w:line="240" w:lineRule="auto"/>
      </w:pPr>
    </w:p>
    <w:p>
      <w:pPr>
        <w:pStyle w:val="MasttBody"/>
      </w:pPr>
      <w:r>
        <w:t>Example: ABC1-MST-ZZ-GF-DR-A-0101-C02-A1 - project ABC1, originated by MST, all volumes, ground floor, drawing, architectural, number 0101, revision C02, authorised for construction.</w:t>
      </w:r>
    </w:p>
    <w:p>
      <w:pPr>
        <w:pStyle w:val="ListBullet"/>
        <w:spacing w:after="60"/>
        <w:ind w:left="340"/>
      </w:pPr>
      <w:r>
        <w:rPr>
          <w:rFonts w:ascii="Segoe UI" w:hAnsi="Segoe UI"/>
          <w:color w:val="1D3245"/>
          <w:sz w:val="20"/>
        </w:rPr>
        <w:t>Numbers are never reused, even after a document is withdrawn.</w:t>
      </w:r>
    </w:p>
    <w:p>
      <w:pPr>
        <w:pStyle w:val="ListBullet"/>
        <w:spacing w:after="60"/>
        <w:ind w:left="340"/>
      </w:pPr>
      <w:r>
        <w:rPr>
          <w:rFonts w:ascii="Segoe UI" w:hAnsi="Segoe UI"/>
          <w:color w:val="1D3245"/>
          <w:sz w:val="20"/>
        </w:rPr>
        <w:t>The number is fixed for the life of the document; only the revision and status change.</w:t>
      </w:r>
    </w:p>
    <w:p>
      <w:pPr>
        <w:pStyle w:val="ListBullet"/>
        <w:spacing w:after="60"/>
        <w:ind w:left="340"/>
      </w:pPr>
      <w:r>
        <w:rPr>
          <w:rFonts w:ascii="Segoe UI" w:hAnsi="Segoe UI"/>
          <w:color w:val="1D3245"/>
          <w:sz w:val="20"/>
        </w:rPr>
        <w:t>Every register - drawings, models, specifications, RFIs, NCRs, ITPs, certificates - uses the same project and originator codes.</w:t>
      </w:r>
    </w:p>
    <w:p>
      <w:pPr>
        <w:pStyle w:val="ListBullet"/>
        <w:spacing w:after="60"/>
        <w:ind w:left="340"/>
      </w:pPr>
      <w:r>
        <w:rPr>
          <w:rFonts w:ascii="Segoe UI" w:hAnsi="Segoe UI"/>
          <w:color w:val="1D3245"/>
          <w:sz w:val="20"/>
        </w:rPr>
        <w:t>The convention applies equally to models, documents and containers in the CDE.</w:t>
      </w:r>
    </w:p>
    <w:p>
      <w:r>
        <w:br w:type="page"/>
      </w:r>
    </w:p>
    <w:p>
      <w:pPr>
        <w:pStyle w:val="Heading1"/>
        <w:pBdr>
          <w:bottom w:val="single" w:sz="6" w:space="4" w:color="C9D4E0"/>
        </w:pBdr>
      </w:pPr>
      <w:r>
        <w:t>Appendix I - PEP completeness checklist</w:t>
      </w:r>
    </w:p>
    <w:tbl>
      <w:tblPr>
        <w:tblW w:type="auto" w:w="0"/>
        <w:jc w:val="center"/>
        <w:tblLayout w:type="autofit"/>
        <w:tblLook w:firstColumn="1" w:firstRow="1" w:lastColumn="0" w:lastRow="0" w:noHBand="0" w:noVBand="1" w:val="04A0"/>
        <w:tblBorders>
          <w:top w:val="single" w:sz="2" w:space="0" w:color="E6EFF7"/>
          <w:left w:val="single" w:sz="2" w:space="0" w:color="E6EFF7"/>
          <w:bottom w:val="single" w:sz="2" w:space="0" w:color="E6EFF7"/>
          <w:right w:val="single" w:sz="2" w:space="0" w:color="E6EFF7"/>
        </w:tblBorders>
      </w:tblPr>
      <w:tblGrid>
        <w:gridCol w:w="9412"/>
      </w:tblGrid>
      <w:tr>
        <w:tc>
          <w:tcPr>
            <w:tcW w:type="dxa" w:w="9412"/>
            <w:shd w:val="clear" w:color="auto" w:fill="E6EFF7"/>
            <w:tcMar>
              <w:top w:w="90" w:type="dxa"/>
              <w:left w:w="140" w:type="dxa"/>
              <w:bottom w:w="90" w:type="dxa"/>
              <w:right w:w="140" w:type="dxa"/>
            </w:tcMar>
          </w:tcPr>
          <w:p>
            <w:pPr>
              <w:pStyle w:val="MasttGuidance"/>
            </w:pPr>
            <w:r/>
            <w:r>
              <w:rPr>
                <w:rFonts w:ascii="Segoe UI Semibold" w:hAnsi="Segoe UI Semibold"/>
                <w:b/>
                <w:i w:val="0"/>
                <w:color w:val="0D3C61"/>
                <w:sz w:val="17"/>
              </w:rPr>
              <w:t xml:space="preserve">Guidance   </w:t>
            </w:r>
            <w:r>
              <w:rPr>
                <w:rFonts w:ascii="Segoe UI" w:hAnsi="Segoe UI"/>
                <w:i/>
                <w:color w:val="1D3245"/>
                <w:sz w:val="18"/>
              </w:rPr>
              <w:t>Work through this before issuing any revision of the plan. An incomplete PEP that has been signed is worse than a draft that hasn't - it creates the appearance of control without the substance.</w:t>
            </w:r>
          </w:p>
        </w:tc>
      </w:tr>
    </w:tbl>
    <w:p>
      <w:pPr>
        <w:rPr>
          <w:sz w:val="8"/>
        </w:rPr>
        <w:spacing w:after="40" w:before="0" w:line="240" w:lineRule="auto"/>
      </w:pPr>
    </w:p>
    <w:tbl>
      <w:tblPr>
        <w:tblW w:type="auto" w:w="0"/>
        <w:jc w:val="center"/>
        <w:tblLayout w:type="fixed"/>
        <w:tblLook w:firstColumn="1" w:firstRow="1" w:lastColumn="0" w:lastRow="0" w:noHBand="0" w:noVBand="1" w:val="04A0"/>
        <w:tblBorders>
          <w:top w:val="single" w:sz="4" w:space="0" w:color="C9D4E0"/>
          <w:left w:val="single" w:sz="4" w:space="0" w:color="C9D4E0"/>
          <w:bottom w:val="single" w:sz="4" w:space="0" w:color="C9D4E0"/>
          <w:right w:val="single" w:sz="4" w:space="0" w:color="C9D4E0"/>
          <w:insideH w:val="single" w:sz="4" w:space="0" w:color="C9D4E0"/>
          <w:insideV w:val="single" w:sz="4" w:space="0" w:color="C9D4E0"/>
        </w:tblBorders>
        <w:tblLayout w:type="fixed"/>
        <w:tblW w:w="9413" w:type="dxa"/>
      </w:tblPr>
      <w:tblGrid>
        <w:gridCol w:w="1452"/>
        <w:gridCol w:w="3341"/>
        <w:gridCol w:w="1157"/>
        <w:gridCol w:w="1637"/>
        <w:gridCol w:w="1045"/>
        <w:gridCol w:w="781"/>
      </w:tblGrid>
      <w:tr>
        <w:trPr>
          <w:tblHeader w:val="true"/>
          <w:cantSplit w:val="true"/>
        </w:trPr>
        <w:tc>
          <w:tcPr>
            <w:tcW w:type="dxa" w:w="145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Section</w:t>
            </w:r>
          </w:p>
        </w:tc>
        <w:tc>
          <w:tcPr>
            <w:tcW w:type="dxa" w:w="3340"/>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Check</w:t>
            </w:r>
          </w:p>
        </w:tc>
        <w:tc>
          <w:tcPr>
            <w:tcW w:type="dxa" w:w="115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Complete (Y/N)</w:t>
            </w:r>
          </w:p>
        </w:tc>
        <w:tc>
          <w:tcPr>
            <w:tcW w:type="dxa" w:w="1637"/>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Evidence / reference</w:t>
            </w:r>
          </w:p>
        </w:tc>
        <w:tc>
          <w:tcPr>
            <w:tcW w:type="dxa" w:w="1045"/>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Checked by</w:t>
            </w:r>
          </w:p>
        </w:tc>
        <w:tc>
          <w:tcPr>
            <w:tcW w:type="dxa" w:w="781"/>
            <w:shd w:val="clear" w:color="auto" w:fill="1D3245"/>
            <w:tcMar>
              <w:top w:w="40" w:type="dxa"/>
              <w:left w:w="110" w:type="dxa"/>
              <w:bottom w:w="40" w:type="dxa"/>
              <w:right w:w="110" w:type="dxa"/>
            </w:tcMar>
          </w:tcPr>
          <w:p>
            <w:pPr>
              <w:pStyle w:val="MasttTableHead"/>
              <w:spacing w:before="20" w:after="20"/>
            </w:pPr>
            <w:r/>
            <w:r>
              <w:rPr>
                <w:rFonts w:ascii="Segoe UI Semibold" w:hAnsi="Segoe UI Semibold"/>
                <w:b/>
                <w:color w:val="FFFFFF"/>
                <w:sz w:val="16"/>
              </w:rPr>
              <w:t>Date</w:t>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Front matter</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Revision history complete and the current revision recorded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Front matter</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Distribution list current, with copy types assigned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Front matter</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Related documents register complete with versions relied on</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Front matter</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Approval block signed by all required signatories</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Front matter</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Table of contents updated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Front matter</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Glossary reviewed; project-specific terms added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 Introduction</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Purpose written specifically for this project</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 Introduction</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Review triggers and deviation process understood by the team</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2 Overview</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Objectives have measures, targets, tolerances and owners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2 Overview</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Project characteristics table complete</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3 Scope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In-scope and out-of-scope tables complete and reconciled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3 Scope</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Assumptions have validation dates and owners</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3 Scope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Change authority thresholds inserted and reconciled with Sections 4 and 9</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4 Governance</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Organisation chart inserted and current</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4 Governance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All roles filled or shown as vacant with a mobilisation date</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4 Governance</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RACI complete with exactly one A per row</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4 Governance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Delegation thresholds copied from the client's delegation instrument</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4 Governance</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Gateway dates included in the baseline schedule</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5 Stakeholders</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Stakeholder register complete with relationship owners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5 Stakeholders</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Communications matrix agreed with the client's communications function</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6 Procurement</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Delivery model selected, justified and approved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6 Procurement</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Procurement plan dates reconciled with the baseline schedule</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6 Procurement</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Probity arrangements confirmed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7 Design</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Design responsibility matrix complete</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7 Design</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Design freeze points agreed with the procurement programme</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7 Design</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Independent verification scope defined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8 Schedule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Baseline schedule approved and archived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8 Schedule</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Milestones have definitions of achievement and tolerances</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8 Schedule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Schedule risk analysis completed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9 Cost</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Control accounts established and reconciled to the WBS</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9 Cost</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Contingency basis documented and drawdown authority set</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9 Cost</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Cash flow forecast issued to the client's finance function</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10 Risk</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Risk register populated with owners and treatments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10 Risk</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Likelihood and consequence scales calibrated to this project</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10 Risk</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Insurance summary complete with periods of cover</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11 Quality</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Quality objectives and targets agreed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11 Quality</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ITP regime and hold points defined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12 HSE</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Duties assigned and safety plan acceptance process defined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12 HSE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Emergency response arrangements in place and tested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13 ESG</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Approvals register complete with condition tracking</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13 ESG</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Sustainability targets have measurement methods and owners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14 Information</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EIR issued and BEP accepted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14 Information</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CDE established and access controlled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14 Information</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Numbering convention agreed and enforced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15 Interfaces</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Interface register populated with owners on both sides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15 Interfaces</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Utility and authority lead times reflected in the schedule</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16 Resources</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Resourcing plan funded and mobilisation dates set</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16 Resources</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Key person dependencies identified and mitigated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17 Commercial</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Contract summary prepared and notice dates diarised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17 Commercial</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Securities and insurances verified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18 Change</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Change register established and thresholds set</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19 Reporting</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Report suite agreed and data sources confirmed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19 Reporting</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KPIs selected with formulas, targets and owners</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20 Handover</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Commissioning manager appointed and programme integrated</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20 Handover</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Operational readiness owner confirmed and checklist started</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21 Benefits</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Benefits register complete with baselines and owners</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22 Improvement</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Lessons register established and review cadence set</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Overall</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Plan reviewed against the contract for inconsistency</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tcPr>
          <w:p>
            <w:pPr>
              <w:pStyle w:val="MasttTableCell"/>
              <w:spacing w:before="20" w:after="20"/>
            </w:pPr>
            <w:r/>
            <w:r>
              <w:rPr>
                <w:rFonts w:ascii="Segoe UI" w:hAnsi="Segoe UI"/>
                <w:b/>
                <w:color w:val="1D3245"/>
                <w:sz w:val="16"/>
              </w:rPr>
              <w:t>Overall</w:t>
            </w:r>
          </w:p>
        </w:tc>
        <w:tc>
          <w:tcPr>
            <w:tcW w:type="dxa" w:w="3340"/>
            <w:tcMar>
              <w:top w:w="40" w:type="dxa"/>
              <w:left w:w="110" w:type="dxa"/>
              <w:bottom w:w="40" w:type="dxa"/>
              <w:right w:w="110" w:type="dxa"/>
            </w:tcMar>
          </w:tcPr>
          <w:p>
            <w:pPr>
              <w:pStyle w:val="MasttTableCell"/>
              <w:spacing w:before="20" w:after="20"/>
            </w:pPr>
            <w:r/>
            <w:r>
              <w:rPr>
                <w:rFonts w:ascii="Segoe UI" w:hAnsi="Segoe UI"/>
                <w:color w:val="1D3245"/>
                <w:sz w:val="16"/>
              </w:rPr>
              <w:t>Plan issued to everyone on the distribution list</w:t>
            </w:r>
          </w:p>
        </w:tc>
        <w:tc>
          <w:tcPr>
            <w:tcW w:type="dxa" w:w="115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tcPr>
          <w:p>
            <w:pPr>
              <w:pStyle w:val="MasttTableCell"/>
              <w:spacing w:before="20" w:after="20"/>
            </w:pPr>
            <w:r/>
            <w:r>
              <w:rPr>
                <w:rFonts w:ascii="Segoe UI" w:hAnsi="Segoe UI"/>
                <w:color w:val="1D3245"/>
                <w:sz w:val="16"/>
              </w:rPr>
            </w:r>
          </w:p>
        </w:tc>
      </w:tr>
      <w:tr>
        <w:trPr>
          <w:cantSplit w:val="true"/>
        </w:trPr>
        <w:tc>
          <w:tcPr>
            <w:tcW w:type="dxa" w:w="1451"/>
            <w:tcMar>
              <w:top w:w="40" w:type="dxa"/>
              <w:left w:w="110" w:type="dxa"/>
              <w:bottom w:w="40" w:type="dxa"/>
              <w:right w:w="110" w:type="dxa"/>
            </w:tcMar>
            <w:shd w:val="clear" w:color="auto" w:fill="F6F9FC"/>
          </w:tcPr>
          <w:p>
            <w:pPr>
              <w:pStyle w:val="MasttTableCell"/>
              <w:spacing w:before="20" w:after="20"/>
            </w:pPr>
            <w:r/>
            <w:r>
              <w:rPr>
                <w:rFonts w:ascii="Segoe UI" w:hAnsi="Segoe UI"/>
                <w:b/>
                <w:color w:val="1D3245"/>
                <w:sz w:val="16"/>
              </w:rPr>
              <w:t>Overall</w:t>
            </w:r>
          </w:p>
        </w:tc>
        <w:tc>
          <w:tcPr>
            <w:tcW w:type="dxa" w:w="3340"/>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t>Superseded revision withdrawn from circulation</w:t>
            </w:r>
          </w:p>
        </w:tc>
        <w:tc>
          <w:tcPr>
            <w:tcW w:type="dxa" w:w="115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637"/>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1045"/>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c>
          <w:tcPr>
            <w:tcW w:type="dxa" w:w="781"/>
            <w:tcMar>
              <w:top w:w="40" w:type="dxa"/>
              <w:left w:w="110" w:type="dxa"/>
              <w:bottom w:w="40" w:type="dxa"/>
              <w:right w:w="110" w:type="dxa"/>
            </w:tcMar>
            <w:shd w:val="clear" w:color="auto" w:fill="F6F9FC"/>
          </w:tcPr>
          <w:p>
            <w:pPr>
              <w:pStyle w:val="MasttTableCell"/>
              <w:spacing w:before="20" w:after="20"/>
            </w:pPr>
            <w:r/>
            <w:r>
              <w:rPr>
                <w:rFonts w:ascii="Segoe UI" w:hAnsi="Segoe UI"/>
                <w:color w:val="1D3245"/>
                <w:sz w:val="16"/>
              </w:rPr>
            </w:r>
          </w:p>
        </w:tc>
      </w:tr>
    </w:tbl>
    <w:p>
      <w:pPr>
        <w:rPr>
          <w:sz w:val="8"/>
        </w:rPr>
        <w:spacing w:after="40" w:before="0" w:line="240" w:lineRule="auto"/>
      </w:pPr>
    </w:p>
    <w:p>
      <w:r>
        <w:br w:type="page"/>
      </w:r>
    </w:p>
    <w:p>
      <w:pPr>
        <w:pStyle w:val="Heading1"/>
        <w:pBdr>
          <w:bottom w:val="single" w:sz="6" w:space="4" w:color="C9D4E0"/>
        </w:pBdr>
      </w:pPr>
      <w:r>
        <w:t>About this template</w:t>
      </w:r>
    </w:p>
    <w:p>
      <w:pPr>
        <w:pStyle w:val="MasttBody"/>
      </w:pPr>
      <w:r>
        <w:t>Mastt builds software for capital project owners - planning, tracking and reporting cost, schedule, risk and delivery performance across a portfolio of projects. This template is one of a series covering the documents a capital delivery team needs from initiation to closeout.</w:t>
      </w:r>
    </w:p>
    <w:p>
      <w:pPr>
        <w:pStyle w:val="MasttBody"/>
      </w:pPr>
      <w:hyperlink r:id="rId10">
        <w:r>
          <w:rPr>
            <w:rFonts w:ascii="Segoe UI" w:hAnsi="Segoe UI"/>
            <w:b/>
            <w:u w:val="single"/>
            <w:color w:val="3480BC"/>
            <w:sz w:val="20"/>
          </w:rPr>
          <w:t xml:space="preserve">Visit mastt.com</w:t>
        </w:r>
      </w:hyperlink>
    </w:p>
    <w:p>
      <w:pPr>
        <w:pStyle w:val="MasttCaption"/>
        <w:spacing w:after="180"/>
      </w:pPr>
      <w:r>
        <w:rPr>
          <w:color w:val="8E98A2"/>
          <w:sz w:val="16"/>
        </w:rPr>
        <w:t>This template is provided by Mastt as general guidance for capital project delivery. It is not legal, financial or professional advice. Users must adapt it to the contract, jurisdiction, statutory regime and organisational policies applicable to their project, and should obtain independent professional advice where appropriate. Mastt accepts no liability arising from use of this template.</w:t>
      </w:r>
    </w:p>
    <w:sectPr w:rsidR="00FC693F" w:rsidRPr="0006063C" w:rsidSect="00034616">
      <w:pgSz w:w="11906" w:h="16838"/>
      <w:pgMar w:top="1134" w:right="1247" w:bottom="1020" w:left="1247" w:header="567"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 w:pos="9411" w:val="right"/>
        <w:tab w:pos="9411" w:val="right"/>
      </w:tabs>
      <w:pBdr>
        <w:top w:val="single" w:sz="4" w:space="4" w:color="C9D4E0"/>
        <w:top w:val="single" w:sz="4" w:space="4" w:color="C9D4E0"/>
        <w:top w:val="single" w:sz="4" w:space="4" w:color="C9D4E0"/>
      </w:pBdr>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r>
      <w:rPr>
        <w:rFonts w:ascii="Segoe UI" w:hAnsi="Segoe UI"/>
        <w:color w:val="8E98A2"/>
        <w:sz w:val="16"/>
      </w:rPr>
      <w:tab/>
      <w:t xml:space="preserve">Page </w:t>
    </w:r>
    <w:r>
      <w:rPr>
        <w:rFonts w:ascii="Segoe UI" w:hAnsi="Segoe UI"/>
        <w:color w:val="8E98A2"/>
        <w:sz w:val="16"/>
      </w:rPr>
    </w:r>
    <w:fldSimple w:instr=" PAGE ">
      <w:r>
        <w:t>1</w:t>
      </w:r>
    </w:fldSimple>
    <w:r>
      <w:rPr>
        <w:rFonts w:ascii="Segoe UI" w:hAnsi="Segoe UI"/>
        <w:color w:val="8E98A2"/>
        <w:sz w:val="16"/>
      </w:rPr>
      <w:t xml:space="preserve"> of </w:t>
    </w:r>
    <w:r>
      <w:rPr>
        <w:rFonts w:ascii="Segoe UI" w:hAnsi="Segoe UI"/>
        <w:color w:val="8E98A2"/>
        <w:sz w:val="16"/>
      </w:rPr>
    </w:r>
    <w:fldSimple w:instr=" NUMPAGES ">
      <w:r>
        <w:t>1</w:t>
      </w:r>
    </w:fldSimpl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val="clear" w:pos="4680"/>
        <w:tab w:val="clear" w:pos="9360"/>
        <w:tab w:pos="7285" w:val="center"/>
        <w:tab w:pos="14570" w:val="right"/>
      </w:tabs>
      <w:pBdr>
        <w:top w:val="single" w:sz="4" w:space="4" w:color="C9D4E0"/>
      </w:pBdr>
    </w:pPr>
    <w:r/>
    <w:r>
      <w:rPr>
        <w:rFonts w:ascii="Segoe UI" w:hAnsi="Segoe UI"/>
        <w:color w:val="8E98A2"/>
        <w:sz w:val="16"/>
      </w:rPr>
      <w:t xml:space="preserve">Template by Mastt  ·  </w:t>
    </w:r>
    <w:hyperlink r:id="rId1">
      <w:r>
        <w:rPr>
          <w:rFonts w:ascii="Segoe UI" w:hAnsi="Segoe UI"/>
          <w:u w:val="single"/>
          <w:color w:val="3480BC"/>
          <w:sz w:val="16"/>
        </w:rPr>
        <w:t xml:space="preserve">mastt.com</w:t>
      </w:r>
    </w:hyperlink>
    <w:r>
      <w:rPr>
        <w:rFonts w:ascii="Segoe UI" w:hAnsi="Segoe UI"/>
        <w:color w:val="8E98A2"/>
        <w:sz w:val="16"/>
      </w:rPr>
      <w:tab/>
      <w:t xml:space="preserve">Page </w:t>
    </w:r>
    <w:r>
      <w:rPr>
        <w:rFonts w:ascii="Segoe UI" w:hAnsi="Segoe UI"/>
        <w:color w:val="8E98A2"/>
        <w:sz w:val="16"/>
      </w:rPr>
    </w:r>
    <w:fldSimple w:instr=" PAGE ">
      <w:r>
        <w:t>1</w:t>
      </w:r>
    </w:fldSimple>
    <w:r>
      <w:rPr>
        <w:rFonts w:ascii="Segoe UI" w:hAnsi="Segoe UI"/>
        <w:color w:val="8E98A2"/>
        <w:sz w:val="16"/>
      </w:rPr>
      <w:t xml:space="preserve"> of </w:t>
    </w:r>
    <w:r>
      <w:rPr>
        <w:rFonts w:ascii="Segoe UI" w:hAnsi="Segoe UI"/>
        <w:color w:val="8E98A2"/>
        <w:sz w:val="16"/>
      </w:rPr>
    </w:r>
    <w:fldSimple w:instr=" NUMPAGES ">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411" w:val="right"/>
        <w:tab w:pos="9411" w:val="right"/>
        <w:tab w:pos="9411" w:val="right"/>
      </w:tabs>
      <w:jc w:val="left"/>
      <w:pBdr>
        <w:bottom w:val="single" w:sz="4" w:space="4" w:color="C9D4E0"/>
        <w:bottom w:val="single" w:sz="4" w:space="4" w:color="C9D4E0"/>
        <w:bottom w:val="single" w:sz="4" w:space="4" w:color="C9D4E0"/>
      </w:pBdr>
    </w:pPr>
    <w:r/>
    <w:r>
      <w:drawing>
        <wp:inline xmlns:a="http://schemas.openxmlformats.org/drawingml/2006/main" xmlns:pic="http://schemas.openxmlformats.org/drawingml/2006/picture">
          <wp:extent cx="684000" cy="369843"/>
          <wp:docPr id="1" name="Picture 1">
            <a:hlinkClick r:id="rId2" tooltip="Visit mastt.com"/>
          </wp:docPr>
          <wp:cNvGraphicFramePr>
            <a:graphicFrameLocks noChangeAspect="1"/>
          </wp:cNvGraphicFramePr>
          <a:graphic>
            <a:graphicData uri="http://schemas.openxmlformats.org/drawingml/2006/picture">
              <pic:pic>
                <pic:nvPicPr>
                  <pic:cNvPr id="2" name="mastt_logo_blue.png">
                    <a:hlinkClick r:id="rId2" tooltip="Visit mastt.com"/>
                  </pic:cNvPr>
                  <pic:cNvPicPr/>
                </pic:nvPicPr>
                <pic:blipFill>
                  <a:blip r:embed="rId1"/>
                  <a:stretch>
                    <a:fillRect/>
                  </a:stretch>
                </pic:blipFill>
                <pic:spPr>
                  <a:xfrm>
                    <a:off x="0" y="0"/>
                    <a:ext cx="684000" cy="369843"/>
                  </a:xfrm>
                  <a:prstGeom prst="rect"/>
                </pic:spPr>
              </pic:pic>
            </a:graphicData>
          </a:graphic>
        </wp:inline>
      </w:drawing>
    </w:r>
    <w:r>
      <w:rPr>
        <w:rFonts w:ascii="Segoe UI" w:hAnsi="Segoe UI"/>
        <w:color w:val="8E98A2"/>
        <w:sz w:val="16"/>
      </w:rPr>
      <w:tab/>
      <w:t>Project Execution Plan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val="clear" w:pos="4680"/>
        <w:tab w:val="clear" w:pos="9360"/>
        <w:tab w:pos="7285" w:val="center"/>
        <w:tab w:pos="14570" w:val="right"/>
      </w:tabs>
      <w:jc w:val="left"/>
      <w:pBdr>
        <w:bottom w:val="single" w:sz="4" w:space="4" w:color="C9D4E0"/>
      </w:pBdr>
    </w:pPr>
    <w:r/>
    <w:r>
      <w:drawing>
        <wp:inline xmlns:a="http://schemas.openxmlformats.org/drawingml/2006/main" xmlns:pic="http://schemas.openxmlformats.org/drawingml/2006/picture">
          <wp:extent cx="684000" cy="369843"/>
          <wp:docPr id="1" name="Picture 1">
            <a:hlinkClick r:id="rId2" tooltip="Visit mastt.com"/>
          </wp:docPr>
          <wp:cNvGraphicFramePr>
            <a:graphicFrameLocks noChangeAspect="1"/>
          </wp:cNvGraphicFramePr>
          <a:graphic>
            <a:graphicData uri="http://schemas.openxmlformats.org/drawingml/2006/picture">
              <pic:pic>
                <pic:nvPicPr>
                  <pic:cNvPr id="2" name="mastt_logo_blue.png">
                    <a:hlinkClick r:id="rId2" tooltip="Visit mastt.com"/>
                  </pic:cNvPr>
                  <pic:cNvPicPr/>
                </pic:nvPicPr>
                <pic:blipFill>
                  <a:blip r:embed="rId1"/>
                  <a:stretch>
                    <a:fillRect/>
                  </a:stretch>
                </pic:blipFill>
                <pic:spPr>
                  <a:xfrm>
                    <a:off x="0" y="0"/>
                    <a:ext cx="684000" cy="369843"/>
                  </a:xfrm>
                  <a:prstGeom prst="rect"/>
                </pic:spPr>
              </pic:pic>
            </a:graphicData>
          </a:graphic>
        </wp:inline>
      </w:drawing>
    </w:r>
    <w:r>
      <w:rPr>
        <w:rFonts w:ascii="Segoe UI" w:hAnsi="Segoe UI"/>
        <w:color w:val="8E98A2"/>
        <w:sz w:val="16"/>
      </w:rPr>
      <w:tab/>
      <w:t>Project Execution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283" w:lineRule="auto"/>
    </w:pPr>
    <w:rPr>
      <w:rFonts w:ascii="Segoe UI" w:hAnsi="Segoe UI" w:cs="Segoe UI"/>
      <w:b w:val="0"/>
      <w:i w:val="0"/>
      <w:color w:val="1D3245"/>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line="283" w:lineRule="auto"/>
      <w:outlineLvl w:val="0"/>
    </w:pPr>
    <w:rPr>
      <w:rFonts w:asciiTheme="majorHAnsi" w:eastAsiaTheme="majorEastAsia" w:hAnsiTheme="majorHAnsi" w:cstheme="majorBidi" w:ascii="Segoe UI Semibold" w:hAnsi="Segoe UI Semibold" w:cs="Segoe UI Semibold"/>
      <w:b/>
      <w:bCs/>
      <w:i w:val="0"/>
      <w:color w:val="0D3C61" w:themeColor="none"/>
      <w:sz w:val="30"/>
      <w:szCs w:val="28"/>
    </w:rPr>
  </w:style>
  <w:style w:type="paragraph" w:styleId="Heading2">
    <w:name w:val="heading 2"/>
    <w:basedOn w:val="Normal"/>
    <w:next w:val="Normal"/>
    <w:link w:val="Heading2Char"/>
    <w:uiPriority w:val="9"/>
    <w:unhideWhenUsed/>
    <w:qFormat/>
    <w:rsid w:val="00FC693F"/>
    <w:pPr>
      <w:keepNext/>
      <w:keepLines/>
      <w:spacing w:before="240" w:after="80" w:line="283" w:lineRule="auto"/>
      <w:outlineLvl w:val="1"/>
    </w:pPr>
    <w:rPr>
      <w:rFonts w:asciiTheme="majorHAnsi" w:eastAsiaTheme="majorEastAsia" w:hAnsiTheme="majorHAnsi" w:cstheme="majorBidi" w:ascii="Segoe UI Semibold" w:hAnsi="Segoe UI Semibold" w:cs="Segoe UI Semibold"/>
      <w:b/>
      <w:bCs/>
      <w:i w:val="0"/>
      <w:color w:val="1D3245" w:themeColor="none"/>
      <w:sz w:val="24"/>
      <w:szCs w:val="26"/>
    </w:rPr>
  </w:style>
  <w:style w:type="paragraph" w:styleId="Heading3">
    <w:name w:val="heading 3"/>
    <w:basedOn w:val="Normal"/>
    <w:next w:val="Normal"/>
    <w:link w:val="Heading3Char"/>
    <w:uiPriority w:val="9"/>
    <w:unhideWhenUsed/>
    <w:qFormat/>
    <w:rsid w:val="00FC693F"/>
    <w:pPr>
      <w:keepNext/>
      <w:keepLines/>
      <w:spacing w:before="200" w:after="60" w:line="283" w:lineRule="auto"/>
      <w:outlineLvl w:val="2"/>
    </w:pPr>
    <w:rPr>
      <w:rFonts w:asciiTheme="majorHAnsi" w:eastAsiaTheme="majorEastAsia" w:hAnsiTheme="majorHAnsi" w:cstheme="majorBidi" w:ascii="Segoe UI Semibold" w:hAnsi="Segoe UI Semibold" w:cs="Segoe UI Semibold"/>
      <w:b/>
      <w:bCs/>
      <w:i w:val="0"/>
      <w:color w:val="3480BC" w:themeColor="none"/>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83" w:lineRule="auto" w:before="0"/>
      <w:contextualSpacing/>
    </w:pPr>
    <w:rPr>
      <w:rFonts w:asciiTheme="majorHAnsi" w:eastAsiaTheme="majorEastAsia" w:hAnsiTheme="majorHAnsi" w:cstheme="majorBidi" w:ascii="Segoe UI Semibold" w:hAnsi="Segoe UI Semibold" w:cs="Segoe UI Semibold"/>
      <w:b/>
      <w:i w:val="0"/>
      <w:color w:val="0D3C61"/>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sttBody">
    <w:name w:val="Mastt Body"/>
    <w:pPr>
      <w:keepNext w:val="0"/>
      <w:spacing w:before="0" w:after="140" w:line="283" w:lineRule="auto"/>
    </w:pPr>
    <w:rPr>
      <w:rFonts w:ascii="Segoe UI" w:hAnsi="Segoe UI" w:cs="Segoe UI"/>
      <w:b w:val="0"/>
      <w:i w:val="0"/>
      <w:color w:val="1D3245"/>
      <w:sz w:val="20"/>
    </w:rPr>
  </w:style>
  <w:style w:type="paragraph" w:customStyle="1" w:styleId="MasttLead">
    <w:name w:val="Mastt Lead"/>
    <w:pPr>
      <w:keepNext w:val="0"/>
      <w:spacing w:before="0" w:after="200" w:line="300" w:lineRule="auto"/>
    </w:pPr>
    <w:rPr>
      <w:rFonts w:ascii="Segoe UI" w:hAnsi="Segoe UI" w:cs="Segoe UI"/>
      <w:b w:val="0"/>
      <w:i w:val="0"/>
      <w:color w:val="1D3245"/>
      <w:sz w:val="22"/>
    </w:rPr>
  </w:style>
  <w:style w:type="paragraph" w:customStyle="1" w:styleId="MasttGuidance">
    <w:name w:val="Mastt Guidance"/>
    <w:pPr>
      <w:keepNext w:val="0"/>
      <w:spacing w:before="0" w:after="160" w:line="283" w:lineRule="auto"/>
    </w:pPr>
    <w:rPr>
      <w:rFonts w:ascii="Segoe UI" w:hAnsi="Segoe UI" w:cs="Segoe UI"/>
      <w:b w:val="0"/>
      <w:i/>
      <w:color w:val="8E98A2"/>
      <w:sz w:val="18"/>
    </w:rPr>
  </w:style>
  <w:style w:type="paragraph" w:customStyle="1" w:styleId="MasttCaption">
    <w:name w:val="Mastt Caption"/>
    <w:pPr>
      <w:keepNext w:val="0"/>
      <w:spacing w:before="0" w:after="80" w:line="283" w:lineRule="auto"/>
    </w:pPr>
    <w:rPr>
      <w:rFonts w:ascii="Segoe UI" w:hAnsi="Segoe UI" w:cs="Segoe UI"/>
      <w:b w:val="0"/>
      <w:i w:val="0"/>
      <w:color w:val="8E98A2"/>
      <w:sz w:val="17"/>
    </w:rPr>
  </w:style>
  <w:style w:type="paragraph" w:customStyle="1" w:styleId="MasttTableHead">
    <w:name w:val="Mastt Table Head"/>
    <w:pPr>
      <w:keepNext w:val="0"/>
      <w:spacing w:before="40" w:after="40" w:line="252" w:lineRule="auto"/>
    </w:pPr>
    <w:rPr>
      <w:rFonts w:ascii="Segoe UI Semibold" w:hAnsi="Segoe UI Semibold" w:cs="Segoe UI Semibold"/>
      <w:b/>
      <w:i w:val="0"/>
      <w:color w:val="FFFFFF"/>
      <w:sz w:val="18"/>
    </w:rPr>
  </w:style>
  <w:style w:type="paragraph" w:customStyle="1" w:styleId="MasttTableCell">
    <w:name w:val="Mastt Table Cell"/>
    <w:pPr>
      <w:keepNext w:val="0"/>
      <w:spacing w:before="40" w:after="40" w:line="264" w:lineRule="auto"/>
    </w:pPr>
    <w:rPr>
      <w:rFonts w:ascii="Segoe UI" w:hAnsi="Segoe UI" w:cs="Segoe UI"/>
      <w:b w:val="0"/>
      <w:i w:val="0"/>
      <w:color w:val="1D3245"/>
      <w:sz w:val="18"/>
    </w:rPr>
  </w:style>
  <w:style w:type="paragraph" w:customStyle="1" w:styleId="MasttInput">
    <w:name w:val="Mastt Input"/>
    <w:pPr>
      <w:keepNext w:val="0"/>
      <w:spacing w:before="40" w:after="40" w:line="264" w:lineRule="auto"/>
    </w:pPr>
    <w:rPr>
      <w:rFonts w:ascii="Segoe UI" w:hAnsi="Segoe UI" w:cs="Segoe UI"/>
      <w:b w:val="0"/>
      <w:i/>
      <w:color w:val="8E98A2"/>
      <w:sz w:val="18"/>
    </w:rPr>
  </w:style>
  <w:style w:type="paragraph" w:customStyle="1" w:styleId="MasttEyebrow">
    <w:name w:val="Mastt Eyebrow"/>
    <w:pPr>
      <w:keepNext w:val="0"/>
      <w:spacing w:before="0" w:after="40" w:line="283" w:lineRule="auto"/>
    </w:pPr>
    <w:rPr>
      <w:rFonts w:ascii="Segoe UI Semibold" w:hAnsi="Segoe UI Semibold" w:cs="Segoe UI Semibold"/>
      <w:b/>
      <w:i w:val="0"/>
      <w:color w:val="3480BC"/>
      <w:sz w:val="17"/>
      <w:cap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mastt.com/"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2.xml"/><Relationship Id="rId1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Execution Plan Template</dc:title>
  <dc:subject>Capital project delivery template</dc:subject>
  <dc:creator>Mastt</dc:creator>
  <cp:keywords>Mastt, construction, project management, template, capital works</cp:keywords>
  <dc:description>Mastt template. General guidance only - not legal, financial or professional advice. Adapt to your contract, jurisdiction and organisational policies.</dc:description>
  <cp:lastModifiedBy>Mastt</cp:lastModifiedBy>
  <cp:revision>1</cp:revision>
  <dcterms:created xsi:type="dcterms:W3CDTF">2013-12-23T23:15:00Z</dcterms:created>
  <dcterms:modified xsi:type="dcterms:W3CDTF">2013-12-23T23:15:00Z</dcterms:modified>
  <cp:category>Project Management Template</cp:category>
</cp:coreProperties>
</file>