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FATIGUE MANAGEMENT PLAN</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The plan you submit, and the four forms that run it.</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1  ·  SCOPE AND APPLICATION</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 number</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Prepared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Approved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Sites and work areas covered</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This plan covers</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our own workers     ☐ subcontractors     ☐ labour hire</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plant and vehicle operators     ☐ night and shutdown work     ☐ on-call and callout</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Safety-critical work on this project</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Excluded from this plan, and what covers it instead</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524"/>
        <w:gridCol w:w="4853"/>
        <w:gridCol w:w="1019"/>
        <w:gridCol w:w="1310"/>
      </w:tblGrid>
      <w:tr>
        <w:trPr>
          <w:cantSplit/>
          <w:tblHeader/>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2  ·  WHICH INSTRUMENT ACTUALLY APPLIES HERE</w:t>
            </w:r>
          </w:p>
        </w:tc>
      </w:tr>
      <w:tr>
        <w:trPr>
          <w:cantSplit/>
          <w:tblHeader/>
        </w:trPr>
        <w:tc>
          <w:tcPr>
            <w:tcW w:type="dxa" w:w="252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Where the duty comes from</w:t>
            </w:r>
          </w:p>
        </w:tc>
        <w:tc>
          <w:tcPr>
            <w:tcW w:type="dxa" w:w="4853"/>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it is</w:t>
            </w:r>
          </w:p>
        </w:tc>
        <w:tc>
          <w:tcPr>
            <w:tcW w:type="dxa" w:w="1019"/>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Applies here</w:t>
            </w:r>
          </w:p>
        </w:tc>
        <w:tc>
          <w:tcPr>
            <w:tcW w:type="dxa" w:w="1310"/>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Confirmed by / date</w:t>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Adoption and revision differ by jurisdiction and change over time. Fill in the last two columns yourself and date them - this plan does not assume what applies to you, and neither should anything else you download.</w:t>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Work health and safety law</w:t>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The general duty to eliminate the risk, or minimise it so far as is reasonably practicable. Fatigue is one of the risks it captures. The Act and regulations set no hours for construction work.</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Model Code of Practice: Managing the risk of fatigue at work (September 2025)</w:t>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This is where the numbers are. It replaced the 2013 guide, and unlike the guide it states figures - see section 4. Approved code in NSW from 20 February 2026 and in the Northern Territory; guidance material in the other WHS jurisdictions; no status in Victoria, which runs its own Act and compliance codes. Where it is approved, a court may regard it as evidence of what is known about the risk and may rely on it in deciding what was reasonably practicable, and a different method has to give equal or better protection.</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Model Code of Practice: Managing psychosocial hazards at work</w:t>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Fatigue is not itself a listed psychosocial hazard. The work design that causes it is - shifts and hours that do not allow adequate time for sleep and recovery - and fatigue in turn worsens demands, support and behaviour. The two codes are meant to be used together.</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Heavy vehicle law</w:t>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Applies only if drivers of regulated heavy vehicles are in scope. The instrument there is operator accreditation with prescribed work and rest limits - not this plan. Scope those drivers out of this document and reference the accreditation.</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Rail safety law</w:t>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Applies only if rail safety workers are in scope. Every rail transport operator must have a fatigue risk management program - it is mandatory, not an option - and NSW and Queensland add prescribed outer limits on top. This plan does not replace it.</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Mining regulation</w:t>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Applies only if the site is a mine. Fatigue control is mandatory; hours are generally not prescribed, and published triggers are guidance.</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The client's or principal's contract requirement</w:t>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Often the only place a real number appears on a construction project - a plan required above a stated number of hours per day or per week. Read the contract, not the internet.</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Our own rule</w:t>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Anything not covered above. Legitimate, and it must be labelled as ours so nobody mistakes it for law.</w:t>
            </w:r>
          </w:p>
        </w:tc>
        <w:tc>
          <w:tcPr>
            <w:tcW w:type="dxa" w:w="101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310"/>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524"/>
        <w:gridCol w:w="2329"/>
        <w:gridCol w:w="4853"/>
      </w:tblGrid>
      <w:tr>
        <w:trPr>
          <w:cantSplit/>
          <w:tblHeader/>
        </w:trPr>
        <w:tc>
          <w:tcPr>
            <w:tcW w:type="dxa" w:w="9706"/>
            <w:gridSpan w:val="3"/>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3  ·  ROLES AND RESPONSIBILITIES</w:t>
            </w:r>
          </w:p>
        </w:tc>
      </w:tr>
      <w:tr>
        <w:trPr>
          <w:cantSplit/>
          <w:tblHeader/>
        </w:trPr>
        <w:tc>
          <w:tcPr>
            <w:tcW w:type="dxa" w:w="252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Role</w:t>
            </w:r>
          </w:p>
        </w:tc>
        <w:tc>
          <w:tcPr>
            <w:tcW w:type="dxa" w:w="2329"/>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Who</w:t>
            </w:r>
          </w:p>
        </w:tc>
        <w:tc>
          <w:tcPr>
            <w:tcW w:type="dxa" w:w="4853"/>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Accountable for</w:t>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Person conducting the business</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The duty. Resourcing the controls in section 6.</w:t>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Project manager</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The plan, the thresholds in section 4, and approving extended hours.</w:t>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Supervisor</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Shift-by-shift application. Acting on a declaration the same day.</w:t>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Rostering or scheduling</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Building rosters to section 4 and flagging where they cannot.</w:t>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Worker</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The duties in section 6, tertiary controls.</w:t>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Health and safety representative</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Consultation, and raising what workers will not.</w:t>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Subcontractor</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Their own workers, to a standard no lower than this plan.</w:t>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Labour hire provider</w:t>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Hours worked for other hosts, and telling us about them.</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815"/>
        <w:gridCol w:w="2718"/>
        <w:gridCol w:w="1262"/>
        <w:gridCol w:w="2911"/>
      </w:tblGrid>
      <w:tr>
        <w:trPr>
          <w:cantSplit/>
          <w:tblHeader/>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4  ·  THE THRESHOLDS WE WORK TO, AND WHERE EACH NUMBER CAME FROM</w:t>
            </w:r>
          </w:p>
        </w:tc>
      </w:tr>
      <w:tr>
        <w:trPr>
          <w:cantSplit/>
          <w:tblHeader/>
        </w:trPr>
        <w:tc>
          <w:tcPr>
            <w:tcW w:type="dxa" w:w="2815"/>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w:t>
            </w:r>
          </w:p>
        </w:tc>
        <w:tc>
          <w:tcPr>
            <w:tcW w:type="dxa" w:w="2718"/>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the model Code says - September 2025</w:t>
            </w:r>
          </w:p>
        </w:tc>
        <w:tc>
          <w:tcPr>
            <w:tcW w:type="dxa" w:w="1262"/>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Our number</w:t>
            </w:r>
          </w:p>
        </w:tc>
        <w:tc>
          <w:tcPr>
            <w:tcW w:type="dxa" w:w="2911"/>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Where our number came from</w:t>
            </w:r>
          </w:p>
        </w:tc>
      </w:tr>
      <w:tr>
        <w:trPr>
          <w:cantSplit/>
        </w:trPr>
        <w:tc>
          <w:tcPr>
            <w:tcW w:type="dxa" w:w="9706"/>
            <w:gridSpan w:val="4"/>
            <w:tcBorders>
              <w:top w:val="single" w:color="EC6917" w:sz="4"/>
              <w:left w:val="single" w:color="EC6917" w:sz="4"/>
              <w:bottom w:val="single" w:color="EC6917" w:sz="4"/>
              <w:right w:val="single" w:color="EC6917" w:sz="4"/>
            </w:tcBorders>
            <w:shd w:fill="FDEBE0" w:color="auto" w:val="clear"/>
            <w:tcMar>
              <w:top w:type="dxa" w:w="34"/>
              <w:left w:type="dxa" w:w="95"/>
              <w:bottom w:type="dxa" w:w="34"/>
              <w:right w:type="dxa" w:w="95"/>
            </w:tcMar>
          </w:tcPr>
          <w:p>
            <w:pPr>
              <w:keepNext w:val="false"/>
              <w:spacing w:after="0" w:before="0" w:line="240"/>
              <w:jc w:val="left"/>
            </w:pPr>
            <w:r>
              <w:rPr>
                <w:rFonts w:ascii="Inter" w:cs="Inter" w:eastAsia="Inter" w:hAnsi="Inter"/>
                <w:b/>
                <w:bCs/>
                <w:i w:val="false"/>
                <w:iCs w:val="false"/>
                <w:caps w:val="false"/>
                <w:color w:val="EC6917"/>
                <w:sz w:val="19"/>
                <w:szCs w:val="19"/>
              </w:rPr>
              <w:t xml:space="preserve">The middle column is what the September 2025 model Code of Practice actually says. Section 2 decides what it means for you: where the Code is approved, a number less protective than the Code's has to be justified as giving equal or better protection. Where the Code sets nothing, the number is yours to set and to defend - so fill in the last column on every row.</w:t>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For the last column use these words: model Code of Practice · other regulator guidance · client or principal requirement · our own rule. Not “industry standard” - that is not a source.</w:t>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Maximum shift length</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 general maximum set</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Maximum shift length where fatigue risk is high</w:t>
            </w:r>
          </w:p>
        </w:tc>
        <w:tc>
          <w:tcPr>
            <w:tcW w:type="dxa" w:w="2718"/>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Consider no more than 8 hours, and avoid allocating overtime</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Minimum break between shifts</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Not less than 12 hours</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Break during a shift</w:t>
            </w:r>
          </w:p>
        </w:tc>
        <w:tc>
          <w:tcPr>
            <w:tcW w:type="dxa" w:w="2718"/>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30 minutes every 5 hours</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Maximum consecutive night shifts</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Not more than 3 successive night shifts</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Maximum consecutive days worked</w:t>
            </w:r>
          </w:p>
        </w:tc>
        <w:tc>
          <w:tcPr>
            <w:tcW w:type="dxa" w:w="2718"/>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Not more than 5 days in a row, and at least one full day off per week</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Sleep opportunity the roster has to leave</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Adults generally require 7 or more hours' sleep in each 24-hour period</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Earliest start and latest finish</w:t>
            </w:r>
          </w:p>
        </w:tc>
        <w:tc>
          <w:tcPr>
            <w:tcW w:type="dxa" w:w="2718"/>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Work should not start before 6 am and should end no later than 10 pm</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Notice before a night shift</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At least 24 hours</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Controlled nap - length, and awake before returning to work</w:t>
            </w:r>
          </w:p>
        </w:tc>
        <w:tc>
          <w:tcPr>
            <w:tcW w:type="dxa" w:w="2718"/>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 more than 40 minutes napping, and awake at least 10 minutes before returning</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Maximum hours in any 7 days</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Not set</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Commute and travel time - counted or not, and how</w:t>
            </w:r>
          </w:p>
        </w:tc>
        <w:tc>
          <w:tcPr>
            <w:tcW w:type="dxa" w:w="2718"/>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Not set</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Hours per day or week that trigger an extended hours approval</w:t>
            </w:r>
          </w:p>
        </w:tc>
        <w:tc>
          <w:tcPr>
            <w:tcW w:type="dxa" w:w="2718"/>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Not set</w:t>
            </w:r>
          </w:p>
        </w:tc>
        <w:tc>
          <w:tcPr>
            <w:tcW w:type="dxa" w:w="126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911"/>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3"/>
        <w:gridCol w:w="1165"/>
        <w:gridCol w:w="1165"/>
        <w:gridCol w:w="2523"/>
      </w:tblGrid>
      <w:tr>
        <w:trPr>
          <w:cantSplit/>
          <w:tblHeader/>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5  ·  FATIGUE RISK FACTORS ASSESSED</w:t>
            </w:r>
          </w:p>
        </w:tc>
      </w:tr>
      <w:tr>
        <w:trPr>
          <w:cantSplit/>
          <w:tblHeader/>
        </w:trPr>
        <w:tc>
          <w:tcPr>
            <w:tcW w:type="dxa" w:w="4853"/>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Factor</w:t>
            </w:r>
          </w:p>
        </w:tc>
        <w:tc>
          <w:tcPr>
            <w:tcW w:type="dxa" w:w="1165"/>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Present</w:t>
            </w:r>
          </w:p>
        </w:tc>
        <w:tc>
          <w:tcPr>
            <w:tcW w:type="dxa" w:w="1165"/>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Rating</w:t>
            </w:r>
          </w:p>
        </w:tc>
        <w:tc>
          <w:tcPr>
            <w:tcW w:type="dxa" w:w="2523"/>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Controls applied - see section 6</w:t>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Rate for the work you are actually doing. Two things worth knowing while you do it, both from the model Code: being awake for 17 hours has a similar effect on cognitive and motor performance to a blood alcohol content of 0.05%, and 24 hours is similar to 0.10%; and the highest-risk window is 2 am to 6 am, with a second peak between 2 pm and 4 pm.</w:t>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Work hours and shift design</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Long hours - weekly total, shift length, double or back-to-back shifts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Irregular hours - on-call, rotating shifts, remote blocks, short-notice roster changes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Insufficient breaks during work</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Insufficient breaks between work periods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Night work, early starts, and rapid changes between shift types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Tasks, equipment and environment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Physical demands - high, or low enough to be monotonous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Cognitive demands - high, or low enough to be monotonous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Emotional demands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Other psychosocial hazards - poor support, low control, isolation</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Physical environment - heat, cold, noise, lighting, air quality, vibration</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Break facilities, drinking water and access to food</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Accommodation - distance, noise, light, climate control, security</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Barriers to reporting - language, literacy, who a worker has to tell</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The individual, at work and outside it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Sleep quantity and quality obtained before the shift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Fitness and experience for the task</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Limited sleep opportunity - second jobs, caring duties, long commute</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More than one employer or engager</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belief that raising fatigue will cost the worker work or money</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52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5824"/>
        <w:gridCol w:w="1165"/>
        <w:gridCol w:w="2717"/>
      </w:tblGrid>
      <w:tr>
        <w:trPr>
          <w:cantSplit/>
          <w:tblHeader/>
        </w:trPr>
        <w:tc>
          <w:tcPr>
            <w:tcW w:type="dxa" w:w="9706"/>
            <w:gridSpan w:val="3"/>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6  ·  CONTROLS</w:t>
            </w:r>
          </w:p>
        </w:tc>
      </w:tr>
      <w:tr>
        <w:trPr>
          <w:cantSplit/>
          <w:tblHeader/>
        </w:trPr>
        <w:tc>
          <w:tcPr>
            <w:tcW w:type="dxa" w:w="582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Control</w:t>
            </w:r>
          </w:p>
        </w:tc>
        <w:tc>
          <w:tcPr>
            <w:tcW w:type="dxa" w:w="1165"/>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In place</w:t>
            </w:r>
          </w:p>
        </w:tc>
        <w:tc>
          <w:tcPr>
            <w:tcW w:type="dxa" w:w="2717"/>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Owner</w:t>
            </w:r>
          </w:p>
        </w:tc>
      </w:tr>
      <w:tr>
        <w:trPr>
          <w:cantSplit/>
        </w:trPr>
        <w:tc>
          <w:tcPr>
            <w:tcW w:type="dxa" w:w="9706"/>
            <w:gridSpan w:val="3"/>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In order. Designing the roster better is a primary control; telling a tired worker to take care is the weakest thing on this page.</w:t>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Primary - stop people becoming fatigued</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Roster and shift design against the thresholds in section 4</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Realistic programme and deadlines - remove the pressure that creates the hours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Demanding and safety-critical work scheduled early in the shift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Enough workers rostered to cover the work without routine overtime</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Rotation through the most demanding tasks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Environment - temperature, lighting, noise, break facilities, water, food</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Accommodation close to the work and designed so people can sleep in it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Secondary - stop fatigue becoming an incident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Monitoring of actual hours worked, not rostered hours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Self-assessment before safety-critical work or driving</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Recovery time after extended hours, and before the next block</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controlled nap protocol with a place to use it</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Error-proofing - written handover, double-checking, automation, not relying on memory</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Protection from the consequence of an error - guarding, interlocks, exclusion zones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Fatigue detection technology, where it is justified and consented to</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Worker duties - shared, and the weakest layer on its own</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Report your own fatigue, and fatigue you see in someone else</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Comply with the fit for work requirements in this plan</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Tell us about a second job or engagement that affects your sleep opportunity</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Use the sleep opportunity the roster provides</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5824"/>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Do not operate high-risk plant or drive when you are fatigued</w:t>
            </w:r>
          </w:p>
        </w:tc>
        <w:tc>
          <w:tcPr>
            <w:tcW w:type="dxa" w:w="1165"/>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717"/>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7  ·  MONITORING, DECLARING, AND WHAT HAPPENS NEXT</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How actual hours are captured</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Is commute and travel time captured, and how</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Who reviews hours</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How often</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What we corroborate a declaration against</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rostered against actual hours     ☐ site access records     ☐ callout and overtime records</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commute distance     ☐ plant telematics     ☐ supervisor observation</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When a worker declares fatigue they will be</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moved to a lower-risk task     ☐ given a rest break or a nap</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stood down and paid     ☐ sent home with transport arranged</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roster reviewed before the next shift</w:t>
            </w:r>
          </w:p>
        </w:tc>
      </w:tr>
      <w:tr>
        <w:trPr>
          <w:cantSplit/>
        </w:trPr>
        <w:tc>
          <w:tcPr>
            <w:tcW w:type="dxa" w:w="9706"/>
            <w:gridSpan w:val="4"/>
            <w:tcBorders>
              <w:top w:val="single" w:color="EC6917" w:sz="4"/>
              <w:left w:val="single" w:color="EC6917" w:sz="4"/>
              <w:bottom w:val="single" w:color="EC6917" w:sz="4"/>
              <w:right w:val="single" w:color="EC6917" w:sz="4"/>
            </w:tcBorders>
            <w:shd w:fill="FDEBE0" w:color="auto" w:val="clear"/>
            <w:tcMar>
              <w:top w:type="dxa" w:w="34"/>
              <w:left w:type="dxa" w:w="95"/>
              <w:bottom w:type="dxa" w:w="34"/>
              <w:right w:type="dxa" w:w="95"/>
            </w:tcMar>
          </w:tcPr>
          <w:p>
            <w:pPr>
              <w:keepNext w:val="false"/>
              <w:spacing w:after="0" w:before="0" w:line="240"/>
              <w:jc w:val="left"/>
            </w:pPr>
            <w:r>
              <w:rPr>
                <w:rFonts w:ascii="Inter" w:cs="Inter" w:eastAsia="Inter" w:hAnsi="Inter"/>
                <w:b/>
                <w:bCs/>
                <w:i w:val="false"/>
                <w:iCs w:val="false"/>
                <w:caps w:val="false"/>
                <w:color w:val="EC6917"/>
                <w:sz w:val="19"/>
                <w:szCs w:val="19"/>
              </w:rPr>
              <w:t xml:space="preserve">Say what happens to the worker's pay. The model Code is explicit that self-reporting will not be effective where there are barriers to it, including punitive treatment of workers, and that the response should be non-punitive. Losing a shift's pay is a punitive treatment whatever it is called - and a plan that leaves this row blank has guaranteed that nobody declares.</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What happens to pay when someone declares</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Fatigue is a standing line of enquiry in every incident investigation</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Recorded where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8  ·  TRAINING AND REVIEW</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Worker training - what and when</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Delivered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Supervisor training - separate content</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Delivered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This plan is reviewed when</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a roster or shift pattern changes     ☐ extended hours are approved</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a fatigue-related incident or near miss     ☐ work starts in a new jurisdiction</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a new principal or client requirement     ☐ annually</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Next review due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Reviewed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745"/>
        <w:gridCol w:w="1988"/>
        <w:gridCol w:w="240"/>
        <w:gridCol w:w="2745"/>
        <w:gridCol w:w="1988"/>
      </w:tblGrid>
      <w:tr>
        <w:trPr>
          <w:cantSplit/>
        </w:trPr>
        <w:tc>
          <w:tcPr>
            <w:tcW w:type="dxa" w:w="2745"/>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Prepared - name and role</w:t>
            </w:r>
          </w:p>
        </w:tc>
        <w:tc>
          <w:tcPr>
            <w:tcW w:type="dxa" w:w="1988"/>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745"/>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Approved - name and role</w:t>
            </w:r>
          </w:p>
        </w:tc>
        <w:tc>
          <w:tcPr>
            <w:tcW w:type="dxa" w:w="1988"/>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APPENDIX A  ·  FIT FOR WORK SELF-DECLARATION</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One per worker, per shift, where the work warrants it.</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Name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Employer or engager</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Shift</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Hours of sleep in the last 24 hours</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7 or more     ☐ 5 to 7     ☐ under 5</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Hours of sleep in the last 48 hours</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12 or more     ☐ under 12</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Hours since you last woke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Commute this morning</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Since your last shift you have</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worked for another employer     ☐ been on call</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travelled a long distance     ☐ none of these</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Anything affecting your sleep we should know about</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Screening questions and a trigger for a conversation - not a pass or fail gate. The 7-hour figure is the model Code's; the 5-in-24 and 12-in-48 figures are from Workplace Health and Safety Queensland guidance, not from a code. Sleep hours alone predict impairment poorly: a worker inside every number here can still be unfit, and a worker outside one can be fine. The conversation decides, not the boxes.</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Worker assessment</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fit for the shift as rostered     ☐ fit with a change to my tasks</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not fit</w:t>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Supervisor action</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Outcome for pay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745"/>
        <w:gridCol w:w="1988"/>
        <w:gridCol w:w="240"/>
        <w:gridCol w:w="2745"/>
        <w:gridCol w:w="1988"/>
      </w:tblGrid>
      <w:tr>
        <w:trPr>
          <w:cantSplit/>
        </w:trPr>
        <w:tc>
          <w:tcPr>
            <w:tcW w:type="dxa" w:w="2745"/>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Worker</w:t>
            </w:r>
          </w:p>
        </w:tc>
        <w:tc>
          <w:tcPr>
            <w:tcW w:type="dxa" w:w="1988"/>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745"/>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Supervisor</w:t>
            </w:r>
          </w:p>
        </w:tc>
        <w:tc>
          <w:tcPr>
            <w:tcW w:type="dxa" w:w="1988"/>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APPENDIX B  ·  EXTENDED HOURS APPROVAL</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Before the hours, not after them.</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Work and location</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or dates</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Workers affected - how many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Named list attached</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Which threshold in section 4 this exceeds, and by how much</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Why the work cannot be done inside the thresholds</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Additional controls for this period</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Recovery arranged afterwards</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Transport arranged</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Approved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APPENDIX C  ·  ROSTER OR SCHEDULE ASSESSMENT</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Assess the roster before it is worked, and again when it changes.</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Roster or shift pattern</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Period assessed</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Assessed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3"/>
        <w:gridCol w:w="1456"/>
        <w:gridCol w:w="1068"/>
        <w:gridCol w:w="2329"/>
      </w:tblGrid>
      <w:tr>
        <w:trPr>
          <w:cantSplit/>
          <w:tblHeader/>
        </w:trPr>
        <w:tc>
          <w:tcPr>
            <w:tcW w:type="dxa" w:w="4853"/>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Check against section 4</w:t>
            </w:r>
          </w:p>
        </w:tc>
        <w:tc>
          <w:tcPr>
            <w:tcW w:type="dxa" w:w="1456"/>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Roster value</w:t>
            </w:r>
          </w:p>
        </w:tc>
        <w:tc>
          <w:tcPr>
            <w:tcW w:type="dxa" w:w="1068"/>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Within</w:t>
            </w:r>
          </w:p>
        </w:tc>
        <w:tc>
          <w:tcPr>
            <w:tcW w:type="dxa" w:w="2329"/>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If not, what is done</w:t>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Longest shift in the pattern</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Shortest break between shifts</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Consecutive night shifts</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Consecutive days worked, and the full day off</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Longest week in the pattern</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Breaks within the shift</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Earliest start and latest finish</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Sleep opportunity the pattern leaves, including commute</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Direction and speed of any shift rotation</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4853"/>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Standby, on-call or callout inside the pattern</w:t>
            </w:r>
          </w:p>
        </w:tc>
        <w:tc>
          <w:tcPr>
            <w:tcW w:type="dxa" w:w="1456"/>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1068"/>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c>
          <w:tcPr>
            <w:tcW w:type="dxa" w:w="2329"/>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If scheduling software was used, record the tool and the score below as an input. A score inside a tool's limit does not mean the roster is acceptable or that a person is unimpaired, and it should not be the only thing behind the decision.</w:t>
            </w:r>
          </w:p>
        </w:tc>
      </w:tr>
    </w:tbl>
    <w:p>
      <w:pPr>
        <w:keepNext w:val="fals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Tool used, if any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Score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Decision, and what changed as a result</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APPENDIX D  ·  FATIGUE REPORT AND OUTCOME</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A report, a near miss, or fatigue found as a factor in an incident.</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81"/>
        <w:gridCol w:w="2572"/>
        <w:gridCol w:w="2281"/>
        <w:gridCol w:w="2572"/>
      </w:tblGrid>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Reported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and time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What happened, or what was observed</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Hours worked and sleep obtained beforehand - from records, not memory</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Which factor in section 5 this maps to</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Which control failed, or was missing</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Immediate action taken</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Change to the roster, the thresholds or the plan</w:t>
            </w:r>
          </w:p>
        </w:tc>
        <w:tc>
          <w:tcPr>
            <w:tcW w:type="dxa" w:w="7425"/>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Closed out by</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281"/>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w:t>
            </w:r>
          </w:p>
        </w:tc>
        <w:tc>
          <w:tcPr>
            <w:tcW w:type="dxa" w:w="2572"/>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HOW TO USE IT</w:t>
            </w:r>
          </w:p>
        </w:tc>
      </w:tr>
    </w:tbl>
    <w:p>
      <w:pPr>
        <w:keepNext w:val="false"/>
        <w:spacing w:after="0" w:before="0" w:line="250"/>
        <w:jc w:val="left"/>
      </w:pPr>
      <w:r>
        <w:rPr>
          <w:rFonts w:ascii="Inter" w:cs="Inter" w:eastAsia="Inter" w:hAnsi="Inter"/>
          <w:b w:val="false"/>
          <w:bCs w:val="false"/>
          <w:i w:val="false"/>
          <w:iCs w:val="false"/>
          <w:caps w:val="false"/>
          <w:color w:val="1D3245"/>
          <w:sz w:val="6"/>
          <w:szCs w:val="6"/>
        </w:rPr>
        <w:t xml:space="preserve"/>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1.   Fill in section 2 first. It is the section every other fatigue plan skips, and it decides which numbers you are allowed to call a requirement.</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2.   Read the middle column of section 4 before you set your own numbers. The September 2025 model Code states figures the 2013 guide did not - 12 hours between shifts, three successive night shifts, five days in a row, a 30 minute break every 5 hours.</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3.   Then fill in the last column on every row. Where the Code sets nothing - shift length, weekly hours, commute time - the number is yours, so set it and say it is yours. A plan that is silent where the law is silent is the useless kind.</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4.   Assess the factors in section 5 for the work you are actually doing. Low demand counts: monotony is a listed fatigue hazard, not a soft option.</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5.   Work down the controls in section 6 in order. Rostering people better is a primary control; asking a tired worker to be careful is a worker duty, and the weakest thing on the page.</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6.   In section 7, say what happens to the worker's pay when they declare fatigue. If declaring costs somebody a shift's money, you have built a system that guarantees nobody declares.</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7.   Copy Appendix A, B, C or D as often as you need - they are one to a page for that reason.</w:t>
      </w:r>
    </w:p>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1"/>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WHAT MOST FATIGUE PLANS GET WRONG</w:t>
            </w:r>
          </w:p>
        </w:tc>
      </w:tr>
    </w:tbl>
    <w:p>
      <w:pPr>
        <w:keepNext w:val="false"/>
        <w:spacing w:after="0" w:before="0" w:line="250"/>
        <w:jc w:val="left"/>
      </w:pPr>
      <w:r>
        <w:rPr>
          <w:rFonts w:ascii="Inter" w:cs="Inter" w:eastAsia="Inter" w:hAnsi="Inter"/>
          <w:b w:val="false"/>
          <w:bCs w:val="false"/>
          <w:i w:val="false"/>
          <w:iCs w:val="false"/>
          <w:caps w:val="false"/>
          <w:color w:val="1D3245"/>
          <w:sz w:val="6"/>
          <w:szCs w:val="6"/>
        </w:rPr>
        <w:t xml:space="preserve"/>
      </w:r>
    </w:p>
    <w:p>
      <w:pPr>
        <w:keepNext/>
        <w:spacing w:after="20" w:before="0" w:line="250"/>
        <w:jc w:val="left"/>
      </w:pPr>
      <w:r>
        <w:rPr>
          <w:rFonts w:ascii="Inter" w:cs="Inter" w:eastAsia="Inter" w:hAnsi="Inter"/>
          <w:b/>
          <w:bCs/>
          <w:i w:val="false"/>
          <w:iCs w:val="false"/>
          <w:caps w:val="false"/>
          <w:color w:val="0D3C61"/>
          <w:sz w:val="19"/>
          <w:szCs w:val="19"/>
        </w:rPr>
        <w:t xml:space="preserve">Written before September 2025, and silent on the numbers</w:t>
      </w:r>
    </w:p>
    <w:p>
      <w:pPr>
        <w:keepNext w:val="false"/>
        <w:spacing w:after="80" w:before="0" w:line="222"/>
        <w:ind w:left="230"/>
        <w:jc w:val="left"/>
      </w:pPr>
      <w:r>
        <w:rPr>
          <w:rFonts w:ascii="Inter" w:cs="Inter" w:eastAsia="Inter" w:hAnsi="Inter"/>
          <w:b w:val="false"/>
          <w:bCs w:val="false"/>
          <w:i w:val="false"/>
          <w:iCs w:val="false"/>
          <w:caps w:val="false"/>
          <w:color w:val="1D3245"/>
          <w:sz w:val="19"/>
          <w:szCs w:val="19"/>
        </w:rPr>
        <w:t xml:space="preserve">The Code replaced a 2013 guide and states figures the guide did not, so almost every template in circulation is silent on all of them. One widely downloaded example asserts a 10-hour minimum break - two hours below the Code, which in NSW or the NT is a departure from an approved code that nobody involved knows they have made.</w:t>
      </w:r>
    </w:p>
    <w:p>
      <w:pPr>
        <w:keepNext/>
        <w:spacing w:after="20" w:before="0" w:line="250"/>
        <w:jc w:val="left"/>
      </w:pPr>
      <w:r>
        <w:rPr>
          <w:rFonts w:ascii="Inter" w:cs="Inter" w:eastAsia="Inter" w:hAnsi="Inter"/>
          <w:b/>
          <w:bCs/>
          <w:i w:val="false"/>
          <w:iCs w:val="false"/>
          <w:caps w:val="false"/>
          <w:color w:val="0D3C61"/>
          <w:sz w:val="19"/>
          <w:szCs w:val="19"/>
        </w:rPr>
        <w:t xml:space="preserve">Heavy vehicle rules presented as if they applied to everyone</w:t>
      </w:r>
    </w:p>
    <w:p>
      <w:pPr>
        <w:keepNext w:val="false"/>
        <w:spacing w:after="80" w:before="0" w:line="222"/>
        <w:ind w:left="230"/>
        <w:jc w:val="left"/>
      </w:pPr>
      <w:r>
        <w:rPr>
          <w:rFonts w:ascii="Inter" w:cs="Inter" w:eastAsia="Inter" w:hAnsi="Inter"/>
          <w:b w:val="false"/>
          <w:bCs w:val="false"/>
          <w:i w:val="false"/>
          <w:iCs w:val="false"/>
          <w:caps w:val="false"/>
          <w:color w:val="1D3245"/>
          <w:sz w:val="19"/>
          <w:szCs w:val="19"/>
        </w:rPr>
        <w:t xml:space="preserve">Vendors sell one product name across construction, mining and heavy vehicle, so a reader cannot tell which body of law is theirs. And a fatigue management plan is not even the instrument under heavy vehicle law - accreditation is.</w:t>
      </w:r>
    </w:p>
    <w:p>
      <w:pPr>
        <w:keepNext/>
        <w:spacing w:after="20" w:before="0" w:line="250"/>
        <w:jc w:val="left"/>
      </w:pPr>
      <w:r>
        <w:rPr>
          <w:rFonts w:ascii="Inter" w:cs="Inter" w:eastAsia="Inter" w:hAnsi="Inter"/>
          <w:b/>
          <w:bCs/>
          <w:i w:val="false"/>
          <w:iCs w:val="false"/>
          <w:caps w:val="false"/>
          <w:color w:val="0D3C61"/>
          <w:sz w:val="19"/>
          <w:szCs w:val="19"/>
        </w:rPr>
        <w:t xml:space="preserve">Citing a code without saying where it is approved</w:t>
      </w:r>
    </w:p>
    <w:p>
      <w:pPr>
        <w:keepNext w:val="false"/>
        <w:spacing w:after="80" w:before="0" w:line="222"/>
        <w:ind w:left="230"/>
        <w:jc w:val="left"/>
      </w:pPr>
      <w:r>
        <w:rPr>
          <w:rFonts w:ascii="Inter" w:cs="Inter" w:eastAsia="Inter" w:hAnsi="Inter"/>
          <w:b w:val="false"/>
          <w:bCs w:val="false"/>
          <w:i w:val="false"/>
          <w:iCs w:val="false"/>
          <w:caps w:val="false"/>
          <w:color w:val="1D3245"/>
          <w:sz w:val="19"/>
          <w:szCs w:val="19"/>
        </w:rPr>
        <w:t xml:space="preserve">The fatigue code is approved in NSW from 20 February 2026 and in the NT. It is guidance material in the other WHS jurisdictions and has no status in Victoria, which runs a separate Act. A plan that cites “the code” flatly is wrong for most of the country. Section 2 exists for this.</w:t>
      </w:r>
    </w:p>
    <w:p>
      <w:pPr>
        <w:keepNext/>
        <w:spacing w:after="20" w:before="0" w:line="250"/>
        <w:jc w:val="left"/>
      </w:pPr>
      <w:r>
        <w:rPr>
          <w:rFonts w:ascii="Inter" w:cs="Inter" w:eastAsia="Inter" w:hAnsi="Inter"/>
          <w:b/>
          <w:bCs/>
          <w:i w:val="false"/>
          <w:iCs w:val="false"/>
          <w:caps w:val="false"/>
          <w:color w:val="0D3C61"/>
          <w:sz w:val="19"/>
          <w:szCs w:val="19"/>
        </w:rPr>
        <w:t xml:space="preserve">Calling it a fatigue risk management system</w:t>
      </w:r>
    </w:p>
    <w:p>
      <w:pPr>
        <w:keepNext w:val="false"/>
        <w:spacing w:after="80" w:before="0" w:line="222"/>
        <w:ind w:left="230"/>
        <w:jc w:val="left"/>
      </w:pPr>
      <w:r>
        <w:rPr>
          <w:rFonts w:ascii="Inter" w:cs="Inter" w:eastAsia="Inter" w:hAnsi="Inter"/>
          <w:b w:val="false"/>
          <w:bCs w:val="false"/>
          <w:i w:val="false"/>
          <w:iCs w:val="false"/>
          <w:caps w:val="false"/>
          <w:color w:val="1D3245"/>
          <w:sz w:val="19"/>
          <w:szCs w:val="19"/>
        </w:rPr>
        <w:t xml:space="preserve">In aviation and heavy vehicle an FRMS is how a regulated operator gets approval to work outside prescribed limits; in rail a fatigue risk management program is mandatory. Construction has neither mechanism, so calling this an FRMS invites a question you cannot answer.</w:t>
      </w:r>
    </w:p>
    <w:p>
      <w:pPr>
        <w:keepNext/>
        <w:spacing w:after="20" w:before="0" w:line="250"/>
        <w:jc w:val="left"/>
      </w:pPr>
      <w:r>
        <w:rPr>
          <w:rFonts w:ascii="Inter" w:cs="Inter" w:eastAsia="Inter" w:hAnsi="Inter"/>
          <w:b/>
          <w:bCs/>
          <w:i w:val="false"/>
          <w:iCs w:val="false"/>
          <w:caps w:val="false"/>
          <w:color w:val="0D3C61"/>
          <w:sz w:val="19"/>
          <w:szCs w:val="19"/>
        </w:rPr>
        <w:t xml:space="preserve">Self-declaration with no consequence designed into it</w:t>
      </w:r>
    </w:p>
    <w:p>
      <w:pPr>
        <w:keepNext w:val="false"/>
        <w:spacing w:after="80" w:before="0" w:line="222"/>
        <w:ind w:left="230"/>
        <w:jc w:val="left"/>
      </w:pPr>
      <w:r>
        <w:rPr>
          <w:rFonts w:ascii="Inter" w:cs="Inter" w:eastAsia="Inter" w:hAnsi="Inter"/>
          <w:b w:val="false"/>
          <w:bCs w:val="false"/>
          <w:i w:val="false"/>
          <w:iCs w:val="false"/>
          <w:caps w:val="false"/>
          <w:color w:val="1D3245"/>
          <w:sz w:val="19"/>
          <w:szCs w:val="19"/>
        </w:rPr>
        <w:t xml:space="preserve">The Code says self-reporting will not be effective where there are barriers to it, including punitive treatment. Unpaid is a barrier. Almost no plan says what happens to the money, which is the only part a worker is certain about.</w:t>
      </w:r>
    </w:p>
    <w:p>
      <w:pPr>
        <w:keepNext/>
        <w:spacing w:after="20" w:before="0" w:line="250"/>
        <w:jc w:val="left"/>
      </w:pPr>
      <w:r>
        <w:rPr>
          <w:rFonts w:ascii="Inter" w:cs="Inter" w:eastAsia="Inter" w:hAnsi="Inter"/>
          <w:b/>
          <w:bCs/>
          <w:i w:val="false"/>
          <w:iCs w:val="false"/>
          <w:caps w:val="false"/>
          <w:color w:val="0D3C61"/>
          <w:sz w:val="19"/>
          <w:szCs w:val="19"/>
        </w:rPr>
        <w:t xml:space="preserve">A model score treated as a pass mark</w:t>
      </w:r>
    </w:p>
    <w:p>
      <w:pPr>
        <w:keepNext w:val="false"/>
        <w:spacing w:after="80" w:before="0" w:line="222"/>
        <w:ind w:left="230"/>
        <w:jc w:val="left"/>
      </w:pPr>
      <w:r>
        <w:rPr>
          <w:rFonts w:ascii="Inter" w:cs="Inter" w:eastAsia="Inter" w:hAnsi="Inter"/>
          <w:b w:val="false"/>
          <w:bCs w:val="false"/>
          <w:i w:val="false"/>
          <w:iCs w:val="false"/>
          <w:caps w:val="false"/>
          <w:color w:val="1D3245"/>
          <w:sz w:val="19"/>
          <w:szCs w:val="19"/>
        </w:rPr>
        <w:t xml:space="preserve">A score inside a scheduling tool's limit does not mean a person is unimpaired or that a roster is acceptable, and a tool built on group averages cannot answer a question about one worker on one night. Record the score as an input; do not let it be the decision.</w:t>
      </w:r>
    </w:p>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5"/>
              <w:bottom w:type="dxa" w:w="34"/>
              <w:right w:type="dxa" w:w="95"/>
            </w:tcMar>
          </w:tcPr>
          <w:p>
            <w:pPr>
              <w:keepNext w:val="false"/>
              <w:spacing w:after="40" w:before="0" w:line="250"/>
              <w:jc w:val="left"/>
            </w:pPr>
            <w:r>
              <w:rPr>
                <w:rFonts w:ascii="Inter" w:cs="Inter" w:eastAsia="Inter" w:hAnsi="Inter"/>
                <w:b/>
                <w:bCs/>
                <w:i w:val="false"/>
                <w:iCs w:val="false"/>
                <w:caps w:val="false"/>
                <w:color w:val="E31B0C"/>
                <w:sz w:val="18"/>
                <w:szCs w:val="18"/>
              </w:rPr>
              <w:t xml:space="preserve">IMPORTANT</w:t>
            </w:r>
          </w:p>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This is a template, not advice, and not a compliance certificate. The figures in the middle column of section 4 are quoted from the September 2025 model Code of Practice, which is an approved code in some jurisdictions and guidance in others - and codes are revised. Confirm what applies to your project, and record it in section 2. Where a number here is not drawn from the Code, from law or from your contract, it is a house rule. Get advice on anything with somebody's safety riding on it.</w:t>
            </w:r>
          </w:p>
        </w:tc>
      </w:tr>
    </w:tbl>
    <w:p>
      <w:pPr>
        <w:spacing w:after="0" w:before="110"/>
      </w:pPr>
      <w:hyperlink w:history="1" r:id="rIdhwnk-ub2bv3gccovuevmc">
        <w:r>
          <w:rPr>
            <w:rFonts w:ascii="Inter" w:cs="Inter" w:eastAsia="Inter" w:hAnsi="Inter"/>
            <w:color w:val="3480BC"/>
            <w:sz w:val="19"/>
            <w:szCs w:val="19"/>
            <w:u w:val="single"/>
          </w:rPr>
          <w:t xml:space="preserve">Built for teams delivering capital projects, programs and portfolios  ·  mastt.com</w:t>
        </w:r>
      </w:hyperlink>
    </w:p>
    <w:sectPr>
      <w:headerReference w:type="default" r:id="rId7"/>
      <w:footerReference w:type="default" r:id="rId8"/>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x3ppym3skxb6znswdltrc">
      <w:r>
        <w:rPr>
          <w:rFonts w:ascii="Inter" w:cs="Inter" w:eastAsia="Inter" w:hAnsi="Inter"/>
          <w:color w:val="3480BC"/>
          <w:sz w:val="19"/>
          <w:szCs w:val="19"/>
          <w:u w:val="single"/>
        </w:rPr>
        <w:t xml:space="preserve">Visit mastt.com</w:t>
      </w:r>
    </w:hyperlink>
    <w:r>
      <w:rPr>
        <w:rFonts w:ascii="Inter" w:cs="Inter" w:eastAsia="Inter" w:hAnsi="Inter"/>
        <w:color w:val="8E98A2"/>
        <w:sz w:val="19"/>
        <w:szCs w:val="19"/>
      </w:rPr>
      <w:t xml:space="preserve">	Page </w:t>
    </w:r>
    <w:r>
      <w:rPr>
        <w:rFonts w:ascii="Inter" w:cs="Inter" w:eastAsia="Inter" w:hAnsi="Inter"/>
        <w:color w:val="8E98A2"/>
        <w:sz w:val="19"/>
        <w:szCs w:val="19"/>
      </w:rPr>
      <w:fldChar w:fldCharType="begin"/>
      <w:instrText xml:space="preserve">PAGE</w:instrText>
      <w:fldChar w:fldCharType="separate"/>
      <w:fldChar w:fldCharType="end"/>
    </w:r>
    <w:r>
      <w:rPr>
        <w:rFonts w:ascii="Inter" w:cs="Inter" w:eastAsia="Inter" w:hAnsi="Inter"/>
        <w:color w:val="8E98A2"/>
        <w:sz w:val="19"/>
        <w:szCs w:val="19"/>
      </w:rPr>
      <w:t xml:space="preserve"> of </w:t>
    </w:r>
    <w:r>
      <w:rPr>
        <w:rFonts w:ascii="Inter" w:cs="Inter" w:eastAsia="Inter" w:hAnsi="Inter"/>
        <w:color w:val="8E98A2"/>
        <w:sz w:val="19"/>
        <w:szCs w:val="19"/>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pezbbsjyncyfp80mlo1be">
      <w:r>
        <w:drawing>
          <wp:inline distT="0" distB="0" distL="0" distR="0">
            <wp:extent cx="990600" cy="295275"/>
            <wp:effectExtent t="0" r="0" b="0" l="0"/>
            <wp:docPr id="1" name="" descr="" title="">
              <a:hlinkClick xmlns:a="http://schemas.openxmlformats.org/drawingml/2006/main" r:id="rIdpezbbsjyncyfp80mlo1b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pezbbsjyncyfp80mlo1be"/>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Fatigue Management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wnk-ub2bv3gccovuevmc" Type="http://schemas.openxmlformats.org/officeDocument/2006/relationships/hyperlink" Target="https://www.mastt.com/"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x3ppym3skxb6znswdltrc"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pezbbsjyncyfp80mlo1be"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Plan</dc:title>
  <dc:creator>Mastt</dc:creator>
  <dc:description>Fatigue management plan, with the source of every threshold recorded against it.</dc:description>
  <cp:lastModifiedBy>Un-named</cp:lastModifiedBy>
  <cp:revision>1</cp:revision>
  <dcterms:created xsi:type="dcterms:W3CDTF">2026-08-18T05:59:29.911Z</dcterms:created>
  <dcterms:modified xsi:type="dcterms:W3CDTF">2026-08-18T05:59:29.911Z</dcterms:modified>
</cp:coreProperties>
</file>

<file path=docProps/custom.xml><?xml version="1.0" encoding="utf-8"?>
<Properties xmlns="http://schemas.openxmlformats.org/officeDocument/2006/custom-properties" xmlns:vt="http://schemas.openxmlformats.org/officeDocument/2006/docPropsVTypes"/>
</file>