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tcBorders>
              <w:top w:val="none" w:color="auto" w:sz="0"/>
              <w:left w:val="none" w:color="auto" w:sz="0"/>
              <w:bottom w:val="none" w:color="auto" w:sz="0"/>
              <w:right w:val="none" w:color="auto" w:sz="0"/>
            </w:tcBorders>
            <w:shd w:fill="1D3245" w:color="auto" w:val="clear"/>
            <w:tcMar>
              <w:top w:type="dxa" w:w="32"/>
              <w:left w:type="dxa" w:w="92"/>
              <w:bottom w:type="dxa" w:w="32"/>
              <w:right w:type="dxa" w:w="92"/>
            </w:tcMar>
          </w:tcPr>
          <w:p>
            <w:pPr>
              <w:keepNext w:val="false"/>
              <w:spacing w:after="0" w:before="0" w:line="330"/>
              <w:jc w:val="left"/>
            </w:pPr>
            <w:r>
              <w:rPr>
                <w:rFonts w:ascii="Inter" w:cs="Inter" w:eastAsia="Inter" w:hAnsi="Inter"/>
                <w:b/>
                <w:bCs/>
                <w:i w:val="false"/>
                <w:iCs w:val="false"/>
                <w:caps w:val="false"/>
                <w:color w:val="FFFFFF"/>
                <w:sz w:val="30"/>
                <w:szCs w:val="30"/>
              </w:rPr>
              <w:t xml:space="preserve">Construction Traffic Management Plan</w:t>
            </w:r>
          </w:p>
        </w:tc>
      </w:tr>
      <w:tr>
        <w:trPr>
          <w:cantSplit/>
        </w:trPr>
        <w:tc>
          <w:tcPr>
            <w:tcW w:type="dxa" w:w="9706"/>
            <w:tcBorders>
              <w:top w:val="none" w:color="auto" w:sz="0"/>
              <w:left w:val="none" w:color="auto" w:sz="0"/>
              <w:bottom w:val="none" w:color="auto" w:sz="0"/>
              <w:right w:val="none" w:color="auto" w:sz="0"/>
            </w:tcBorders>
            <w:shd w:fill="1D3245" w:color="auto" w:val="clear"/>
            <w:tcMar>
              <w:top w:type="dxa" w:w="32"/>
              <w:left w:type="dxa" w:w="92"/>
              <w:bottom w:type="dxa" w:w="32"/>
              <w:right w:type="dxa" w:w="92"/>
            </w:tcMar>
          </w:tcPr>
          <w:p>
            <w:pPr>
              <w:keepNext w:val="false"/>
              <w:spacing w:after="0" w:before="0" w:line="230"/>
              <w:jc w:val="left"/>
            </w:pPr>
            <w:r>
              <w:rPr>
                <w:rFonts w:ascii="Inter" w:cs="Inter" w:eastAsia="Inter" w:hAnsi="Inter"/>
                <w:b w:val="false"/>
                <w:bCs w:val="false"/>
                <w:i w:val="false"/>
                <w:iCs w:val="false"/>
                <w:caps w:val="false"/>
                <w:color w:val="9FB3C8"/>
                <w:sz w:val="19"/>
                <w:szCs w:val="19"/>
              </w:rPr>
              <w:t xml:space="preserve">One plan, two approvals - what goes to the authority, and what stays on site</w:t>
            </w:r>
          </w:p>
        </w:tc>
      </w:tr>
      <w:tr>
        <w:trPr>
          <w:cantSplit/>
        </w:trPr>
        <w:tc>
          <w:tcPr>
            <w:tcW w:type="dxa" w:w="9706"/>
            <w:tcBorders>
              <w:top w:val="none" w:color="auto" w:sz="0"/>
              <w:left w:val="none" w:color="auto" w:sz="0"/>
              <w:bottom w:val="none" w:color="auto" w:sz="0"/>
              <w:right w:val="none" w:color="auto" w:sz="0"/>
            </w:tcBorders>
            <w:shd w:fill="3480BC" w:color="auto" w:val="clear"/>
            <w:tcMar>
              <w:top w:type="dxa" w:w="32"/>
              <w:left w:type="dxa" w:w="92"/>
              <w:bottom w:type="dxa" w:w="32"/>
              <w:right w:type="dxa" w:w="92"/>
            </w:tcMar>
          </w:tcPr>
          <w:p>
            <w:pPr>
              <w:keepNext w:val="false"/>
              <w:spacing w:after="0" w:before="0" w:line="30"/>
              <w:jc w:val="left"/>
            </w:pPr>
            <w:r>
              <w:rPr>
                <w:rFonts w:ascii="Inter" w:cs="Inter" w:eastAsia="Inter" w:hAnsi="Inter"/>
                <w:b w:val="false"/>
                <w:bCs w:val="false"/>
                <w:i w:val="false"/>
                <w:iCs w:val="false"/>
                <w:caps w:val="false"/>
                <w:color w:val="1D3245"/>
                <w:sz w:val="2"/>
                <w:szCs w:val="2"/>
              </w:rPr>
              <w:t xml:space="preserve"/>
            </w:r>
          </w:p>
        </w:tc>
      </w:tr>
    </w:tbl>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tcBorders>
              <w:top w:val="single" w:color="FFB547" w:sz="4"/>
              <w:left w:val="single" w:color="FFB547" w:sz="4"/>
              <w:bottom w:val="single" w:color="FFB547" w:sz="4"/>
              <w:right w:val="single" w:color="FFB547" w:sz="4"/>
            </w:tcBorders>
            <w:shd w:fill="FFF4E0" w:color="auto" w:val="clear"/>
            <w:tcMar>
              <w:top w:type="dxa" w:w="32"/>
              <w:left w:type="dxa" w:w="92"/>
              <w:bottom w:type="dxa" w:w="32"/>
              <w:right w:type="dxa" w:w="92"/>
            </w:tcMar>
          </w:tcPr>
          <w:p>
            <w:pPr>
              <w:keepNext w:val="false"/>
              <w:spacing w:after="0" w:before="0" w:line="235"/>
              <w:jc w:val="left"/>
            </w:pPr>
            <w:r>
              <w:rPr>
                <w:rFonts w:ascii="Inter" w:cs="Inter" w:eastAsia="Inter" w:hAnsi="Inter"/>
                <w:b/>
                <w:bCs/>
                <w:i w:val="false"/>
                <w:iCs w:val="false"/>
                <w:caps w:val="false"/>
                <w:color w:val="EC6917"/>
                <w:sz w:val="18"/>
                <w:szCs w:val="18"/>
              </w:rPr>
              <w:t xml:space="preserve">EXAMPLE CONTENT - this plan is filled in for a worked project so you can see what each field wants. Replace every entry with your own, and delete this banner, before you issue it.</w:t>
            </w:r>
          </w:p>
        </w:tc>
      </w:tr>
    </w:tbl>
    <w:p>
      <w:pPr>
        <w:keepNext w:val="false"/>
        <w:spacing w:after="0" w:before="0" w:line="250"/>
        <w:jc w:val="left"/>
      </w:pPr>
      <w:r>
        <w:rPr>
          <w:rFonts w:ascii="Inter" w:cs="Inter" w:eastAsia="Inter" w:hAnsi="Inter"/>
          <w:b w:val="false"/>
          <w:bCs w:val="false"/>
          <w:i w:val="false"/>
          <w:iCs w:val="false"/>
          <w:caps w:val="false"/>
          <w:color w:val="1D3245"/>
          <w:sz w:val="10"/>
          <w:szCs w:val="10"/>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281"/>
        <w:gridCol w:w="2572"/>
        <w:gridCol w:w="2281"/>
        <w:gridCol w:w="2572"/>
      </w:tblGrid>
      <w:tr>
        <w:trPr>
          <w:cantSplit/>
        </w:trPr>
        <w:tc>
          <w:tcPr>
            <w:tcW w:type="dxa" w:w="9706"/>
            <w:gridSpan w:val="4"/>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  PROJECT AND PLAN</w:t>
            </w:r>
          </w:p>
        </w:tc>
      </w:tr>
      <w:tr>
        <w:trPr>
          <w:cantSplit/>
        </w:trPr>
        <w:tc>
          <w:tcPr>
            <w:tcW w:type="dxa" w:w="228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Project</w:t>
            </w:r>
          </w:p>
        </w:tc>
        <w:tc>
          <w:tcPr>
            <w:tcW w:type="dxa" w:w="2572"/>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EXAMPLE - Halden Street Apartments</w:t>
            </w:r>
          </w:p>
        </w:tc>
        <w:tc>
          <w:tcPr>
            <w:tcW w:type="dxa" w:w="228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Plan revision</w:t>
            </w:r>
          </w:p>
        </w:tc>
        <w:tc>
          <w:tcPr>
            <w:tcW w:type="dxa" w:w="2572"/>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Rev C</w:t>
            </w:r>
          </w:p>
        </w:tc>
      </w:tr>
      <w:tr>
        <w:trPr>
          <w:cantSplit/>
        </w:trPr>
        <w:tc>
          <w:tcPr>
            <w:tcW w:type="dxa" w:w="228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Site address</w:t>
            </w:r>
          </w:p>
        </w:tc>
        <w:tc>
          <w:tcPr>
            <w:tcW w:type="dxa" w:w="2572"/>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22-30 Halden Street, Wrenford NSW</w:t>
            </w:r>
          </w:p>
        </w:tc>
        <w:tc>
          <w:tcPr>
            <w:tcW w:type="dxa" w:w="228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Date of this revision</w:t>
            </w:r>
          </w:p>
        </w:tc>
        <w:tc>
          <w:tcPr>
            <w:tcW w:type="dxa" w:w="2572"/>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12 August 2026</w:t>
            </w:r>
          </w:p>
        </w:tc>
      </w:tr>
      <w:tr>
        <w:trPr>
          <w:cantSplit/>
        </w:trPr>
        <w:tc>
          <w:tcPr>
            <w:tcW w:type="dxa" w:w="228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Client</w:t>
            </w:r>
          </w:p>
        </w:tc>
        <w:tc>
          <w:tcPr>
            <w:tcW w:type="dxa" w:w="2572"/>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Halden Street Developments Pty Ltd</w:t>
            </w:r>
          </w:p>
        </w:tc>
        <w:tc>
          <w:tcPr>
            <w:tcW w:type="dxa" w:w="228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Principal contractor</w:t>
            </w:r>
          </w:p>
        </w:tc>
        <w:tc>
          <w:tcPr>
            <w:tcW w:type="dxa" w:w="2572"/>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Marlow Constructions Pty Ltd</w:t>
            </w:r>
          </w:p>
        </w:tc>
      </w:tr>
      <w:tr>
        <w:trPr>
          <w:cantSplit/>
        </w:trPr>
        <w:tc>
          <w:tcPr>
            <w:tcW w:type="dxa" w:w="228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Consent or approval this plan discharges</w:t>
            </w:r>
          </w:p>
        </w:tc>
        <w:tc>
          <w:tcPr>
            <w:tcW w:type="dxa" w:w="2572"/>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DA2025/0418, condition 27</w:t>
            </w:r>
          </w:p>
        </w:tc>
        <w:tc>
          <w:tcPr>
            <w:tcW w:type="dxa" w:w="228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Authority that approves it</w:t>
            </w:r>
          </w:p>
        </w:tc>
        <w:tc>
          <w:tcPr>
            <w:tcW w:type="dxa" w:w="2572"/>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Wrenford City Council</w:t>
            </w:r>
          </w:p>
        </w:tc>
      </w:tr>
      <w:tr>
        <w:trPr>
          <w:cantSplit/>
        </w:trPr>
        <w:tc>
          <w:tcPr>
            <w:tcW w:type="dxa" w:w="228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Prepared by</w:t>
            </w:r>
          </w:p>
        </w:tc>
        <w:tc>
          <w:tcPr>
            <w:tcW w:type="dxa" w:w="2572"/>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J. Okonkwo, Traffic Engineer, Verrall Traffic</w:t>
            </w:r>
          </w:p>
        </w:tc>
        <w:tc>
          <w:tcPr>
            <w:tcW w:type="dxa" w:w="228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Approved by</w:t>
            </w:r>
          </w:p>
        </w:tc>
        <w:tc>
          <w:tcPr>
            <w:tcW w:type="dxa" w:w="2572"/>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Wrenford City Council, as roads authority</w:t>
            </w:r>
          </w:p>
        </w:tc>
      </w:tr>
      <w:tr>
        <w:trPr>
          <w:cantSplit/>
        </w:trPr>
        <w:tc>
          <w:tcPr>
            <w:tcW w:type="dxa" w:w="228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Accreditation held by the preparer</w:t>
            </w:r>
          </w:p>
        </w:tc>
        <w:tc>
          <w:tcPr>
            <w:tcW w:type="dxa" w:w="7425"/>
            <w:gridSpan w:val="3"/>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Prepare a work zone traffic management plan - card 88214, expires 4 May 2028</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524"/>
        <w:gridCol w:w="3882"/>
        <w:gridCol w:w="3300"/>
      </w:tblGrid>
      <w:tr>
        <w:trPr>
          <w:cantSplit/>
          <w:tblHeader/>
        </w:trPr>
        <w:tc>
          <w:tcPr>
            <w:tcW w:type="dxa" w:w="9706"/>
            <w:gridSpan w:val="3"/>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2.  WHERE EACH PART OF THIS PLAN GOES</w:t>
            </w:r>
          </w:p>
        </w:tc>
      </w:tr>
      <w:tr>
        <w:trPr>
          <w:cantSplit/>
          <w:tblHeader/>
        </w:trPr>
        <w:tc>
          <w:tcPr>
            <w:tcW w:type="dxa" w:w="2524"/>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Part of this plan</w:t>
            </w:r>
          </w:p>
        </w:tc>
        <w:tc>
          <w:tcPr>
            <w:tcW w:type="dxa" w:w="3882"/>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Who it goes to</w:t>
            </w:r>
          </w:p>
        </w:tc>
        <w:tc>
          <w:tcPr>
            <w:tcW w:type="dxa" w:w="3300"/>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When</w:t>
            </w:r>
          </w:p>
        </w:tc>
      </w:tr>
      <w:tr>
        <w:trPr>
          <w:cantSplit/>
        </w:trPr>
        <w:tc>
          <w:tcPr>
            <w:tcW w:type="dxa" w:w="9706"/>
            <w:gridSpan w:val="3"/>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Two different documents share the name traffic management plan. One is approved by the authority and is about the public road; the other is held on site and is about people and plant inside the fence. They go to different approvers, and overlap most at the site gate.</w:t>
            </w:r>
          </w:p>
        </w:tc>
      </w:tr>
      <w:tr>
        <w:trPr>
          <w:cantSplit/>
        </w:trPr>
        <w:tc>
          <w:tcPr>
            <w:tcW w:type="dxa" w:w="2524"/>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Sections 1 to 9 and 11</w:t>
            </w:r>
          </w:p>
        </w:tc>
        <w:tc>
          <w:tcPr>
            <w:tcW w:type="dxa" w:w="3882"/>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authority that approves this plan, and the roads authority for any road it does not control</w:t>
            </w:r>
          </w:p>
        </w:tc>
        <w:tc>
          <w:tcPr>
            <w:tcW w:type="dxa" w:w="330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Before any work starts on or beside the public road, and again whenever a stage changes</w:t>
            </w:r>
          </w:p>
        </w:tc>
      </w:tr>
      <w:tr>
        <w:trPr>
          <w:cantSplit/>
        </w:trPr>
        <w:tc>
          <w:tcPr>
            <w:tcW w:type="dxa" w:w="2524"/>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Section 10</w:t>
            </w:r>
          </w:p>
        </w:tc>
        <w:tc>
          <w:tcPr>
            <w:tcW w:type="dxa" w:w="388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Held on site. Part of the work health and safety management plan if this is a construction project as defined by the work health and safety regulations</w:t>
            </w:r>
          </w:p>
        </w:tc>
        <w:tc>
          <w:tcPr>
            <w:tcW w:type="dxa" w:w="330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Before work starts, and reviewed on the triggers in section 12</w:t>
            </w:r>
          </w:p>
        </w:tc>
      </w:tr>
      <w:tr>
        <w:trPr>
          <w:cantSplit/>
        </w:trPr>
        <w:tc>
          <w:tcPr>
            <w:tcW w:type="dxa" w:w="2524"/>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Section 12, the review triggers</w:t>
            </w:r>
          </w:p>
        </w:tc>
        <w:tc>
          <w:tcPr>
            <w:tcW w:type="dxa" w:w="3882"/>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Both. A revision goes back to whoever approved the part that changed</w:t>
            </w:r>
          </w:p>
        </w:tc>
        <w:tc>
          <w:tcPr>
            <w:tcW w:type="dxa" w:w="330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On any trigger in section 12</w:t>
            </w:r>
          </w:p>
        </w:tc>
      </w:tr>
      <w:tr>
        <w:trPr>
          <w:cantSplit/>
        </w:trPr>
        <w:tc>
          <w:tcPr>
            <w:tcW w:type="dxa" w:w="2524"/>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The traffic control plans listed in section 8</w:t>
            </w:r>
          </w:p>
        </w:tc>
        <w:tc>
          <w:tcPr>
            <w:tcW w:type="dxa" w:w="388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in this document. Prepared and signed separately by the accredited person named in section 8, and issued with this plan</w:t>
            </w:r>
          </w:p>
        </w:tc>
        <w:tc>
          <w:tcPr>
            <w:tcW w:type="dxa" w:w="330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Before the work each plan covers</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912"/>
        <w:gridCol w:w="6794"/>
      </w:tblGrid>
      <w:tr>
        <w:trPr>
          <w:cantSplit/>
        </w:trPr>
        <w:tc>
          <w:tcPr>
            <w:tcW w:type="dxa" w:w="9706"/>
            <w:gridSpan w:val="2"/>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3.  WHICH RULES APPLY HERE - FILL THIS IN FIRST</w:t>
            </w:r>
          </w:p>
        </w:tc>
      </w:tr>
      <w:tr>
        <w:trPr>
          <w:cantSplit/>
        </w:trPr>
        <w:tc>
          <w:tcPr>
            <w:tcW w:type="dxa" w:w="9706"/>
            <w:gridSpan w:val="2"/>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Left blank on purpose. Every one of these differs by state, and most of them changed in the two years to August 2026. Fill them in from the authority's own material, not from another project's plan.</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Authority that approves this plan - your consent, responsible or relevant authority, or assessment manager</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Wrenford City Council</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Roads authority for every road you will occupy, where that is a different body</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Temporary traffic management document you are working to, and its version</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Date you last checked that version is current</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Accreditation your traffic guidance scheme preparer holds, and its expiry</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Prepare a work zone traffic management plan - card 88214, expires 4 May 2028</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Is this a construction project requiring a written work health and safety management plan? On what basis?</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8"/>
          <w:szCs w:val="8"/>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650"/>
        <w:gridCol w:w="4368"/>
        <w:gridCol w:w="3688"/>
      </w:tblGrid>
      <w:tr>
        <w:trPr>
          <w:cantSplit/>
          <w:tblHeader/>
        </w:trPr>
        <w:tc>
          <w:tcPr>
            <w:tcW w:type="dxa" w:w="1650"/>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Where the work is</w:t>
            </w:r>
          </w:p>
        </w:tc>
        <w:tc>
          <w:tcPr>
            <w:tcW w:type="dxa" w:w="4368"/>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The document temporary traffic management is done to</w:t>
            </w:r>
          </w:p>
        </w:tc>
        <w:tc>
          <w:tcPr>
            <w:tcW w:type="dxa" w:w="3688"/>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Who may prepare a traffic guidance scheme</w:t>
            </w:r>
          </w:p>
        </w:tc>
      </w:tr>
      <w:tr>
        <w:trPr>
          <w:cantSplit/>
        </w:trPr>
        <w:tc>
          <w:tcPr>
            <w:tcW w:type="dxa" w:w="9706"/>
            <w:gridSpan w:val="3"/>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Find your row and copy it into the two fields above. Named, not dated - these are reissued periodically, so record the version you are working to and the date you checked it.</w:t>
            </w:r>
          </w:p>
        </w:tc>
      </w:tr>
      <w:tr>
        <w:trPr>
          <w:cantSplit/>
        </w:trPr>
        <w:tc>
          <w:tcPr>
            <w:tcW w:type="dxa" w:w="165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New South Wales</w:t>
            </w:r>
          </w:p>
        </w:tc>
        <w:tc>
          <w:tcPr>
            <w:tcW w:type="dxa" w:w="436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state road authority's technical standard for traffic control at work sites, which takes precedence over both the Australian Standard and the national guide where they differ</w:t>
            </w:r>
          </w:p>
        </w:tc>
        <w:tc>
          <w:tcPr>
            <w:tcW w:type="dxa" w:w="368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 work zone traffic management plan card issued by the state work health and safety regulator</w:t>
            </w:r>
          </w:p>
        </w:tc>
      </w:tr>
      <w:tr>
        <w:trPr>
          <w:cantSplit/>
        </w:trPr>
        <w:tc>
          <w:tcPr>
            <w:tcW w:type="dxa" w:w="165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Victoria</w:t>
            </w:r>
          </w:p>
        </w:tc>
        <w:tc>
          <w:tcPr>
            <w:tcW w:type="dxa" w:w="436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state code of practice for worksite safety - traffic management, made by the roads minister under state road law, which incorporates the national guide</w:t>
            </w:r>
          </w:p>
        </w:tc>
        <w:tc>
          <w:tcPr>
            <w:tcW w:type="dxa" w:w="368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 traffic management company accredited by the state transport department in the design role. Mandatory on department-managed roads - confirm what the council requires on its own</w:t>
            </w:r>
          </w:p>
        </w:tc>
      </w:tr>
      <w:tr>
        <w:trPr>
          <w:cantSplit/>
        </w:trPr>
        <w:tc>
          <w:tcPr>
            <w:tcW w:type="dxa" w:w="165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Queensland</w:t>
            </w:r>
          </w:p>
        </w:tc>
        <w:tc>
          <w:tcPr>
            <w:tcW w:type="dxa" w:w="436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national guide, with the state's own guide to temporary traffic management and the state manual of uniform traffic control devices, both of which carry only the state's departures</w:t>
            </w:r>
          </w:p>
        </w:tc>
        <w:tc>
          <w:tcPr>
            <w:tcW w:type="dxa" w:w="368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traffic management design course prescribed by the state road authority</w:t>
            </w:r>
          </w:p>
        </w:tc>
      </w:tr>
      <w:tr>
        <w:trPr>
          <w:cantSplit/>
        </w:trPr>
        <w:tc>
          <w:tcPr>
            <w:tcW w:type="dxa" w:w="165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Western Australia</w:t>
            </w:r>
          </w:p>
        </w:tc>
        <w:tc>
          <w:tcPr>
            <w:tcW w:type="dxa" w:w="436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state road authority's code of practice for traffic management for works on roads</w:t>
            </w:r>
          </w:p>
        </w:tc>
        <w:tc>
          <w:tcPr>
            <w:tcW w:type="dxa" w:w="368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Advanced worksite traffic management accreditation issued by the state road authority</w:t>
            </w:r>
          </w:p>
        </w:tc>
      </w:tr>
      <w:tr>
        <w:trPr>
          <w:cantSplit/>
        </w:trPr>
        <w:tc>
          <w:tcPr>
            <w:tcW w:type="dxa" w:w="165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South Australia</w:t>
            </w:r>
          </w:p>
        </w:tc>
        <w:tc>
          <w:tcPr>
            <w:tcW w:type="dxa" w:w="436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national guide, with the state workzone traffic management standards and the state supplement to the Australian Standard, which carry the state's own requirements</w:t>
            </w:r>
          </w:p>
        </w:tc>
        <w:tc>
          <w:tcPr>
            <w:tcW w:type="dxa" w:w="368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traffic management designer role under the national framework, which is still in transition here - check which design categories your designer is approved for</w:t>
            </w:r>
          </w:p>
        </w:tc>
      </w:tr>
      <w:tr>
        <w:trPr>
          <w:cantSplit/>
        </w:trPr>
        <w:tc>
          <w:tcPr>
            <w:tcW w:type="dxa" w:w="165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Tasmania</w:t>
            </w:r>
          </w:p>
        </w:tc>
        <w:tc>
          <w:tcPr>
            <w:tcW w:type="dxa" w:w="436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national guide to temporary traffic management, adopted by the state, with the state's own guide alongside it</w:t>
            </w:r>
          </w:p>
        </w:tc>
        <w:tc>
          <w:tcPr>
            <w:tcW w:type="dxa" w:w="368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traffic management designer role under the national temporary traffic management framework</w:t>
            </w:r>
          </w:p>
        </w:tc>
      </w:tr>
      <w:tr>
        <w:trPr>
          <w:cantSplit/>
        </w:trPr>
        <w:tc>
          <w:tcPr>
            <w:tcW w:type="dxa" w:w="165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Northern Territory</w:t>
            </w:r>
          </w:p>
        </w:tc>
        <w:tc>
          <w:tcPr>
            <w:tcW w:type="dxa" w:w="436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national guide to temporary traffic management, adopted with Territory variations</w:t>
            </w:r>
          </w:p>
        </w:tc>
        <w:tc>
          <w:tcPr>
            <w:tcW w:type="dxa" w:w="368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 Territory temporary traffic management card in the design role</w:t>
            </w:r>
          </w:p>
        </w:tc>
      </w:tr>
      <w:tr>
        <w:trPr>
          <w:cantSplit/>
        </w:trPr>
        <w:tc>
          <w:tcPr>
            <w:tcW w:type="dxa" w:w="165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Australian Capital Territory</w:t>
            </w:r>
          </w:p>
        </w:tc>
        <w:tc>
          <w:tcPr>
            <w:tcW w:type="dxa" w:w="436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Australian Standard and the national guide to temporary traffic management</w:t>
            </w:r>
          </w:p>
        </w:tc>
        <w:tc>
          <w:tcPr>
            <w:tcW w:type="dxa" w:w="368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Territory's municipal infrastructure specification calls for a competent person and names no scheme. Confirm what the roads authority will accept before you commission the plan</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388"/>
        <w:gridCol w:w="1699"/>
        <w:gridCol w:w="825"/>
        <w:gridCol w:w="776"/>
        <w:gridCol w:w="2621"/>
        <w:gridCol w:w="1941"/>
        <w:gridCol w:w="1456"/>
      </w:tblGrid>
      <w:tr>
        <w:trPr>
          <w:cantSplit/>
          <w:tblHeader/>
        </w:trPr>
        <w:tc>
          <w:tcPr>
            <w:tcW w:type="dxa" w:w="9706"/>
            <w:gridSpan w:val="7"/>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4.  THE WORKS, STAGE BY STAGE</w:t>
            </w:r>
          </w:p>
        </w:tc>
      </w:tr>
      <w:tr>
        <w:trPr>
          <w:cantSplit/>
          <w:tblHeader/>
        </w:trPr>
        <w:tc>
          <w:tcPr>
            <w:tcW w:type="dxa" w:w="388"/>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
            </w:r>
          </w:p>
        </w:tc>
        <w:tc>
          <w:tcPr>
            <w:tcW w:type="dxa" w:w="1699"/>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Stage</w:t>
            </w:r>
          </w:p>
        </w:tc>
        <w:tc>
          <w:tcPr>
            <w:tcW w:type="dxa" w:w="825"/>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Starts</w:t>
            </w:r>
          </w:p>
        </w:tc>
        <w:tc>
          <w:tcPr>
            <w:tcW w:type="dxa" w:w="776"/>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For</w:t>
            </w:r>
          </w:p>
        </w:tc>
        <w:tc>
          <w:tcPr>
            <w:tcW w:type="dxa" w:w="2621"/>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Main activities</w:t>
            </w:r>
          </w:p>
        </w:tc>
        <w:tc>
          <w:tcPr>
            <w:tcW w:type="dxa" w:w="1941"/>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Largest vehicle</w:t>
            </w:r>
          </w:p>
        </w:tc>
        <w:tc>
          <w:tcPr>
            <w:tcW w:type="dxa" w:w="1456"/>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Movements</w:t>
            </w:r>
          </w:p>
        </w:tc>
      </w:tr>
      <w:tr>
        <w:trPr>
          <w:cantSplit/>
        </w:trPr>
        <w:tc>
          <w:tcPr>
            <w:tcW w:type="dxa" w:w="9706"/>
            <w:gridSpan w:val="7"/>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One row per stage, because the largest vehicle, the movement count and the road occupation all change between them. A plan written for one stage is the most common reason a plan comes back.</w:t>
            </w:r>
          </w:p>
        </w:tc>
      </w:tr>
      <w:tr>
        <w:trPr>
          <w:cantSplit/>
        </w:trPr>
        <w:tc>
          <w:tcPr>
            <w:tcW w:type="dxa" w:w="38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w:t>
            </w:r>
          </w:p>
        </w:tc>
        <w:tc>
          <w:tcPr>
            <w:tcW w:type="dxa" w:w="1699"/>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Site establishment and hoarding</w:t>
            </w:r>
          </w:p>
        </w:tc>
        <w:tc>
          <w:tcPr>
            <w:tcW w:type="dxa" w:w="82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Sep 2026</w:t>
            </w:r>
          </w:p>
        </w:tc>
        <w:tc>
          <w:tcPr>
            <w:tcW w:type="dxa" w:w="77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3 weeks</w:t>
            </w:r>
          </w:p>
        </w:tc>
        <w:tc>
          <w:tcPr>
            <w:tcW w:type="dxa" w:w="262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Fencing, hoarding, site shed, temporary power</w:t>
            </w:r>
          </w:p>
        </w:tc>
        <w:tc>
          <w:tcPr>
            <w:tcW w:type="dxa" w:w="194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8.8 m rigid</w:t>
            </w:r>
          </w:p>
        </w:tc>
        <w:tc>
          <w:tcPr>
            <w:tcW w:type="dxa" w:w="145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4 a day</w:t>
            </w:r>
          </w:p>
        </w:tc>
      </w:tr>
      <w:tr>
        <w:trPr>
          <w:cantSplit/>
        </w:trPr>
        <w:tc>
          <w:tcPr>
            <w:tcW w:type="dxa" w:w="38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w:t>
            </w:r>
          </w:p>
        </w:tc>
        <w:tc>
          <w:tcPr>
            <w:tcW w:type="dxa" w:w="1699"/>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Demolition</w:t>
            </w:r>
          </w:p>
        </w:tc>
        <w:tc>
          <w:tcPr>
            <w:tcW w:type="dxa" w:w="82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Oct 2026</w:t>
            </w:r>
          </w:p>
        </w:tc>
        <w:tc>
          <w:tcPr>
            <w:tcW w:type="dxa" w:w="776"/>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5 weeks</w:t>
            </w:r>
          </w:p>
        </w:tc>
        <w:tc>
          <w:tcPr>
            <w:tcW w:type="dxa" w:w="262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Structure demolition, materials removal</w:t>
            </w:r>
          </w:p>
        </w:tc>
        <w:tc>
          <w:tcPr>
            <w:tcW w:type="dxa" w:w="194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12.5 m heavy rigid</w:t>
            </w:r>
          </w:p>
        </w:tc>
        <w:tc>
          <w:tcPr>
            <w:tcW w:type="dxa" w:w="1456"/>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12 a day</w:t>
            </w:r>
          </w:p>
        </w:tc>
      </w:tr>
      <w:tr>
        <w:trPr>
          <w:cantSplit/>
        </w:trPr>
        <w:tc>
          <w:tcPr>
            <w:tcW w:type="dxa" w:w="38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3</w:t>
            </w:r>
          </w:p>
        </w:tc>
        <w:tc>
          <w:tcPr>
            <w:tcW w:type="dxa" w:w="1699"/>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Bulk excavation and shoring</w:t>
            </w:r>
          </w:p>
        </w:tc>
        <w:tc>
          <w:tcPr>
            <w:tcW w:type="dxa" w:w="82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Nov 2026</w:t>
            </w:r>
          </w:p>
        </w:tc>
        <w:tc>
          <w:tcPr>
            <w:tcW w:type="dxa" w:w="77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9 weeks</w:t>
            </w:r>
          </w:p>
        </w:tc>
        <w:tc>
          <w:tcPr>
            <w:tcW w:type="dxa" w:w="262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Piling, shoring, spoil cartage</w:t>
            </w:r>
          </w:p>
        </w:tc>
        <w:tc>
          <w:tcPr>
            <w:tcW w:type="dxa" w:w="194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19 m semi-trailer</w:t>
            </w:r>
          </w:p>
        </w:tc>
        <w:tc>
          <w:tcPr>
            <w:tcW w:type="dxa" w:w="145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26 a day</w:t>
            </w:r>
          </w:p>
        </w:tc>
      </w:tr>
      <w:tr>
        <w:trPr>
          <w:cantSplit/>
        </w:trPr>
        <w:tc>
          <w:tcPr>
            <w:tcW w:type="dxa" w:w="38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4</w:t>
            </w:r>
          </w:p>
        </w:tc>
        <w:tc>
          <w:tcPr>
            <w:tcW w:type="dxa" w:w="1699"/>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Structure</w:t>
            </w:r>
          </w:p>
        </w:tc>
        <w:tc>
          <w:tcPr>
            <w:tcW w:type="dxa" w:w="82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Feb 2027</w:t>
            </w:r>
          </w:p>
        </w:tc>
        <w:tc>
          <w:tcPr>
            <w:tcW w:type="dxa" w:w="776"/>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22 weeks</w:t>
            </w:r>
          </w:p>
        </w:tc>
        <w:tc>
          <w:tcPr>
            <w:tcW w:type="dxa" w:w="262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Concrete pours, crane erection, formwork</w:t>
            </w:r>
          </w:p>
        </w:tc>
        <w:tc>
          <w:tcPr>
            <w:tcW w:type="dxa" w:w="194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19 m semi-trailer, concrete agitators</w:t>
            </w:r>
          </w:p>
        </w:tc>
        <w:tc>
          <w:tcPr>
            <w:tcW w:type="dxa" w:w="1456"/>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18 a day</w:t>
            </w:r>
          </w:p>
        </w:tc>
      </w:tr>
      <w:tr>
        <w:trPr>
          <w:cantSplit/>
        </w:trPr>
        <w:tc>
          <w:tcPr>
            <w:tcW w:type="dxa" w:w="38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5</w:t>
            </w:r>
          </w:p>
        </w:tc>
        <w:tc>
          <w:tcPr>
            <w:tcW w:type="dxa" w:w="1699"/>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Facade and fitout</w:t>
            </w:r>
          </w:p>
        </w:tc>
        <w:tc>
          <w:tcPr>
            <w:tcW w:type="dxa" w:w="82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Jul 2027</w:t>
            </w:r>
          </w:p>
        </w:tc>
        <w:tc>
          <w:tcPr>
            <w:tcW w:type="dxa" w:w="77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20 weeks</w:t>
            </w:r>
          </w:p>
        </w:tc>
        <w:tc>
          <w:tcPr>
            <w:tcW w:type="dxa" w:w="262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Facade panels, services, internal fitout</w:t>
            </w:r>
          </w:p>
        </w:tc>
        <w:tc>
          <w:tcPr>
            <w:tcW w:type="dxa" w:w="194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12.5 m heavy rigid</w:t>
            </w:r>
          </w:p>
        </w:tc>
        <w:tc>
          <w:tcPr>
            <w:tcW w:type="dxa" w:w="145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9 a day</w:t>
            </w:r>
          </w:p>
        </w:tc>
      </w:tr>
      <w:tr>
        <w:trPr>
          <w:cantSplit/>
        </w:trPr>
        <w:tc>
          <w:tcPr>
            <w:tcW w:type="dxa" w:w="38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6</w:t>
            </w:r>
          </w:p>
        </w:tc>
        <w:tc>
          <w:tcPr>
            <w:tcW w:type="dxa" w:w="1699"/>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Landscaping and completion</w:t>
            </w:r>
          </w:p>
        </w:tc>
        <w:tc>
          <w:tcPr>
            <w:tcW w:type="dxa" w:w="82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Dec 2027</w:t>
            </w:r>
          </w:p>
        </w:tc>
        <w:tc>
          <w:tcPr>
            <w:tcW w:type="dxa" w:w="776"/>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6 weeks</w:t>
            </w:r>
          </w:p>
        </w:tc>
        <w:tc>
          <w:tcPr>
            <w:tcW w:type="dxa" w:w="262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Paving, landscaping, hoarding removal</w:t>
            </w:r>
          </w:p>
        </w:tc>
        <w:tc>
          <w:tcPr>
            <w:tcW w:type="dxa" w:w="194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8.8 m rigid</w:t>
            </w:r>
          </w:p>
        </w:tc>
        <w:tc>
          <w:tcPr>
            <w:tcW w:type="dxa" w:w="1456"/>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4 a day</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912"/>
        <w:gridCol w:w="6794"/>
      </w:tblGrid>
      <w:tr>
        <w:trPr>
          <w:cantSplit/>
        </w:trPr>
        <w:tc>
          <w:tcPr>
            <w:tcW w:type="dxa" w:w="9706"/>
            <w:gridSpan w:val="2"/>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5.  CONSTRUCTION VEHICLES, ROUTES AND ACCESS</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Approved route in</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West on Wrenford Road, left into Halden Street, arrive at the site frontage. Drivers are issued the route plan with every delivery docket and are not to use any other local street.</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Approved route out</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North on Halden Street, right into Beckett Street, east to Wrenford Road.</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Site entry and exit points</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One combined entry and exit at 26 Halden Street, gate width 6.4 m, controlled by a traffic controller during all vehicle movements.</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Vehicles enter and leave in a forward direction</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Yes in every stage except stage 3, where the spoil bins have to be reversed in. That exception is applied for separately - see section 7 - and stage 3 does not start until it is granted. The movement is controlled by a traffic controller and a spotter. Recorded here because the authority asks the question directly, and a no needs an approval and a control against it.</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Swept path assessment</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Prepared for the 19 m semi-trailer at the site access and at the Halden Street / Wrenford Road intersection. Issued as drawing SP-01 and SP-02 with this plan.</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Where vehicles wait if the site is not ready</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On site behind the gate. No queuing or marshalling on any street. If the site cannot receive, the delivery is turned back from the holding point at the Wrenford Road industrial estate.</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Oversize or over-mass vehicles</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None planned. If one becomes necessary it is notified to the regulator and the roads authority at the notice period they require, and this plan is revised before it arrives.</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Worker parking</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No worker parking on Halden Street or Beckett Street. Six spaces on site for site management; all other workers use the Wrenford station car park and the shuttle at shift change.</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Deliveries outside site hours</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Not permitted. Any exception is applied for separately and this plan is revised first.</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718"/>
        <w:gridCol w:w="971"/>
        <w:gridCol w:w="1456"/>
        <w:gridCol w:w="2718"/>
        <w:gridCol w:w="1843"/>
      </w:tblGrid>
      <w:tr>
        <w:trPr>
          <w:cantSplit/>
          <w:tblHeader/>
        </w:trPr>
        <w:tc>
          <w:tcPr>
            <w:tcW w:type="dxa" w:w="9706"/>
            <w:gridSpan w:val="5"/>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6.  OCCUPYING THE PUBLIC ROAD</w:t>
            </w:r>
          </w:p>
        </w:tc>
      </w:tr>
      <w:tr>
        <w:trPr>
          <w:cantSplit/>
          <w:tblHeader/>
        </w:trPr>
        <w:tc>
          <w:tcPr>
            <w:tcW w:type="dxa" w:w="2718"/>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What is occupied</w:t>
            </w:r>
          </w:p>
        </w:tc>
        <w:tc>
          <w:tcPr>
            <w:tcW w:type="dxa" w:w="971"/>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Stages</w:t>
            </w:r>
          </w:p>
        </w:tc>
        <w:tc>
          <w:tcPr>
            <w:tcW w:type="dxa" w:w="1456"/>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When</w:t>
            </w:r>
          </w:p>
        </w:tc>
        <w:tc>
          <w:tcPr>
            <w:tcW w:type="dxa" w:w="2718"/>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What it needs before it can happen</w:t>
            </w:r>
          </w:p>
        </w:tc>
        <w:tc>
          <w:tcPr>
            <w:tcW w:type="dxa" w:w="1843"/>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Status</w:t>
            </w:r>
          </w:p>
        </w:tc>
      </w:tr>
      <w:tr>
        <w:trPr>
          <w:cantSplit/>
        </w:trPr>
        <w:tc>
          <w:tcPr>
            <w:tcW w:type="dxa" w:w="271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Works zone, 22 m, north side of Halden Street</w:t>
            </w:r>
          </w:p>
        </w:tc>
        <w:tc>
          <w:tcPr>
            <w:tcW w:type="dxa" w:w="97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Stages 2 to 5</w:t>
            </w:r>
          </w:p>
        </w:tc>
        <w:tc>
          <w:tcPr>
            <w:tcW w:type="dxa" w:w="145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Oct 2026 - Nov 2027</w:t>
            </w:r>
          </w:p>
        </w:tc>
        <w:tc>
          <w:tcPr>
            <w:tcW w:type="dxa" w:w="271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Works zone approval and signage from the roads authority</w:t>
            </w:r>
          </w:p>
        </w:tc>
        <w:tc>
          <w:tcPr>
            <w:tcW w:type="dxa" w:w="1843"/>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Applied 14 Jul 2026</w:t>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Type B overhead hoarding, full site frontage</w:t>
            </w:r>
          </w:p>
        </w:tc>
        <w:tc>
          <w:tcPr>
            <w:tcW w:type="dxa" w:w="97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Stages 1 to 6</w:t>
            </w:r>
          </w:p>
        </w:tc>
        <w:tc>
          <w:tcPr>
            <w:tcW w:type="dxa" w:w="1456"/>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Sep 2026 - Jan 2028</w:t>
            </w:r>
          </w:p>
        </w:tc>
        <w:tc>
          <w:tcPr>
            <w:tcW w:type="dxa" w:w="271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Hoarding permit from the roads authority</w:t>
            </w:r>
          </w:p>
        </w:tc>
        <w:tc>
          <w:tcPr>
            <w:tcW w:type="dxa" w:w="1843"/>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Granted 2 Aug 2026</w:t>
            </w:r>
          </w:p>
        </w:tc>
      </w:tr>
      <w:tr>
        <w:trPr>
          <w:cantSplit/>
        </w:trPr>
        <w:tc>
          <w:tcPr>
            <w:tcW w:type="dxa" w:w="271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Concrete pump standing, one travel lane, Halden Street</w:t>
            </w:r>
          </w:p>
        </w:tc>
        <w:tc>
          <w:tcPr>
            <w:tcW w:type="dxa" w:w="97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Stage 4, pour days only</w:t>
            </w:r>
          </w:p>
        </w:tc>
        <w:tc>
          <w:tcPr>
            <w:tcW w:type="dxa" w:w="145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Feb - Jul 2027, 14 days total</w:t>
            </w:r>
          </w:p>
        </w:tc>
        <w:tc>
          <w:tcPr>
            <w:tcW w:type="dxa" w:w="271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Standing plant approval and a traffic control plan for each occasion</w:t>
            </w:r>
          </w:p>
        </w:tc>
        <w:tc>
          <w:tcPr>
            <w:tcW w:type="dxa" w:w="1843"/>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yet applied</w:t>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Mobile crane standing for crane erection and dismantle</w:t>
            </w:r>
          </w:p>
        </w:tc>
        <w:tc>
          <w:tcPr>
            <w:tcW w:type="dxa" w:w="97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Stage 4</w:t>
            </w:r>
          </w:p>
        </w:tc>
        <w:tc>
          <w:tcPr>
            <w:tcW w:type="dxa" w:w="1456"/>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 days at each end</w:t>
            </w:r>
          </w:p>
        </w:tc>
        <w:tc>
          <w:tcPr>
            <w:tcW w:type="dxa" w:w="271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Standing plant approval, full road closure application</w:t>
            </w:r>
          </w:p>
        </w:tc>
        <w:tc>
          <w:tcPr>
            <w:tcW w:type="dxa" w:w="1843"/>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yet applied</w:t>
            </w:r>
          </w:p>
        </w:tc>
      </w:tr>
      <w:tr>
        <w:trPr>
          <w:cantSplit/>
        </w:trPr>
        <w:tc>
          <w:tcPr>
            <w:tcW w:type="dxa" w:w="271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Footpath closure, north side, with a signed diversion to the south side</w:t>
            </w:r>
          </w:p>
        </w:tc>
        <w:tc>
          <w:tcPr>
            <w:tcW w:type="dxa" w:w="97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Stages 2 to 5</w:t>
            </w:r>
          </w:p>
        </w:tc>
        <w:tc>
          <w:tcPr>
            <w:tcW w:type="dxa" w:w="145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Oct 2026 - Nov 2027</w:t>
            </w:r>
          </w:p>
        </w:tc>
        <w:tc>
          <w:tcPr>
            <w:tcW w:type="dxa" w:w="271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Footpath occupation approval from the roads authority, and a pedestrian diversion plan</w:t>
            </w:r>
          </w:p>
        </w:tc>
        <w:tc>
          <w:tcPr>
            <w:tcW w:type="dxa" w:w="1843"/>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Applied 14 Jul 2026</w:t>
            </w:r>
          </w:p>
        </w:tc>
      </w:tr>
      <w:tr>
        <w:trPr>
          <w:cantSplit/>
        </w:trPr>
        <w:tc>
          <w:tcPr>
            <w:tcW w:type="dxa" w:w="271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Road opening for the stormwater connection</w:t>
            </w:r>
          </w:p>
        </w:tc>
        <w:tc>
          <w:tcPr>
            <w:tcW w:type="dxa" w:w="97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Stage 3</w:t>
            </w:r>
          </w:p>
        </w:tc>
        <w:tc>
          <w:tcPr>
            <w:tcW w:type="dxa" w:w="1456"/>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3 days, Dec 2026</w:t>
            </w:r>
          </w:p>
        </w:tc>
        <w:tc>
          <w:tcPr>
            <w:tcW w:type="dxa" w:w="271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Road opening permit and restoration bond</w:t>
            </w:r>
          </w:p>
        </w:tc>
        <w:tc>
          <w:tcPr>
            <w:tcW w:type="dxa" w:w="1843"/>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yet applied</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844"/>
        <w:gridCol w:w="1262"/>
        <w:gridCol w:w="1601"/>
        <w:gridCol w:w="1116"/>
        <w:gridCol w:w="1310"/>
        <w:gridCol w:w="1068"/>
        <w:gridCol w:w="1505"/>
      </w:tblGrid>
      <w:tr>
        <w:trPr>
          <w:cantSplit/>
          <w:tblHeader/>
        </w:trPr>
        <w:tc>
          <w:tcPr>
            <w:tcW w:type="dxa" w:w="9706"/>
            <w:gridSpan w:val="7"/>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7.  APPROVALS AND PERMITS</w:t>
            </w:r>
          </w:p>
        </w:tc>
      </w:tr>
      <w:tr>
        <w:trPr>
          <w:cantSplit/>
          <w:tblHeader/>
        </w:trPr>
        <w:tc>
          <w:tcPr>
            <w:tcW w:type="dxa" w:w="1844"/>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Approval</w:t>
            </w:r>
          </w:p>
        </w:tc>
        <w:tc>
          <w:tcPr>
            <w:tcW w:type="dxa" w:w="1262"/>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Authority</w:t>
            </w:r>
          </w:p>
        </w:tc>
        <w:tc>
          <w:tcPr>
            <w:tcW w:type="dxa" w:w="1601"/>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Who applies</w:t>
            </w:r>
          </w:p>
        </w:tc>
        <w:tc>
          <w:tcPr>
            <w:tcW w:type="dxa" w:w="1116"/>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Applied</w:t>
            </w:r>
          </w:p>
        </w:tc>
        <w:tc>
          <w:tcPr>
            <w:tcW w:type="dxa" w:w="1310"/>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Granted</w:t>
            </w:r>
          </w:p>
        </w:tc>
        <w:tc>
          <w:tcPr>
            <w:tcW w:type="dxa" w:w="1068"/>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Expires</w:t>
            </w:r>
          </w:p>
        </w:tc>
        <w:tc>
          <w:tcPr>
            <w:tcW w:type="dxa" w:w="1505"/>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Reference</w:t>
            </w:r>
          </w:p>
        </w:tc>
      </w:tr>
      <w:tr>
        <w:trPr>
          <w:cantSplit/>
        </w:trPr>
        <w:tc>
          <w:tcPr>
            <w:tcW w:type="dxa" w:w="9706"/>
            <w:gridSpan w:val="7"/>
            <w:tcBorders>
              <w:top w:val="single" w:color="EC6917" w:sz="4"/>
              <w:left w:val="single" w:color="EC6917" w:sz="4"/>
              <w:bottom w:val="single" w:color="EC6917" w:sz="4"/>
              <w:right w:val="single" w:color="EC6917" w:sz="4"/>
            </w:tcBorders>
            <w:shd w:fill="FDEBE0" w:color="auto" w:val="clear"/>
            <w:tcMar>
              <w:top w:type="dxa" w:w="32"/>
              <w:left w:type="dxa" w:w="92"/>
              <w:bottom w:type="dxa" w:w="32"/>
              <w:right w:type="dxa" w:w="92"/>
            </w:tcMar>
          </w:tcPr>
          <w:p>
            <w:pPr>
              <w:keepNext w:val="false"/>
              <w:spacing w:after="0" w:before="0" w:line="240"/>
              <w:jc w:val="left"/>
            </w:pPr>
            <w:r>
              <w:rPr>
                <w:rFonts w:ascii="Inter" w:cs="Inter" w:eastAsia="Inter" w:hAnsi="Inter"/>
                <w:b/>
                <w:bCs/>
                <w:i w:val="false"/>
                <w:iCs w:val="false"/>
                <w:caps w:val="false"/>
                <w:color w:val="EC6917"/>
                <w:sz w:val="19"/>
                <w:szCs w:val="19"/>
              </w:rPr>
              <w:t xml:space="preserve">Approving this plan is not any of these approvals. Each is a separate application with its own lead time, and the lead time belongs on the programme.</w:t>
            </w:r>
          </w:p>
        </w:tc>
      </w:tr>
      <w:tr>
        <w:trPr>
          <w:cantSplit/>
        </w:trPr>
        <w:tc>
          <w:tcPr>
            <w:tcW w:type="dxa" w:w="1844"/>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This plan, approved</w:t>
            </w:r>
          </w:p>
        </w:tc>
        <w:tc>
          <w:tcPr>
            <w:tcW w:type="dxa" w:w="1262"/>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Approving authority</w:t>
            </w:r>
          </w:p>
        </w:tc>
        <w:tc>
          <w:tcPr>
            <w:tcW w:type="dxa" w:w="160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Principal contractor</w:t>
            </w:r>
          </w:p>
        </w:tc>
        <w:tc>
          <w:tcPr>
            <w:tcW w:type="dxa" w:w="111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14 Jul 2026</w:t>
            </w:r>
          </w:p>
        </w:tc>
        <w:tc>
          <w:tcPr>
            <w:tcW w:type="dxa" w:w="131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Under assessment</w:t>
            </w:r>
          </w:p>
        </w:tc>
        <w:tc>
          <w:tcPr>
            <w:tcW w:type="dxa" w:w="106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50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DA2025/0418 cond. 27</w:t>
            </w:r>
          </w:p>
        </w:tc>
      </w:tr>
      <w:tr>
        <w:trPr>
          <w:cantSplit/>
        </w:trPr>
        <w:tc>
          <w:tcPr>
            <w:tcW w:type="dxa" w:w="1844"/>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Hoarding permit</w:t>
            </w:r>
          </w:p>
        </w:tc>
        <w:tc>
          <w:tcPr>
            <w:tcW w:type="dxa" w:w="126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Roads authority (council)</w:t>
            </w:r>
          </w:p>
        </w:tc>
        <w:tc>
          <w:tcPr>
            <w:tcW w:type="dxa" w:w="160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Principal contractor</w:t>
            </w:r>
          </w:p>
        </w:tc>
        <w:tc>
          <w:tcPr>
            <w:tcW w:type="dxa" w:w="1116"/>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20 Jun 2026</w:t>
            </w:r>
          </w:p>
        </w:tc>
        <w:tc>
          <w:tcPr>
            <w:tcW w:type="dxa" w:w="131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Granted 2 Aug 2026</w:t>
            </w:r>
          </w:p>
        </w:tc>
        <w:tc>
          <w:tcPr>
            <w:tcW w:type="dxa" w:w="106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31 Jan 2028</w:t>
            </w:r>
          </w:p>
        </w:tc>
        <w:tc>
          <w:tcPr>
            <w:tcW w:type="dxa" w:w="150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HP26-0912</w:t>
            </w:r>
          </w:p>
        </w:tc>
      </w:tr>
      <w:tr>
        <w:trPr>
          <w:cantSplit/>
        </w:trPr>
        <w:tc>
          <w:tcPr>
            <w:tcW w:type="dxa" w:w="1844"/>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Works zone approval and signage</w:t>
            </w:r>
          </w:p>
        </w:tc>
        <w:tc>
          <w:tcPr>
            <w:tcW w:type="dxa" w:w="1262"/>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Roads authority (council)</w:t>
            </w:r>
          </w:p>
        </w:tc>
        <w:tc>
          <w:tcPr>
            <w:tcW w:type="dxa" w:w="160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Principal contractor</w:t>
            </w:r>
          </w:p>
        </w:tc>
        <w:tc>
          <w:tcPr>
            <w:tcW w:type="dxa" w:w="111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14 Jul 2026</w:t>
            </w:r>
          </w:p>
        </w:tc>
        <w:tc>
          <w:tcPr>
            <w:tcW w:type="dxa" w:w="131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Under assessment</w:t>
            </w:r>
          </w:p>
        </w:tc>
        <w:tc>
          <w:tcPr>
            <w:tcW w:type="dxa" w:w="106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50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WZ26-0455</w:t>
            </w:r>
          </w:p>
        </w:tc>
      </w:tr>
      <w:tr>
        <w:trPr>
          <w:cantSplit/>
        </w:trPr>
        <w:tc>
          <w:tcPr>
            <w:tcW w:type="dxa" w:w="1844"/>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Footpath occupation and pedestrian diversion</w:t>
            </w:r>
          </w:p>
        </w:tc>
        <w:tc>
          <w:tcPr>
            <w:tcW w:type="dxa" w:w="126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Roads authority (council)</w:t>
            </w:r>
          </w:p>
        </w:tc>
        <w:tc>
          <w:tcPr>
            <w:tcW w:type="dxa" w:w="160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Principal contractor</w:t>
            </w:r>
          </w:p>
        </w:tc>
        <w:tc>
          <w:tcPr>
            <w:tcW w:type="dxa" w:w="1116"/>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14 Jul 2026</w:t>
            </w:r>
          </w:p>
        </w:tc>
        <w:tc>
          <w:tcPr>
            <w:tcW w:type="dxa" w:w="131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Under assessment</w:t>
            </w:r>
          </w:p>
        </w:tc>
        <w:tc>
          <w:tcPr>
            <w:tcW w:type="dxa" w:w="106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50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FO26-0455</w:t>
            </w:r>
          </w:p>
        </w:tc>
      </w:tr>
      <w:tr>
        <w:trPr>
          <w:cantSplit/>
        </w:trPr>
        <w:tc>
          <w:tcPr>
            <w:tcW w:type="dxa" w:w="1844"/>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Approval to reverse into the site, stage 3 only</w:t>
            </w:r>
          </w:p>
        </w:tc>
        <w:tc>
          <w:tcPr>
            <w:tcW w:type="dxa" w:w="1262"/>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Roads authority (council)</w:t>
            </w:r>
          </w:p>
        </w:tc>
        <w:tc>
          <w:tcPr>
            <w:tcW w:type="dxa" w:w="160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Principal contractor</w:t>
            </w:r>
          </w:p>
        </w:tc>
        <w:tc>
          <w:tcPr>
            <w:tcW w:type="dxa" w:w="111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14 Jul 2026</w:t>
            </w:r>
          </w:p>
        </w:tc>
        <w:tc>
          <w:tcPr>
            <w:tcW w:type="dxa" w:w="131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Under assessment</w:t>
            </w:r>
          </w:p>
        </w:tc>
        <w:tc>
          <w:tcPr>
            <w:tcW w:type="dxa" w:w="106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50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RV26-0455</w:t>
            </w:r>
          </w:p>
        </w:tc>
      </w:tr>
      <w:tr>
        <w:trPr>
          <w:cantSplit/>
        </w:trPr>
        <w:tc>
          <w:tcPr>
            <w:tcW w:type="dxa" w:w="1844"/>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Road opening permit, stormwater connection</w:t>
            </w:r>
          </w:p>
        </w:tc>
        <w:tc>
          <w:tcPr>
            <w:tcW w:type="dxa" w:w="126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Roads authority (council)</w:t>
            </w:r>
          </w:p>
        </w:tc>
        <w:tc>
          <w:tcPr>
            <w:tcW w:type="dxa" w:w="160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Hydraulic subcontractor</w:t>
            </w:r>
          </w:p>
        </w:tc>
        <w:tc>
          <w:tcPr>
            <w:tcW w:type="dxa" w:w="1116"/>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yet applied</w:t>
            </w:r>
          </w:p>
        </w:tc>
        <w:tc>
          <w:tcPr>
            <w:tcW w:type="dxa" w:w="131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06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50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r>
      <w:tr>
        <w:trPr>
          <w:cantSplit/>
        </w:trPr>
        <w:tc>
          <w:tcPr>
            <w:tcW w:type="dxa" w:w="1844"/>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Standing plant approval, concrete pump</w:t>
            </w:r>
          </w:p>
        </w:tc>
        <w:tc>
          <w:tcPr>
            <w:tcW w:type="dxa" w:w="1262"/>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Roads authority (council)</w:t>
            </w:r>
          </w:p>
        </w:tc>
        <w:tc>
          <w:tcPr>
            <w:tcW w:type="dxa" w:w="160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Concrete subcontractor</w:t>
            </w:r>
          </w:p>
        </w:tc>
        <w:tc>
          <w:tcPr>
            <w:tcW w:type="dxa" w:w="111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yet applied</w:t>
            </w:r>
          </w:p>
        </w:tc>
        <w:tc>
          <w:tcPr>
            <w:tcW w:type="dxa" w:w="131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06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50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r>
      <w:tr>
        <w:trPr>
          <w:cantSplit/>
        </w:trPr>
        <w:tc>
          <w:tcPr>
            <w:tcW w:type="dxa" w:w="1844"/>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Full road closure, crane erection and dismantle</w:t>
            </w:r>
          </w:p>
        </w:tc>
        <w:tc>
          <w:tcPr>
            <w:tcW w:type="dxa" w:w="126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Roads authority (council)</w:t>
            </w:r>
          </w:p>
        </w:tc>
        <w:tc>
          <w:tcPr>
            <w:tcW w:type="dxa" w:w="160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Crane subcontractor</w:t>
            </w:r>
          </w:p>
        </w:tc>
        <w:tc>
          <w:tcPr>
            <w:tcW w:type="dxa" w:w="1116"/>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yet applied</w:t>
            </w:r>
          </w:p>
        </w:tc>
        <w:tc>
          <w:tcPr>
            <w:tcW w:type="dxa" w:w="131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06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50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r>
      <w:tr>
        <w:trPr>
          <w:cantSplit/>
        </w:trPr>
        <w:tc>
          <w:tcPr>
            <w:tcW w:type="dxa" w:w="1844"/>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Bus stop relocation</w:t>
            </w:r>
          </w:p>
        </w:tc>
        <w:tc>
          <w:tcPr>
            <w:tcW w:type="dxa" w:w="1262"/>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Transport operator and roads authority</w:t>
            </w:r>
          </w:p>
        </w:tc>
        <w:tc>
          <w:tcPr>
            <w:tcW w:type="dxa" w:w="160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Principal contractor</w:t>
            </w:r>
          </w:p>
        </w:tc>
        <w:tc>
          <w:tcPr>
            <w:tcW w:type="dxa" w:w="1116"/>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required - stop is outside the works zone</w:t>
            </w:r>
          </w:p>
        </w:tc>
        <w:tc>
          <w:tcPr>
            <w:tcW w:type="dxa" w:w="131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06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50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r>
      <w:tr>
        <w:trPr>
          <w:cantSplit/>
        </w:trPr>
        <w:tc>
          <w:tcPr>
            <w:tcW w:type="dxa" w:w="9706"/>
            <w:gridSpan w:val="7"/>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Put an approval in this table the day you identify it, not the day you apply for it. Authorities call these different things - match each row to the application your own authority publishes.</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874"/>
        <w:gridCol w:w="2718"/>
        <w:gridCol w:w="1893"/>
        <w:gridCol w:w="2281"/>
        <w:gridCol w:w="1940"/>
      </w:tblGrid>
      <w:tr>
        <w:trPr>
          <w:cantSplit/>
          <w:tblHeader/>
        </w:trPr>
        <w:tc>
          <w:tcPr>
            <w:tcW w:type="dxa" w:w="9706"/>
            <w:gridSpan w:val="5"/>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8.  TRAFFIC GUIDANCE SCHEMES (TRAFFIC CONTROL PLANS)</w:t>
            </w:r>
          </w:p>
        </w:tc>
      </w:tr>
      <w:tr>
        <w:trPr>
          <w:cantSplit/>
          <w:tblHeader/>
        </w:trPr>
        <w:tc>
          <w:tcPr>
            <w:tcW w:type="dxa" w:w="874"/>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Ref</w:t>
            </w:r>
          </w:p>
        </w:tc>
        <w:tc>
          <w:tcPr>
            <w:tcW w:type="dxa" w:w="2718"/>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What it covers</w:t>
            </w:r>
          </w:p>
        </w:tc>
        <w:tc>
          <w:tcPr>
            <w:tcW w:type="dxa" w:w="1893"/>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Prepared by</w:t>
            </w:r>
          </w:p>
        </w:tc>
        <w:tc>
          <w:tcPr>
            <w:tcW w:type="dxa" w:w="2281"/>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Accreditation held, and expiry</w:t>
            </w:r>
          </w:p>
        </w:tc>
        <w:tc>
          <w:tcPr>
            <w:tcW w:type="dxa" w:w="1940"/>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Approved</w:t>
            </w:r>
          </w:p>
        </w:tc>
      </w:tr>
      <w:tr>
        <w:trPr>
          <w:cantSplit/>
        </w:trPr>
        <w:tc>
          <w:tcPr>
            <w:tcW w:type="dxa" w:w="9706"/>
            <w:gridSpan w:val="5"/>
            <w:tcBorders>
              <w:top w:val="single" w:color="EC6917" w:sz="4"/>
              <w:left w:val="single" w:color="EC6917" w:sz="4"/>
              <w:bottom w:val="single" w:color="EC6917" w:sz="4"/>
              <w:right w:val="single" w:color="EC6917" w:sz="4"/>
            </w:tcBorders>
            <w:shd w:fill="FDEBE0" w:color="auto" w:val="clear"/>
            <w:tcMar>
              <w:top w:type="dxa" w:w="32"/>
              <w:left w:type="dxa" w:w="92"/>
              <w:bottom w:type="dxa" w:w="32"/>
              <w:right w:type="dxa" w:w="92"/>
            </w:tcMar>
          </w:tcPr>
          <w:p>
            <w:pPr>
              <w:keepNext w:val="false"/>
              <w:spacing w:after="0" w:before="0" w:line="240"/>
              <w:jc w:val="left"/>
            </w:pPr>
            <w:r>
              <w:rPr>
                <w:rFonts w:ascii="Inter" w:cs="Inter" w:eastAsia="Inter" w:hAnsi="Inter"/>
                <w:b/>
                <w:bCs/>
                <w:i w:val="false"/>
                <w:iCs w:val="false"/>
                <w:caps w:val="false"/>
                <w:color w:val="EC6917"/>
                <w:sz w:val="19"/>
                <w:szCs w:val="19"/>
              </w:rPr>
              <w:t xml:space="preserve">These are not in this document and must not be drawn into it. They are prepared and signed by the accredited person named here, to the roads authority's own document, and issued alongside this plan.</w:t>
            </w:r>
          </w:p>
        </w:tc>
      </w:tr>
      <w:tr>
        <w:trPr>
          <w:cantSplit/>
        </w:trPr>
        <w:tc>
          <w:tcPr>
            <w:tcW w:type="dxa" w:w="874"/>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TCP-01</w:t>
            </w:r>
          </w:p>
        </w:tc>
        <w:tc>
          <w:tcPr>
            <w:tcW w:type="dxa" w:w="271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access, all stages, Halden Street</w:t>
            </w:r>
          </w:p>
        </w:tc>
        <w:tc>
          <w:tcPr>
            <w:tcW w:type="dxa" w:w="1893"/>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J. Okonkwo, Verrall Traffic</w:t>
            </w:r>
          </w:p>
        </w:tc>
        <w:tc>
          <w:tcPr>
            <w:tcW w:type="dxa" w:w="228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Card 88214, expires 4 May 2028</w:t>
            </w:r>
          </w:p>
        </w:tc>
        <w:tc>
          <w:tcPr>
            <w:tcW w:type="dxa" w:w="194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Council, 2 Aug 2026</w:t>
            </w:r>
          </w:p>
        </w:tc>
      </w:tr>
      <w:tr>
        <w:trPr>
          <w:cantSplit/>
        </w:trPr>
        <w:tc>
          <w:tcPr>
            <w:tcW w:type="dxa" w:w="874"/>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TCP-02</w:t>
            </w:r>
          </w:p>
        </w:tc>
        <w:tc>
          <w:tcPr>
            <w:tcW w:type="dxa" w:w="271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Footpath closure and pedestrian diversion, stages 2 to 5</w:t>
            </w:r>
          </w:p>
        </w:tc>
        <w:tc>
          <w:tcPr>
            <w:tcW w:type="dxa" w:w="1893"/>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J. Okonkwo, Verrall Traffic</w:t>
            </w:r>
          </w:p>
        </w:tc>
        <w:tc>
          <w:tcPr>
            <w:tcW w:type="dxa" w:w="228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Card 88214, expires 4 May 2028</w:t>
            </w:r>
          </w:p>
        </w:tc>
        <w:tc>
          <w:tcPr>
            <w:tcW w:type="dxa" w:w="194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Council, 2 Aug 2026</w:t>
            </w:r>
          </w:p>
        </w:tc>
      </w:tr>
      <w:tr>
        <w:trPr>
          <w:cantSplit/>
        </w:trPr>
        <w:tc>
          <w:tcPr>
            <w:tcW w:type="dxa" w:w="874"/>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TCP-03</w:t>
            </w:r>
          </w:p>
        </w:tc>
        <w:tc>
          <w:tcPr>
            <w:tcW w:type="dxa" w:w="2718"/>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Concrete pump standing, one lane closed, stage 4</w:t>
            </w:r>
          </w:p>
        </w:tc>
        <w:tc>
          <w:tcPr>
            <w:tcW w:type="dxa" w:w="1893"/>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yet prepared</w:t>
            </w:r>
          </w:p>
        </w:tc>
        <w:tc>
          <w:tcPr>
            <w:tcW w:type="dxa" w:w="2281"/>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94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r>
      <w:tr>
        <w:trPr>
          <w:cantSplit/>
        </w:trPr>
        <w:tc>
          <w:tcPr>
            <w:tcW w:type="dxa" w:w="874"/>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TCP-04</w:t>
            </w:r>
          </w:p>
        </w:tc>
        <w:tc>
          <w:tcPr>
            <w:tcW w:type="dxa" w:w="2718"/>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Full road closure, crane erection and dismantle, stage 4</w:t>
            </w:r>
          </w:p>
        </w:tc>
        <w:tc>
          <w:tcPr>
            <w:tcW w:type="dxa" w:w="1893"/>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yet prepared</w:t>
            </w:r>
          </w:p>
        </w:tc>
        <w:tc>
          <w:tcPr>
            <w:tcW w:type="dxa" w:w="2281"/>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c>
          <w:tcPr>
            <w:tcW w:type="dxa" w:w="194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t>
            </w:r>
          </w:p>
        </w:tc>
      </w:tr>
      <w:tr>
        <w:trPr>
          <w:cantSplit/>
        </w:trPr>
        <w:tc>
          <w:tcPr>
            <w:tcW w:type="dxa" w:w="9706"/>
            <w:gridSpan w:val="5"/>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Sign spacing, taper lengths, speed zones and how long a pedestrian may be held belong in those plans. They differ by state and they change.</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650"/>
        <w:gridCol w:w="2135"/>
        <w:gridCol w:w="4077"/>
        <w:gridCol w:w="1844"/>
      </w:tblGrid>
      <w:tr>
        <w:trPr>
          <w:cantSplit/>
          <w:tblHeader/>
        </w:trPr>
        <w:tc>
          <w:tcPr>
            <w:tcW w:type="dxa" w:w="9706"/>
            <w:gridSpan w:val="4"/>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9.  PEOPLE AFFECTED, AND HOW</w:t>
            </w:r>
          </w:p>
        </w:tc>
      </w:tr>
      <w:tr>
        <w:trPr>
          <w:cantSplit/>
          <w:tblHeader/>
        </w:trPr>
        <w:tc>
          <w:tcPr>
            <w:tcW w:type="dxa" w:w="1650"/>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Who</w:t>
            </w:r>
          </w:p>
        </w:tc>
        <w:tc>
          <w:tcPr>
            <w:tcW w:type="dxa" w:w="2135"/>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What changes for them</w:t>
            </w:r>
          </w:p>
        </w:tc>
        <w:tc>
          <w:tcPr>
            <w:tcW w:type="dxa" w:w="4077"/>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How it is managed</w:t>
            </w:r>
          </w:p>
        </w:tc>
        <w:tc>
          <w:tcPr>
            <w:tcW w:type="dxa" w:w="1844"/>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Who checks, and when</w:t>
            </w:r>
          </w:p>
        </w:tc>
      </w:tr>
      <w:tr>
        <w:trPr>
          <w:cantSplit/>
        </w:trPr>
        <w:tc>
          <w:tcPr>
            <w:tcW w:type="dxa" w:w="165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Residents of Halden Street</w:t>
            </w:r>
          </w:p>
        </w:tc>
        <w:tc>
          <w:tcPr>
            <w:tcW w:type="dxa" w:w="213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Loss of 22 m of kerbside parking, noise and vehicle movements from 7 am</w:t>
            </w:r>
          </w:p>
        </w:tc>
        <w:tc>
          <w:tcPr>
            <w:tcW w:type="dxa" w:w="4077"/>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Letterbox notification 7 days before each stage; site contact on the hoarding; parking permits unaffected outside the works zone</w:t>
            </w:r>
          </w:p>
        </w:tc>
        <w:tc>
          <w:tcPr>
            <w:tcW w:type="dxa" w:w="1844"/>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manager, before each stage</w:t>
            </w:r>
          </w:p>
        </w:tc>
      </w:tr>
      <w:tr>
        <w:trPr>
          <w:cantSplit/>
        </w:trPr>
        <w:tc>
          <w:tcPr>
            <w:tcW w:type="dxa" w:w="165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Pedestrians on the north side</w:t>
            </w:r>
          </w:p>
        </w:tc>
        <w:tc>
          <w:tcPr>
            <w:tcW w:type="dxa" w:w="213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Footpath closed for the duration of stages 2 to 5</w:t>
            </w:r>
          </w:p>
        </w:tc>
        <w:tc>
          <w:tcPr>
            <w:tcW w:type="dxa" w:w="4077"/>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Signed diversion to the south side at both ends of the block, kerb ramps checked for accessible width, lighting maintained overnight</w:t>
            </w:r>
          </w:p>
        </w:tc>
        <w:tc>
          <w:tcPr>
            <w:tcW w:type="dxa" w:w="1844"/>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manager, daily</w:t>
            </w:r>
          </w:p>
        </w:tc>
      </w:tr>
      <w:tr>
        <w:trPr>
          <w:cantSplit/>
        </w:trPr>
        <w:tc>
          <w:tcPr>
            <w:tcW w:type="dxa" w:w="165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People with reduced mobility or vision</w:t>
            </w:r>
          </w:p>
        </w:tc>
        <w:tc>
          <w:tcPr>
            <w:tcW w:type="dxa" w:w="213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diversion adds distance and two road crossings</w:t>
            </w:r>
          </w:p>
        </w:tc>
        <w:tc>
          <w:tcPr>
            <w:tcW w:type="dxa" w:w="4077"/>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diversion is checked for a continuous accessible path and tactile indicators at each crossing before the closure opens, and after any change</w:t>
            </w:r>
          </w:p>
        </w:tc>
        <w:tc>
          <w:tcPr>
            <w:tcW w:type="dxa" w:w="1844"/>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Traffic engineer, at each change</w:t>
            </w:r>
          </w:p>
        </w:tc>
      </w:tr>
      <w:tr>
        <w:trPr>
          <w:cantSplit/>
        </w:trPr>
        <w:tc>
          <w:tcPr>
            <w:tcW w:type="dxa" w:w="165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Cyclists on Halden Street</w:t>
            </w:r>
          </w:p>
        </w:tc>
        <w:tc>
          <w:tcPr>
            <w:tcW w:type="dxa" w:w="213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works zone removes the shoulder cyclists currently use</w:t>
            </w:r>
          </w:p>
        </w:tc>
        <w:tc>
          <w:tcPr>
            <w:tcW w:type="dxa" w:w="4077"/>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Advance warning signage; cyclists share the travel lane past the site at the posted speed</w:t>
            </w:r>
          </w:p>
        </w:tc>
        <w:tc>
          <w:tcPr>
            <w:tcW w:type="dxa" w:w="1844"/>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manager, daily</w:t>
            </w:r>
          </w:p>
        </w:tc>
      </w:tr>
      <w:tr>
        <w:trPr>
          <w:cantSplit/>
        </w:trPr>
        <w:tc>
          <w:tcPr>
            <w:tcW w:type="dxa" w:w="165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Bus passengers, Wrenford Road route</w:t>
            </w:r>
          </w:p>
        </w:tc>
        <w:tc>
          <w:tcPr>
            <w:tcW w:type="dxa" w:w="213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 change - the stop is outside the works zone</w:t>
            </w:r>
          </w:p>
        </w:tc>
        <w:tc>
          <w:tcPr>
            <w:tcW w:type="dxa" w:w="4077"/>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Confirmed with the operator 4 Jul 2026. If a stage requires the stop to move, the operator and the roads authority approve the relocation before the stage starts</w:t>
            </w:r>
          </w:p>
        </w:tc>
        <w:tc>
          <w:tcPr>
            <w:tcW w:type="dxa" w:w="1844"/>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manager, at each stage</w:t>
            </w:r>
          </w:p>
        </w:tc>
      </w:tr>
      <w:tr>
        <w:trPr>
          <w:cantSplit/>
        </w:trPr>
        <w:tc>
          <w:tcPr>
            <w:tcW w:type="dxa" w:w="165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Emergency services</w:t>
            </w:r>
          </w:p>
        </w:tc>
        <w:tc>
          <w:tcPr>
            <w:tcW w:type="dxa" w:w="213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One travel lane remains open at all times except during the two crane days</w:t>
            </w:r>
          </w:p>
        </w:tc>
        <w:tc>
          <w:tcPr>
            <w:tcW w:type="dxa" w:w="4077"/>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Fire and rescue, ambulance and police notified of the crane days at least the notice period they require; a traffic controller holds an unobstructed path on request at all times</w:t>
            </w:r>
          </w:p>
        </w:tc>
        <w:tc>
          <w:tcPr>
            <w:tcW w:type="dxa" w:w="1844"/>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manager, before each closure</w:t>
            </w:r>
          </w:p>
        </w:tc>
      </w:tr>
      <w:tr>
        <w:trPr>
          <w:cantSplit/>
        </w:trPr>
        <w:tc>
          <w:tcPr>
            <w:tcW w:type="dxa" w:w="1650"/>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Wrenford Public School, 180 m north</w:t>
            </w:r>
          </w:p>
        </w:tc>
        <w:tc>
          <w:tcPr>
            <w:tcW w:type="dxa" w:w="213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Construction vehicles on the route during school zone hours</w:t>
            </w:r>
          </w:p>
        </w:tc>
        <w:tc>
          <w:tcPr>
            <w:tcW w:type="dxa" w:w="4077"/>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 construction vehicle movements between 8.00 and 9.30 am or 2.30 and 4.00 pm on school days</w:t>
            </w:r>
          </w:p>
        </w:tc>
        <w:tc>
          <w:tcPr>
            <w:tcW w:type="dxa" w:w="1844"/>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manager, daily</w:t>
            </w:r>
          </w:p>
        </w:tc>
      </w:tr>
      <w:tr>
        <w:trPr>
          <w:cantSplit/>
        </w:trPr>
        <w:tc>
          <w:tcPr>
            <w:tcW w:type="dxa" w:w="1650"/>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Adjoining businesses at 32-36 Halden Street</w:t>
            </w:r>
          </w:p>
        </w:tc>
        <w:tc>
          <w:tcPr>
            <w:tcW w:type="dxa" w:w="213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Loading bay access affected during stage 3</w:t>
            </w:r>
          </w:p>
        </w:tc>
        <w:tc>
          <w:tcPr>
            <w:tcW w:type="dxa" w:w="4077"/>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Loading bay kept open; deliveries to the neighbour scheduled outside spoil cartage windows by agreement recorded in the site diary</w:t>
            </w:r>
          </w:p>
        </w:tc>
        <w:tc>
          <w:tcPr>
            <w:tcW w:type="dxa" w:w="1844"/>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manager, weekly</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912"/>
        <w:gridCol w:w="6794"/>
      </w:tblGrid>
      <w:tr>
        <w:trPr>
          <w:cantSplit/>
        </w:trPr>
        <w:tc>
          <w:tcPr>
            <w:tcW w:type="dxa" w:w="9706"/>
            <w:gridSpan w:val="2"/>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10.  ON SITE - PEOPLE AND PLANT</w:t>
            </w:r>
          </w:p>
        </w:tc>
      </w:tr>
      <w:tr>
        <w:trPr>
          <w:cantSplit/>
        </w:trPr>
        <w:tc>
          <w:tcPr>
            <w:tcW w:type="dxa" w:w="9706"/>
            <w:gridSpan w:val="2"/>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This section stays on site. It is the part work health and safety law asks for, and it is not what the approving authority approves.</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Keeping people and plant apart</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A fenced pedestrian walkway from the site gate to the site office, physically separated from the plant route, with a single controlled crossing point.</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Where the two have to cross</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One crossing point, at the site gate. Traffic controller present for every vehicle movement. Plant gives way to people on foot at the crossing.</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Exclusion zones</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Marked around the excavator, the piling rig and under the crane arc. Nobody on foot enters without the operator acknowledging them first.</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Reversing</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Avoided by the site layout wherever possible. Where it cannot be, a spotter in direct sight of the operator, in high visibility clothing, with an agreed stop signal.</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Delivery and unloading areas</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Inside the hoarding line at the north end of the site. No unloading from the travel lane at any time.</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Site speed</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10 km/h everywhere inside the gate, and 5 km/h within 3 m of the pedestrian walkway. Signed at the gate and enforced by the site manager.</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Visibility</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High visibility clothing on everyone past the gate line. Lighting to the walkway and the crossing point for any work before sunrise or after sunset.</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Who was consulted, and when</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Site walk with the health and safety representative and the subcontractor supervisors on 4 Aug 2026. Changes made: the walkway was moved to the east boundary and the crossing was relocated away from the excavator swing.</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912"/>
        <w:gridCol w:w="6794"/>
      </w:tblGrid>
      <w:tr>
        <w:trPr>
          <w:cantSplit/>
        </w:trPr>
        <w:tc>
          <w:tcPr>
            <w:tcW w:type="dxa" w:w="9706"/>
            <w:gridSpan w:val="2"/>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11.  COMMUNICATION AND COMPLAINTS</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Who residents and businesses hear from, and when</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Letterbox notification at least 7 days before each stage starts, and before any change to access, parking or the pedestrian route. A copy of every notification goes to the consent authority.</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Site contact for complaints</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Site manager, name and mobile number displayed on the hoarding at both ends of the frontage and printed in every notification. Answered during site hours and diverted outside them.</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How a complaint is recorded and closed out</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Logged with date, time, who raised it, what about, what was done and when it was closed. Anything about traffic or pedestrian safety also triggers a review under section 12.</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Who tells the authority, and when</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The site manager notifies the approving authority of any incident on the public road, and of any change that affects an approval, within the period that approval sets.</w:t>
            </w:r>
          </w:p>
        </w:tc>
      </w:tr>
      <w:tr>
        <w:trPr>
          <w:cantSplit/>
        </w:trPr>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What is displayed on the hoarding</w:t>
            </w:r>
          </w:p>
        </w:tc>
        <w:tc>
          <w:tcPr>
            <w:tcW w:type="dxa" w:w="6794"/>
            <w:tcBorders>
              <w:top w:val="single" w:color="E0E0E0" w:sz="4"/>
              <w:left w:val="single" w:color="E0E0E0" w:sz="4"/>
              <w:bottom w:val="single" w:color="E0E0E0" w:sz="4"/>
              <w:right w:val="single" w:color="E0E0E0" w:sz="4"/>
            </w:tcBorders>
            <w:shd w:fill="E3F0FA" w:color="auto" w:val="clear"/>
            <w:tcMar>
              <w:top w:type="dxa" w:w="32"/>
              <w:left w:type="dxa" w:w="92"/>
              <w:bottom w:type="dxa" w:w="32"/>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Project name, principal contractor, site contact and hours, and the consent reference.</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4465"/>
        <w:gridCol w:w="2329"/>
        <w:gridCol w:w="2912"/>
      </w:tblGrid>
      <w:tr>
        <w:trPr>
          <w:cantSplit/>
          <w:tblHeader/>
        </w:trPr>
        <w:tc>
          <w:tcPr>
            <w:tcW w:type="dxa" w:w="9706"/>
            <w:gridSpan w:val="3"/>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12.  MONITORING AND REVIEW</w:t>
            </w:r>
          </w:p>
        </w:tc>
      </w:tr>
      <w:tr>
        <w:trPr>
          <w:cantSplit/>
          <w:tblHeader/>
        </w:trPr>
        <w:tc>
          <w:tcPr>
            <w:tcW w:type="dxa" w:w="4465"/>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What triggers a review</w:t>
            </w:r>
          </w:p>
        </w:tc>
        <w:tc>
          <w:tcPr>
            <w:tcW w:type="dxa" w:w="2329"/>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By when</w:t>
            </w:r>
          </w:p>
        </w:tc>
        <w:tc>
          <w:tcPr>
            <w:tcW w:type="dxa" w:w="2912"/>
            <w:tcBorders>
              <w:top w:val="single" w:color="E0E0E0" w:sz="4"/>
              <w:left w:val="single" w:color="E0E0E0" w:sz="4"/>
              <w:bottom w:val="single" w:color="E0E0E0" w:sz="4"/>
              <w:right w:val="single" w:color="E0E0E0" w:sz="4"/>
            </w:tcBorders>
            <w:shd w:fill="DCE9F4"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Who does it</w:t>
            </w:r>
          </w:p>
        </w:tc>
      </w:tr>
      <w:tr>
        <w:trPr>
          <w:cantSplit/>
        </w:trPr>
        <w:tc>
          <w:tcPr>
            <w:tcW w:type="dxa" w:w="446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 stage starts or its dates move</w:t>
            </w:r>
          </w:p>
        </w:tc>
        <w:tc>
          <w:tcPr>
            <w:tcW w:type="dxa" w:w="2329"/>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Before the stage starts</w:t>
            </w:r>
          </w:p>
        </w:tc>
        <w:tc>
          <w:tcPr>
            <w:tcW w:type="dxa" w:w="2912"/>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Traffic engineer and site manager</w:t>
            </w:r>
          </w:p>
        </w:tc>
      </w:tr>
      <w:tr>
        <w:trPr>
          <w:cantSplit/>
        </w:trPr>
        <w:tc>
          <w:tcPr>
            <w:tcW w:type="dxa" w:w="446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The largest vehicle, the route, or the number of movements changes</w:t>
            </w:r>
          </w:p>
        </w:tc>
        <w:tc>
          <w:tcPr>
            <w:tcW w:type="dxa" w:w="2329"/>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Before the change takes effect</w:t>
            </w:r>
          </w:p>
        </w:tc>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Traffic engineer</w:t>
            </w:r>
          </w:p>
        </w:tc>
      </w:tr>
      <w:tr>
        <w:trPr>
          <w:cantSplit/>
        </w:trPr>
        <w:tc>
          <w:tcPr>
            <w:tcW w:type="dxa" w:w="446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An approval is granted, refused, or granted with conditions that differ from this plan</w:t>
            </w:r>
          </w:p>
        </w:tc>
        <w:tc>
          <w:tcPr>
            <w:tcW w:type="dxa" w:w="2329"/>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Within the time the authority sets, and before the work it covers</w:t>
            </w:r>
          </w:p>
        </w:tc>
        <w:tc>
          <w:tcPr>
            <w:tcW w:type="dxa" w:w="2912"/>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manager</w:t>
            </w:r>
          </w:p>
        </w:tc>
      </w:tr>
      <w:tr>
        <w:trPr>
          <w:cantSplit/>
        </w:trPr>
        <w:tc>
          <w:tcPr>
            <w:tcW w:type="dxa" w:w="446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 near miss, a collision, or a complaint about traffic or pedestrian safety</w:t>
            </w:r>
          </w:p>
        </w:tc>
        <w:tc>
          <w:tcPr>
            <w:tcW w:type="dxa" w:w="2329"/>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Immediately, and the plan is revised before work resumes if the cause sits in it</w:t>
            </w:r>
          </w:p>
        </w:tc>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manager and health and safety representative</w:t>
            </w:r>
          </w:p>
        </w:tc>
      </w:tr>
      <w:tr>
        <w:trPr>
          <w:cantSplit/>
        </w:trPr>
        <w:tc>
          <w:tcPr>
            <w:tcW w:type="dxa" w:w="4465"/>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The roads authority or the approving authority changes what it requires</w:t>
            </w:r>
          </w:p>
        </w:tc>
        <w:tc>
          <w:tcPr>
            <w:tcW w:type="dxa" w:w="2329"/>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At the next revision, and immediately if the change affects work under way</w:t>
            </w:r>
          </w:p>
        </w:tc>
        <w:tc>
          <w:tcPr>
            <w:tcW w:type="dxa" w:w="2912"/>
            <w:tcBorders>
              <w:top w:val="single" w:color="E0E0E0" w:sz="4"/>
              <w:left w:val="single" w:color="E0E0E0" w:sz="4"/>
              <w:bottom w:val="single" w:color="E0E0E0" w:sz="4"/>
              <w:right w:val="single" w:color="E0E0E0" w:sz="4"/>
            </w:tcBorders>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Traffic engineer</w:t>
            </w:r>
          </w:p>
        </w:tc>
      </w:tr>
      <w:tr>
        <w:trPr>
          <w:cantSplit/>
        </w:trPr>
        <w:tc>
          <w:tcPr>
            <w:tcW w:type="dxa" w:w="4465"/>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No trigger has occurred</w:t>
            </w:r>
          </w:p>
        </w:tc>
        <w:tc>
          <w:tcPr>
            <w:tcW w:type="dxa" w:w="2329"/>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Every 6 months in any case</w:t>
            </w:r>
          </w:p>
        </w:tc>
        <w:tc>
          <w:tcPr>
            <w:tcW w:type="dxa" w:w="2912"/>
            <w:tcBorders>
              <w:top w:val="single" w:color="E0E0E0" w:sz="4"/>
              <w:left w:val="single" w:color="E0E0E0" w:sz="4"/>
              <w:bottom w:val="single" w:color="E0E0E0" w:sz="4"/>
              <w:right w:val="single" w:color="E0E0E0" w:sz="4"/>
            </w:tcBorders>
            <w:shd w:fill="F5F5F5" w:color="auto" w:val="clear"/>
            <w:tcMar>
              <w:top w:type="dxa" w:w="32"/>
              <w:left w:type="dxa" w:w="92"/>
              <w:bottom w:type="dxa" w:w="32"/>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manager</w:t>
            </w:r>
          </w:p>
        </w:tc>
      </w:tr>
      <w:tr>
        <w:trPr>
          <w:cantSplit/>
        </w:trPr>
        <w:tc>
          <w:tcPr>
            <w:tcW w:type="dxa" w:w="9706"/>
            <w:gridSpan w:val="3"/>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Reissue the whole plan, not a page, and send it back to whoever approved the part that changed.</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gridSpan w:val="1"/>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13.  SIGN-OFF</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461"/>
        <w:gridCol w:w="2272"/>
        <w:gridCol w:w="240"/>
        <w:gridCol w:w="2461"/>
        <w:gridCol w:w="2272"/>
      </w:tblGrid>
      <w:tr>
        <w:trPr>
          <w:cantSplit/>
        </w:trPr>
        <w:tc>
          <w:tcPr>
            <w:tcW w:type="dxa" w:w="2461"/>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Prepared by</w:t>
            </w:r>
          </w:p>
        </w:tc>
        <w:tc>
          <w:tcPr>
            <w:tcW w:type="dxa" w:w="2272"/>
            <w:tcBorders>
              <w:top w:val="none" w:color="auto" w:sz="0"/>
              <w:left w:val="none" w:color="auto" w:sz="0"/>
              <w:bottom w:val="single" w:color="BDBDBD" w:sz="6"/>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0"/>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61"/>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Date</w:t>
            </w:r>
          </w:p>
        </w:tc>
        <w:tc>
          <w:tcPr>
            <w:tcW w:type="dxa" w:w="2272"/>
            <w:tcBorders>
              <w:top w:val="none" w:color="auto" w:sz="0"/>
              <w:left w:val="none" w:color="auto" w:sz="0"/>
              <w:bottom w:val="single" w:color="BDBDBD" w:sz="6"/>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461"/>
        <w:gridCol w:w="2272"/>
        <w:gridCol w:w="240"/>
        <w:gridCol w:w="2461"/>
        <w:gridCol w:w="2272"/>
      </w:tblGrid>
      <w:tr>
        <w:trPr>
          <w:cantSplit/>
        </w:trPr>
        <w:tc>
          <w:tcPr>
            <w:tcW w:type="dxa" w:w="2461"/>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Accepted for the principal contractor</w:t>
            </w:r>
          </w:p>
        </w:tc>
        <w:tc>
          <w:tcPr>
            <w:tcW w:type="dxa" w:w="2272"/>
            <w:tcBorders>
              <w:top w:val="none" w:color="auto" w:sz="0"/>
              <w:left w:val="none" w:color="auto" w:sz="0"/>
              <w:bottom w:val="single" w:color="BDBDBD" w:sz="6"/>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0"/>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61"/>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Date</w:t>
            </w:r>
          </w:p>
        </w:tc>
        <w:tc>
          <w:tcPr>
            <w:tcW w:type="dxa" w:w="2272"/>
            <w:tcBorders>
              <w:top w:val="none" w:color="auto" w:sz="0"/>
              <w:left w:val="none" w:color="auto" w:sz="0"/>
              <w:bottom w:val="single" w:color="BDBDBD" w:sz="6"/>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461"/>
        <w:gridCol w:w="2272"/>
        <w:gridCol w:w="240"/>
        <w:gridCol w:w="2461"/>
        <w:gridCol w:w="2272"/>
      </w:tblGrid>
      <w:tr>
        <w:trPr>
          <w:cantSplit/>
        </w:trPr>
        <w:tc>
          <w:tcPr>
            <w:tcW w:type="dxa" w:w="2461"/>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Approved by the approving authority</w:t>
            </w:r>
          </w:p>
        </w:tc>
        <w:tc>
          <w:tcPr>
            <w:tcW w:type="dxa" w:w="2272"/>
            <w:tcBorders>
              <w:top w:val="none" w:color="auto" w:sz="0"/>
              <w:left w:val="none" w:color="auto" w:sz="0"/>
              <w:bottom w:val="single" w:color="BDBDBD" w:sz="6"/>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0"/>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61"/>
            <w:tcBorders>
              <w:top w:val="none" w:color="auto" w:sz="0"/>
              <w:left w:val="none" w:color="auto" w:sz="0"/>
              <w:bottom w:val="none" w:color="auto" w:sz="0"/>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Date</w:t>
            </w:r>
          </w:p>
        </w:tc>
        <w:tc>
          <w:tcPr>
            <w:tcW w:type="dxa" w:w="2272"/>
            <w:tcBorders>
              <w:top w:val="none" w:color="auto" w:sz="0"/>
              <w:left w:val="none" w:color="auto" w:sz="0"/>
              <w:bottom w:val="single" w:color="BDBDBD" w:sz="6"/>
              <w:right w:val="none" w:color="auto" w:sz="0"/>
            </w:tcBorders>
            <w:tcMar>
              <w:top w:type="dxa" w:w="32"/>
              <w:left w:type="dxa" w:w="92"/>
              <w:bottom w:type="dxa" w:w="32"/>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r>
    </w:tbl>
    <w:p>
      <w:pPr>
        <w:keepNext w:val="false"/>
        <w:pageBreakBefore/>
        <w:spacing w:after="0" w:before="0" w:line="250"/>
        <w:jc w:val="left"/>
      </w:pPr>
      <w:r>
        <w:rPr>
          <w:rFonts w:ascii="Inter" w:cs="Inter" w:eastAsia="Inter" w:hAnsi="Inter"/>
          <w:b w:val="false"/>
          <w:bCs w:val="false"/>
          <w:i w:val="false"/>
          <w:iCs w:val="false"/>
          <w:caps w:val="false"/>
          <w:color w:val="1D3245"/>
          <w:sz w:val="4"/>
          <w:szCs w:val="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gridSpan w:val="1"/>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HOW TO USE IT</w:t>
            </w:r>
          </w:p>
        </w:tc>
      </w:tr>
    </w:tbl>
    <w:p>
      <w:pPr>
        <w:keepNext w:val="false"/>
        <w:spacing w:after="0" w:before="0" w:line="250"/>
        <w:jc w:val="left"/>
      </w:pPr>
      <w:r>
        <w:rPr>
          <w:rFonts w:ascii="Inter" w:cs="Inter" w:eastAsia="Inter" w:hAnsi="Inter"/>
          <w:b w:val="false"/>
          <w:bCs w:val="false"/>
          <w:i w:val="false"/>
          <w:iCs w:val="false"/>
          <w:caps w:val="false"/>
          <w:color w:val="1D3245"/>
          <w:sz w:val="6"/>
          <w:szCs w:val="6"/>
        </w:rPr>
        <w:t xml:space="preserve"/>
      </w:r>
    </w:p>
    <w:p>
      <w:pPr>
        <w:keepNext w:val="false"/>
        <w:spacing w:after="60" w:before="0" w:line="225"/>
        <w:ind w:left="316"/>
        <w:jc w:val="left"/>
      </w:pPr>
      <w:r>
        <w:rPr>
          <w:rFonts w:ascii="Inter" w:cs="Inter" w:eastAsia="Inter" w:hAnsi="Inter"/>
          <w:b w:val="false"/>
          <w:bCs w:val="false"/>
          <w:i w:val="false"/>
          <w:iCs w:val="false"/>
          <w:caps w:val="false"/>
          <w:color w:val="1D3245"/>
          <w:sz w:val="19"/>
          <w:szCs w:val="19"/>
        </w:rPr>
        <w:t xml:space="preserve">1.   Fill in section 3 first. Which roads authority, which approving authority, which temporary traffic management document, and what accreditation the person preparing your traffic control plans holds. Nothing else in this plan means anything until those four are right, and all four differ by state.</w:t>
      </w:r>
    </w:p>
    <w:p>
      <w:pPr>
        <w:keepNext w:val="false"/>
        <w:spacing w:after="60" w:before="0" w:line="225"/>
        <w:ind w:left="316"/>
        <w:jc w:val="left"/>
      </w:pPr>
      <w:r>
        <w:rPr>
          <w:rFonts w:ascii="Inter" w:cs="Inter" w:eastAsia="Inter" w:hAnsi="Inter"/>
          <w:b w:val="false"/>
          <w:bCs w:val="false"/>
          <w:i w:val="false"/>
          <w:iCs w:val="false"/>
          <w:caps w:val="false"/>
          <w:color w:val="1D3245"/>
          <w:sz w:val="19"/>
          <w:szCs w:val="19"/>
        </w:rPr>
        <w:t xml:space="preserve">2.   Read the consent condition itself before you fill in anything else. What a construction traffic management plan has to contain is set by the individual authority, and neighbouring councils ask for different things.</w:t>
      </w:r>
    </w:p>
    <w:p>
      <w:pPr>
        <w:keepNext w:val="false"/>
        <w:spacing w:after="60" w:before="0" w:line="225"/>
        <w:ind w:left="316"/>
        <w:jc w:val="left"/>
      </w:pPr>
      <w:r>
        <w:rPr>
          <w:rFonts w:ascii="Inter" w:cs="Inter" w:eastAsia="Inter" w:hAnsi="Inter"/>
          <w:b w:val="false"/>
          <w:bCs w:val="false"/>
          <w:i w:val="false"/>
          <w:iCs w:val="false"/>
          <w:caps w:val="false"/>
          <w:color w:val="1D3245"/>
          <w:sz w:val="19"/>
          <w:szCs w:val="19"/>
        </w:rPr>
        <w:t xml:space="preserve">3.   Work through sections 4 to 9 stage by stage. Most refusals are a stage the plan did not cover, not a control the authority disagreed with.</w:t>
      </w:r>
    </w:p>
    <w:p>
      <w:pPr>
        <w:keepNext w:val="false"/>
        <w:spacing w:after="60" w:before="0" w:line="225"/>
        <w:ind w:left="316"/>
        <w:jc w:val="left"/>
      </w:pPr>
      <w:r>
        <w:rPr>
          <w:rFonts w:ascii="Inter" w:cs="Inter" w:eastAsia="Inter" w:hAnsi="Inter"/>
          <w:b w:val="false"/>
          <w:bCs w:val="false"/>
          <w:i w:val="false"/>
          <w:iCs w:val="false"/>
          <w:caps w:val="false"/>
          <w:color w:val="1D3245"/>
          <w:sz w:val="19"/>
          <w:szCs w:val="19"/>
        </w:rPr>
        <w:t xml:space="preserve">4.   Put every approval into section 7 the day you identify it, not the day you apply. The lead time is the risk, and it belongs on the programme.</w:t>
      </w:r>
    </w:p>
    <w:p>
      <w:pPr>
        <w:keepNext w:val="false"/>
        <w:spacing w:after="60" w:before="0" w:line="225"/>
        <w:ind w:left="316"/>
        <w:jc w:val="left"/>
      </w:pPr>
      <w:r>
        <w:rPr>
          <w:rFonts w:ascii="Inter" w:cs="Inter" w:eastAsia="Inter" w:hAnsi="Inter"/>
          <w:b w:val="false"/>
          <w:bCs w:val="false"/>
          <w:i w:val="false"/>
          <w:iCs w:val="false"/>
          <w:caps w:val="false"/>
          <w:color w:val="1D3245"/>
          <w:sz w:val="19"/>
          <w:szCs w:val="19"/>
        </w:rPr>
        <w:t xml:space="preserve">5.   Section 10 stays on site. Do not send it to the council and do not leave it out - it is the half of this that work health and safety law asks for.</w:t>
      </w:r>
    </w:p>
    <w:p>
      <w:pPr>
        <w:keepNext w:val="false"/>
        <w:spacing w:after="60" w:before="0" w:line="225"/>
        <w:ind w:left="316"/>
        <w:jc w:val="left"/>
      </w:pPr>
      <w:r>
        <w:rPr>
          <w:rFonts w:ascii="Inter" w:cs="Inter" w:eastAsia="Inter" w:hAnsi="Inter"/>
          <w:b w:val="false"/>
          <w:bCs w:val="false"/>
          <w:i w:val="false"/>
          <w:iCs w:val="false"/>
          <w:caps w:val="false"/>
          <w:color w:val="1D3245"/>
          <w:sz w:val="19"/>
          <w:szCs w:val="19"/>
        </w:rPr>
        <w:t xml:space="preserve">6.   Reissue the whole plan, not a page. Section 12 says when.</w:t>
      </w:r>
    </w:p>
    <w:p>
      <w:pPr>
        <w:keepNext w:val="false"/>
        <w:spacing w:after="0" w:before="0" w:line="250"/>
        <w:jc w:val="left"/>
      </w:pPr>
      <w:r>
        <w:rPr>
          <w:rFonts w:ascii="Inter" w:cs="Inter" w:eastAsia="Inter" w:hAnsi="Inter"/>
          <w:b w:val="false"/>
          <w:bCs w:val="false"/>
          <w:i w:val="false"/>
          <w:iCs w:val="false"/>
          <w:caps w:val="false"/>
          <w:color w:val="1D3245"/>
          <w:sz w:val="10"/>
          <w:szCs w:val="10"/>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gridSpan w:val="1"/>
            <w:tcBorders>
              <w:top w:val="none" w:color="auto" w:sz="0"/>
              <w:left w:val="none" w:color="auto" w:sz="0"/>
              <w:bottom w:val="none" w:color="auto" w:sz="0"/>
              <w:right w:val="none" w:color="auto" w:sz="0"/>
            </w:tcBorders>
            <w:shd w:fill="0D3C61" w:color="auto" w:val="clear"/>
            <w:tcMar>
              <w:top w:type="dxa" w:w="32"/>
              <w:left w:type="dxa" w:w="92"/>
              <w:bottom w:type="dxa" w:w="32"/>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WHAT GETS THESE PLANS SENT BACK</w:t>
            </w:r>
          </w:p>
        </w:tc>
      </w:tr>
    </w:tbl>
    <w:p>
      <w:pPr>
        <w:keepNext w:val="false"/>
        <w:spacing w:after="0" w:before="0" w:line="250"/>
        <w:jc w:val="left"/>
      </w:pPr>
      <w:r>
        <w:rPr>
          <w:rFonts w:ascii="Inter" w:cs="Inter" w:eastAsia="Inter" w:hAnsi="Inter"/>
          <w:b w:val="false"/>
          <w:bCs w:val="false"/>
          <w:i w:val="false"/>
          <w:iCs w:val="false"/>
          <w:caps w:val="false"/>
          <w:color w:val="1D3245"/>
          <w:sz w:val="6"/>
          <w:szCs w:val="6"/>
        </w:rPr>
        <w:t xml:space="preserve"/>
      </w:r>
    </w:p>
    <w:p>
      <w:pPr>
        <w:keepNext/>
        <w:spacing w:after="20" w:before="0" w:line="250"/>
        <w:jc w:val="left"/>
      </w:pPr>
      <w:r>
        <w:rPr>
          <w:rFonts w:ascii="Inter" w:cs="Inter" w:eastAsia="Inter" w:hAnsi="Inter"/>
          <w:b/>
          <w:bCs/>
          <w:i w:val="false"/>
          <w:iCs w:val="false"/>
          <w:caps w:val="false"/>
          <w:color w:val="0D3C61"/>
          <w:sz w:val="19"/>
          <w:szCs w:val="19"/>
        </w:rPr>
        <w:t xml:space="preserve">One plan for the whole job</w:t>
      </w:r>
    </w:p>
    <w:p>
      <w:pPr>
        <w:keepNext w:val="false"/>
        <w:spacing w:after="80" w:before="0" w:line="222"/>
        <w:ind w:left="230"/>
        <w:jc w:val="left"/>
      </w:pPr>
      <w:r>
        <w:rPr>
          <w:rFonts w:ascii="Inter" w:cs="Inter" w:eastAsia="Inter" w:hAnsi="Inter"/>
          <w:b w:val="false"/>
          <w:bCs w:val="false"/>
          <w:i w:val="false"/>
          <w:iCs w:val="false"/>
          <w:caps w:val="false"/>
          <w:color w:val="1D3245"/>
          <w:sz w:val="19"/>
          <w:szCs w:val="19"/>
        </w:rPr>
        <w:t xml:space="preserve">A plan written for the structure stage says nothing useful about demolition or the spoil cartage before it. Every stage has its own largest vehicle, its own movement count and often its own road occupation. Section 4 is per stage for that reason.</w:t>
      </w:r>
    </w:p>
    <w:p>
      <w:pPr>
        <w:keepNext/>
        <w:spacing w:after="20" w:before="0" w:line="250"/>
        <w:jc w:val="left"/>
      </w:pPr>
      <w:r>
        <w:rPr>
          <w:rFonts w:ascii="Inter" w:cs="Inter" w:eastAsia="Inter" w:hAnsi="Inter"/>
          <w:b/>
          <w:bCs/>
          <w:i w:val="false"/>
          <w:iCs w:val="false"/>
          <w:caps w:val="false"/>
          <w:color w:val="0D3C61"/>
          <w:sz w:val="19"/>
          <w:szCs w:val="19"/>
        </w:rPr>
        <w:t xml:space="preserve">Treating the plan as the approval</w:t>
      </w:r>
    </w:p>
    <w:p>
      <w:pPr>
        <w:keepNext w:val="false"/>
        <w:spacing w:after="80" w:before="0" w:line="222"/>
        <w:ind w:left="230"/>
        <w:jc w:val="left"/>
      </w:pPr>
      <w:r>
        <w:rPr>
          <w:rFonts w:ascii="Inter" w:cs="Inter" w:eastAsia="Inter" w:hAnsi="Inter"/>
          <w:b w:val="false"/>
          <w:bCs w:val="false"/>
          <w:i w:val="false"/>
          <w:iCs w:val="false"/>
          <w:caps w:val="false"/>
          <w:color w:val="1D3245"/>
          <w:sz w:val="19"/>
          <w:szCs w:val="19"/>
        </w:rPr>
        <w:t xml:space="preserve">Approving this document does not let you occupy the road, stand a pump in a lane, put up a hoarding or open the pavement. Every one of those is a separate application, often to a different part of the same authority, with its own lead time. That is what section 7 is for.</w:t>
      </w:r>
    </w:p>
    <w:p>
      <w:pPr>
        <w:keepNext/>
        <w:spacing w:after="20" w:before="0" w:line="250"/>
        <w:jc w:val="left"/>
      </w:pPr>
      <w:r>
        <w:rPr>
          <w:rFonts w:ascii="Inter" w:cs="Inter" w:eastAsia="Inter" w:hAnsi="Inter"/>
          <w:b/>
          <w:bCs/>
          <w:i w:val="false"/>
          <w:iCs w:val="false"/>
          <w:caps w:val="false"/>
          <w:color w:val="0D3C61"/>
          <w:sz w:val="19"/>
          <w:szCs w:val="19"/>
        </w:rPr>
        <w:t xml:space="preserve">Drawing the traffic control plan yourself</w:t>
      </w:r>
    </w:p>
    <w:p>
      <w:pPr>
        <w:keepNext w:val="false"/>
        <w:spacing w:after="80" w:before="0" w:line="222"/>
        <w:ind w:left="230"/>
        <w:jc w:val="left"/>
      </w:pPr>
      <w:r>
        <w:rPr>
          <w:rFonts w:ascii="Inter" w:cs="Inter" w:eastAsia="Inter" w:hAnsi="Inter"/>
          <w:b w:val="false"/>
          <w:bCs w:val="false"/>
          <w:i w:val="false"/>
          <w:iCs w:val="false"/>
          <w:caps w:val="false"/>
          <w:color w:val="1D3245"/>
          <w:sz w:val="19"/>
          <w:szCs w:val="19"/>
        </w:rPr>
        <w:t xml:space="preserve">In most of Australia the person who prepares one has to hold a named accreditation, and the work area has to be signed to the roads authority's own document. This plan records who prepared yours and what they hold. It does not contain a canvas for you to draw on, and no template should.</w:t>
      </w:r>
    </w:p>
    <w:p>
      <w:pPr>
        <w:keepNext/>
        <w:spacing w:after="20" w:before="0" w:line="250"/>
        <w:jc w:val="left"/>
      </w:pPr>
      <w:r>
        <w:rPr>
          <w:rFonts w:ascii="Inter" w:cs="Inter" w:eastAsia="Inter" w:hAnsi="Inter"/>
          <w:b/>
          <w:bCs/>
          <w:i w:val="false"/>
          <w:iCs w:val="false"/>
          <w:caps w:val="false"/>
          <w:color w:val="0D3C61"/>
          <w:sz w:val="19"/>
          <w:szCs w:val="19"/>
        </w:rPr>
        <w:t xml:space="preserve">Confusing the two documents</w:t>
      </w:r>
    </w:p>
    <w:p>
      <w:pPr>
        <w:keepNext w:val="false"/>
        <w:spacing w:after="80" w:before="0" w:line="222"/>
        <w:ind w:left="230"/>
        <w:jc w:val="left"/>
      </w:pPr>
      <w:r>
        <w:rPr>
          <w:rFonts w:ascii="Inter" w:cs="Inter" w:eastAsia="Inter" w:hAnsi="Inter"/>
          <w:b w:val="false"/>
          <w:bCs w:val="false"/>
          <w:i w:val="false"/>
          <w:iCs w:val="false"/>
          <w:caps w:val="false"/>
          <w:color w:val="1D3245"/>
          <w:sz w:val="19"/>
          <w:szCs w:val="19"/>
        </w:rPr>
        <w:t xml:space="preserve">The plan the authority approves is about the public road. The plan work health and safety law asks for is about people and plant inside the fence. They go to different approvers on different timelines and overlap most heavily at the site gate, which is why the gate turns up in both halves. Section 2 says which part of this file goes where.</w:t>
      </w:r>
    </w:p>
    <w:p>
      <w:pPr>
        <w:keepNext/>
        <w:spacing w:after="20" w:before="0" w:line="250"/>
        <w:jc w:val="left"/>
      </w:pPr>
      <w:r>
        <w:rPr>
          <w:rFonts w:ascii="Inter" w:cs="Inter" w:eastAsia="Inter" w:hAnsi="Inter"/>
          <w:b/>
          <w:bCs/>
          <w:i w:val="false"/>
          <w:iCs w:val="false"/>
          <w:caps w:val="false"/>
          <w:color w:val="0D3C61"/>
          <w:sz w:val="19"/>
          <w:szCs w:val="19"/>
        </w:rPr>
        <w:t xml:space="preserve">Copying numbers out of another project's plan</w:t>
      </w:r>
    </w:p>
    <w:p>
      <w:pPr>
        <w:keepNext w:val="false"/>
        <w:spacing w:after="80" w:before="0" w:line="222"/>
        <w:ind w:left="230"/>
        <w:jc w:val="left"/>
      </w:pPr>
      <w:r>
        <w:rPr>
          <w:rFonts w:ascii="Inter" w:cs="Inter" w:eastAsia="Inter" w:hAnsi="Inter"/>
          <w:b w:val="false"/>
          <w:bCs w:val="false"/>
          <w:i w:val="false"/>
          <w:iCs w:val="false"/>
          <w:caps w:val="false"/>
          <w:color w:val="1D3245"/>
          <w:sz w:val="19"/>
          <w:szCs w:val="19"/>
        </w:rPr>
        <w:t xml:space="preserve">Sign spacing, taper lengths, speed zones and how long a pedestrian may be held are all set by the roads authority and differ between states. They belong in the traffic control plan, drawn by the person accredited to draw it.</w:t>
      </w:r>
    </w:p>
    <w:p>
      <w:pPr>
        <w:keepNext w:val="false"/>
        <w:spacing w:after="0" w:before="0" w:line="250"/>
        <w:jc w:val="left"/>
      </w:pPr>
      <w:r>
        <w:rPr>
          <w:rFonts w:ascii="Inter" w:cs="Inter" w:eastAsia="Inter" w:hAnsi="Inter"/>
          <w:b w:val="false"/>
          <w:bCs w:val="false"/>
          <w:i w:val="false"/>
          <w:iCs w:val="false"/>
          <w:caps w:val="false"/>
          <w:color w:val="1D3245"/>
          <w:sz w:val="8"/>
          <w:szCs w:val="8"/>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tcBorders>
              <w:top w:val="single" w:color="FFB547" w:sz="4"/>
              <w:left w:val="single" w:color="FFB547" w:sz="4"/>
              <w:bottom w:val="single" w:color="FFB547" w:sz="4"/>
              <w:right w:val="single" w:color="FFB547" w:sz="4"/>
            </w:tcBorders>
            <w:shd w:fill="FFF4E0" w:color="auto" w:val="clear"/>
            <w:tcMar>
              <w:top w:type="dxa" w:w="32"/>
              <w:left w:type="dxa" w:w="92"/>
              <w:bottom w:type="dxa" w:w="32"/>
              <w:right w:type="dxa" w:w="92"/>
            </w:tcMar>
          </w:tcPr>
          <w:p>
            <w:pPr>
              <w:keepNext w:val="false"/>
              <w:spacing w:after="40" w:before="0" w:line="250"/>
              <w:jc w:val="left"/>
            </w:pPr>
            <w:r>
              <w:rPr>
                <w:rFonts w:ascii="Inter" w:cs="Inter" w:eastAsia="Inter" w:hAnsi="Inter"/>
                <w:b/>
                <w:bCs/>
                <w:i w:val="false"/>
                <w:iCs w:val="false"/>
                <w:caps w:val="false"/>
                <w:color w:val="E31B0C"/>
                <w:sz w:val="18"/>
                <w:szCs w:val="18"/>
              </w:rPr>
              <w:t xml:space="preserve">IMPORTANT</w:t>
            </w:r>
          </w:p>
          <w:p>
            <w:pPr>
              <w:keepNext w:val="false"/>
              <w:spacing w:after="0" w:before="0" w:line="235"/>
              <w:jc w:val="left"/>
            </w:pPr>
            <w:r>
              <w:rPr>
                <w:rFonts w:ascii="Inter" w:cs="Inter" w:eastAsia="Inter" w:hAnsi="Inter"/>
                <w:b w:val="false"/>
                <w:bCs w:val="false"/>
                <w:i w:val="false"/>
                <w:iCs w:val="false"/>
                <w:caps w:val="false"/>
                <w:color w:val="1D3245"/>
                <w:sz w:val="19"/>
                <w:szCs w:val="19"/>
              </w:rPr>
              <w:t xml:space="preserve">This is a planning and record-keeping template, not traffic engineering advice and not an approval. It does not contain traffic control plans and is not a substitute for one. In most Australian jurisdictions the person who prepares a traffic control plan must hold a specific accreditation, the document it is prepared to differs by state, and both are revised periodically - so confirm what applies to your roads authority and approving authority before you rely on anything here. Where this file states a period, a threshold or a notice, it is a field for you to fill in from your own approval, not a figure this template sets.</w:t>
            </w:r>
          </w:p>
        </w:tc>
      </w:tr>
    </w:tbl>
    <w:p>
      <w:pPr>
        <w:spacing w:after="0" w:before="110"/>
      </w:pPr>
      <w:hyperlink w:history="1" r:id="rId3k9mxl-umb27-ajfxfcq_">
        <w:r>
          <w:rPr>
            <w:rFonts w:ascii="Inter" w:cs="Inter" w:eastAsia="Inter" w:hAnsi="Inter"/>
            <w:color w:val="3480BC"/>
            <w:sz w:val="19"/>
            <w:szCs w:val="19"/>
            <w:u w:val="single"/>
          </w:rPr>
          <w:t xml:space="preserve">Built for teams delivering capital projects, programs and portfolios  ·  mastt.com</w:t>
        </w:r>
      </w:hyperlink>
    </w:p>
    <w:sectPr>
      <w:headerReference w:type="default" r:id="rId7"/>
      <w:footerReference w:type="default" r:id="rId8"/>
      <w:pgSz w:w="11906" w:h="16838" w:orient="portrait"/>
      <w:pgMar w:top="1500" w:right="1100" w:bottom="1200" w:left="1100" w:header="560" w:footer="4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6"/>
      </w:pBdr>
      <w:tabs>
        <w:tab w:val="right" w:pos="9026"/>
      </w:tabs>
      <w:spacing w:before="60"/>
    </w:pPr>
    <w:hyperlink w:history="1" r:id="rIdvhgvbjvwmztsa1etaoith">
      <w:r>
        <w:rPr>
          <w:rFonts w:ascii="Inter" w:cs="Inter" w:eastAsia="Inter" w:hAnsi="Inter"/>
          <w:color w:val="3480BC"/>
          <w:sz w:val="19"/>
          <w:szCs w:val="19"/>
          <w:u w:val="single"/>
        </w:rPr>
        <w:t xml:space="preserve">Visit mastt.com</w:t>
      </w:r>
    </w:hyperlink>
    <w:r>
      <w:rPr>
        <w:rFonts w:ascii="Inter" w:cs="Inter" w:eastAsia="Inter" w:hAnsi="Inter"/>
        <w:color w:val="8E98A2"/>
        <w:sz w:val="19"/>
        <w:szCs w:val="19"/>
      </w:rPr>
      <w:t xml:space="preserve">	Page </w:t>
    </w:r>
    <w:r>
      <w:rPr>
        <w:rFonts w:ascii="Inter" w:cs="Inter" w:eastAsia="Inter" w:hAnsi="Inter"/>
        <w:color w:val="8E98A2"/>
        <w:sz w:val="19"/>
        <w:szCs w:val="19"/>
      </w:rPr>
      <w:fldChar w:fldCharType="begin"/>
      <w:instrText xml:space="preserve">PAGE</w:instrText>
      <w:fldChar w:fldCharType="separate"/>
      <w:fldChar w:fldCharType="end"/>
    </w:r>
    <w:r>
      <w:rPr>
        <w:rFonts w:ascii="Inter" w:cs="Inter" w:eastAsia="Inter" w:hAnsi="Inter"/>
        <w:color w:val="8E98A2"/>
        <w:sz w:val="19"/>
        <w:szCs w:val="19"/>
      </w:rPr>
      <w:t xml:space="preserve"> of </w:t>
    </w:r>
    <w:r>
      <w:rPr>
        <w:rFonts w:ascii="Inter" w:cs="Inter" w:eastAsia="Inter" w:hAnsi="Inter"/>
        <w:color w:val="8E98A2"/>
        <w:sz w:val="19"/>
        <w:szCs w:val="19"/>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3480BC" w:sz="10"/>
      </w:pBdr>
      <w:tabs>
        <w:tab w:val="right" w:pos="9026"/>
      </w:tabs>
      <w:spacing w:after="120" w:before="40" w:line="520" w:lineRule="atLeast"/>
    </w:pPr>
    <w:hyperlink w:history="1" r:id="rId3xgbekw2exvhpw9xd-rgx">
      <w:r>
        <w:drawing>
          <wp:inline distT="0" distB="0" distL="0" distR="0">
            <wp:extent cx="990600" cy="295275"/>
            <wp:effectExtent t="0" r="0" b="0" l="0"/>
            <wp:docPr id="1" name="" descr="" title="">
              <a:hlinkClick xmlns:a="http://schemas.openxmlformats.org/drawingml/2006/main" r:id="rId3xgbekw2exvhpw9xd-rgx"/>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descr="">
                      <a:hlinkClick r:id="rId3xgbekw2exvhpw9xd-rgx"/>
                    </pic:cNvPr>
                    <pic:cNvPicPr>
                      <a:picLocks noChangeAspect="1" noChangeArrowheads="1"/>
                    </pic:cNvPicPr>
                  </pic:nvPicPr>
                  <pic:blipFill>
                    <a:blip r:embed="rId0" cstate="none"/>
                    <a:srcRect/>
                    <a:stretch>
                      <a:fillRect/>
                    </a:stretch>
                  </pic:blipFill>
                  <pic:spPr bwMode="auto">
                    <a:xfrm>
                      <a:off x="0" y="0"/>
                      <a:ext cx="990600" cy="295275"/>
                    </a:xfrm>
                    <a:prstGeom prst="rect">
                      <a:avLst/>
                    </a:prstGeom>
                  </pic:spPr>
                </pic:pic>
              </a:graphicData>
            </a:graphic>
          </wp:inline>
        </w:drawing>
      </w:r>
    </w:hyperlink>
    <w:r>
      <w:rPr>
        <w:rFonts w:ascii="Inter" w:cs="Inter" w:eastAsia="Inter" w:hAnsi="Inter"/>
        <w:b/>
        <w:bCs/>
        <w:color w:val="1D3245"/>
        <w:sz w:val="17"/>
        <w:szCs w:val="17"/>
      </w:rPr>
      <w:t xml:space="preserve">	Construction Traffic Management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rPr>
        <w:rFonts w:ascii="Inter" w:cs="Inter" w:eastAsia="Inter" w:hAnsi="Inter"/>
        <w:color w:val="3480BC"/>
      </w:rPr>
    </w:lvl>
    <w:lvl w:ilvl="1" w15:tentative="1">
      <w:start w:val="1"/>
      <w:numFmt w:val="bullet"/>
      <w:lvlText w:val="–"/>
      <w:lvlJc w:val="left"/>
      <w:pPr>
        <w:ind w:left="760" w:hanging="200"/>
      </w:pPr>
      <w:rPr>
        <w:rFonts w:ascii="Inter" w:cs="Inter" w:eastAsia="Inter" w:hAnsi="Inter"/>
        <w:color w:val="8E98A2"/>
      </w:rPr>
    </w:lvl>
  </w:abstractNum>
  <w:abstractNum w:abstractNumId="3" w15:restartNumberingAfterBreak="0">
    <w:multiLevelType w:val="hybridMultilevel"/>
    <w:lvl w:ilvl="0" w15:tentative="1">
      <w:start w:val="1"/>
      <w:numFmt w:val="decimal"/>
      <w:lvlText w:val="%1."/>
      <w:lvlJc w:val="left"/>
      <w:pPr>
        <w:ind w:left="460" w:hanging="340"/>
      </w:pPr>
      <w:rPr>
        <w:rFonts w:ascii="Inter" w:cs="Inter" w:eastAsia="Inter" w:hAnsi="Inter"/>
        <w:b/>
        <w:bCs/>
        <w:color w:val="0D3C6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D3245"/>
        <w:sz w:val="20"/>
        <w:szCs w:val="20"/>
      </w:rPr>
    </w:rPrDefault>
    <w:pPrDefault>
      <w:pPr>
        <w:spacing w:after="12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Inter" w:cs="Inter" w:eastAsia="Inter" w:hAnsi="Inter"/>
      <w:b/>
      <w:bCs/>
      <w:color w:val="1D3245"/>
      <w:sz w:val="26"/>
      <w:szCs w:val="26"/>
    </w:rPr>
  </w:style>
  <w:style w:type="paragraph" w:styleId="Heading2">
    <w:name w:val="Heading 2"/>
    <w:basedOn w:val="Normal"/>
    <w:next w:val="Normal"/>
    <w:qFormat/>
    <w:pPr>
      <w:spacing w:after="100" w:before="240"/>
      <w:outlineLvl w:val="1"/>
    </w:pPr>
    <w:rPr>
      <w:rFonts w:ascii="Inter" w:cs="Inter" w:eastAsia="Inter" w:hAnsi="Inter"/>
      <w:b/>
      <w:bCs/>
      <w:color w:val="0D3C61"/>
      <w:sz w:val="22"/>
      <w:szCs w:val="22"/>
    </w:rPr>
  </w:style>
  <w:style w:type="paragraph" w:styleId="Heading3">
    <w:name w:val="Heading 3"/>
    <w:basedOn w:val="Normal"/>
    <w:next w:val="Normal"/>
    <w:qFormat/>
    <w:pPr>
      <w:spacing w:after="80" w:before="200"/>
      <w:outlineLvl w:val="2"/>
    </w:pPr>
    <w:rPr>
      <w:rFonts w:ascii="Inter" w:cs="Inter" w:eastAsia="Inter" w:hAnsi="Inter"/>
      <w:b/>
      <w:bCs/>
      <w:color w:val="215383"/>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3k9mxl-umb27-ajfxfcq_" Type="http://schemas.openxmlformats.org/officeDocument/2006/relationships/hyperlink" Target="https://www.mastt.co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gvbjvwmztsa1etaoith" Type="http://schemas.openxmlformats.org/officeDocument/2006/relationships/hyperlink" Target="https://www.mastt.com/"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3xgbekw2exvhpw9xd-rgx" Type="http://schemas.openxmlformats.org/officeDocument/2006/relationships/hyperlink" Target="https://www.mastt.com/" TargetMode="External"/><Relationship Id="rId0" Type="http://schemas.openxmlformats.org/officeDocument/2006/relationships/image" Target="media/1557be316619c2b10f6199fe144e31650db9fee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Traffic Management Plan</dc:title>
  <dc:creator>Mastt</dc:creator>
  <dc:description>Construction traffic management plan, with the approvals each road occupation needs tracked against it.</dc:description>
  <cp:lastModifiedBy>Un-named</cp:lastModifiedBy>
  <cp:revision>1</cp:revision>
  <dcterms:created xsi:type="dcterms:W3CDTF">2026-08-19T05:11:25.898Z</dcterms:created>
  <dcterms:modified xsi:type="dcterms:W3CDTF">2026-08-19T05:11:25.898Z</dcterms:modified>
</cp:coreProperties>
</file>

<file path=docProps/custom.xml><?xml version="1.0" encoding="utf-8"?>
<Properties xmlns="http://schemas.openxmlformats.org/officeDocument/2006/custom-properties" xmlns:vt="http://schemas.openxmlformats.org/officeDocument/2006/docPropsVTypes"/>
</file>