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11906" w:type="dxa"/>
        <w:tblInd w:w="0" w:type="dxa"/>
        <w:tblCellMar>
          <w:top w:w="620" w:type="dxa"/>
          <w:left w:w="1134" w:type="dxa"/>
          <w:bottom w:w="520" w:type="dxa"/>
          <w:right w:w="1134" w:type="dxa"/>
        </w:tblCellMar>
      </w:tblPr>
      <w:tblGrid>
        <w:gridCol w:w="11906"/>
      </w:tblGrid>
      <w:tr>
        <w:trPr>
          <w:cantSplit/>
        </w:trPr>
        <w:tc>
          <w:tcPr>
            <w:tcW w:w="11906" w:type="dxa"/>
            <w:shd w:val="clear" w:color="auto" w:fill="1D3245"/>
            <w:vAlign w:val="center"/>
          </w:tcPr>
          <w:p>
            <w:pPr>
              <w:pStyle w:val="Body"/>
              <w:spacing w:after="120"/>
            </w:pPr>
            <w:r/>
            <w:hyperlink r:id="rId10" w:tooltip="mastt.com">
              <w:r>
                <w:drawing>
                  <wp:inline xmlns:a="http://schemas.openxmlformats.org/drawingml/2006/main" xmlns:pic="http://schemas.openxmlformats.org/drawingml/2006/picture">
                    <wp:extent cx="1152000" cy="336220"/>
                    <wp:docPr id="1" name="Picture 1">
                      <a:hlinkClick r:id="rId10"/>
                    </wp:docPr>
                    <wp:cNvGraphicFramePr>
                      <a:graphicFrameLocks noChangeAspect="1"/>
                    </wp:cNvGraphicFramePr>
                    <a:graphic>
                      <a:graphicData uri="http://schemas.openxmlformats.org/drawingml/2006/picture">
                        <pic:pic>
                          <pic:nvPicPr>
                            <pic:cNvPr id="2" name="mastt-logo-white.png"/>
                            <pic:cNvPicPr/>
                          </pic:nvPicPr>
                          <pic:blipFill>
                            <a:blip r:embed="rId9"/>
                            <a:stretch>
                              <a:fillRect/>
                            </a:stretch>
                          </pic:blipFill>
                          <pic:spPr>
                            <a:xfrm>
                              <a:off x="0" y="0"/>
                              <a:ext cx="1152000" cy="336220"/>
                            </a:xfrm>
                            <a:prstGeom prst="rect"/>
                          </pic:spPr>
                        </pic:pic>
                      </a:graphicData>
                    </a:graphic>
                  </wp:inline>
                </w:drawing>
              </w:r>
            </w:hyperlink>
          </w:p>
          <w:p>
            <w:pPr>
              <w:pStyle w:val="MicroLabelWhite"/>
              <w:spacing w:after="0"/>
            </w:pPr>
            <w:r>
              <w:t>Project Controls · Service Proposal</w:t>
            </w:r>
          </w:p>
        </w:tc>
      </w:tr>
    </w:tbl>
    <w:p>
      <w:pPr>
        <w:spacing w:before="0" w:after="0" w:line="680" w:lineRule="exact"/>
      </w:pPr>
    </w:p>
    <w:p>
      <w:pPr>
        <w:pStyle w:val="MicroLabel"/>
        <w:spacing w:after="120"/>
      </w:pPr>
      <w:r>
        <w:t>PROPOSAL</w:t>
      </w:r>
    </w:p>
    <w:p>
      <w:pPr>
        <w:pStyle w:val="Title"/>
      </w:pPr>
      <w:r>
        <w:t>Project Management Proposal</w:t>
      </w:r>
    </w:p>
    <w:p>
      <w:pPr>
        <w:pStyle w:val="Subtitle"/>
      </w:pPr>
      <w:r>
        <w:t>Client-side project management, project controls and commercial management services</w:t>
      </w:r>
    </w:p>
    <w:p>
      <w:pPr>
        <w:pStyle w:val="Body"/>
        <w:spacing w:after="0"/>
        <w:pBdr>
          <w:bottom w:val="single" w:sz="12" w:space="0" w:color="1D3245"/>
        </w:pBdr>
      </w:pPr>
    </w:p>
    <w:p>
      <w:pPr>
        <w:spacing w:before="0" w:after="0" w:line="320" w:lineRule="exact"/>
      </w:pPr>
    </w:p>
    <w:tbl>
      <w:tblPr>
        <w:tblLook w:firstColumn="1" w:firstRow="1" w:lastColumn="0" w:lastRow="0" w:noHBand="0" w:noVBand="1" w:val="04A0"/>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W w:w="9638" w:type="dxa"/>
        <w:tblInd w:w="0" w:type="dxa"/>
        <w:tblCellMar>
          <w:top w:w="70" w:type="dxa"/>
          <w:left w:w="0" w:type="dxa"/>
          <w:bottom w:w="70" w:type="dxa"/>
          <w:right w:w="140" w:type="dxa"/>
        </w:tblCellMar>
      </w:tblPr>
      <w:tblGrid>
        <w:gridCol w:w="2835"/>
        <w:gridCol w:w="6803"/>
      </w:tblGrid>
      <w:tr>
        <w:trPr>
          <w:cantSplit w:val="true"/>
          <w:trHeight w:val="408" w:hRule="atLeast"/>
        </w:trPr>
        <w:tc>
          <w:tcPr>
            <w:tcW w:w="2835" w:type="dxa"/>
            <w:vAlign w:val="center"/>
          </w:tcPr>
          <w:p>
            <w:pPr>
              <w:pStyle w:val="MicroLabel"/>
            </w:pPr>
            <w:r/>
            <w:r>
              <w:t>PROJECT / PROPOSAL TITLE</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project name and the service being proposed — e.g. Northbank Health Precinct — Stage 2 · Client-side project management services]</w:t>
            </w:r>
          </w:p>
        </w:tc>
      </w:tr>
      <w:tr>
        <w:trPr>
          <w:cantSplit w:val="true"/>
          <w:trHeight w:val="408" w:hRule="atLeast"/>
        </w:trPr>
        <w:tc>
          <w:tcPr>
            <w:tcW w:w="2835" w:type="dxa"/>
            <w:vAlign w:val="center"/>
          </w:tcPr>
          <w:p>
            <w:pPr>
              <w:pStyle w:val="MicroLabel"/>
            </w:pPr>
            <w:r/>
            <w:r>
              <w:t>CLIENT</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the contracting client entity in full, as it appears on its constitution or registration]</w:t>
            </w:r>
          </w:p>
        </w:tc>
      </w:tr>
      <w:tr>
        <w:trPr>
          <w:cantSplit w:val="true"/>
          <w:trHeight w:val="408" w:hRule="atLeast"/>
        </w:trPr>
        <w:tc>
          <w:tcPr>
            <w:tcW w:w="2835" w:type="dxa"/>
            <w:vAlign w:val="center"/>
          </w:tcPr>
          <w:p>
            <w:pPr>
              <w:pStyle w:val="MicroLabel"/>
            </w:pPr>
            <w:r/>
            <w:r>
              <w:t>ISSUED TO</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[Name] · [Role / title]</w:t>
            </w:r>
          </w:p>
          <w:p>
            <w:pPr>
              <w:pStyle w:val="CoverFieldPlaceholder"/>
              <w:ind w:left="125"/>
            </w:pPr>
            <w:r>
              <w:t>[Client entity, division or delivery office]</w:t>
            </w:r>
          </w:p>
        </w:tc>
      </w:tr>
      <w:tr>
        <w:trPr>
          <w:cantSplit w:val="true"/>
          <w:trHeight w:val="408" w:hRule="atLeast"/>
        </w:trPr>
        <w:tc>
          <w:tcPr>
            <w:tcW w:w="2835" w:type="dxa"/>
            <w:vAlign w:val="center"/>
          </w:tcPr>
          <w:p>
            <w:pPr>
              <w:pStyle w:val="MicroLabel"/>
            </w:pPr>
            <w:r/>
            <w:r>
              <w:t>ISSUED BY</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your firm's registered name and registration number]</w:t>
            </w:r>
          </w:p>
        </w:tc>
      </w:tr>
      <w:tr>
        <w:trPr>
          <w:cantSplit w:val="true"/>
          <w:trHeight w:val="408" w:hRule="atLeast"/>
        </w:trPr>
        <w:tc>
          <w:tcPr>
            <w:tcW w:w="2835" w:type="dxa"/>
            <w:vAlign w:val="center"/>
          </w:tcPr>
          <w:p>
            <w:pPr>
              <w:pStyle w:val="MicroLabel"/>
            </w:pPr>
            <w:r/>
            <w:r>
              <w:t>PROPOSAL REFERENCE</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your own document reference — e.g. PRO-2026-014]</w:t>
            </w:r>
          </w:p>
        </w:tc>
      </w:tr>
      <w:tr>
        <w:trPr>
          <w:cantSplit w:val="true"/>
          <w:trHeight w:val="408" w:hRule="atLeast"/>
        </w:trPr>
        <w:tc>
          <w:tcPr>
            <w:tcW w:w="2835" w:type="dxa"/>
            <w:vAlign w:val="center"/>
          </w:tcPr>
          <w:p>
            <w:pPr>
              <w:pStyle w:val="MicroLabel"/>
            </w:pPr>
            <w:r/>
            <w:r>
              <w:t>REVISION</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revision letter — must match the revision history in the Document Control page]</w:t>
            </w:r>
          </w:p>
        </w:tc>
      </w:tr>
      <w:tr>
        <w:trPr>
          <w:cantSplit w:val="true"/>
          <w:trHeight w:val="408" w:hRule="atLeast"/>
        </w:trPr>
        <w:tc>
          <w:tcPr>
            <w:tcW w:w="2835" w:type="dxa"/>
            <w:vAlign w:val="center"/>
          </w:tcPr>
          <w:p>
            <w:pPr>
              <w:pStyle w:val="MicroLabel"/>
            </w:pPr>
            <w:r/>
            <w:r>
              <w:t>DATE OF ISSUE</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[DD/MM/YYYY]</w:t>
            </w:r>
          </w:p>
        </w:tc>
      </w:tr>
      <w:tr>
        <w:trPr>
          <w:cantSplit w:val="true"/>
          <w:trHeight w:val="408" w:hRule="atLeast"/>
        </w:trPr>
        <w:tc>
          <w:tcPr>
            <w:tcW w:w="2835" w:type="dxa"/>
            <w:vAlign w:val="center"/>
          </w:tcPr>
          <w:p>
            <w:pPr>
              <w:pStyle w:val="MicroLabel"/>
            </w:pPr>
            <w:r/>
            <w:r>
              <w:t>VALIDITY PERIOD</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number of days from the date of issue — e.g. 60 days. State the expiry date in the Status of this issue strip]</w:t>
            </w:r>
          </w:p>
        </w:tc>
      </w:tr>
      <w:tr>
        <w:trPr>
          <w:cantSplit w:val="true"/>
          <w:trHeight w:val="408" w:hRule="atLeast"/>
        </w:trPr>
        <w:tc>
          <w:tcPr>
            <w:tcW w:w="2835" w:type="dxa"/>
            <w:vAlign w:val="center"/>
          </w:tcPr>
          <w:p>
            <w:pPr>
              <w:pStyle w:val="MicroLabel"/>
            </w:pPr>
            <w:r/>
            <w:r>
              <w:t>CONTACT</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[Name] · [Role]</w:t>
            </w:r>
          </w:p>
          <w:p>
            <w:pPr>
              <w:pStyle w:val="CoverFieldPlaceholder"/>
              <w:ind w:left="125"/>
            </w:pPr>
            <w:r>
              <w:t>[email address] · [telephone, including country code]</w:t>
            </w:r>
          </w:p>
        </w:tc>
      </w:tr>
      <w:tr>
        <w:trPr>
          <w:cantSplit w:val="true"/>
          <w:trHeight w:val="408" w:hRule="atLeast"/>
        </w:trPr>
        <w:tc>
          <w:tcPr>
            <w:tcW w:w="2835" w:type="dxa"/>
            <w:vAlign w:val="center"/>
          </w:tcPr>
          <w:p>
            <w:pPr>
              <w:pStyle w:val="MicroLabel"/>
            </w:pPr>
            <w:r/>
            <w:r>
              <w:t>CURRENCY</w:t>
            </w:r>
          </w:p>
        </w:tc>
        <w:tc>
          <w:tcPr>
            <w:tcW w:w="6803" w:type="dxa"/>
            <w:vAlign w:val="center"/>
            <w:tcBorders>
              <w:top w:val="single" w:sz="4" w:space="0" w:color="D3DEE9"/>
              <w:left w:val="single" w:sz="4" w:space="0" w:color="D3DEE9"/>
              <w:bottom w:val="single" w:sz="4" w:space="0" w:color="D3DEE9"/>
              <w:right w:val="single" w:sz="4" w:space="0" w:color="D3DEE9"/>
            </w:tcBorders>
            <w:shd w:val="clear" w:color="auto" w:fill="F6F9FC"/>
          </w:tcPr>
          <w:p>
            <w:pPr>
              <w:pStyle w:val="CoverFieldPlaceholder"/>
              <w:ind w:left="125"/>
            </w:pPr>
            <w:r/>
            <w:r>
              <w:t>[Insert the currency of this proposal — e.g. AUD, USD, GBP, EUR, AED. Every figure marked [CUR] in this document is in that currency]</w:t>
            </w:r>
          </w:p>
        </w:tc>
      </w:tr>
    </w:tbl>
    <w:p>
      <w:pPr>
        <w:spacing w:before="0" w:after="0" w:line="280" w:lineRule="exact"/>
      </w:pPr>
    </w:p>
    <w:p>
      <w:pPr>
        <w:pStyle w:val="Note"/>
      </w:pPr>
      <w:r>
        <w:t>Commercial-in-confidence. This proposal is submitted for the evaluation of the addressee named above and remains the property of the issuing party. It must not be disclosed to a third party, or used to inform a competing offer, without written consent. All figures are in the currency stated above and are exclusive of applicable taxes unless expressly stated otherwise.</w:t>
      </w:r>
    </w:p>
    <w:p>
      <w:pPr>
        <w:sectPr>
          <w:pgSz w:w="11906" w:h="16838"/>
          <w:pgMar w:top="0" w:right="1134" w:bottom="794" w:left="1134" w:header="482" w:footer="454" w:gutter="0"/>
          <w:cols w:space="720"/>
        </w:sectPr>
      </w:pPr>
    </w:p>
    <w:p>
      <w:pPr>
        <w:pStyle w:val="Heading1"/>
      </w:pPr>
      <w:bookmarkStart w:id="9000" w:name="_Toc90000"/>
      <w:r>
        <w:t>Document Control</w:t>
      </w:r>
      <w:bookmarkEnd w:id="9000"/>
    </w:p>
    <w:p>
      <w:pPr>
        <w:pStyle w:val="Body"/>
      </w:pPr>
      <w:r>
        <w:t>This page records the revision history, distribution and reliance position of the proposal, and the commercial basis on which this particular issue was priced. Complete it before every issue, including internal drafts — a proposal that reaches a client with a stale revision letter or an expired validity date invites a challenge to every other figure in the document.</w:t>
      </w:r>
    </w:p>
    <w:p>
      <w:pPr>
        <w:pStyle w:val="Heading2"/>
      </w:pPr>
      <w:bookmarkStart w:id="9001" w:name="_Toc90001"/>
      <w:r>
        <w:t>Revision history</w:t>
      </w:r>
      <w:bookmarkEnd w:id="9001"/>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562"/>
        <w:gridCol w:w="1204"/>
        <w:gridCol w:w="1044"/>
        <w:gridCol w:w="1044"/>
        <w:gridCol w:w="1044"/>
        <w:gridCol w:w="4740"/>
      </w:tblGrid>
      <w:tr>
        <w:trPr>
          <w:tblHeader w:val="true"/>
          <w:cantSplit w:val="true"/>
        </w:trPr>
        <w:tc>
          <w:tcPr>
            <w:tcW w:w="562" w:type="dxa"/>
            <w:shd w:val="clear" w:color="auto" w:fill="1D3245"/>
            <w:vAlign w:val="center"/>
          </w:tcPr>
          <w:p>
            <w:pPr>
              <w:pStyle w:val="TableHeader"/>
              <w:jc w:val="center"/>
            </w:pPr>
            <w:r/>
            <w:r>
              <w:t>Rev</w:t>
            </w:r>
          </w:p>
        </w:tc>
        <w:tc>
          <w:tcPr>
            <w:tcW w:w="1204" w:type="dxa"/>
            <w:shd w:val="clear" w:color="auto" w:fill="1D3245"/>
            <w:vAlign w:val="center"/>
          </w:tcPr>
          <w:p>
            <w:pPr>
              <w:pStyle w:val="TableHeader"/>
              <w:jc w:val="center"/>
            </w:pPr>
            <w:r/>
            <w:r>
              <w:t>Date</w:t>
            </w:r>
          </w:p>
        </w:tc>
        <w:tc>
          <w:tcPr>
            <w:tcW w:w="1044" w:type="dxa"/>
            <w:shd w:val="clear" w:color="auto" w:fill="1D3245"/>
            <w:vAlign w:val="center"/>
          </w:tcPr>
          <w:p>
            <w:pPr>
              <w:pStyle w:val="TableHeader"/>
              <w:jc w:val="center"/>
            </w:pPr>
            <w:r/>
            <w:r>
              <w:t>Prepared</w:t>
            </w:r>
          </w:p>
        </w:tc>
        <w:tc>
          <w:tcPr>
            <w:tcW w:w="1044" w:type="dxa"/>
            <w:shd w:val="clear" w:color="auto" w:fill="1D3245"/>
            <w:vAlign w:val="center"/>
          </w:tcPr>
          <w:p>
            <w:pPr>
              <w:pStyle w:val="TableHeader"/>
              <w:jc w:val="center"/>
            </w:pPr>
            <w:r/>
            <w:r>
              <w:t>Reviewed</w:t>
            </w:r>
          </w:p>
        </w:tc>
        <w:tc>
          <w:tcPr>
            <w:tcW w:w="1044" w:type="dxa"/>
            <w:shd w:val="clear" w:color="auto" w:fill="1D3245"/>
            <w:vAlign w:val="center"/>
          </w:tcPr>
          <w:p>
            <w:pPr>
              <w:pStyle w:val="TableHeader"/>
              <w:jc w:val="center"/>
            </w:pPr>
            <w:r/>
            <w:r>
              <w:t>Approved</w:t>
            </w:r>
          </w:p>
        </w:tc>
        <w:tc>
          <w:tcPr>
            <w:tcW w:w="4740" w:type="dxa"/>
            <w:shd w:val="clear" w:color="auto" w:fill="1D3245"/>
            <w:vAlign w:val="center"/>
          </w:tcPr>
          <w:p>
            <w:pPr>
              <w:pStyle w:val="TableHeader"/>
              <w:jc w:val="left"/>
            </w:pPr>
            <w:r/>
            <w:r>
              <w:t>Description of change / reason for re-issue</w:t>
            </w:r>
          </w:p>
        </w:tc>
      </w:tr>
      <w:tr>
        <w:trPr>
          <w:cantSplit w:val="true"/>
        </w:trPr>
        <w:tc>
          <w:tcPr>
            <w:tcW w:w="562" w:type="dxa"/>
            <w:vAlign w:val="center"/>
          </w:tcPr>
          <w:p>
            <w:pPr>
              <w:pStyle w:val="TableTextExample"/>
              <w:jc w:val="center"/>
            </w:pPr>
            <w:r/>
            <w:r>
              <w:t>A</w:t>
            </w:r>
          </w:p>
        </w:tc>
        <w:tc>
          <w:tcPr>
            <w:tcW w:w="1204" w:type="dxa"/>
            <w:vAlign w:val="center"/>
          </w:tcPr>
          <w:p>
            <w:pPr>
              <w:pStyle w:val="TableTextExample"/>
              <w:jc w:val="center"/>
            </w:pPr>
            <w:r/>
            <w:r>
              <w:t>[DD/MM/YY]</w:t>
            </w:r>
          </w:p>
        </w:tc>
        <w:tc>
          <w:tcPr>
            <w:tcW w:w="1044" w:type="dxa"/>
            <w:vAlign w:val="center"/>
          </w:tcPr>
          <w:p>
            <w:pPr>
              <w:pStyle w:val="TableTextExample"/>
              <w:jc w:val="center"/>
            </w:pPr>
            <w:r/>
            <w:r>
              <w:t>[Initials]</w:t>
            </w:r>
          </w:p>
        </w:tc>
        <w:tc>
          <w:tcPr>
            <w:tcW w:w="1044" w:type="dxa"/>
            <w:vAlign w:val="center"/>
          </w:tcPr>
          <w:p>
            <w:pPr>
              <w:pStyle w:val="TableTextExample"/>
              <w:jc w:val="center"/>
            </w:pPr>
            <w:r/>
            <w:r>
              <w:t>[Initials]</w:t>
            </w:r>
          </w:p>
        </w:tc>
        <w:tc>
          <w:tcPr>
            <w:tcW w:w="1044" w:type="dxa"/>
            <w:vAlign w:val="center"/>
          </w:tcPr>
          <w:p>
            <w:pPr>
              <w:pStyle w:val="TableTextExample"/>
              <w:jc w:val="center"/>
            </w:pPr>
            <w:r/>
            <w:r>
              <w:t>[Initials]</w:t>
            </w:r>
          </w:p>
        </w:tc>
        <w:tc>
          <w:tcPr>
            <w:tcW w:w="4740" w:type="dxa"/>
            <w:vAlign w:val="center"/>
          </w:tcPr>
          <w:p>
            <w:pPr>
              <w:pStyle w:val="TableTextExample"/>
              <w:jc w:val="left"/>
            </w:pPr>
            <w:r/>
            <w:r>
              <w:t>First issue — draft for internal commercial review</w:t>
            </w:r>
          </w:p>
        </w:tc>
      </w:tr>
      <w:tr>
        <w:trPr>
          <w:cantSplit w:val="true"/>
        </w:trPr>
        <w:tc>
          <w:tcPr>
            <w:tcW w:w="562" w:type="dxa"/>
            <w:vAlign w:val="center"/>
          </w:tcPr>
          <w:p>
            <w:pPr>
              <w:pStyle w:val="TableTextExample"/>
              <w:jc w:val="center"/>
            </w:pPr>
            <w:r/>
            <w:r>
              <w:t>B</w:t>
            </w:r>
          </w:p>
        </w:tc>
        <w:tc>
          <w:tcPr>
            <w:tcW w:w="1204" w:type="dxa"/>
            <w:vAlign w:val="center"/>
          </w:tcPr>
          <w:p>
            <w:pPr>
              <w:pStyle w:val="TableTextExample"/>
              <w:jc w:val="center"/>
            </w:pPr>
            <w:r/>
            <w:r>
              <w:t>[DD/MM/YY]</w:t>
            </w:r>
          </w:p>
        </w:tc>
        <w:tc>
          <w:tcPr>
            <w:tcW w:w="1044" w:type="dxa"/>
            <w:vAlign w:val="center"/>
          </w:tcPr>
          <w:p>
            <w:pPr>
              <w:pStyle w:val="TableTextExample"/>
              <w:jc w:val="center"/>
            </w:pPr>
            <w:r/>
            <w:r>
              <w:t>[Initials]</w:t>
            </w:r>
          </w:p>
        </w:tc>
        <w:tc>
          <w:tcPr>
            <w:tcW w:w="1044" w:type="dxa"/>
            <w:vAlign w:val="center"/>
          </w:tcPr>
          <w:p>
            <w:pPr>
              <w:pStyle w:val="TableTextExample"/>
              <w:jc w:val="center"/>
            </w:pPr>
            <w:r/>
            <w:r>
              <w:t>[Initials]</w:t>
            </w:r>
          </w:p>
        </w:tc>
        <w:tc>
          <w:tcPr>
            <w:tcW w:w="1044" w:type="dxa"/>
            <w:vAlign w:val="center"/>
          </w:tcPr>
          <w:p>
            <w:pPr>
              <w:pStyle w:val="TableTextExample"/>
              <w:jc w:val="center"/>
            </w:pPr>
            <w:r/>
            <w:r>
              <w:t>[Initials]</w:t>
            </w:r>
          </w:p>
        </w:tc>
        <w:tc>
          <w:tcPr>
            <w:tcW w:w="4740" w:type="dxa"/>
            <w:vAlign w:val="center"/>
          </w:tcPr>
          <w:p>
            <w:pPr>
              <w:pStyle w:val="TableTextExample"/>
              <w:jc w:val="left"/>
            </w:pPr>
            <w:r/>
            <w:r>
              <w:t>Fee build-up updated following clarification of the site supervision allowance; issued to Client</w:t>
            </w:r>
          </w:p>
        </w:tc>
      </w:tr>
      <w:tr>
        <w:trPr>
          <w:cantSplit w:val="true"/>
        </w:trPr>
        <w:tc>
          <w:tcPr>
            <w:tcW w:w="562" w:type="dxa"/>
            <w:vAlign w:val="center"/>
          </w:tcPr>
          <w:p>
            <w:pPr>
              <w:pStyle w:val="TableTextCentre"/>
              <w:jc w:val="center"/>
            </w:pPr>
            <w:r/>
          </w:p>
        </w:tc>
        <w:tc>
          <w:tcPr>
            <w:tcW w:w="1204" w:type="dxa"/>
            <w:vAlign w:val="center"/>
          </w:tcPr>
          <w:p>
            <w:pPr>
              <w:pStyle w:val="TableTextCentre"/>
              <w:jc w:val="center"/>
            </w:pPr>
            <w:r/>
          </w:p>
        </w:tc>
        <w:tc>
          <w:tcPr>
            <w:tcW w:w="1044" w:type="dxa"/>
            <w:vAlign w:val="center"/>
          </w:tcPr>
          <w:p>
            <w:pPr>
              <w:pStyle w:val="TableTextCentre"/>
              <w:jc w:val="center"/>
            </w:pPr>
            <w:r/>
          </w:p>
        </w:tc>
        <w:tc>
          <w:tcPr>
            <w:tcW w:w="1044" w:type="dxa"/>
            <w:vAlign w:val="center"/>
          </w:tcPr>
          <w:p>
            <w:pPr>
              <w:pStyle w:val="TableTextCentre"/>
              <w:jc w:val="center"/>
            </w:pPr>
            <w:r/>
          </w:p>
        </w:tc>
        <w:tc>
          <w:tcPr>
            <w:tcW w:w="1044" w:type="dxa"/>
            <w:vAlign w:val="center"/>
          </w:tcPr>
          <w:p>
            <w:pPr>
              <w:pStyle w:val="TableTextCentre"/>
              <w:jc w:val="center"/>
            </w:pPr>
            <w:r/>
          </w:p>
        </w:tc>
        <w:tc>
          <w:tcPr>
            <w:tcW w:w="4740" w:type="dxa"/>
            <w:vAlign w:val="center"/>
          </w:tcPr>
          <w:p>
            <w:pPr>
              <w:pStyle w:val="TableText"/>
              <w:jc w:val="left"/>
            </w:pPr>
            <w:r/>
          </w:p>
        </w:tc>
      </w:tr>
      <w:tr>
        <w:trPr>
          <w:cantSplit w:val="true"/>
        </w:trPr>
        <w:tc>
          <w:tcPr>
            <w:tcW w:w="562" w:type="dxa"/>
            <w:vAlign w:val="center"/>
          </w:tcPr>
          <w:p>
            <w:pPr>
              <w:pStyle w:val="TableTextCentre"/>
              <w:jc w:val="center"/>
            </w:pPr>
            <w:r/>
          </w:p>
        </w:tc>
        <w:tc>
          <w:tcPr>
            <w:tcW w:w="1204" w:type="dxa"/>
            <w:vAlign w:val="center"/>
          </w:tcPr>
          <w:p>
            <w:pPr>
              <w:pStyle w:val="TableTextCentre"/>
              <w:jc w:val="center"/>
            </w:pPr>
            <w:r/>
          </w:p>
        </w:tc>
        <w:tc>
          <w:tcPr>
            <w:tcW w:w="1044" w:type="dxa"/>
            <w:vAlign w:val="center"/>
          </w:tcPr>
          <w:p>
            <w:pPr>
              <w:pStyle w:val="TableTextCentre"/>
              <w:jc w:val="center"/>
            </w:pPr>
            <w:r/>
          </w:p>
        </w:tc>
        <w:tc>
          <w:tcPr>
            <w:tcW w:w="1044" w:type="dxa"/>
            <w:vAlign w:val="center"/>
          </w:tcPr>
          <w:p>
            <w:pPr>
              <w:pStyle w:val="TableTextCentre"/>
              <w:jc w:val="center"/>
            </w:pPr>
            <w:r/>
          </w:p>
        </w:tc>
        <w:tc>
          <w:tcPr>
            <w:tcW w:w="1044" w:type="dxa"/>
            <w:vAlign w:val="center"/>
          </w:tcPr>
          <w:p>
            <w:pPr>
              <w:pStyle w:val="TableTextCentre"/>
              <w:jc w:val="center"/>
            </w:pPr>
            <w:r/>
          </w:p>
        </w:tc>
        <w:tc>
          <w:tcPr>
            <w:tcW w:w="4740" w:type="dxa"/>
            <w:vAlign w:val="center"/>
          </w:tcPr>
          <w:p>
            <w:pPr>
              <w:pStyle w:val="TableText"/>
              <w:jc w:val="left"/>
            </w:pPr>
            <w:r/>
          </w:p>
        </w:tc>
      </w:tr>
    </w:tbl>
    <w:p>
      <w:pPr>
        <w:pStyle w:val="Note"/>
      </w:pPr>
      <w:r>
        <w:t>Example row shown in grey italic — delete before use. The reviewer and approver must not be the same person as the preparer — pricing is approved by someone with delegated commercial authority.</w:t>
      </w:r>
    </w:p>
    <w:p>
      <w:pPr>
        <w:pStyle w:val="Heading2"/>
      </w:pPr>
      <w:bookmarkStart w:id="9002" w:name="_Toc90002"/>
      <w:r>
        <w:t>Distribution</w:t>
      </w:r>
      <w:bookmarkEnd w:id="9002"/>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413"/>
        <w:gridCol w:w="1789"/>
        <w:gridCol w:w="2202"/>
        <w:gridCol w:w="2202"/>
        <w:gridCol w:w="1652"/>
        <w:gridCol w:w="1380"/>
      </w:tblGrid>
      <w:tr>
        <w:trPr>
          <w:tblHeader w:val="true"/>
          <w:cantSplit w:val="true"/>
        </w:trPr>
        <w:tc>
          <w:tcPr>
            <w:tcW w:w="413" w:type="dxa"/>
            <w:shd w:val="clear" w:color="auto" w:fill="1D3245"/>
            <w:vAlign w:val="center"/>
          </w:tcPr>
          <w:p>
            <w:pPr>
              <w:pStyle w:val="TableHeader"/>
              <w:jc w:val="center"/>
            </w:pPr>
            <w:r/>
            <w:r>
              <w:t>#</w:t>
            </w:r>
          </w:p>
        </w:tc>
        <w:tc>
          <w:tcPr>
            <w:tcW w:w="1789" w:type="dxa"/>
            <w:shd w:val="clear" w:color="auto" w:fill="1D3245"/>
            <w:vAlign w:val="center"/>
          </w:tcPr>
          <w:p>
            <w:pPr>
              <w:pStyle w:val="TableHeader"/>
              <w:jc w:val="left"/>
            </w:pPr>
            <w:r/>
            <w:r>
              <w:t>Name</w:t>
            </w:r>
          </w:p>
        </w:tc>
        <w:tc>
          <w:tcPr>
            <w:tcW w:w="2202" w:type="dxa"/>
            <w:shd w:val="clear" w:color="auto" w:fill="1D3245"/>
            <w:vAlign w:val="center"/>
          </w:tcPr>
          <w:p>
            <w:pPr>
              <w:pStyle w:val="TableHeader"/>
              <w:jc w:val="left"/>
            </w:pPr>
            <w:r/>
            <w:r>
              <w:t>Organisation</w:t>
            </w:r>
          </w:p>
        </w:tc>
        <w:tc>
          <w:tcPr>
            <w:tcW w:w="2202" w:type="dxa"/>
            <w:shd w:val="clear" w:color="auto" w:fill="1D3245"/>
            <w:vAlign w:val="center"/>
          </w:tcPr>
          <w:p>
            <w:pPr>
              <w:pStyle w:val="TableHeader"/>
              <w:jc w:val="left"/>
            </w:pPr>
            <w:r/>
            <w:r>
              <w:t>Role</w:t>
            </w:r>
          </w:p>
        </w:tc>
        <w:tc>
          <w:tcPr>
            <w:tcW w:w="1652" w:type="dxa"/>
            <w:shd w:val="clear" w:color="auto" w:fill="1D3245"/>
            <w:vAlign w:val="center"/>
          </w:tcPr>
          <w:p>
            <w:pPr>
              <w:pStyle w:val="TableHeader"/>
              <w:jc w:val="left"/>
            </w:pPr>
            <w:r/>
            <w:r>
              <w:t>Format</w:t>
            </w:r>
          </w:p>
        </w:tc>
        <w:tc>
          <w:tcPr>
            <w:tcW w:w="1380" w:type="dxa"/>
            <w:shd w:val="clear" w:color="auto" w:fill="1D3245"/>
            <w:vAlign w:val="center"/>
          </w:tcPr>
          <w:p>
            <w:pPr>
              <w:pStyle w:val="TableHeader"/>
              <w:jc w:val="center"/>
            </w:pPr>
            <w:r/>
            <w:r>
              <w:t>Date issued</w:t>
            </w:r>
          </w:p>
        </w:tc>
      </w:tr>
      <w:tr>
        <w:trPr>
          <w:cantSplit w:val="true"/>
        </w:trPr>
        <w:tc>
          <w:tcPr>
            <w:tcW w:w="413" w:type="dxa"/>
            <w:vAlign w:val="center"/>
          </w:tcPr>
          <w:p>
            <w:pPr>
              <w:pStyle w:val="TableTextExample"/>
              <w:jc w:val="center"/>
            </w:pPr>
            <w:r/>
            <w:r>
              <w:t>1</w:t>
            </w:r>
          </w:p>
        </w:tc>
        <w:tc>
          <w:tcPr>
            <w:tcW w:w="1789" w:type="dxa"/>
            <w:vAlign w:val="center"/>
          </w:tcPr>
          <w:p>
            <w:pPr>
              <w:pStyle w:val="TableTextExample"/>
              <w:jc w:val="left"/>
            </w:pPr>
            <w:r/>
            <w:r>
              <w:t>[Name]</w:t>
            </w:r>
          </w:p>
        </w:tc>
        <w:tc>
          <w:tcPr>
            <w:tcW w:w="2202" w:type="dxa"/>
            <w:vAlign w:val="center"/>
          </w:tcPr>
          <w:p>
            <w:pPr>
              <w:pStyle w:val="TableTextExample"/>
              <w:jc w:val="left"/>
            </w:pPr>
            <w:r/>
            <w:r>
              <w:t>[Client entity]</w:t>
            </w:r>
          </w:p>
        </w:tc>
        <w:tc>
          <w:tcPr>
            <w:tcW w:w="2202" w:type="dxa"/>
            <w:vAlign w:val="center"/>
          </w:tcPr>
          <w:p>
            <w:pPr>
              <w:pStyle w:val="TableTextExample"/>
              <w:jc w:val="left"/>
            </w:pPr>
            <w:r/>
            <w:r>
              <w:t>Project Director</w:t>
            </w:r>
          </w:p>
        </w:tc>
        <w:tc>
          <w:tcPr>
            <w:tcW w:w="1652" w:type="dxa"/>
            <w:vAlign w:val="center"/>
          </w:tcPr>
          <w:p>
            <w:pPr>
              <w:pStyle w:val="TableTextExample"/>
              <w:jc w:val="left"/>
            </w:pPr>
            <w:r/>
            <w:r>
              <w:t>PDF (signed)</w:t>
            </w:r>
          </w:p>
        </w:tc>
        <w:tc>
          <w:tcPr>
            <w:tcW w:w="1380" w:type="dxa"/>
            <w:vAlign w:val="center"/>
          </w:tcPr>
          <w:p>
            <w:pPr>
              <w:pStyle w:val="TableTextExample"/>
              <w:jc w:val="center"/>
            </w:pPr>
            <w:r/>
            <w:r>
              <w:t>[DD/MM/YY]</w:t>
            </w:r>
          </w:p>
        </w:tc>
      </w:tr>
      <w:tr>
        <w:trPr>
          <w:cantSplit w:val="true"/>
        </w:trPr>
        <w:tc>
          <w:tcPr>
            <w:tcW w:w="413" w:type="dxa"/>
            <w:vAlign w:val="center"/>
          </w:tcPr>
          <w:p>
            <w:pPr>
              <w:pStyle w:val="TableTextExample"/>
              <w:jc w:val="center"/>
            </w:pPr>
            <w:r/>
            <w:r>
              <w:t>2</w:t>
            </w:r>
          </w:p>
        </w:tc>
        <w:tc>
          <w:tcPr>
            <w:tcW w:w="1789" w:type="dxa"/>
            <w:vAlign w:val="center"/>
          </w:tcPr>
          <w:p>
            <w:pPr>
              <w:pStyle w:val="TableTextExample"/>
              <w:jc w:val="left"/>
            </w:pPr>
            <w:r/>
            <w:r>
              <w:t>[Name]</w:t>
            </w:r>
          </w:p>
        </w:tc>
        <w:tc>
          <w:tcPr>
            <w:tcW w:w="2202" w:type="dxa"/>
            <w:vAlign w:val="center"/>
          </w:tcPr>
          <w:p>
            <w:pPr>
              <w:pStyle w:val="TableTextExample"/>
              <w:jc w:val="left"/>
            </w:pPr>
            <w:r/>
            <w:r>
              <w:t>[Client entity]</w:t>
            </w:r>
          </w:p>
        </w:tc>
        <w:tc>
          <w:tcPr>
            <w:tcW w:w="2202" w:type="dxa"/>
            <w:vAlign w:val="center"/>
          </w:tcPr>
          <w:p>
            <w:pPr>
              <w:pStyle w:val="TableTextExample"/>
              <w:jc w:val="left"/>
            </w:pPr>
            <w:r/>
            <w:r>
              <w:t>Procurement / contracts</w:t>
            </w:r>
          </w:p>
        </w:tc>
        <w:tc>
          <w:tcPr>
            <w:tcW w:w="1652" w:type="dxa"/>
            <w:vAlign w:val="center"/>
          </w:tcPr>
          <w:p>
            <w:pPr>
              <w:pStyle w:val="TableTextExample"/>
              <w:jc w:val="left"/>
            </w:pPr>
            <w:r/>
            <w:r>
              <w:t>PDF via portal</w:t>
            </w:r>
          </w:p>
        </w:tc>
        <w:tc>
          <w:tcPr>
            <w:tcW w:w="1380" w:type="dxa"/>
            <w:vAlign w:val="center"/>
          </w:tcPr>
          <w:p>
            <w:pPr>
              <w:pStyle w:val="TableTextExample"/>
              <w:jc w:val="center"/>
            </w:pPr>
            <w:r/>
            <w:r>
              <w:t>[DD/MM/YY]</w:t>
            </w:r>
          </w:p>
        </w:tc>
      </w:tr>
      <w:tr>
        <w:trPr>
          <w:cantSplit w:val="true"/>
        </w:trPr>
        <w:tc>
          <w:tcPr>
            <w:tcW w:w="413" w:type="dxa"/>
            <w:vAlign w:val="center"/>
          </w:tcPr>
          <w:p>
            <w:pPr>
              <w:pStyle w:val="TableTextCentre"/>
              <w:jc w:val="center"/>
            </w:pPr>
            <w:r/>
            <w:r>
              <w:t>3</w:t>
            </w:r>
          </w:p>
        </w:tc>
        <w:tc>
          <w:tcPr>
            <w:tcW w:w="1789" w:type="dxa"/>
            <w:vAlign w:val="center"/>
          </w:tcPr>
          <w:p>
            <w:pPr>
              <w:pStyle w:val="TableText"/>
              <w:jc w:val="left"/>
            </w:pPr>
            <w:r/>
          </w:p>
        </w:tc>
        <w:tc>
          <w:tcPr>
            <w:tcW w:w="2202" w:type="dxa"/>
            <w:vAlign w:val="center"/>
          </w:tcPr>
          <w:p>
            <w:pPr>
              <w:pStyle w:val="TableText"/>
              <w:jc w:val="left"/>
            </w:pPr>
            <w:r/>
          </w:p>
        </w:tc>
        <w:tc>
          <w:tcPr>
            <w:tcW w:w="2202" w:type="dxa"/>
            <w:vAlign w:val="center"/>
          </w:tcPr>
          <w:p>
            <w:pPr>
              <w:pStyle w:val="TableText"/>
              <w:jc w:val="left"/>
            </w:pPr>
            <w:r/>
          </w:p>
        </w:tc>
        <w:tc>
          <w:tcPr>
            <w:tcW w:w="1652" w:type="dxa"/>
            <w:vAlign w:val="center"/>
          </w:tcPr>
          <w:p>
            <w:pPr>
              <w:pStyle w:val="TableText"/>
              <w:jc w:val="left"/>
            </w:pPr>
            <w:r/>
          </w:p>
        </w:tc>
        <w:tc>
          <w:tcPr>
            <w:tcW w:w="1380" w:type="dxa"/>
            <w:vAlign w:val="center"/>
          </w:tcPr>
          <w:p>
            <w:pPr>
              <w:pStyle w:val="TableTextCentre"/>
              <w:jc w:val="center"/>
            </w:pPr>
            <w:r/>
          </w:p>
        </w:tc>
      </w:tr>
      <w:tr>
        <w:trPr>
          <w:cantSplit w:val="true"/>
        </w:trPr>
        <w:tc>
          <w:tcPr>
            <w:tcW w:w="413" w:type="dxa"/>
            <w:vAlign w:val="center"/>
          </w:tcPr>
          <w:p>
            <w:pPr>
              <w:pStyle w:val="TableTextCentre"/>
              <w:jc w:val="center"/>
            </w:pPr>
            <w:r/>
            <w:r>
              <w:t>4</w:t>
            </w:r>
          </w:p>
        </w:tc>
        <w:tc>
          <w:tcPr>
            <w:tcW w:w="1789" w:type="dxa"/>
            <w:vAlign w:val="center"/>
          </w:tcPr>
          <w:p>
            <w:pPr>
              <w:pStyle w:val="TableText"/>
              <w:jc w:val="left"/>
            </w:pPr>
            <w:r/>
          </w:p>
        </w:tc>
        <w:tc>
          <w:tcPr>
            <w:tcW w:w="2202" w:type="dxa"/>
            <w:vAlign w:val="center"/>
          </w:tcPr>
          <w:p>
            <w:pPr>
              <w:pStyle w:val="TableText"/>
              <w:jc w:val="left"/>
            </w:pPr>
            <w:r/>
          </w:p>
        </w:tc>
        <w:tc>
          <w:tcPr>
            <w:tcW w:w="2202" w:type="dxa"/>
            <w:vAlign w:val="center"/>
          </w:tcPr>
          <w:p>
            <w:pPr>
              <w:pStyle w:val="TableText"/>
              <w:jc w:val="left"/>
            </w:pPr>
            <w:r/>
          </w:p>
        </w:tc>
        <w:tc>
          <w:tcPr>
            <w:tcW w:w="1652" w:type="dxa"/>
            <w:vAlign w:val="center"/>
          </w:tcPr>
          <w:p>
            <w:pPr>
              <w:pStyle w:val="TableText"/>
              <w:jc w:val="left"/>
            </w:pPr>
            <w:r/>
          </w:p>
        </w:tc>
        <w:tc>
          <w:tcPr>
            <w:tcW w:w="1380" w:type="dxa"/>
            <w:vAlign w:val="center"/>
          </w:tcPr>
          <w:p>
            <w:pPr>
              <w:pStyle w:val="TableTextCentre"/>
              <w:jc w:val="center"/>
            </w:pPr>
            <w:r/>
          </w:p>
        </w:tc>
      </w:tr>
    </w:tbl>
    <w:p>
      <w:pPr>
        <w:pStyle w:val="Note"/>
      </w:pPr>
      <w:r>
        <w:t>Example row shown in grey italic — delete before use. Where the client has mandated submission through an e-tendering portal, record the portal reference and the system timestamp — not the time you pressed send.</w:t>
      </w:r>
    </w:p>
    <w:p>
      <w:pPr>
        <w:pStyle w:val="Heading2"/>
      </w:pPr>
      <w:bookmarkStart w:id="9003" w:name="_Toc90003"/>
      <w:r>
        <w:t>Confidentiality and reliance</w:t>
      </w:r>
      <w:bookmarkEnd w:id="9003"/>
    </w:p>
    <w:p>
      <w:pPr>
        <w:pStyle w:val="Body"/>
      </w:pPr>
      <w:r>
        <w:t>This proposal is commercial-in-confidence. It is prepared solely for the party named on the cover and for the purpose of evaluating the appointment described in it. No other person may rely on it. The rates, resourcing and programme in this proposal are an offer to contract on the terms set out in Sections 7 and 12; they are not an estimate of the project's own capital cost or duration, and nothing in this document should be read as a warranty of project outcome. Where we have relied on information supplied by the Client — a brief, a cost plan, a programme, a site investigation — we have assumed it to be accurate and complete and have not independently verified it. Section 2.4 lists the assumptions on which the price depends; if any of them is wrong, the fee and the resourcing will need to be revisited before appointment.</w:t>
      </w:r>
    </w:p>
    <w:p>
      <w:pPr>
        <w:pStyle w:val="MicroLabel"/>
        <w:spacing w:after="120"/>
      </w:pPr>
      <w:r>
        <w:t>STATUS OF THIS ISSUE</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350"/>
        <w:gridCol w:w="1880"/>
        <w:gridCol w:w="1880"/>
        <w:gridCol w:w="3528"/>
      </w:tblGrid>
      <w:tr>
        <w:trPr>
          <w:tblHeader w:val="true"/>
          <w:cantSplit w:val="true"/>
        </w:trPr>
        <w:tc>
          <w:tcPr>
            <w:tcW w:w="2350" w:type="dxa"/>
            <w:shd w:val="clear" w:color="auto" w:fill="1D3245"/>
            <w:vAlign w:val="center"/>
          </w:tcPr>
          <w:p>
            <w:pPr>
              <w:pStyle w:val="TableHeader"/>
              <w:jc w:val="left"/>
            </w:pPr>
            <w:r/>
            <w:r>
              <w:t>Basis of pricing</w:t>
            </w:r>
          </w:p>
        </w:tc>
        <w:tc>
          <w:tcPr>
            <w:tcW w:w="1880" w:type="dxa"/>
            <w:shd w:val="clear" w:color="auto" w:fill="1D3245"/>
            <w:vAlign w:val="center"/>
          </w:tcPr>
          <w:p>
            <w:pPr>
              <w:pStyle w:val="TableHeader"/>
              <w:jc w:val="left"/>
            </w:pPr>
            <w:r/>
            <w:r>
              <w:t>Assumed commencement</w:t>
            </w:r>
          </w:p>
        </w:tc>
        <w:tc>
          <w:tcPr>
            <w:tcW w:w="1880" w:type="dxa"/>
            <w:shd w:val="clear" w:color="auto" w:fill="1D3245"/>
            <w:vAlign w:val="center"/>
          </w:tcPr>
          <w:p>
            <w:pPr>
              <w:pStyle w:val="TableHeader"/>
              <w:jc w:val="left"/>
            </w:pPr>
            <w:r/>
            <w:r>
              <w:t>Validity expires</w:t>
            </w:r>
          </w:p>
        </w:tc>
        <w:tc>
          <w:tcPr>
            <w:tcW w:w="3528" w:type="dxa"/>
            <w:shd w:val="clear" w:color="auto" w:fill="1D3245"/>
            <w:vAlign w:val="center"/>
          </w:tcPr>
          <w:p>
            <w:pPr>
              <w:pStyle w:val="TableHeader"/>
              <w:jc w:val="left"/>
            </w:pPr>
            <w:r/>
            <w:r>
              <w:t>Exclusions summary</w:t>
            </w:r>
          </w:p>
        </w:tc>
      </w:tr>
      <w:tr>
        <w:trPr>
          <w:cantSplit w:val="true"/>
        </w:trPr>
        <w:tc>
          <w:tcPr>
            <w:tcW w:w="2350" w:type="dxa"/>
            <w:vAlign w:val="center"/>
          </w:tcPr>
          <w:p>
            <w:pPr>
              <w:pStyle w:val="TableTextExample"/>
              <w:jc w:val="left"/>
            </w:pPr>
            <w:r/>
            <w:r>
              <w:t>[e.g. Client brief rev. C dated DD/MM/YY and cost plan rev. 2]</w:t>
            </w:r>
          </w:p>
        </w:tc>
        <w:tc>
          <w:tcPr>
            <w:tcW w:w="1880" w:type="dxa"/>
            <w:vAlign w:val="center"/>
          </w:tcPr>
          <w:p>
            <w:pPr>
              <w:pStyle w:val="TableTextExample"/>
              <w:jc w:val="left"/>
            </w:pPr>
            <w:r/>
            <w:r>
              <w:t>[DD/MM/YY]</w:t>
            </w:r>
          </w:p>
        </w:tc>
        <w:tc>
          <w:tcPr>
            <w:tcW w:w="1880" w:type="dxa"/>
            <w:vAlign w:val="center"/>
          </w:tcPr>
          <w:p>
            <w:pPr>
              <w:pStyle w:val="TableTextExample"/>
              <w:jc w:val="left"/>
            </w:pPr>
            <w:r/>
            <w:r>
              <w:t>[DD/MM/YY]</w:t>
            </w:r>
          </w:p>
        </w:tc>
        <w:tc>
          <w:tcPr>
            <w:tcW w:w="3528" w:type="dxa"/>
            <w:vAlign w:val="center"/>
          </w:tcPr>
          <w:p>
            <w:pPr>
              <w:pStyle w:val="TableTextExample"/>
              <w:jc w:val="left"/>
            </w:pPr>
            <w:r/>
            <w:r>
              <w:t>[e.g. Design services, QS measurement, superintendency, statutory approvals in our name — see Section 4]</w:t>
            </w:r>
          </w:p>
        </w:tc>
      </w:tr>
    </w:tbl>
    <w:p>
      <w:pPr>
        <w:pStyle w:val="Note"/>
      </w:pPr>
      <w:r>
        <w:t>Complete all four cells. The validity expiry date must be consistent with the validity period stated on the cover. Example row shown in grey italic — delete before use.</w:t>
      </w:r>
    </w:p>
    <w:p>
      <w:pPr>
        <w:pStyle w:val="Heading1"/>
        <w:pageBreakBefore/>
      </w:pPr>
      <w:r>
        <w:t>Contents</w:t>
      </w:r>
    </w:p>
    <w:p>
      <w:pPr>
        <w:pStyle w:val="Note"/>
      </w:pPr>
      <w:r>
        <w:t>The contents list below is a live Word field. Click in it and press F9 (or right-click → Update Field) once you have finished editing: that rebuilds the list and adds page numbers that match your version.</w:t>
      </w:r>
    </w:p>
    <w:p>
      <w:pPr>
        <w:pStyle w:val="TOC1"/>
      </w:pPr>
      <w:r>
        <w:rPr>
          <w:rFonts w:ascii="Inter" w:hAnsi="Inter"/>
        </w:rPr>
        <w:fldChar w:fldCharType="begin"/>
      </w:r>
      <w:r>
        <w:instrText xml:space="preserve"> TOC \o "1-3" \h \z \u </w:instrText>
      </w:r>
      <w:r>
        <w:fldChar w:fldCharType="separate"/>
      </w:r>
      <w:hyperlink w:anchor="_Toc90000" w:history="1">
        <w:r>
          <w:t xml:space="preserve">Document Control</w:t>
        </w:r>
      </w:hyperlink>
    </w:p>
    <w:p>
      <w:pPr>
        <w:pStyle w:val="TOC2"/>
      </w:pPr>
      <w:hyperlink w:anchor="_Toc90001" w:history="1">
        <w:r>
          <w:t xml:space="preserve">Revision history</w:t>
        </w:r>
      </w:hyperlink>
    </w:p>
    <w:p>
      <w:pPr>
        <w:pStyle w:val="TOC2"/>
      </w:pPr>
      <w:hyperlink w:anchor="_Toc90002" w:history="1">
        <w:r>
          <w:t xml:space="preserve">Distribution</w:t>
        </w:r>
      </w:hyperlink>
    </w:p>
    <w:p>
      <w:pPr>
        <w:pStyle w:val="TOC2"/>
      </w:pPr>
      <w:hyperlink w:anchor="_Toc90003" w:history="1">
        <w:r>
          <w:t xml:space="preserve">Confidentiality and reliance</w:t>
        </w:r>
      </w:hyperlink>
    </w:p>
    <w:p>
      <w:pPr>
        <w:pStyle w:val="TOC1"/>
      </w:pPr>
      <w:hyperlink w:anchor="_Toc90004" w:history="1">
        <w:r>
          <w:t xml:space="preserve">1. Executive Summary</w:t>
        </w:r>
      </w:hyperlink>
    </w:p>
    <w:p>
      <w:pPr>
        <w:pStyle w:val="TOC2"/>
      </w:pPr>
      <w:hyperlink w:anchor="_Toc90005" w:history="1">
        <w:r>
          <w:t xml:space="preserve">1.1 Why us, in three lines</w:t>
        </w:r>
      </w:hyperlink>
    </w:p>
    <w:p>
      <w:pPr>
        <w:pStyle w:val="TOC2"/>
      </w:pPr>
      <w:hyperlink w:anchor="_Toc90006" w:history="1">
        <w:r>
          <w:t xml:space="preserve">1.2 Commercial summary</w:t>
        </w:r>
      </w:hyperlink>
    </w:p>
    <w:p>
      <w:pPr>
        <w:pStyle w:val="TOC1"/>
      </w:pPr>
      <w:hyperlink w:anchor="_Toc90007" w:history="1">
        <w:r>
          <w:t xml:space="preserve">2. Understanding of the Client's Requirement</w:t>
        </w:r>
      </w:hyperlink>
    </w:p>
    <w:p>
      <w:pPr>
        <w:pStyle w:val="TOC2"/>
      </w:pPr>
      <w:hyperlink w:anchor="_Toc90008" w:history="1">
        <w:r>
          <w:t xml:space="preserve">2.1 The project as we understand it</w:t>
        </w:r>
      </w:hyperlink>
    </w:p>
    <w:p>
      <w:pPr>
        <w:pStyle w:val="TOC2"/>
      </w:pPr>
      <w:hyperlink w:anchor="_Toc90009" w:history="1">
        <w:r>
          <w:t xml:space="preserve">2.2 The Client's objectives and success criteria</w:t>
        </w:r>
      </w:hyperlink>
    </w:p>
    <w:p>
      <w:pPr>
        <w:pStyle w:val="TOC2"/>
      </w:pPr>
      <w:hyperlink w:anchor="_Toc90010" w:history="1">
        <w:r>
          <w:t xml:space="preserve">2.3 Delivery challenges we have identified</w:t>
        </w:r>
      </w:hyperlink>
    </w:p>
    <w:p>
      <w:pPr>
        <w:pStyle w:val="TOC2"/>
      </w:pPr>
      <w:hyperlink w:anchor="_Toc90011" w:history="1">
        <w:r>
          <w:t xml:space="preserve">2.4 Assumptions we have made about the brief</w:t>
        </w:r>
      </w:hyperlink>
    </w:p>
    <w:p>
      <w:pPr>
        <w:pStyle w:val="TOC1"/>
      </w:pPr>
      <w:hyperlink w:anchor="_Toc90012" w:history="1">
        <w:r>
          <w:t xml:space="preserve">3. Scope of Services</w:t>
        </w:r>
      </w:hyperlink>
    </w:p>
    <w:p>
      <w:pPr>
        <w:pStyle w:val="TOC2"/>
      </w:pPr>
      <w:hyperlink w:anchor="_Toc90013" w:history="1">
        <w:r>
          <w:t xml:space="preserve">3.1 Services by project stage</w:t>
        </w:r>
      </w:hyperlink>
    </w:p>
    <w:p>
      <w:pPr>
        <w:pStyle w:val="TOC2"/>
      </w:pPr>
      <w:hyperlink w:anchor="_Toc90014" w:history="1">
        <w:r>
          <w:t xml:space="preserve">3.2 Services by discipline</w:t>
        </w:r>
      </w:hyperlink>
    </w:p>
    <w:p>
      <w:pPr>
        <w:pStyle w:val="TOC2"/>
      </w:pPr>
      <w:hyperlink w:anchor="_Toc90015" w:history="1">
        <w:r>
          <w:t xml:space="preserve">3.3 Responsibility assignment (RACI)</w:t>
        </w:r>
      </w:hyperlink>
    </w:p>
    <w:p>
      <w:pPr>
        <w:pStyle w:val="TOC1"/>
      </w:pPr>
      <w:hyperlink w:anchor="_Toc90016" w:history="1">
        <w:r>
          <w:t xml:space="preserve">4. Exclusions and Limitations</w:t>
        </w:r>
      </w:hyperlink>
    </w:p>
    <w:p>
      <w:pPr>
        <w:pStyle w:val="TOC2"/>
      </w:pPr>
      <w:hyperlink w:anchor="_Toc90017" w:history="1">
        <w:r>
          <w:t xml:space="preserve">4.1 Services not included in the fee</w:t>
        </w:r>
      </w:hyperlink>
    </w:p>
    <w:p>
      <w:pPr>
        <w:pStyle w:val="TOC2"/>
      </w:pPr>
      <w:hyperlink w:anchor="_Toc90018" w:history="1">
        <w:r>
          <w:t xml:space="preserve">4.2 Limitations on our service</w:t>
        </w:r>
      </w:hyperlink>
    </w:p>
    <w:p>
      <w:pPr>
        <w:pStyle w:val="TOC1"/>
      </w:pPr>
      <w:hyperlink w:anchor="_Toc90019" w:history="1">
        <w:r>
          <w:t xml:space="preserve">5. Delivery Approach and Methodology</w:t>
        </w:r>
      </w:hyperlink>
    </w:p>
    <w:p>
      <w:pPr>
        <w:pStyle w:val="TOC2"/>
      </w:pPr>
      <w:hyperlink w:anchor="_Toc90020" w:history="1">
        <w:r>
          <w:t xml:space="preserve">5.1 Governance and reporting structure</w:t>
        </w:r>
      </w:hyperlink>
    </w:p>
    <w:p>
      <w:pPr>
        <w:pStyle w:val="TOC2"/>
      </w:pPr>
      <w:hyperlink w:anchor="_Toc90021" w:history="1">
        <w:r>
          <w:t xml:space="preserve">5.2 The control cycle we run</w:t>
        </w:r>
      </w:hyperlink>
    </w:p>
    <w:p>
      <w:pPr>
        <w:pStyle w:val="TOC2"/>
      </w:pPr>
      <w:hyperlink w:anchor="_Toc90022" w:history="1">
        <w:r>
          <w:t xml:space="preserve">5.3 Programme management approach</w:t>
        </w:r>
      </w:hyperlink>
    </w:p>
    <w:p>
      <w:pPr>
        <w:pStyle w:val="TOC2"/>
      </w:pPr>
      <w:hyperlink w:anchor="_Toc90023" w:history="1">
        <w:r>
          <w:t xml:space="preserve">5.4 Cost control approach</w:t>
        </w:r>
      </w:hyperlink>
    </w:p>
    <w:p>
      <w:pPr>
        <w:pStyle w:val="TOC2"/>
      </w:pPr>
      <w:hyperlink w:anchor="_Toc90024" w:history="1">
        <w:r>
          <w:t xml:space="preserve">5.5 Risk management approach</w:t>
        </w:r>
      </w:hyperlink>
    </w:p>
    <w:p>
      <w:pPr>
        <w:pStyle w:val="TOC2"/>
      </w:pPr>
      <w:hyperlink w:anchor="_Toc90025" w:history="1">
        <w:r>
          <w:t xml:space="preserve">5.6 Change control workflow</w:t>
        </w:r>
      </w:hyperlink>
    </w:p>
    <w:p>
      <w:pPr>
        <w:pStyle w:val="TOC2"/>
      </w:pPr>
      <w:hyperlink w:anchor="_Toc90026" w:history="1">
        <w:r>
          <w:t xml:space="preserve">5.7 Information management and a single source of truth</w:t>
        </w:r>
      </w:hyperlink>
    </w:p>
    <w:p>
      <w:pPr>
        <w:pStyle w:val="TOC2"/>
      </w:pPr>
      <w:hyperlink w:anchor="_Toc90027" w:history="1">
        <w:r>
          <w:t xml:space="preserve">5.8 Quality assurance of our own service</w:t>
        </w:r>
      </w:hyperlink>
    </w:p>
    <w:p>
      <w:pPr>
        <w:pStyle w:val="TOC1"/>
      </w:pPr>
      <w:hyperlink w:anchor="_Toc90028" w:history="1">
        <w:r>
          <w:t xml:space="preserve">6. Project Team and Resourcing</w:t>
        </w:r>
      </w:hyperlink>
    </w:p>
    <w:p>
      <w:pPr>
        <w:pStyle w:val="TOC2"/>
      </w:pPr>
      <w:hyperlink w:anchor="_Toc90029" w:history="1">
        <w:r>
          <w:t xml:space="preserve">6.1 Project organisation</w:t>
        </w:r>
      </w:hyperlink>
    </w:p>
    <w:p>
      <w:pPr>
        <w:pStyle w:val="TOC2"/>
      </w:pPr>
      <w:hyperlink w:anchor="_Toc90030" w:history="1">
        <w:r>
          <w:t xml:space="preserve">6.2 Key personnel</w:t>
        </w:r>
      </w:hyperlink>
    </w:p>
    <w:p>
      <w:pPr>
        <w:pStyle w:val="TOC2"/>
      </w:pPr>
      <w:hyperlink w:anchor="_Toc90031" w:history="1">
        <w:r>
          <w:t xml:space="preserve">6.3 Resourcing schedule by stage</w:t>
        </w:r>
      </w:hyperlink>
    </w:p>
    <w:p>
      <w:pPr>
        <w:pStyle w:val="TOC2"/>
      </w:pPr>
      <w:hyperlink w:anchor="_Toc90032" w:history="1">
        <w:r>
          <w:t xml:space="preserve">6.4 Key personnel and substitution</w:t>
        </w:r>
      </w:hyperlink>
    </w:p>
    <w:p>
      <w:pPr>
        <w:pStyle w:val="TOC2"/>
      </w:pPr>
      <w:hyperlink w:anchor="_Toc90033" w:history="1">
        <w:r>
          <w:t xml:space="preserve">6.5 Local presence and coverage</w:t>
        </w:r>
      </w:hyperlink>
    </w:p>
    <w:p>
      <w:pPr>
        <w:pStyle w:val="TOC1"/>
      </w:pPr>
      <w:hyperlink w:anchor="_Toc90034" w:history="1">
        <w:r>
          <w:t xml:space="preserve">7. Fee Proposal and Commercial Terms</w:t>
        </w:r>
      </w:hyperlink>
    </w:p>
    <w:p>
      <w:pPr>
        <w:pStyle w:val="TOC2"/>
      </w:pPr>
      <w:hyperlink w:anchor="_Toc90035" w:history="1">
        <w:r>
          <w:t xml:space="preserve">7.1 Fee build-up</w:t>
        </w:r>
      </w:hyperlink>
    </w:p>
    <w:p>
      <w:pPr>
        <w:pStyle w:val="TOC2"/>
      </w:pPr>
      <w:hyperlink w:anchor="_Toc90036" w:history="1">
        <w:r>
          <w:t xml:space="preserve">7.2 Fee basis options</w:t>
        </w:r>
      </w:hyperlink>
    </w:p>
    <w:p>
      <w:pPr>
        <w:pStyle w:val="TOC2"/>
      </w:pPr>
      <w:hyperlink w:anchor="_Toc90037" w:history="1">
        <w:r>
          <w:t xml:space="preserve">7.3 Payment schedule</w:t>
        </w:r>
      </w:hyperlink>
    </w:p>
    <w:p>
      <w:pPr>
        <w:pStyle w:val="TOC2"/>
      </w:pPr>
      <w:hyperlink w:anchor="_Toc90038" w:history="1">
        <w:r>
          <w:t xml:space="preserve">7.4 Reimbursable expenses</w:t>
        </w:r>
      </w:hyperlink>
    </w:p>
    <w:p>
      <w:pPr>
        <w:pStyle w:val="TOC2"/>
      </w:pPr>
      <w:hyperlink w:anchor="_Toc90039" w:history="1">
        <w:r>
          <w:t xml:space="preserve">7.5 Rate escalation</w:t>
        </w:r>
      </w:hyperlink>
    </w:p>
    <w:p>
      <w:pPr>
        <w:pStyle w:val="TOC2"/>
      </w:pPr>
      <w:hyperlink w:anchor="_Toc90040" w:history="1">
        <w:r>
          <w:t xml:space="preserve">7.6 Defects liability period service</w:t>
        </w:r>
      </w:hyperlink>
    </w:p>
    <w:p>
      <w:pPr>
        <w:pStyle w:val="TOC2"/>
      </w:pPr>
      <w:hyperlink w:anchor="_Toc90041" w:history="1">
        <w:r>
          <w:t xml:space="preserve">7.7 Additional services and hourly rates</w:t>
        </w:r>
      </w:hyperlink>
    </w:p>
    <w:p>
      <w:pPr>
        <w:pStyle w:val="TOC2"/>
      </w:pPr>
      <w:hyperlink w:anchor="_Toc90042" w:history="1">
        <w:r>
          <w:t xml:space="preserve">7.8 Invoicing, payment terms and taxes</w:t>
        </w:r>
      </w:hyperlink>
    </w:p>
    <w:p>
      <w:pPr>
        <w:pStyle w:val="TOC1"/>
      </w:pPr>
      <w:hyperlink w:anchor="_Toc90043" w:history="1">
        <w:r>
          <w:t xml:space="preserve">8. Programme for our Services</w:t>
        </w:r>
      </w:hyperlink>
    </w:p>
    <w:p>
      <w:pPr>
        <w:pStyle w:val="TOC1"/>
      </w:pPr>
      <w:hyperlink w:anchor="_Toc90044" w:history="1">
        <w:r>
          <w:t xml:space="preserve">9. Value We Add</w:t>
        </w:r>
      </w:hyperlink>
    </w:p>
    <w:p>
      <w:pPr>
        <w:pStyle w:val="TOC1"/>
      </w:pPr>
      <w:hyperlink w:anchor="_Toc90045" w:history="1">
        <w:r>
          <w:t xml:space="preserve">10. Relevant Experience</w:t>
        </w:r>
      </w:hyperlink>
    </w:p>
    <w:p>
      <w:pPr>
        <w:pStyle w:val="TOC3"/>
      </w:pPr>
      <w:hyperlink w:anchor="_Toc90046" w:history="1">
        <w:r>
          <w:t xml:space="preserve">Case study 1 — [insert project name]</w:t>
        </w:r>
      </w:hyperlink>
    </w:p>
    <w:p>
      <w:pPr>
        <w:pStyle w:val="TOC3"/>
      </w:pPr>
      <w:hyperlink w:anchor="_Toc90047" w:history="1">
        <w:r>
          <w:t xml:space="preserve">Case study 2 — [insert project name]</w:t>
        </w:r>
      </w:hyperlink>
    </w:p>
    <w:p>
      <w:pPr>
        <w:pStyle w:val="TOC3"/>
      </w:pPr>
      <w:hyperlink w:anchor="_Toc90048" w:history="1">
        <w:r>
          <w:t xml:space="preserve">Case study 3 — [insert project name]</w:t>
        </w:r>
      </w:hyperlink>
    </w:p>
    <w:p>
      <w:pPr>
        <w:pStyle w:val="TOC1"/>
      </w:pPr>
      <w:hyperlink w:anchor="_Toc90049" w:history="1">
        <w:r>
          <w:t xml:space="preserve">11. Risk, Insurance and Compliance</w:t>
        </w:r>
      </w:hyperlink>
    </w:p>
    <w:p>
      <w:pPr>
        <w:pStyle w:val="TOC2"/>
      </w:pPr>
      <w:hyperlink w:anchor="_Toc90050" w:history="1">
        <w:r>
          <w:t xml:space="preserve">11.1 Insurances held</w:t>
        </w:r>
      </w:hyperlink>
    </w:p>
    <w:p>
      <w:pPr>
        <w:pStyle w:val="TOC2"/>
      </w:pPr>
      <w:hyperlink w:anchor="_Toc90051" w:history="1">
        <w:r>
          <w:t xml:space="preserve">11.2 Conflicts of interest</w:t>
        </w:r>
      </w:hyperlink>
    </w:p>
    <w:p>
      <w:pPr>
        <w:pStyle w:val="TOC2"/>
      </w:pPr>
      <w:hyperlink w:anchor="_Toc90052" w:history="1">
        <w:r>
          <w:t xml:space="preserve">11.3 Modern slavery and ethical sourcing</w:t>
        </w:r>
      </w:hyperlink>
    </w:p>
    <w:p>
      <w:pPr>
        <w:pStyle w:val="TOC2"/>
      </w:pPr>
      <w:hyperlink w:anchor="_Toc90053" w:history="1">
        <w:r>
          <w:t xml:space="preserve">11.4 Data protection and confidentiality</w:t>
        </w:r>
      </w:hyperlink>
    </w:p>
    <w:p>
      <w:pPr>
        <w:pStyle w:val="TOC2"/>
      </w:pPr>
      <w:hyperlink w:anchor="_Toc90054" w:history="1">
        <w:r>
          <w:t xml:space="preserve">11.5 Accreditations and management systems</w:t>
        </w:r>
      </w:hyperlink>
    </w:p>
    <w:p>
      <w:pPr>
        <w:pStyle w:val="TOC1"/>
      </w:pPr>
      <w:hyperlink w:anchor="_Toc90055" w:history="1">
        <w:r>
          <w:t xml:space="preserve">12. Contractual Terms and Conditions</w:t>
        </w:r>
      </w:hyperlink>
    </w:p>
    <w:p>
      <w:pPr>
        <w:pStyle w:val="TOC2"/>
      </w:pPr>
      <w:hyperlink w:anchor="_Toc90056" w:history="1">
        <w:r>
          <w:t xml:space="preserve">12.1 Proposed form of agreement</w:t>
        </w:r>
      </w:hyperlink>
    </w:p>
    <w:p>
      <w:pPr>
        <w:pStyle w:val="TOC2"/>
      </w:pPr>
      <w:hyperlink w:anchor="_Toc90057" w:history="1">
        <w:r>
          <w:t xml:space="preserve">12.2 Limitation of liability</w:t>
        </w:r>
      </w:hyperlink>
    </w:p>
    <w:p>
      <w:pPr>
        <w:pStyle w:val="TOC2"/>
      </w:pPr>
      <w:hyperlink w:anchor="_Toc90058" w:history="1">
        <w:r>
          <w:t xml:space="preserve">12.3 Intellectual property and licence to use deliverables</w:t>
        </w:r>
      </w:hyperlink>
    </w:p>
    <w:p>
      <w:pPr>
        <w:pStyle w:val="TOC2"/>
      </w:pPr>
      <w:hyperlink w:anchor="_Toc90059" w:history="1">
        <w:r>
          <w:t xml:space="preserve">12.4 Suspension and termination</w:t>
        </w:r>
      </w:hyperlink>
    </w:p>
    <w:p>
      <w:pPr>
        <w:pStyle w:val="TOC2"/>
      </w:pPr>
      <w:hyperlink w:anchor="_Toc90060" w:history="1">
        <w:r>
          <w:t xml:space="preserve">12.5 Dispute resolution</w:t>
        </w:r>
      </w:hyperlink>
    </w:p>
    <w:p>
      <w:pPr>
        <w:pStyle w:val="TOC2"/>
      </w:pPr>
      <w:hyperlink w:anchor="_Toc90061" w:history="1">
        <w:r>
          <w:t xml:space="preserve">12.6 Governing law and jurisdiction</w:t>
        </w:r>
      </w:hyperlink>
    </w:p>
    <w:p>
      <w:pPr>
        <w:pStyle w:val="TOC1"/>
      </w:pPr>
      <w:hyperlink w:anchor="_Toc90062" w:history="1">
        <w:r>
          <w:t xml:space="preserve">13. Acceptance</w:t>
        </w:r>
      </w:hyperlink>
    </w:p>
    <w:p>
      <w:pPr>
        <w:pStyle w:val="TOC2"/>
      </w:pPr>
      <w:hyperlink w:anchor="_Toc90063" w:history="1">
        <w:r>
          <w:t xml:space="preserve">13.1 Next steps</w:t>
        </w:r>
      </w:hyperlink>
    </w:p>
    <w:p>
      <w:pPr>
        <w:pStyle w:val="TOC1"/>
      </w:pPr>
      <w:hyperlink w:anchor="_Toc90064" w:history="1">
        <w:r>
          <w:t xml:space="preserve">Appendices</w:t>
        </w:r>
      </w:hyperlink>
      <w:r>
        <w:fldChar w:fldCharType="end"/>
      </w:r>
    </w:p>
    <w:p>
      <w:pPr>
        <w:pStyle w:val="Heading1"/>
      </w:pPr>
      <w:bookmarkStart w:id="9004" w:name="_Toc90004"/>
      <w:r>
        <w:t>1. Executive Summary</w:t>
      </w:r>
      <w:bookmarkEnd w:id="9004"/>
    </w:p>
    <w:p>
      <w:pPr>
        <w:pStyle w:val="BodyLead"/>
      </w:pPr>
      <w:r>
        <w:t>One page, written for the person who will sign the appointment rather than for the person who will evaluate it technically. State what the Client is trying to achieve, the single biggest risk to achieving it, what we will do about that risk, and what the service costs. Write this section last, once the rest of the proposal is settled, and make sure every number in it reconciles to Section 7.</w:t>
      </w:r>
    </w:p>
    <w:p>
      <w:pPr>
        <w:pStyle w:val="Placeholder"/>
      </w:pPr>
      <w:r>
        <w:t>[Insert summary — five to eight sentences, in this order: (1) what the Client is procuring and why now, in the Client's own words from the brief; (2) the outcome the Client has said matters most — opening date, capital budget, clinical or operational continuity, funding milestone; (3) the one or two delivery risks that most threaten that outcome, named specifically, not generically; (4) the shape of our proposed service — team size, where they sit, the control cycle we will run; (5) the commercial headline — fee, basis, term; (6) why this team rather than another, in one sentence, supported by a named comparable project. Do not use the words 'passionate', 'world-class' or 'value-add'.]</w:t>
      </w:r>
    </w:p>
    <w:p>
      <w:pPr>
        <w:pStyle w:val="Heading2"/>
      </w:pPr>
      <w:bookmarkStart w:id="9005" w:name="_Toc90005"/>
      <w:r>
        <w:t>1.1 Why us, in three lines</w:t>
      </w:r>
      <w:bookmarkEnd w:id="9005"/>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3212"/>
        <w:gridCol w:w="6426"/>
      </w:tblGrid>
      <w:tr>
        <w:trPr>
          <w:tblHeader w:val="true"/>
          <w:cantSplit w:val="true"/>
        </w:trPr>
        <w:tc>
          <w:tcPr>
            <w:tcW w:w="3212" w:type="dxa"/>
            <w:shd w:val="clear" w:color="auto" w:fill="1D3245"/>
            <w:vAlign w:val="center"/>
          </w:tcPr>
          <w:p>
            <w:pPr>
              <w:pStyle w:val="TableHeader"/>
              <w:jc w:val="left"/>
            </w:pPr>
            <w:r/>
            <w:r>
              <w:t>Reason</w:t>
            </w:r>
          </w:p>
        </w:tc>
        <w:tc>
          <w:tcPr>
            <w:tcW w:w="6426" w:type="dxa"/>
            <w:shd w:val="clear" w:color="auto" w:fill="1D3245"/>
            <w:vAlign w:val="center"/>
          </w:tcPr>
          <w:p>
            <w:pPr>
              <w:pStyle w:val="TableHeader"/>
              <w:jc w:val="left"/>
            </w:pPr>
            <w:r/>
            <w:r>
              <w:t>The evidence behind it</w:t>
            </w:r>
          </w:p>
        </w:tc>
      </w:tr>
      <w:tr>
        <w:trPr>
          <w:cantSplit w:val="true"/>
        </w:trPr>
        <w:tc>
          <w:tcPr>
            <w:tcW w:w="3212" w:type="dxa"/>
            <w:vAlign w:val="center"/>
          </w:tcPr>
          <w:p>
            <w:pPr>
              <w:pStyle w:val="TableTextExample"/>
              <w:jc w:val="left"/>
            </w:pPr>
            <w:r/>
            <w:r>
              <w:t>We have delivered this asset type in this jurisdiction</w:t>
            </w:r>
          </w:p>
        </w:tc>
        <w:tc>
          <w:tcPr>
            <w:tcW w:w="6426" w:type="dxa"/>
            <w:vAlign w:val="center"/>
          </w:tcPr>
          <w:p>
            <w:pPr>
              <w:pStyle w:val="TableTextExample"/>
              <w:jc w:val="left"/>
            </w:pPr>
            <w:r/>
            <w:r>
              <w:t>Northbank Health Precinct — Stage 1: [CUR] 310 m acute inpatient building delivered within the approved budget and eleven days ahead of the contractual completion date; referee contactable (Section 10).</w:t>
            </w:r>
          </w:p>
        </w:tc>
      </w:tr>
      <w:tr>
        <w:trPr>
          <w:cantSplit w:val="true"/>
        </w:trPr>
        <w:tc>
          <w:tcPr>
            <w:tcW w:w="3212" w:type="dxa"/>
            <w:vAlign w:val="center"/>
          </w:tcPr>
          <w:p>
            <w:pPr>
              <w:pStyle w:val="TableTextExample"/>
              <w:jc w:val="left"/>
            </w:pPr>
            <w:r/>
            <w:r>
              <w:t>The proposed Project Director is available, not notional</w:t>
            </w:r>
          </w:p>
        </w:tc>
        <w:tc>
          <w:tcPr>
            <w:tcW w:w="6426" w:type="dxa"/>
            <w:vAlign w:val="center"/>
          </w:tcPr>
          <w:p>
            <w:pPr>
              <w:pStyle w:val="TableTextExample"/>
              <w:jc w:val="left"/>
            </w:pPr>
            <w:r/>
            <w:r>
              <w:t>[Name] is released from [project] on [DD/MM/YY] and is committed to this appointment at [00]% for the full term; substitution is subject to Section 6.4.</w:t>
            </w:r>
          </w:p>
        </w:tc>
      </w:tr>
      <w:tr>
        <w:trPr>
          <w:cantSplit w:val="true"/>
        </w:trPr>
        <w:tc>
          <w:tcPr>
            <w:tcW w:w="3212" w:type="dxa"/>
            <w:vAlign w:val="center"/>
          </w:tcPr>
          <w:p>
            <w:pPr>
              <w:pStyle w:val="TableTextExample"/>
              <w:jc w:val="left"/>
            </w:pPr>
            <w:r/>
            <w:r>
              <w:t>Our controls are auditable from day one</w:t>
            </w:r>
          </w:p>
        </w:tc>
        <w:tc>
          <w:tcPr>
            <w:tcW w:w="6426" w:type="dxa"/>
            <w:vAlign w:val="center"/>
          </w:tcPr>
          <w:p>
            <w:pPr>
              <w:pStyle w:val="TableTextExample"/>
              <w:jc w:val="left"/>
            </w:pPr>
            <w:r/>
            <w:r>
              <w:t>Cost, programme, risk, change and approvals are maintained in a single system of record from week one, so the first monthly report is produced from live data rather than reconstructed.</w:t>
            </w:r>
          </w:p>
        </w:tc>
      </w:tr>
      <w:tr>
        <w:trPr>
          <w:cantSplit w:val="true"/>
        </w:trPr>
        <w:tc>
          <w:tcPr>
            <w:tcW w:w="3212" w:type="dxa"/>
            <w:vAlign w:val="center"/>
          </w:tcPr>
          <w:p>
            <w:pPr>
              <w:pStyle w:val="TableText"/>
              <w:jc w:val="left"/>
            </w:pPr>
            <w:r/>
            <w:r>
              <w:t>[Insert reason]</w:t>
            </w:r>
          </w:p>
        </w:tc>
        <w:tc>
          <w:tcPr>
            <w:tcW w:w="6426" w:type="dxa"/>
            <w:vAlign w:val="center"/>
          </w:tcPr>
          <w:p>
            <w:pPr>
              <w:pStyle w:val="TableText"/>
              <w:jc w:val="left"/>
            </w:pPr>
            <w:r/>
            <w:r>
              <w:t>[Insert the specific, checkable evidence — a named project, a number, a referee]</w:t>
            </w:r>
          </w:p>
        </w:tc>
      </w:tr>
    </w:tbl>
    <w:p>
      <w:pPr>
        <w:pStyle w:val="Note"/>
      </w:pPr>
      <w:r>
        <w:t>Example content shown in grey italic — delete before use. Keep three reasons, no more. Each one must be capable of being checked by the evaluator without asking you for anything further; a reason that cannot be checked reads as an assertion and scores nothing.</w:t>
      </w:r>
    </w:p>
    <w:p>
      <w:pPr>
        <w:pStyle w:val="Heading2"/>
      </w:pPr>
      <w:bookmarkStart w:id="9006" w:name="_Toc90006"/>
      <w:r>
        <w:t>1.2 Commercial summary</w:t>
      </w:r>
      <w:bookmarkEnd w:id="9006"/>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3671"/>
        <w:gridCol w:w="1988"/>
        <w:gridCol w:w="3979"/>
      </w:tblGrid>
      <w:tr>
        <w:trPr>
          <w:tblHeader w:val="true"/>
          <w:cantSplit w:val="true"/>
        </w:trPr>
        <w:tc>
          <w:tcPr>
            <w:tcW w:w="3671" w:type="dxa"/>
            <w:shd w:val="clear" w:color="auto" w:fill="1D3245"/>
            <w:vAlign w:val="center"/>
          </w:tcPr>
          <w:p>
            <w:pPr>
              <w:pStyle w:val="TableHeader"/>
              <w:jc w:val="left"/>
            </w:pPr>
            <w:r/>
            <w:r>
              <w:t>Item</w:t>
            </w:r>
          </w:p>
        </w:tc>
        <w:tc>
          <w:tcPr>
            <w:tcW w:w="1988" w:type="dxa"/>
            <w:shd w:val="clear" w:color="auto" w:fill="1D3245"/>
            <w:vAlign w:val="center"/>
          </w:tcPr>
          <w:p>
            <w:pPr>
              <w:pStyle w:val="TableHeader"/>
              <w:jc w:val="right"/>
            </w:pPr>
            <w:r/>
            <w:r>
              <w:t>Amount / value</w:t>
            </w:r>
          </w:p>
        </w:tc>
        <w:tc>
          <w:tcPr>
            <w:tcW w:w="3979" w:type="dxa"/>
            <w:shd w:val="clear" w:color="auto" w:fill="1D3245"/>
            <w:vAlign w:val="center"/>
          </w:tcPr>
          <w:p>
            <w:pPr>
              <w:pStyle w:val="TableHeader"/>
              <w:jc w:val="left"/>
            </w:pPr>
            <w:r/>
            <w:r>
              <w:t>Basis</w:t>
            </w:r>
          </w:p>
        </w:tc>
      </w:tr>
      <w:tr>
        <w:trPr>
          <w:cantSplit w:val="true"/>
        </w:trPr>
        <w:tc>
          <w:tcPr>
            <w:tcW w:w="3671" w:type="dxa"/>
            <w:vAlign w:val="center"/>
          </w:tcPr>
          <w:p>
            <w:pPr>
              <w:pStyle w:val="TableTextExample"/>
              <w:jc w:val="left"/>
            </w:pPr>
            <w:r/>
            <w:r>
              <w:t>Professional service fee</w:t>
            </w:r>
          </w:p>
        </w:tc>
        <w:tc>
          <w:tcPr>
            <w:tcW w:w="1988" w:type="dxa"/>
            <w:vAlign w:val="center"/>
          </w:tcPr>
          <w:p>
            <w:pPr>
              <w:pStyle w:val="TableTextExample"/>
              <w:jc w:val="right"/>
            </w:pPr>
            <w:r/>
            <w:r>
              <w:t>[CUR] 2,439,100</w:t>
            </w:r>
          </w:p>
        </w:tc>
        <w:tc>
          <w:tcPr>
            <w:tcW w:w="3979" w:type="dxa"/>
            <w:vAlign w:val="center"/>
          </w:tcPr>
          <w:p>
            <w:pPr>
              <w:pStyle w:val="TableTextExample"/>
              <w:jc w:val="left"/>
            </w:pPr>
            <w:r/>
            <w:r>
              <w:t>Lump sum, Stages 1–7, fixed for the term stated</w:t>
            </w:r>
          </w:p>
        </w:tc>
      </w:tr>
      <w:tr>
        <w:trPr>
          <w:cantSplit w:val="true"/>
        </w:trPr>
        <w:tc>
          <w:tcPr>
            <w:tcW w:w="3671" w:type="dxa"/>
            <w:vAlign w:val="center"/>
          </w:tcPr>
          <w:p>
            <w:pPr>
              <w:pStyle w:val="TableTextExample"/>
              <w:jc w:val="left"/>
            </w:pPr>
            <w:r/>
            <w:r>
              <w:t>Reimbursable expenses (allowance, at cost)</w:t>
            </w:r>
          </w:p>
        </w:tc>
        <w:tc>
          <w:tcPr>
            <w:tcW w:w="1988" w:type="dxa"/>
            <w:vAlign w:val="center"/>
          </w:tcPr>
          <w:p>
            <w:pPr>
              <w:pStyle w:val="TableTextExample"/>
              <w:jc w:val="right"/>
            </w:pPr>
            <w:r/>
            <w:r>
              <w:t>[CUR] 96,500</w:t>
            </w:r>
          </w:p>
        </w:tc>
        <w:tc>
          <w:tcPr>
            <w:tcW w:w="3979" w:type="dxa"/>
            <w:vAlign w:val="center"/>
          </w:tcPr>
          <w:p>
            <w:pPr>
              <w:pStyle w:val="TableTextExample"/>
              <w:jc w:val="left"/>
            </w:pPr>
            <w:r/>
            <w:r>
              <w:t>Provisional allowance — drawn against actual, evidenced spend</w:t>
            </w:r>
          </w:p>
        </w:tc>
      </w:tr>
      <w:tr>
        <w:trPr>
          <w:cantSplit w:val="true"/>
        </w:trPr>
        <w:tc>
          <w:tcPr>
            <w:tcW w:w="3671" w:type="dxa"/>
            <w:vAlign w:val="center"/>
          </w:tcPr>
          <w:p>
            <w:pPr>
              <w:pStyle w:val="TableTextExample"/>
              <w:jc w:val="left"/>
            </w:pPr>
            <w:r/>
            <w:r>
              <w:t>Total proposed fee (excluding taxes)</w:t>
            </w:r>
          </w:p>
        </w:tc>
        <w:tc>
          <w:tcPr>
            <w:tcW w:w="1988" w:type="dxa"/>
            <w:vAlign w:val="center"/>
          </w:tcPr>
          <w:p>
            <w:pPr>
              <w:pStyle w:val="TableTextExample"/>
              <w:jc w:val="right"/>
            </w:pPr>
            <w:r/>
            <w:r>
              <w:t>[CUR] 2,535,600</w:t>
            </w:r>
          </w:p>
        </w:tc>
        <w:tc>
          <w:tcPr>
            <w:tcW w:w="3979" w:type="dxa"/>
            <w:vAlign w:val="center"/>
          </w:tcPr>
          <w:p>
            <w:pPr>
              <w:pStyle w:val="TableTextExample"/>
              <w:jc w:val="left"/>
            </w:pPr>
            <w:r/>
            <w:r>
              <w:t>Sum of the two rows above — check the arithmetic before issue</w:t>
            </w:r>
          </w:p>
        </w:tc>
      </w:tr>
      <w:tr>
        <w:trPr>
          <w:cantSplit w:val="true"/>
        </w:trPr>
        <w:tc>
          <w:tcPr>
            <w:tcW w:w="3671" w:type="dxa"/>
            <w:vAlign w:val="center"/>
          </w:tcPr>
          <w:p>
            <w:pPr>
              <w:pStyle w:val="TableTextExample"/>
              <w:jc w:val="left"/>
            </w:pPr>
            <w:r/>
            <w:r>
              <w:t>Total as a percentage of forecast construction cost</w:t>
            </w:r>
          </w:p>
        </w:tc>
        <w:tc>
          <w:tcPr>
            <w:tcW w:w="1988" w:type="dxa"/>
            <w:vAlign w:val="center"/>
          </w:tcPr>
          <w:p>
            <w:pPr>
              <w:pStyle w:val="TableTextExample"/>
              <w:jc w:val="right"/>
            </w:pPr>
            <w:r/>
            <w:r>
              <w:t>0.52 %</w:t>
            </w:r>
          </w:p>
        </w:tc>
        <w:tc>
          <w:tcPr>
            <w:tcW w:w="3979" w:type="dxa"/>
            <w:vAlign w:val="center"/>
          </w:tcPr>
          <w:p>
            <w:pPr>
              <w:pStyle w:val="TableTextExample"/>
              <w:jc w:val="left"/>
            </w:pPr>
            <w:r/>
            <w:r>
              <w:t>Stated for comparison only; the fee is not a percentage fee</w:t>
            </w:r>
          </w:p>
        </w:tc>
      </w:tr>
      <w:tr>
        <w:trPr>
          <w:cantSplit w:val="true"/>
        </w:trPr>
        <w:tc>
          <w:tcPr>
            <w:tcW w:w="3671" w:type="dxa"/>
            <w:vAlign w:val="center"/>
          </w:tcPr>
          <w:p>
            <w:pPr>
              <w:pStyle w:val="TableTextExample"/>
              <w:jc w:val="left"/>
            </w:pPr>
            <w:r/>
            <w:r>
              <w:t>Average resourcing across the term</w:t>
            </w:r>
          </w:p>
        </w:tc>
        <w:tc>
          <w:tcPr>
            <w:tcW w:w="1988" w:type="dxa"/>
            <w:vAlign w:val="center"/>
          </w:tcPr>
          <w:p>
            <w:pPr>
              <w:pStyle w:val="TableTextExample"/>
              <w:jc w:val="right"/>
            </w:pPr>
            <w:r/>
            <w:r>
              <w:t>3.7 FTE</w:t>
            </w:r>
          </w:p>
        </w:tc>
        <w:tc>
          <w:tcPr>
            <w:tcW w:w="3979" w:type="dxa"/>
            <w:vAlign w:val="center"/>
          </w:tcPr>
          <w:p>
            <w:pPr>
              <w:pStyle w:val="TableTextExample"/>
              <w:jc w:val="left"/>
            </w:pPr>
            <w:r/>
            <w:r>
              <w:t>Peak 5.8 FTE during Stage 5 — see Section 6.3</w:t>
            </w:r>
          </w:p>
        </w:tc>
      </w:tr>
      <w:tr>
        <w:trPr>
          <w:cantSplit w:val="true"/>
        </w:trPr>
        <w:tc>
          <w:tcPr>
            <w:tcW w:w="3671" w:type="dxa"/>
            <w:vAlign w:val="center"/>
          </w:tcPr>
          <w:p>
            <w:pPr>
              <w:pStyle w:val="TableTextExample"/>
              <w:jc w:val="left"/>
            </w:pPr>
            <w:r/>
            <w:r>
              <w:t>Term of the appointment</w:t>
            </w:r>
          </w:p>
        </w:tc>
        <w:tc>
          <w:tcPr>
            <w:tcW w:w="1988" w:type="dxa"/>
            <w:vAlign w:val="center"/>
          </w:tcPr>
          <w:p>
            <w:pPr>
              <w:pStyle w:val="TableTextExample"/>
              <w:jc w:val="right"/>
            </w:pPr>
            <w:r/>
            <w:r>
              <w:t>34 months</w:t>
            </w:r>
          </w:p>
        </w:tc>
        <w:tc>
          <w:tcPr>
            <w:tcW w:w="3979" w:type="dxa"/>
            <w:vAlign w:val="center"/>
          </w:tcPr>
          <w:p>
            <w:pPr>
              <w:pStyle w:val="TableTextExample"/>
              <w:jc w:val="left"/>
            </w:pPr>
            <w:r/>
            <w:r>
              <w:t>From [DD/MM/YY] to practical completion, plus the defects liability period at the reduced rate in Section 7.6</w:t>
            </w:r>
          </w:p>
        </w:tc>
      </w:tr>
      <w:tr>
        <w:trPr>
          <w:cantSplit w:val="true"/>
        </w:trPr>
        <w:tc>
          <w:tcPr>
            <w:tcW w:w="3671" w:type="dxa"/>
            <w:vAlign w:val="center"/>
          </w:tcPr>
          <w:p>
            <w:pPr>
              <w:pStyle w:val="TableText"/>
              <w:jc w:val="left"/>
            </w:pPr>
            <w:r/>
            <w:r>
              <w:t>[Insert item]</w:t>
            </w:r>
          </w:p>
        </w:tc>
        <w:tc>
          <w:tcPr>
            <w:tcW w:w="1988" w:type="dxa"/>
            <w:vAlign w:val="center"/>
          </w:tcPr>
          <w:p>
            <w:pPr>
              <w:pStyle w:val="TableTextRight"/>
              <w:jc w:val="right"/>
            </w:pPr>
            <w:r/>
            <w:r>
              <w:t>[CUR] [0]</w:t>
            </w:r>
          </w:p>
        </w:tc>
        <w:tc>
          <w:tcPr>
            <w:tcW w:w="3979" w:type="dxa"/>
            <w:vAlign w:val="center"/>
          </w:tcPr>
          <w:p>
            <w:pPr>
              <w:pStyle w:val="TableText"/>
              <w:jc w:val="left"/>
            </w:pPr>
            <w:r/>
            <w:r>
              <w:t>[Insert basis]</w:t>
            </w:r>
          </w:p>
        </w:tc>
      </w:tr>
    </w:tbl>
    <w:p>
      <w:pPr>
        <w:pStyle w:val="Note"/>
      </w:pPr>
      <w:r>
        <w:t>Every figure in this table must reconcile exactly to the fee build-up in Section 7.1 and to the resourcing schedule in Section 6.3. A summary that does not reconcile to the detail is the most common reason a compliant offer is marked down. Example content shown in grey italic — delete before use.</w:t>
      </w:r>
    </w:p>
    <w:p>
      <w:pPr>
        <w:pStyle w:val="Heading1"/>
      </w:pPr>
      <w:bookmarkStart w:id="9007" w:name="_Toc90007"/>
      <w:r>
        <w:t>2. Understanding of the Client's Requirement</w:t>
      </w:r>
      <w:bookmarkEnd w:id="9007"/>
    </w:p>
    <w:p>
      <w:pPr>
        <w:pStyle w:val="BodyLead"/>
      </w:pPr>
      <w:r>
        <w:t>This is the section that wins or loses the appointment. An evaluator can obtain a team, a method and a price from any competent firm; what distinguishes a proposal is evidence that the bidder has read the brief, understood the constraints behind it, and identified the problems the Client has not yet articulated. Write this section from the Client's documents and from the site — not from a previous proposal.</w:t>
      </w:r>
    </w:p>
    <w:p>
      <w:pPr>
        <w:pStyle w:val="Heading2"/>
      </w:pPr>
      <w:bookmarkStart w:id="9008" w:name="_Toc90008"/>
      <w:r>
        <w:t>2.1 The project as we understand it</w:t>
      </w:r>
      <w:bookmarkEnd w:id="9008"/>
    </w:p>
    <w:p>
      <w:pPr>
        <w:pStyle w:val="Body"/>
      </w:pPr>
      <w:r>
        <w:t>Restate the project in your own words. The purpose is not to fill a page but to demonstrate comprehension and to expose any misunderstanding early, while it is still cheap to correct.</w:t>
      </w:r>
    </w:p>
    <w:p>
      <w:pPr>
        <w:pStyle w:val="Placeholder"/>
      </w:pPr>
      <w:r>
        <w:t>[Insert description — cover, as a minimum: the asset and its function; scale in gross floor area, bed numbers, kilometres, capacity or other governing metric; approved or indicative capital value and the source of that figure; the site, its ownership, access constraints, adjacencies and whether it is a live operating environment; the programme drivers and the immovable dates behind them (funding deadline, academic or clinical year, lease expiry, event, seasonal or weather window); the procurement route already decided or still open; the design status and who holds the design contracts; the governance and approval chain, including any board, committee or funding body that must approve; and the stakeholders whose consent or cooperation is on the critical path. Name the documents you have read and their revisions.]</w:t>
      </w:r>
    </w:p>
    <w:p>
      <w:pPr>
        <w:pStyle w:val="Heading2"/>
      </w:pPr>
      <w:bookmarkStart w:id="9009" w:name="_Toc90009"/>
      <w:r>
        <w:t>2.2 The Client's objectives and success criteria</w:t>
      </w:r>
      <w:bookmarkEnd w:id="9009"/>
    </w:p>
    <w:p>
      <w:pPr>
        <w:pStyle w:val="Body"/>
      </w:pPr>
      <w:r>
        <w:t>Convert the brief into measurable objectives. If an objective cannot be measured it cannot be managed, and it will not be defensible at the end of the job. Where the Client's stated objectives conflict — as cost, time and scope objectives usually do — say so here and state which one you have assumed takes precedence.</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770"/>
        <w:gridCol w:w="3373"/>
        <w:gridCol w:w="3495"/>
      </w:tblGrid>
      <w:tr>
        <w:trPr>
          <w:tblHeader w:val="true"/>
          <w:cantSplit w:val="true"/>
        </w:trPr>
        <w:tc>
          <w:tcPr>
            <w:tcW w:w="2770" w:type="dxa"/>
            <w:shd w:val="clear" w:color="auto" w:fill="1D3245"/>
            <w:vAlign w:val="center"/>
          </w:tcPr>
          <w:p>
            <w:pPr>
              <w:pStyle w:val="TableHeader"/>
              <w:jc w:val="left"/>
            </w:pPr>
            <w:r/>
            <w:r>
              <w:t>Client objective</w:t>
            </w:r>
          </w:p>
        </w:tc>
        <w:tc>
          <w:tcPr>
            <w:tcW w:w="3373" w:type="dxa"/>
            <w:shd w:val="clear" w:color="auto" w:fill="1D3245"/>
            <w:vAlign w:val="center"/>
          </w:tcPr>
          <w:p>
            <w:pPr>
              <w:pStyle w:val="TableHeader"/>
              <w:jc w:val="left"/>
            </w:pPr>
            <w:r/>
            <w:r>
              <w:t>How it will be measured</w:t>
            </w:r>
          </w:p>
        </w:tc>
        <w:tc>
          <w:tcPr>
            <w:tcW w:w="3495" w:type="dxa"/>
            <w:shd w:val="clear" w:color="auto" w:fill="1D3245"/>
            <w:vAlign w:val="center"/>
          </w:tcPr>
          <w:p>
            <w:pPr>
              <w:pStyle w:val="TableHeader"/>
              <w:jc w:val="left"/>
            </w:pPr>
            <w:r/>
            <w:r>
              <w:t>How our service delivers it</w:t>
            </w:r>
          </w:p>
        </w:tc>
      </w:tr>
      <w:tr>
        <w:trPr>
          <w:cantSplit w:val="true"/>
        </w:trPr>
        <w:tc>
          <w:tcPr>
            <w:tcW w:w="2770" w:type="dxa"/>
            <w:vAlign w:val="center"/>
          </w:tcPr>
          <w:p>
            <w:pPr>
              <w:pStyle w:val="TableTextExample"/>
              <w:jc w:val="left"/>
            </w:pPr>
            <w:r/>
            <w:r>
              <w:t>Open the inpatient building to patients by [DD/MM/YY] to release the decant of Ward Block C</w:t>
            </w:r>
          </w:p>
        </w:tc>
        <w:tc>
          <w:tcPr>
            <w:tcW w:w="3373" w:type="dxa"/>
            <w:vAlign w:val="center"/>
          </w:tcPr>
          <w:p>
            <w:pPr>
              <w:pStyle w:val="TableTextExample"/>
              <w:jc w:val="left"/>
            </w:pPr>
            <w:r/>
            <w:r>
              <w:t>Certificate of practical completion and operational commissioning sign-off achieved on or before that date; milestone tracked against a resource-loaded Level 3 programme</w:t>
            </w:r>
          </w:p>
        </w:tc>
        <w:tc>
          <w:tcPr>
            <w:tcW w:w="3495" w:type="dxa"/>
            <w:vAlign w:val="center"/>
          </w:tcPr>
          <w:p>
            <w:pPr>
              <w:pStyle w:val="TableTextExample"/>
              <w:jc w:val="left"/>
            </w:pPr>
            <w:r/>
            <w:r>
              <w:t>Independent monthly programme review, critical-path and float-erosion reporting, four-week look-ahead discipline and early-warning notices raised within five working days of a trend appearing</w:t>
            </w:r>
          </w:p>
        </w:tc>
      </w:tr>
      <w:tr>
        <w:trPr>
          <w:cantSplit w:val="true"/>
        </w:trPr>
        <w:tc>
          <w:tcPr>
            <w:tcW w:w="2770" w:type="dxa"/>
            <w:vAlign w:val="center"/>
          </w:tcPr>
          <w:p>
            <w:pPr>
              <w:pStyle w:val="TableTextExample"/>
              <w:jc w:val="left"/>
            </w:pPr>
            <w:r/>
            <w:r>
              <w:t>Deliver within the approved capital budget of [CUR] 486 m with contingency intact at handover</w:t>
            </w:r>
          </w:p>
        </w:tc>
        <w:tc>
          <w:tcPr>
            <w:tcW w:w="3373" w:type="dxa"/>
            <w:vAlign w:val="center"/>
          </w:tcPr>
          <w:p>
            <w:pPr>
              <w:pStyle w:val="TableTextExample"/>
              <w:jc w:val="left"/>
            </w:pPr>
            <w:r/>
            <w:r>
              <w:t>Forecast final cost held at or below the approved budget; contingency drawdown tracked against the risk-adjusted forecast</w:t>
            </w:r>
          </w:p>
        </w:tc>
        <w:tc>
          <w:tcPr>
            <w:tcW w:w="3495" w:type="dxa"/>
            <w:vAlign w:val="center"/>
          </w:tcPr>
          <w:p>
            <w:pPr>
              <w:pStyle w:val="TableTextExample"/>
              <w:jc w:val="left"/>
            </w:pPr>
            <w:r/>
            <w:r>
              <w:t>Cost plan reconciliation each period, commitment-based forecasting, change control with a costed impact before instruction, and contingency drawdown recommendations minuted</w:t>
            </w:r>
          </w:p>
        </w:tc>
      </w:tr>
      <w:tr>
        <w:trPr>
          <w:cantSplit w:val="true"/>
        </w:trPr>
        <w:tc>
          <w:tcPr>
            <w:tcW w:w="2770" w:type="dxa"/>
            <w:vAlign w:val="center"/>
          </w:tcPr>
          <w:p>
            <w:pPr>
              <w:pStyle w:val="TableTextExample"/>
              <w:jc w:val="left"/>
            </w:pPr>
            <w:r/>
            <w:r>
              <w:t>Maintain uninterrupted clinical operations on the adjoining campus throughout construction</w:t>
            </w:r>
          </w:p>
        </w:tc>
        <w:tc>
          <w:tcPr>
            <w:tcW w:w="3373" w:type="dxa"/>
            <w:vAlign w:val="center"/>
          </w:tcPr>
          <w:p>
            <w:pPr>
              <w:pStyle w:val="TableTextExample"/>
              <w:jc w:val="left"/>
            </w:pPr>
            <w:r/>
            <w:r>
              <w:t>Zero unplanned interruptions to clinical services; all shutdowns executed within the approved window</w:t>
            </w:r>
          </w:p>
        </w:tc>
        <w:tc>
          <w:tcPr>
            <w:tcW w:w="3495" w:type="dxa"/>
            <w:vAlign w:val="center"/>
          </w:tcPr>
          <w:p>
            <w:pPr>
              <w:pStyle w:val="TableTextExample"/>
              <w:jc w:val="left"/>
            </w:pPr>
            <w:r/>
            <w:r>
              <w:t>Interface and shutdown register, staged access plan agreed with operations, and a standing operational readiness forum chaired by the Project Manager</w:t>
            </w:r>
          </w:p>
        </w:tc>
      </w:tr>
      <w:tr>
        <w:trPr>
          <w:cantSplit w:val="true"/>
        </w:trPr>
        <w:tc>
          <w:tcPr>
            <w:tcW w:w="2770" w:type="dxa"/>
            <w:vAlign w:val="center"/>
          </w:tcPr>
          <w:p>
            <w:pPr>
              <w:pStyle w:val="TableText"/>
              <w:jc w:val="left"/>
            </w:pPr>
            <w:r/>
            <w:r>
              <w:t>[Insert objective, in the Client's language]</w:t>
            </w:r>
          </w:p>
        </w:tc>
        <w:tc>
          <w:tcPr>
            <w:tcW w:w="3373" w:type="dxa"/>
            <w:vAlign w:val="center"/>
          </w:tcPr>
          <w:p>
            <w:pPr>
              <w:pStyle w:val="TableText"/>
              <w:jc w:val="left"/>
            </w:pPr>
            <w:r/>
            <w:r>
              <w:t>[Insert the measure, the target value and the source of truth for it]</w:t>
            </w:r>
          </w:p>
        </w:tc>
        <w:tc>
          <w:tcPr>
            <w:tcW w:w="3495" w:type="dxa"/>
            <w:vAlign w:val="center"/>
          </w:tcPr>
          <w:p>
            <w:pPr>
              <w:pStyle w:val="TableText"/>
              <w:jc w:val="left"/>
            </w:pPr>
            <w:r/>
            <w:r>
              <w:t>[Insert the specific mechanism in our service that produces that measure — not a general capability statement]</w:t>
            </w:r>
          </w:p>
        </w:tc>
      </w:tr>
    </w:tbl>
    <w:p>
      <w:pPr>
        <w:pStyle w:val="Note"/>
      </w:pPr>
      <w:r>
        <w:t>Example content shown in grey italic — delete before use. Three to six objectives is the right number. Each row must be traceable to a sentence in the Client's brief; if you cannot point to the sentence, you have invented the objective.</w:t>
      </w:r>
    </w:p>
    <w:p>
      <w:pPr>
        <w:pStyle w:val="Heading2"/>
      </w:pPr>
      <w:bookmarkStart w:id="9010" w:name="_Toc90010"/>
      <w:r>
        <w:t>2.3 Delivery challenges we have identified</w:t>
      </w:r>
      <w:bookmarkEnd w:id="9010"/>
    </w:p>
    <w:p>
      <w:pPr>
        <w:pStyle w:val="Body"/>
      </w:pPr>
      <w:r>
        <w:t>Name the difficulties honestly. A proposal that presents a project as straightforward tells the evaluator either that the bidder has not looked or that it will discover the problems later, at the Client's expense. For each challenge, state why it matters in cost, time or operational terms and what we will actually do — an action, with an owner and a timing, not an intention.</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650"/>
        <w:gridCol w:w="3252"/>
        <w:gridCol w:w="3736"/>
      </w:tblGrid>
      <w:tr>
        <w:trPr>
          <w:tblHeader w:val="true"/>
          <w:cantSplit w:val="true"/>
        </w:trPr>
        <w:tc>
          <w:tcPr>
            <w:tcW w:w="2650" w:type="dxa"/>
            <w:shd w:val="clear" w:color="auto" w:fill="1D3245"/>
            <w:vAlign w:val="center"/>
          </w:tcPr>
          <w:p>
            <w:pPr>
              <w:pStyle w:val="TableHeader"/>
              <w:jc w:val="left"/>
            </w:pPr>
            <w:r/>
            <w:r>
              <w:t>Challenge</w:t>
            </w:r>
          </w:p>
        </w:tc>
        <w:tc>
          <w:tcPr>
            <w:tcW w:w="3252" w:type="dxa"/>
            <w:shd w:val="clear" w:color="auto" w:fill="1D3245"/>
            <w:vAlign w:val="center"/>
          </w:tcPr>
          <w:p>
            <w:pPr>
              <w:pStyle w:val="TableHeader"/>
              <w:jc w:val="left"/>
            </w:pPr>
            <w:r/>
            <w:r>
              <w:t>Why it matters</w:t>
            </w:r>
          </w:p>
        </w:tc>
        <w:tc>
          <w:tcPr>
            <w:tcW w:w="3736" w:type="dxa"/>
            <w:shd w:val="clear" w:color="auto" w:fill="1D3245"/>
            <w:vAlign w:val="center"/>
          </w:tcPr>
          <w:p>
            <w:pPr>
              <w:pStyle w:val="TableHeader"/>
              <w:jc w:val="left"/>
            </w:pPr>
            <w:r/>
            <w:r>
              <w:t>Our response</w:t>
            </w:r>
          </w:p>
        </w:tc>
      </w:tr>
      <w:tr>
        <w:trPr>
          <w:cantSplit w:val="true"/>
        </w:trPr>
        <w:tc>
          <w:tcPr>
            <w:tcW w:w="2650" w:type="dxa"/>
            <w:vAlign w:val="center"/>
          </w:tcPr>
          <w:p>
            <w:pPr>
              <w:pStyle w:val="TableTextExample"/>
              <w:jc w:val="left"/>
            </w:pPr>
            <w:r/>
            <w:r>
              <w:t>Long-lead electrical and medical gas plant in a constrained global supply market</w:t>
            </w:r>
          </w:p>
        </w:tc>
        <w:tc>
          <w:tcPr>
            <w:tcW w:w="3252" w:type="dxa"/>
            <w:vAlign w:val="center"/>
          </w:tcPr>
          <w:p>
            <w:pPr>
              <w:pStyle w:val="TableTextExample"/>
              <w:jc w:val="left"/>
            </w:pPr>
            <w:r/>
            <w:r>
              <w:t>Switchgear and isolation plant sit on the energisation path; a six-week slip in delivery converts directly into a six-week slip in commissioning and in the opening date</w:t>
            </w:r>
          </w:p>
        </w:tc>
        <w:tc>
          <w:tcPr>
            <w:tcW w:w="3736" w:type="dxa"/>
            <w:vAlign w:val="center"/>
          </w:tcPr>
          <w:p>
            <w:pPr>
              <w:pStyle w:val="TableTextExample"/>
              <w:jc w:val="left"/>
            </w:pPr>
            <w:r/>
            <w:r>
              <w:t>Procure long-lead items as an early works package before the main trade award; expedite weekly against a named supplier contact; hold a qualified alternate supplier and report float on the energisation path in every monthly report</w:t>
            </w:r>
          </w:p>
        </w:tc>
      </w:tr>
      <w:tr>
        <w:trPr>
          <w:cantSplit w:val="true"/>
        </w:trPr>
        <w:tc>
          <w:tcPr>
            <w:tcW w:w="2650" w:type="dxa"/>
            <w:vAlign w:val="center"/>
          </w:tcPr>
          <w:p>
            <w:pPr>
              <w:pStyle w:val="TableTextExample"/>
              <w:jc w:val="left"/>
            </w:pPr>
            <w:r/>
            <w:r>
              <w:t>Construction adjacent to a live acute campus with continuous emergency access</w:t>
            </w:r>
          </w:p>
        </w:tc>
        <w:tc>
          <w:tcPr>
            <w:tcW w:w="3252" w:type="dxa"/>
            <w:vAlign w:val="center"/>
          </w:tcPr>
          <w:p>
            <w:pPr>
              <w:pStyle w:val="TableTextExample"/>
              <w:jc w:val="left"/>
            </w:pPr>
            <w:r/>
            <w:r>
              <w:t>A single blocked ambulance route is a clinical incident, not a programme issue, and will stop the works</w:t>
            </w:r>
          </w:p>
        </w:tc>
        <w:tc>
          <w:tcPr>
            <w:tcW w:w="3736" w:type="dxa"/>
            <w:vAlign w:val="center"/>
          </w:tcPr>
          <w:p>
            <w:pPr>
              <w:pStyle w:val="TableTextExample"/>
              <w:jc w:val="left"/>
            </w:pPr>
            <w:r/>
            <w:r>
              <w:t>Traffic and access management plan agreed with clinical operations before mobilisation; permit-to-work regime for any work affecting access routes; monthly operational interface forum with the campus facilities lead</w:t>
            </w:r>
          </w:p>
        </w:tc>
      </w:tr>
      <w:tr>
        <w:trPr>
          <w:cantSplit w:val="true"/>
        </w:trPr>
        <w:tc>
          <w:tcPr>
            <w:tcW w:w="2650" w:type="dxa"/>
            <w:vAlign w:val="center"/>
          </w:tcPr>
          <w:p>
            <w:pPr>
              <w:pStyle w:val="TableTextExample"/>
              <w:jc w:val="left"/>
            </w:pPr>
            <w:r/>
            <w:r>
              <w:t>Design documentation at concept stage against a fixed funding deadline</w:t>
            </w:r>
          </w:p>
        </w:tc>
        <w:tc>
          <w:tcPr>
            <w:tcW w:w="3252" w:type="dxa"/>
            <w:vAlign w:val="center"/>
          </w:tcPr>
          <w:p>
            <w:pPr>
              <w:pStyle w:val="TableTextExample"/>
              <w:jc w:val="left"/>
            </w:pPr>
            <w:r/>
            <w:r>
              <w:t>Tendering on incomplete documentation transfers priced risk back to the Client through provisional sums and later claims</w:t>
            </w:r>
          </w:p>
        </w:tc>
        <w:tc>
          <w:tcPr>
            <w:tcW w:w="3736" w:type="dxa"/>
            <w:vAlign w:val="center"/>
          </w:tcPr>
          <w:p>
            <w:pPr>
              <w:pStyle w:val="TableTextExample"/>
              <w:jc w:val="left"/>
            </w:pPr>
            <w:r/>
            <w:r>
              <w:t>Design deliverables schedule with hold dates aligned to the procurement programme; documentation completeness audit before each tender release; recommendation on trade package staging so early packages are let on complete information</w:t>
            </w:r>
          </w:p>
        </w:tc>
      </w:tr>
      <w:tr>
        <w:trPr>
          <w:cantSplit w:val="true"/>
        </w:trPr>
        <w:tc>
          <w:tcPr>
            <w:tcW w:w="2650" w:type="dxa"/>
            <w:vAlign w:val="center"/>
          </w:tcPr>
          <w:p>
            <w:pPr>
              <w:pStyle w:val="TableText"/>
              <w:jc w:val="left"/>
            </w:pPr>
            <w:r/>
            <w:r>
              <w:t>[Insert challenge — be specific to this project and this site]</w:t>
            </w:r>
          </w:p>
        </w:tc>
        <w:tc>
          <w:tcPr>
            <w:tcW w:w="3252" w:type="dxa"/>
            <w:vAlign w:val="center"/>
          </w:tcPr>
          <w:p>
            <w:pPr>
              <w:pStyle w:val="TableText"/>
              <w:jc w:val="left"/>
            </w:pPr>
            <w:r/>
            <w:r>
              <w:t>[Insert the consequence, quantified in days, [CUR] or operational impact wherever it can be]</w:t>
            </w:r>
          </w:p>
        </w:tc>
        <w:tc>
          <w:tcPr>
            <w:tcW w:w="3736" w:type="dxa"/>
            <w:vAlign w:val="center"/>
          </w:tcPr>
          <w:p>
            <w:pPr>
              <w:pStyle w:val="TableText"/>
              <w:jc w:val="left"/>
            </w:pPr>
            <w:r/>
            <w:r>
              <w:t>[Insert the action, the owner and when it happens]</w:t>
            </w:r>
          </w:p>
        </w:tc>
      </w:tr>
    </w:tbl>
    <w:p>
      <w:pPr>
        <w:pStyle w:val="Note"/>
      </w:pPr>
      <w:r>
        <w:t>Example content shown in grey italic — delete before use. Four to six challenges. Do not include a challenge you have no answer to, and do not disguise a commercial qualification as a challenge — qualifications belong in Section 4.</w:t>
      </w:r>
    </w:p>
    <w:p>
      <w:pPr>
        <w:pStyle w:val="Heading2"/>
      </w:pPr>
      <w:bookmarkStart w:id="9011" w:name="_Toc90011"/>
      <w:r>
        <w:t>2.4 Assumptions we have made about the brief</w:t>
      </w:r>
      <w:bookmarkEnd w:id="9011"/>
    </w:p>
    <w:p>
      <w:pPr>
        <w:pStyle w:val="Body"/>
      </w:pPr>
      <w:r>
        <w:t>These assumptions are the foundation of the fee and the resourcing. They are offered so the Client can correct them during evaluation rather than argue about them after appointment. If an assumption is not accepted, we will reprice the affected part of the service before contract.</w:t>
      </w:r>
    </w:p>
    <w:p>
      <w:pPr>
        <w:pStyle w:val="BodyBullet"/>
      </w:pPr>
      <w:r>
        <w:rPr>
          <w:color w:val="3480BC"/>
        </w:rPr>
        <w:t xml:space="preserve">—   </w:t>
      </w:r>
      <w:r>
        <w:t>The scope, capital value and programme are as stated in [insert document reference and revision]; a material change to any of them is a change to our service under Section 7.7.</w:t>
      </w:r>
    </w:p>
    <w:p>
      <w:pPr>
        <w:pStyle w:val="BodyBullet"/>
      </w:pPr>
      <w:r>
        <w:rPr>
          <w:color w:val="3480BC"/>
        </w:rPr>
        <w:t xml:space="preserve">—   </w:t>
      </w:r>
      <w:r>
        <w:t>The construction contract will be [insert intended form — for example a lump sum design and construct, construction management, or a target-cost form based on NEC, FIDIC or JCT], administered by [insert who acts as Superintendent / Contract Administrator].</w:t>
      </w:r>
    </w:p>
    <w:p>
      <w:pPr>
        <w:pStyle w:val="BodyBullet"/>
      </w:pPr>
      <w:r>
        <w:rPr>
          <w:color w:val="3480BC"/>
        </w:rPr>
        <w:t xml:space="preserve">—   </w:t>
      </w:r>
      <w:r>
        <w:t>The Client will appoint the design consultants directly; we coordinate and manage them but do not novate, hold or warrant their appointments.</w:t>
      </w:r>
    </w:p>
    <w:p>
      <w:pPr>
        <w:pStyle w:val="BodyBullet"/>
      </w:pPr>
      <w:r>
        <w:rPr>
          <w:color w:val="3480BC"/>
        </w:rPr>
        <w:t xml:space="preserve">—   </w:t>
      </w:r>
      <w:r>
        <w:t>The Client will nominate a single authorised representative with delegated authority to instruct us and to make the decisions allocated to it in Sections 3.1 and 3.3.</w:t>
      </w:r>
    </w:p>
    <w:p>
      <w:pPr>
        <w:pStyle w:val="BodyBullet"/>
      </w:pPr>
      <w:r>
        <w:rPr>
          <w:color w:val="3480BC"/>
        </w:rPr>
        <w:t xml:space="preserve">—   </w:t>
      </w:r>
      <w:r>
        <w:t>Statutory approvals will be applied for in the Client's name, with our support in preparing and tracking submissions.</w:t>
      </w:r>
    </w:p>
    <w:p>
      <w:pPr>
        <w:pStyle w:val="BodyBullet"/>
      </w:pPr>
      <w:r>
        <w:rPr>
          <w:color w:val="3480BC"/>
        </w:rPr>
        <w:t xml:space="preserve">—   </w:t>
      </w:r>
      <w:r>
        <w:t>The service is priced for [00] months from the assumed commencement date on the cover; the programme in Section 8 assumes that date.</w:t>
      </w:r>
    </w:p>
    <w:p>
      <w:pPr>
        <w:pStyle w:val="BodyBullet"/>
      </w:pPr>
      <w:r>
        <w:rPr>
          <w:color w:val="3480BC"/>
        </w:rPr>
        <w:t xml:space="preserve">—   </w:t>
      </w:r>
      <w:r>
        <w:t>Site supervision is provided at the allowance stated in Section 3.2 and Section 4; hours beyond that allowance are additional services.</w:t>
      </w:r>
    </w:p>
    <w:p>
      <w:pPr>
        <w:pStyle w:val="BodyBullet"/>
      </w:pPr>
      <w:r>
        <w:rPr>
          <w:color w:val="3480BC"/>
        </w:rPr>
        <w:t xml:space="preserve">—   </w:t>
      </w:r>
      <w:r>
        <w:t>Meetings and workshops are held at [insert location] or by video conference; travel beyond [insert radius or region] is reimbursable.</w:t>
      </w:r>
    </w:p>
    <w:p>
      <w:pPr>
        <w:pStyle w:val="BodyBullet"/>
      </w:pPr>
      <w:r>
        <w:rPr>
          <w:color w:val="3480BC"/>
        </w:rPr>
        <w:t xml:space="preserve">—   </w:t>
      </w:r>
      <w:r>
        <w:t>Documents are exchanged in the Client's nominated information environment; if none is nominated, in ours, at no additional cost.</w:t>
      </w:r>
    </w:p>
    <w:p>
      <w:pPr>
        <w:pStyle w:val="BodyBullet"/>
      </w:pPr>
      <w:r>
        <w:rPr>
          <w:color w:val="3480BC"/>
        </w:rPr>
        <w:t xml:space="preserve">—   </w:t>
      </w:r>
      <w:r>
        <w:t>[Insert any further assumption that carries a price — record it here or you will absorb it]</w:t>
      </w:r>
    </w:p>
    <w:tbl>
      <w:tblPr>
        <w:tblLook w:firstColumn="1" w:firstRow="1" w:lastColumn="0" w:lastRow="0" w:noHBand="0" w:noVBand="1" w:val="04A0"/>
        <w:tblLayout w:type="fixed"/>
        <w:tblW w:w="9638" w:type="dxa"/>
        <w:tblInd w:w="0" w:type="dxa"/>
        <w:tblCellMar>
          <w:top w:w="110" w:type="dxa"/>
          <w:left w:w="170" w:type="dxa"/>
          <w:bottom w:w="110" w:type="dxa"/>
          <w:right w:w="170" w:type="dxa"/>
        </w:tblCellMar>
      </w:tblPr>
      <w:tblGrid>
        <w:gridCol w:w="9638"/>
      </w:tblGrid>
      <w:tr>
        <w:trPr>
          <w:cantSplit/>
        </w:trPr>
        <w:tc>
          <w:tcPr>
            <w:tcW w:w="9638" w:type="dxa"/>
            <w:shd w:val="clear" w:color="auto" w:fill="F6F9FC"/>
            <w:tcBorders>
              <w:left w:val="single" w:sz="4" w:space="0" w:color="3480BC"/>
            </w:tcBorders>
          </w:tcPr>
          <w:p>
            <w:pPr>
              <w:pStyle w:val="Body"/>
            </w:pPr>
            <w:r/>
            <w:r>
              <w:t>Test for this section: hand it to a colleague who has not read the Client's brief. If they can describe the project, its deadline and its principal risk after reading these four pages, the section is complete. If they cannot, no amount of methodology later in the document will recover the score.</w:t>
            </w:r>
          </w:p>
        </w:tc>
      </w:tr>
    </w:tbl>
    <w:p>
      <w:pPr>
        <w:spacing w:before="0" w:after="0" w:line="160" w:lineRule="exact"/>
      </w:pPr>
    </w:p>
    <w:p>
      <w:pPr>
        <w:pStyle w:val="Heading1"/>
      </w:pPr>
      <w:bookmarkStart w:id="9012" w:name="_Toc90012"/>
      <w:r>
        <w:t>3. Scope of Services</w:t>
      </w:r>
      <w:bookmarkEnd w:id="9012"/>
    </w:p>
    <w:p>
      <w:pPr>
        <w:pStyle w:val="BodyLead"/>
      </w:pPr>
      <w:r>
        <w:t>This is the operative section of the proposal — it becomes the scope schedule of the appointment. Every line must be something a reasonable person can tell has or has not been done. Avoid 'assist with', 'oversee' and 'support' unless the sentence also says who is accountable for the outcome; those verbs are the origin of most scope disputes on professional appointments.</w:t>
      </w:r>
    </w:p>
    <w:p>
      <w:pPr>
        <w:pStyle w:val="Heading2"/>
      </w:pPr>
      <w:bookmarkStart w:id="9013" w:name="_Toc90013"/>
      <w:r>
        <w:t>3.1 Services by project stage</w:t>
      </w:r>
      <w:bookmarkEnd w:id="9013"/>
    </w:p>
    <w:p>
      <w:pPr>
        <w:pStyle w:val="Body"/>
      </w:pPr>
      <w:r>
        <w:t>The stages below are neutral to any single national plan of work and map readily onto the RIBA Plan of Work, ISO 21502 life-cycle phases or a client-specific gateway model. Delete any stage that is outside this appointment and renumber; do not leave a stage in the table with the words 'not applicable', because it will later be argued that it was included.</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624"/>
        <w:gridCol w:w="2707"/>
        <w:gridCol w:w="1949"/>
        <w:gridCol w:w="1949"/>
        <w:gridCol w:w="1409"/>
      </w:tblGrid>
      <w:tr>
        <w:trPr>
          <w:tblHeader w:val="true"/>
          <w:cantSplit w:val="true"/>
        </w:trPr>
        <w:tc>
          <w:tcPr>
            <w:tcW w:w="1624" w:type="dxa"/>
            <w:shd w:val="clear" w:color="auto" w:fill="1D3245"/>
            <w:vAlign w:val="center"/>
          </w:tcPr>
          <w:p>
            <w:pPr>
              <w:pStyle w:val="TableHeader"/>
              <w:jc w:val="left"/>
            </w:pPr>
            <w:r/>
            <w:r>
              <w:t>Stage</w:t>
            </w:r>
          </w:p>
        </w:tc>
        <w:tc>
          <w:tcPr>
            <w:tcW w:w="2707" w:type="dxa"/>
            <w:shd w:val="clear" w:color="auto" w:fill="1D3245"/>
            <w:vAlign w:val="center"/>
          </w:tcPr>
          <w:p>
            <w:pPr>
              <w:pStyle w:val="TableHeader"/>
              <w:jc w:val="left"/>
            </w:pPr>
            <w:r/>
            <w:r>
              <w:t>Our services</w:t>
            </w:r>
          </w:p>
        </w:tc>
        <w:tc>
          <w:tcPr>
            <w:tcW w:w="1949" w:type="dxa"/>
            <w:shd w:val="clear" w:color="auto" w:fill="1D3245"/>
            <w:vAlign w:val="center"/>
          </w:tcPr>
          <w:p>
            <w:pPr>
              <w:pStyle w:val="TableHeader"/>
              <w:jc w:val="left"/>
            </w:pPr>
            <w:r/>
            <w:r>
              <w:t>Client responsibilities</w:t>
            </w:r>
          </w:p>
        </w:tc>
        <w:tc>
          <w:tcPr>
            <w:tcW w:w="1949" w:type="dxa"/>
            <w:shd w:val="clear" w:color="auto" w:fill="1D3245"/>
            <w:vAlign w:val="center"/>
          </w:tcPr>
          <w:p>
            <w:pPr>
              <w:pStyle w:val="TableHeader"/>
              <w:jc w:val="left"/>
            </w:pPr>
            <w:r/>
            <w:r>
              <w:t>Key deliverables</w:t>
            </w:r>
          </w:p>
        </w:tc>
        <w:tc>
          <w:tcPr>
            <w:tcW w:w="1409" w:type="dxa"/>
            <w:shd w:val="clear" w:color="auto" w:fill="1D3245"/>
            <w:vAlign w:val="center"/>
          </w:tcPr>
          <w:p>
            <w:pPr>
              <w:pStyle w:val="TableHeader"/>
              <w:jc w:val="left"/>
            </w:pPr>
            <w:r/>
            <w:r>
              <w:t>Stage output</w:t>
            </w:r>
          </w:p>
        </w:tc>
      </w:tr>
      <w:tr>
        <w:trPr>
          <w:cantSplit w:val="true"/>
        </w:trPr>
        <w:tc>
          <w:tcPr>
            <w:tcW w:w="1624" w:type="dxa"/>
            <w:vAlign w:val="center"/>
          </w:tcPr>
          <w:p>
            <w:pPr>
              <w:pStyle w:val="TableText"/>
              <w:jc w:val="left"/>
            </w:pPr>
            <w:r/>
            <w:r>
              <w:t>1. Inception and business case</w:t>
            </w:r>
          </w:p>
        </w:tc>
        <w:tc>
          <w:tcPr>
            <w:tcW w:w="2707" w:type="dxa"/>
            <w:vAlign w:val="center"/>
          </w:tcPr>
          <w:p>
            <w:pPr>
              <w:pStyle w:val="TableText"/>
              <w:jc w:val="left"/>
            </w:pPr>
            <w:r/>
            <w:r>
              <w:t>Confirm the brief and success criteria; establish project governance, delegations and the controls baseline; set up the cost plan structure, risk register and reporting cycle; advise on the delivery and procurement strategy; prepare the project execution plan</w:t>
            </w:r>
          </w:p>
        </w:tc>
        <w:tc>
          <w:tcPr>
            <w:tcW w:w="1949" w:type="dxa"/>
            <w:vAlign w:val="center"/>
          </w:tcPr>
          <w:p>
            <w:pPr>
              <w:pStyle w:val="TableText"/>
              <w:jc w:val="left"/>
            </w:pPr>
            <w:r/>
            <w:r>
              <w:t>Provide the brief, budget, funding approvals and site information; nominate the authorised representative; approve the project execution plan</w:t>
            </w:r>
          </w:p>
        </w:tc>
        <w:tc>
          <w:tcPr>
            <w:tcW w:w="1949" w:type="dxa"/>
            <w:vAlign w:val="center"/>
          </w:tcPr>
          <w:p>
            <w:pPr>
              <w:pStyle w:val="TableText"/>
              <w:jc w:val="left"/>
            </w:pPr>
            <w:r/>
            <w:r>
              <w:t>Project execution plan; controls baseline; initial risk register; procurement strategy paper; governance and reporting calendar</w:t>
            </w:r>
          </w:p>
        </w:tc>
        <w:tc>
          <w:tcPr>
            <w:tcW w:w="1409" w:type="dxa"/>
            <w:vAlign w:val="center"/>
          </w:tcPr>
          <w:p>
            <w:pPr>
              <w:pStyle w:val="TableText"/>
              <w:jc w:val="left"/>
            </w:pPr>
            <w:r/>
            <w:r>
              <w:t>Governance in place; baseline approved; gateway decision to proceed to feasibility</w:t>
            </w:r>
          </w:p>
        </w:tc>
      </w:tr>
      <w:tr>
        <w:trPr>
          <w:cantSplit w:val="true"/>
        </w:trPr>
        <w:tc>
          <w:tcPr>
            <w:tcW w:w="1624" w:type="dxa"/>
            <w:vAlign w:val="center"/>
          </w:tcPr>
          <w:p>
            <w:pPr>
              <w:pStyle w:val="TableText"/>
              <w:jc w:val="left"/>
            </w:pPr>
            <w:r/>
            <w:r>
              <w:t>2. Feasibility and options</w:t>
            </w:r>
          </w:p>
        </w:tc>
        <w:tc>
          <w:tcPr>
            <w:tcW w:w="2707" w:type="dxa"/>
            <w:vAlign w:val="center"/>
          </w:tcPr>
          <w:p>
            <w:pPr>
              <w:pStyle w:val="TableText"/>
              <w:jc w:val="left"/>
            </w:pPr>
            <w:r/>
            <w:r>
              <w:t>Manage the options study; test each option against budget, programme and operational criteria; prepare comparative cost and programme assessments; run value management; recommend the preferred option</w:t>
            </w:r>
          </w:p>
        </w:tc>
        <w:tc>
          <w:tcPr>
            <w:tcW w:w="1949" w:type="dxa"/>
            <w:vAlign w:val="center"/>
          </w:tcPr>
          <w:p>
            <w:pPr>
              <w:pStyle w:val="TableText"/>
              <w:jc w:val="left"/>
            </w:pPr>
            <w:r/>
            <w:r>
              <w:t>Provide operational and functional input; confirm affordability limits; endorse the preferred option</w:t>
            </w:r>
          </w:p>
        </w:tc>
        <w:tc>
          <w:tcPr>
            <w:tcW w:w="1949" w:type="dxa"/>
            <w:vAlign w:val="center"/>
          </w:tcPr>
          <w:p>
            <w:pPr>
              <w:pStyle w:val="TableText"/>
              <w:jc w:val="left"/>
            </w:pPr>
            <w:r/>
            <w:r>
              <w:t>Options assessment report; order-of-cost estimate by option; indicative Level 1 programme; value management report</w:t>
            </w:r>
          </w:p>
        </w:tc>
        <w:tc>
          <w:tcPr>
            <w:tcW w:w="1409" w:type="dxa"/>
            <w:vAlign w:val="center"/>
          </w:tcPr>
          <w:p>
            <w:pPr>
              <w:pStyle w:val="TableText"/>
              <w:jc w:val="left"/>
            </w:pPr>
            <w:r/>
            <w:r>
              <w:t>Preferred option endorsed; budget and programme envelope confirmed</w:t>
            </w:r>
          </w:p>
        </w:tc>
      </w:tr>
      <w:tr>
        <w:trPr>
          <w:cantSplit w:val="true"/>
        </w:trPr>
        <w:tc>
          <w:tcPr>
            <w:tcW w:w="1624" w:type="dxa"/>
            <w:vAlign w:val="center"/>
          </w:tcPr>
          <w:p>
            <w:pPr>
              <w:pStyle w:val="TableText"/>
              <w:jc w:val="left"/>
            </w:pPr>
            <w:r/>
            <w:r>
              <w:t>3. Design development</w:t>
            </w:r>
          </w:p>
        </w:tc>
        <w:tc>
          <w:tcPr>
            <w:tcW w:w="2707" w:type="dxa"/>
            <w:vAlign w:val="center"/>
          </w:tcPr>
          <w:p>
            <w:pPr>
              <w:pStyle w:val="TableText"/>
              <w:jc w:val="left"/>
            </w:pPr>
            <w:r/>
            <w:r>
              <w:t>Manage the design programme and consultant deliverables; chair design coordination; run design reviews at each stage gate; maintain the cost plan against the design; manage design change; coordinate authority and stakeholder input</w:t>
            </w:r>
          </w:p>
        </w:tc>
        <w:tc>
          <w:tcPr>
            <w:tcW w:w="1949" w:type="dxa"/>
            <w:vAlign w:val="center"/>
          </w:tcPr>
          <w:p>
            <w:pPr>
              <w:pStyle w:val="TableText"/>
              <w:jc w:val="left"/>
            </w:pPr>
            <w:r/>
            <w:r>
              <w:t>Approve the design at each gate within the agreed review period; provide operational sign-off; fund approved changes</w:t>
            </w:r>
          </w:p>
        </w:tc>
        <w:tc>
          <w:tcPr>
            <w:tcW w:w="1949" w:type="dxa"/>
            <w:vAlign w:val="center"/>
          </w:tcPr>
          <w:p>
            <w:pPr>
              <w:pStyle w:val="TableText"/>
              <w:jc w:val="left"/>
            </w:pPr>
            <w:r/>
            <w:r>
              <w:t>Design deliverables schedule; stage design reports; updated cost plan and reconciliation; design change register; approvals tracker</w:t>
            </w:r>
          </w:p>
        </w:tc>
        <w:tc>
          <w:tcPr>
            <w:tcW w:w="1409" w:type="dxa"/>
            <w:vAlign w:val="center"/>
          </w:tcPr>
          <w:p>
            <w:pPr>
              <w:pStyle w:val="TableText"/>
              <w:jc w:val="left"/>
            </w:pPr>
            <w:r/>
            <w:r>
              <w:t>Design frozen for tender; cost plan reconciled to the design; gateway decision to procure</w:t>
            </w:r>
          </w:p>
        </w:tc>
      </w:tr>
      <w:tr>
        <w:trPr>
          <w:cantSplit w:val="true"/>
        </w:trPr>
        <w:tc>
          <w:tcPr>
            <w:tcW w:w="1624" w:type="dxa"/>
            <w:vAlign w:val="center"/>
          </w:tcPr>
          <w:p>
            <w:pPr>
              <w:pStyle w:val="TableText"/>
              <w:jc w:val="left"/>
            </w:pPr>
            <w:r/>
            <w:r>
              <w:t>4. Procurement and tendering</w:t>
            </w:r>
          </w:p>
        </w:tc>
        <w:tc>
          <w:tcPr>
            <w:tcW w:w="2707" w:type="dxa"/>
            <w:vAlign w:val="center"/>
          </w:tcPr>
          <w:p>
            <w:pPr>
              <w:pStyle w:val="TableText"/>
              <w:jc w:val="left"/>
            </w:pPr>
            <w:r/>
            <w:r>
              <w:t>Prepare the procurement plan and packaging strategy; assemble tender documents with the Client's legal and design advisers; manage the tender process, queries and addenda; evaluate tenders commercially and technically; negotiate and recommend award; support contract execution</w:t>
            </w:r>
          </w:p>
        </w:tc>
        <w:tc>
          <w:tcPr>
            <w:tcW w:w="1949" w:type="dxa"/>
            <w:vAlign w:val="center"/>
          </w:tcPr>
          <w:p>
            <w:pPr>
              <w:pStyle w:val="TableText"/>
              <w:jc w:val="left"/>
            </w:pPr>
            <w:r/>
            <w:r>
              <w:t>Approve the procurement plan and tender list; provide contract terms and legal review; approve the award recommendation and execute the contract</w:t>
            </w:r>
          </w:p>
        </w:tc>
        <w:tc>
          <w:tcPr>
            <w:tcW w:w="1949" w:type="dxa"/>
            <w:vAlign w:val="center"/>
          </w:tcPr>
          <w:p>
            <w:pPr>
              <w:pStyle w:val="TableText"/>
              <w:jc w:val="left"/>
            </w:pPr>
            <w:r/>
            <w:r>
              <w:t>Procurement plan; tender documentation register; tender evaluation report; award recommendation; executed contract set</w:t>
            </w:r>
          </w:p>
        </w:tc>
        <w:tc>
          <w:tcPr>
            <w:tcW w:w="1409" w:type="dxa"/>
            <w:vAlign w:val="center"/>
          </w:tcPr>
          <w:p>
            <w:pPr>
              <w:pStyle w:val="TableText"/>
              <w:jc w:val="left"/>
            </w:pPr>
            <w:r/>
            <w:r>
              <w:t>Contracts awarded within budget; contractor mobilised</w:t>
            </w:r>
          </w:p>
        </w:tc>
      </w:tr>
      <w:tr>
        <w:trPr>
          <w:cantSplit w:val="true"/>
        </w:trPr>
        <w:tc>
          <w:tcPr>
            <w:tcW w:w="1624" w:type="dxa"/>
            <w:vAlign w:val="center"/>
          </w:tcPr>
          <w:p>
            <w:pPr>
              <w:pStyle w:val="TableText"/>
              <w:jc w:val="left"/>
            </w:pPr>
            <w:r/>
            <w:r>
              <w:t>5. Construction delivery</w:t>
            </w:r>
          </w:p>
        </w:tc>
        <w:tc>
          <w:tcPr>
            <w:tcW w:w="2707" w:type="dxa"/>
            <w:vAlign w:val="center"/>
          </w:tcPr>
          <w:p>
            <w:pPr>
              <w:pStyle w:val="TableText"/>
              <w:jc w:val="left"/>
            </w:pPr>
            <w:r/>
            <w:r>
              <w:t>Administer the project controls cycle; chair the site and control meetings; monitor and report programme, cost, risk, quality, HSE and change; assess and process claims for payment and time in support of the Superintendent / Contract Administrator; manage the Client's interfaces, separable portions and direct contracts; maintain the approvals register</w:t>
            </w:r>
          </w:p>
        </w:tc>
        <w:tc>
          <w:tcPr>
            <w:tcW w:w="1949" w:type="dxa"/>
            <w:vAlign w:val="center"/>
          </w:tcPr>
          <w:p>
            <w:pPr>
              <w:pStyle w:val="TableText"/>
              <w:jc w:val="left"/>
            </w:pPr>
            <w:r/>
            <w:r>
              <w:t>Attend the governance forums; make decisions within the agreed turnaround; certify and pay in accordance with the contract; instruct changes through the change control process only</w:t>
            </w:r>
          </w:p>
        </w:tc>
        <w:tc>
          <w:tcPr>
            <w:tcW w:w="1949" w:type="dxa"/>
            <w:vAlign w:val="center"/>
          </w:tcPr>
          <w:p>
            <w:pPr>
              <w:pStyle w:val="TableText"/>
              <w:jc w:val="left"/>
            </w:pPr>
            <w:r/>
            <w:r>
              <w:t>Monthly project report; updated cost report and forecast; programme assessment; risk and change registers; claim assessments; decision and action registers</w:t>
            </w:r>
          </w:p>
        </w:tc>
        <w:tc>
          <w:tcPr>
            <w:tcW w:w="1409" w:type="dxa"/>
            <w:vAlign w:val="center"/>
          </w:tcPr>
          <w:p>
            <w:pPr>
              <w:pStyle w:val="TableText"/>
              <w:jc w:val="left"/>
            </w:pPr>
            <w:r/>
            <w:r>
              <w:t>Works completed to the approved cost, programme and quality baseline</w:t>
            </w:r>
          </w:p>
        </w:tc>
      </w:tr>
      <w:tr>
        <w:trPr>
          <w:cantSplit w:val="true"/>
        </w:trPr>
        <w:tc>
          <w:tcPr>
            <w:tcW w:w="1624" w:type="dxa"/>
            <w:vAlign w:val="center"/>
          </w:tcPr>
          <w:p>
            <w:pPr>
              <w:pStyle w:val="TableText"/>
              <w:jc w:val="left"/>
            </w:pPr>
            <w:r/>
            <w:r>
              <w:t>6. Commissioning and handover</w:t>
            </w:r>
          </w:p>
        </w:tc>
        <w:tc>
          <w:tcPr>
            <w:tcW w:w="2707" w:type="dxa"/>
            <w:vAlign w:val="center"/>
          </w:tcPr>
          <w:p>
            <w:pPr>
              <w:pStyle w:val="TableText"/>
              <w:jc w:val="left"/>
            </w:pPr>
            <w:r/>
            <w:r>
              <w:t>Manage the commissioning and handover programme; coordinate operational readiness and end-user training; witness commissioning milestones; manage the defects inspection and handover documentation process; verify as-built and asset information delivery</w:t>
            </w:r>
          </w:p>
        </w:tc>
        <w:tc>
          <w:tcPr>
            <w:tcW w:w="1949" w:type="dxa"/>
            <w:vAlign w:val="center"/>
          </w:tcPr>
          <w:p>
            <w:pPr>
              <w:pStyle w:val="TableText"/>
              <w:jc w:val="left"/>
            </w:pPr>
            <w:r/>
            <w:r>
              <w:t>Provide operational and facilities resources for readiness activities; accept the asset and the handover information; arrange insurances and occupancy from handover</w:t>
            </w:r>
          </w:p>
        </w:tc>
        <w:tc>
          <w:tcPr>
            <w:tcW w:w="1949" w:type="dxa"/>
            <w:vAlign w:val="center"/>
          </w:tcPr>
          <w:p>
            <w:pPr>
              <w:pStyle w:val="TableText"/>
              <w:jc w:val="left"/>
            </w:pPr>
            <w:r/>
            <w:r>
              <w:t>Commissioning and handover plan; operational readiness checklist; defects schedule at completion; handover documentation and asset data register</w:t>
            </w:r>
          </w:p>
        </w:tc>
        <w:tc>
          <w:tcPr>
            <w:tcW w:w="1409" w:type="dxa"/>
            <w:vAlign w:val="center"/>
          </w:tcPr>
          <w:p>
            <w:pPr>
              <w:pStyle w:val="TableText"/>
              <w:jc w:val="left"/>
            </w:pPr>
            <w:r/>
            <w:r>
              <w:t>Asset handed over, occupied and operating; completion certificate issued</w:t>
            </w:r>
          </w:p>
        </w:tc>
      </w:tr>
      <w:tr>
        <w:trPr>
          <w:cantSplit w:val="true"/>
        </w:trPr>
        <w:tc>
          <w:tcPr>
            <w:tcW w:w="1624" w:type="dxa"/>
            <w:vAlign w:val="center"/>
          </w:tcPr>
          <w:p>
            <w:pPr>
              <w:pStyle w:val="TableText"/>
              <w:jc w:val="left"/>
            </w:pPr>
            <w:r/>
            <w:r>
              <w:t>7. Defects liability and closeout</w:t>
            </w:r>
          </w:p>
        </w:tc>
        <w:tc>
          <w:tcPr>
            <w:tcW w:w="2707" w:type="dxa"/>
            <w:vAlign w:val="center"/>
          </w:tcPr>
          <w:p>
            <w:pPr>
              <w:pStyle w:val="TableText"/>
              <w:jc w:val="left"/>
            </w:pPr>
            <w:r/>
            <w:r>
              <w:t>Manage the defects rectification process to close-out; administer the final account and release of security; complete the project closeout and lessons-learned report; report benefits realisation against the business case</w:t>
            </w:r>
          </w:p>
        </w:tc>
        <w:tc>
          <w:tcPr>
            <w:tcW w:w="1949" w:type="dxa"/>
            <w:vAlign w:val="center"/>
          </w:tcPr>
          <w:p>
            <w:pPr>
              <w:pStyle w:val="TableText"/>
              <w:jc w:val="left"/>
            </w:pPr>
            <w:r/>
            <w:r>
              <w:t>Report defects promptly; approve the final account and the release of security; participate in the lessons-learned review</w:t>
            </w:r>
          </w:p>
        </w:tc>
        <w:tc>
          <w:tcPr>
            <w:tcW w:w="1949" w:type="dxa"/>
            <w:vAlign w:val="center"/>
          </w:tcPr>
          <w:p>
            <w:pPr>
              <w:pStyle w:val="TableText"/>
              <w:jc w:val="left"/>
            </w:pPr>
            <w:r/>
            <w:r>
              <w:t>Defects close-out register; final account reconciliation; project closeout report; benefits realisation report</w:t>
            </w:r>
          </w:p>
        </w:tc>
        <w:tc>
          <w:tcPr>
            <w:tcW w:w="1409" w:type="dxa"/>
            <w:vAlign w:val="center"/>
          </w:tcPr>
          <w:p>
            <w:pPr>
              <w:pStyle w:val="TableText"/>
              <w:jc w:val="left"/>
            </w:pPr>
            <w:r/>
            <w:r>
              <w:t>Final account settled; security released; project closed</w:t>
            </w:r>
          </w:p>
        </w:tc>
      </w:tr>
    </w:tbl>
    <w:p>
      <w:pPr>
        <w:pStyle w:val="Note"/>
      </w:pPr>
      <w:r>
        <w:t>Delete the stages that are not part of this appointment. Where a stage is included but the Client has already completed part of it, describe what we pick up rather than leaving the whole stage in place. The 'Client responsibilities' column is not decoration: the fee and the programme depend on it, and it is the basis of any later claim for delay to our own service.</w:t>
      </w:r>
    </w:p>
    <w:p>
      <w:pPr>
        <w:pStyle w:val="Heading2"/>
      </w:pPr>
      <w:bookmarkStart w:id="9014" w:name="_Toc90014"/>
      <w:r>
        <w:t>3.2 Services by discipline</w:t>
      </w:r>
      <w:bookmarkEnd w:id="9014"/>
    </w:p>
    <w:p>
      <w:pPr>
        <w:pStyle w:val="Body"/>
      </w:pPr>
      <w:r>
        <w:t>The stage table says when; this table says what, and to what depth. State the frequency or the quantum wherever one exists — a service described without a frequency will be delivered at whatever frequency the reader assumes, which is always more often than the fee allows.</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131"/>
        <w:gridCol w:w="4355"/>
        <w:gridCol w:w="3152"/>
      </w:tblGrid>
      <w:tr>
        <w:trPr>
          <w:tblHeader w:val="true"/>
          <w:cantSplit w:val="true"/>
        </w:trPr>
        <w:tc>
          <w:tcPr>
            <w:tcW w:w="2131" w:type="dxa"/>
            <w:shd w:val="clear" w:color="auto" w:fill="1D3245"/>
            <w:vAlign w:val="center"/>
          </w:tcPr>
          <w:p>
            <w:pPr>
              <w:pStyle w:val="TableHeader"/>
              <w:jc w:val="left"/>
            </w:pPr>
            <w:r/>
            <w:r>
              <w:t>Discipline</w:t>
            </w:r>
          </w:p>
        </w:tc>
        <w:tc>
          <w:tcPr>
            <w:tcW w:w="4355" w:type="dxa"/>
            <w:shd w:val="clear" w:color="auto" w:fill="1D3245"/>
            <w:vAlign w:val="center"/>
          </w:tcPr>
          <w:p>
            <w:pPr>
              <w:pStyle w:val="TableHeader"/>
              <w:jc w:val="left"/>
            </w:pPr>
            <w:r/>
            <w:r>
              <w:t>What we do</w:t>
            </w:r>
          </w:p>
        </w:tc>
        <w:tc>
          <w:tcPr>
            <w:tcW w:w="3152" w:type="dxa"/>
            <w:shd w:val="clear" w:color="auto" w:fill="1D3245"/>
            <w:vAlign w:val="center"/>
          </w:tcPr>
          <w:p>
            <w:pPr>
              <w:pStyle w:val="TableHeader"/>
              <w:jc w:val="left"/>
            </w:pPr>
            <w:r/>
            <w:r>
              <w:t>Depth, frequency and allowance</w:t>
            </w:r>
          </w:p>
        </w:tc>
      </w:tr>
      <w:tr>
        <w:trPr>
          <w:cantSplit w:val="true"/>
        </w:trPr>
        <w:tc>
          <w:tcPr>
            <w:tcW w:w="2131" w:type="dxa"/>
            <w:vAlign w:val="center"/>
          </w:tcPr>
          <w:p>
            <w:pPr>
              <w:pStyle w:val="TableText"/>
              <w:jc w:val="left"/>
            </w:pPr>
            <w:r/>
            <w:r>
              <w:t>Programme and schedule management</w:t>
            </w:r>
          </w:p>
        </w:tc>
        <w:tc>
          <w:tcPr>
            <w:tcW w:w="4355" w:type="dxa"/>
            <w:vAlign w:val="center"/>
          </w:tcPr>
          <w:p>
            <w:pPr>
              <w:pStyle w:val="TableText"/>
              <w:jc w:val="left"/>
            </w:pPr>
            <w:r/>
            <w:r>
              <w:t>Maintain the Client-side master programme; review, interrogate and comment on the Contractor's programme and each update; critical path and float analysis; delay and disruption assessment; four-week look-ahead discipline; milestone and gateway tracking</w:t>
            </w:r>
          </w:p>
        </w:tc>
        <w:tc>
          <w:tcPr>
            <w:tcW w:w="3152" w:type="dxa"/>
            <w:vAlign w:val="center"/>
          </w:tcPr>
          <w:p>
            <w:pPr>
              <w:pStyle w:val="TableText"/>
              <w:jc w:val="left"/>
            </w:pPr>
            <w:r/>
            <w:r>
              <w:t>Level 2 master programme maintained by us; Contractor programme reviewed monthly with a written commentary; independent assessment of every extension of time claim</w:t>
            </w:r>
          </w:p>
        </w:tc>
      </w:tr>
      <w:tr>
        <w:trPr>
          <w:cantSplit w:val="true"/>
        </w:trPr>
        <w:tc>
          <w:tcPr>
            <w:tcW w:w="2131" w:type="dxa"/>
            <w:vAlign w:val="center"/>
          </w:tcPr>
          <w:p>
            <w:pPr>
              <w:pStyle w:val="TableText"/>
              <w:jc w:val="left"/>
            </w:pPr>
            <w:r/>
            <w:r>
              <w:t>Cost management and budget control</w:t>
            </w:r>
          </w:p>
        </w:tc>
        <w:tc>
          <w:tcPr>
            <w:tcW w:w="4355" w:type="dxa"/>
            <w:vAlign w:val="center"/>
          </w:tcPr>
          <w:p>
            <w:pPr>
              <w:pStyle w:val="TableText"/>
              <w:jc w:val="left"/>
            </w:pPr>
            <w:r/>
            <w:r>
              <w:t>Maintain the whole-of-project cost plan and cost report; commitment and expenditure tracking; forecasting cost to complete; contingency and risk allowance management; cash flow forecasting; final account reconciliation</w:t>
            </w:r>
          </w:p>
        </w:tc>
        <w:tc>
          <w:tcPr>
            <w:tcW w:w="3152" w:type="dxa"/>
            <w:vAlign w:val="center"/>
          </w:tcPr>
          <w:p>
            <w:pPr>
              <w:pStyle w:val="TableText"/>
              <w:jc w:val="left"/>
            </w:pPr>
            <w:r/>
            <w:r>
              <w:t>Cost report issued monthly, reconciled to the Client's finance system; forecast final cost re-cut at every reporting cycle and at every gateway</w:t>
            </w:r>
          </w:p>
        </w:tc>
      </w:tr>
      <w:tr>
        <w:trPr>
          <w:cantSplit w:val="true"/>
        </w:trPr>
        <w:tc>
          <w:tcPr>
            <w:tcW w:w="2131" w:type="dxa"/>
            <w:vAlign w:val="center"/>
          </w:tcPr>
          <w:p>
            <w:pPr>
              <w:pStyle w:val="TableText"/>
              <w:jc w:val="left"/>
            </w:pPr>
            <w:r/>
            <w:r>
              <w:t>Procurement and contract administration support</w:t>
            </w:r>
          </w:p>
        </w:tc>
        <w:tc>
          <w:tcPr>
            <w:tcW w:w="4355" w:type="dxa"/>
            <w:vAlign w:val="center"/>
          </w:tcPr>
          <w:p>
            <w:pPr>
              <w:pStyle w:val="TableText"/>
              <w:jc w:val="left"/>
            </w:pPr>
            <w:r/>
            <w:r>
              <w:t>Packaging strategy; tender documentation assembly; tender process management; commercial evaluation; award recommendation; contract administration support to the Superintendent / Contract Administrator, including assessment of claims for payment, time and cost</w:t>
            </w:r>
          </w:p>
        </w:tc>
        <w:tc>
          <w:tcPr>
            <w:tcW w:w="3152" w:type="dxa"/>
            <w:vAlign w:val="center"/>
          </w:tcPr>
          <w:p>
            <w:pPr>
              <w:pStyle w:val="TableText"/>
              <w:jc w:val="left"/>
            </w:pPr>
            <w:r/>
            <w:r>
              <w:t>[00] tender packages allowed; recommendation reports for each; administration support monthly through the construction stage</w:t>
            </w:r>
          </w:p>
        </w:tc>
      </w:tr>
      <w:tr>
        <w:trPr>
          <w:cantSplit w:val="true"/>
        </w:trPr>
        <w:tc>
          <w:tcPr>
            <w:tcW w:w="2131" w:type="dxa"/>
            <w:vAlign w:val="center"/>
          </w:tcPr>
          <w:p>
            <w:pPr>
              <w:pStyle w:val="TableText"/>
              <w:jc w:val="left"/>
            </w:pPr>
            <w:r/>
            <w:r>
              <w:t>Risk and opportunity management</w:t>
            </w:r>
          </w:p>
        </w:tc>
        <w:tc>
          <w:tcPr>
            <w:tcW w:w="4355" w:type="dxa"/>
            <w:vAlign w:val="center"/>
          </w:tcPr>
          <w:p>
            <w:pPr>
              <w:pStyle w:val="TableText"/>
              <w:jc w:val="left"/>
            </w:pPr>
            <w:r/>
            <w:r>
              <w:t>Establish and maintain the risk register in accordance with ISO 31000; facilitate risk workshops; quantify exposure and test it against the contingency held; track treatments to closure; maintain the opportunity register</w:t>
            </w:r>
          </w:p>
        </w:tc>
        <w:tc>
          <w:tcPr>
            <w:tcW w:w="3152" w:type="dxa"/>
            <w:vAlign w:val="center"/>
          </w:tcPr>
          <w:p>
            <w:pPr>
              <w:pStyle w:val="TableText"/>
              <w:jc w:val="left"/>
            </w:pPr>
            <w:r/>
            <w:r>
              <w:t>Risk workshop at each stage gate and at least [00]-monthly; quantified risk assessment supporting each contingency recommendation</w:t>
            </w:r>
          </w:p>
        </w:tc>
      </w:tr>
      <w:tr>
        <w:trPr>
          <w:cantSplit w:val="true"/>
        </w:trPr>
        <w:tc>
          <w:tcPr>
            <w:tcW w:w="2131" w:type="dxa"/>
            <w:vAlign w:val="center"/>
          </w:tcPr>
          <w:p>
            <w:pPr>
              <w:pStyle w:val="TableText"/>
              <w:jc w:val="left"/>
            </w:pPr>
            <w:r/>
            <w:r>
              <w:t>Change and variation control</w:t>
            </w:r>
          </w:p>
        </w:tc>
        <w:tc>
          <w:tcPr>
            <w:tcW w:w="4355" w:type="dxa"/>
            <w:vAlign w:val="center"/>
          </w:tcPr>
          <w:p>
            <w:pPr>
              <w:pStyle w:val="TableText"/>
              <w:jc w:val="left"/>
            </w:pPr>
            <w:r/>
            <w:r>
              <w:t>Operate the change control process; register, assess and price every proposed change before instruction; maintain the change register and the audit trail from origin to instruction to final account</w:t>
            </w:r>
          </w:p>
        </w:tc>
        <w:tc>
          <w:tcPr>
            <w:tcW w:w="3152" w:type="dxa"/>
            <w:vAlign w:val="center"/>
          </w:tcPr>
          <w:p>
            <w:pPr>
              <w:pStyle w:val="TableText"/>
              <w:jc w:val="left"/>
            </w:pPr>
            <w:r/>
            <w:r>
              <w:t>No change progressed to instruction without a costed and programmed impact assessment and a recorded Client decision</w:t>
            </w:r>
          </w:p>
        </w:tc>
      </w:tr>
      <w:tr>
        <w:trPr>
          <w:cantSplit w:val="true"/>
        </w:trPr>
        <w:tc>
          <w:tcPr>
            <w:tcW w:w="2131" w:type="dxa"/>
            <w:vAlign w:val="center"/>
          </w:tcPr>
          <w:p>
            <w:pPr>
              <w:pStyle w:val="TableText"/>
              <w:jc w:val="left"/>
            </w:pPr>
            <w:r/>
            <w:r>
              <w:t>Quality management</w:t>
            </w:r>
          </w:p>
        </w:tc>
        <w:tc>
          <w:tcPr>
            <w:tcW w:w="4355" w:type="dxa"/>
            <w:vAlign w:val="center"/>
          </w:tcPr>
          <w:p>
            <w:pPr>
              <w:pStyle w:val="TableText"/>
              <w:jc w:val="left"/>
            </w:pPr>
            <w:r/>
            <w:r>
              <w:t>Review the Contractor's quality plan and inspection and test plans; monitor hold and witness points; monitor the non-conformance process and ageing; audit quality records before handover</w:t>
            </w:r>
          </w:p>
        </w:tc>
        <w:tc>
          <w:tcPr>
            <w:tcW w:w="3152" w:type="dxa"/>
            <w:vAlign w:val="center"/>
          </w:tcPr>
          <w:p>
            <w:pPr>
              <w:pStyle w:val="TableText"/>
              <w:jc w:val="left"/>
            </w:pPr>
            <w:r/>
            <w:r>
              <w:t>Quality plan reviewed at mobilisation; non-conformance ageing reported monthly; [00] surveillance audits over the construction stage</w:t>
            </w:r>
          </w:p>
        </w:tc>
      </w:tr>
      <w:tr>
        <w:trPr>
          <w:cantSplit w:val="true"/>
        </w:trPr>
        <w:tc>
          <w:tcPr>
            <w:tcW w:w="2131" w:type="dxa"/>
            <w:vAlign w:val="center"/>
          </w:tcPr>
          <w:p>
            <w:pPr>
              <w:pStyle w:val="TableText"/>
              <w:jc w:val="left"/>
            </w:pPr>
            <w:r/>
            <w:r>
              <w:t>Health, safety and environment oversight</w:t>
            </w:r>
          </w:p>
        </w:tc>
        <w:tc>
          <w:tcPr>
            <w:tcW w:w="4355" w:type="dxa"/>
            <w:vAlign w:val="center"/>
          </w:tcPr>
          <w:p>
            <w:pPr>
              <w:pStyle w:val="TableText"/>
              <w:jc w:val="left"/>
            </w:pPr>
            <w:r/>
            <w:r>
              <w:t>Verify that the Contractor's HSE management system, method statements and high-risk work controls are in place and being applied; monitor leading and lagging indicators; escalate unsafe conditions; advise the Client on its own duties</w:t>
            </w:r>
          </w:p>
        </w:tc>
        <w:tc>
          <w:tcPr>
            <w:tcW w:w="3152" w:type="dxa"/>
            <w:vAlign w:val="center"/>
          </w:tcPr>
          <w:p>
            <w:pPr>
              <w:pStyle w:val="TableText"/>
              <w:jc w:val="left"/>
            </w:pPr>
            <w:r/>
            <w:r>
              <w:t>Oversight only — we do not assume the Contractor's or the Client's statutory duties under [insert applicable jurisdiction's WHS / OSH legislation]. Indicators reported monthly</w:t>
            </w:r>
          </w:p>
        </w:tc>
      </w:tr>
      <w:tr>
        <w:trPr>
          <w:cantSplit w:val="true"/>
        </w:trPr>
        <w:tc>
          <w:tcPr>
            <w:tcW w:w="2131" w:type="dxa"/>
            <w:vAlign w:val="center"/>
          </w:tcPr>
          <w:p>
            <w:pPr>
              <w:pStyle w:val="TableText"/>
              <w:jc w:val="left"/>
            </w:pPr>
            <w:r/>
            <w:r>
              <w:t>Stakeholder and communications management</w:t>
            </w:r>
          </w:p>
        </w:tc>
        <w:tc>
          <w:tcPr>
            <w:tcW w:w="4355" w:type="dxa"/>
            <w:vAlign w:val="center"/>
          </w:tcPr>
          <w:p>
            <w:pPr>
              <w:pStyle w:val="TableText"/>
              <w:jc w:val="left"/>
            </w:pPr>
            <w:r/>
            <w:r>
              <w:t>Stakeholder mapping and engagement planning; manage consultation and notification; coordinate authority and utility liaison; maintain the complaints and enquiries register; support the Client's communications team</w:t>
            </w:r>
          </w:p>
        </w:tc>
        <w:tc>
          <w:tcPr>
            <w:tcW w:w="3152" w:type="dxa"/>
            <w:vAlign w:val="center"/>
          </w:tcPr>
          <w:p>
            <w:pPr>
              <w:pStyle w:val="TableText"/>
              <w:jc w:val="left"/>
            </w:pPr>
            <w:r/>
            <w:r>
              <w:t>Engagement plan at inception; register maintained continuously; complaints acknowledged within [00] working hours</w:t>
            </w:r>
          </w:p>
        </w:tc>
      </w:tr>
      <w:tr>
        <w:trPr>
          <w:cantSplit w:val="true"/>
        </w:trPr>
        <w:tc>
          <w:tcPr>
            <w:tcW w:w="2131" w:type="dxa"/>
            <w:vAlign w:val="center"/>
          </w:tcPr>
          <w:p>
            <w:pPr>
              <w:pStyle w:val="TableText"/>
              <w:jc w:val="left"/>
            </w:pPr>
            <w:r/>
            <w:r>
              <w:t>Design management</w:t>
            </w:r>
          </w:p>
        </w:tc>
        <w:tc>
          <w:tcPr>
            <w:tcW w:w="4355" w:type="dxa"/>
            <w:vAlign w:val="center"/>
          </w:tcPr>
          <w:p>
            <w:pPr>
              <w:pStyle w:val="TableText"/>
              <w:jc w:val="left"/>
            </w:pPr>
            <w:r/>
            <w:r>
              <w:t>Manage the design programme and the consultants' deliverables; chair design coordination; manage design change and buildability review; verify that the design satisfies the brief at each gate</w:t>
            </w:r>
          </w:p>
        </w:tc>
        <w:tc>
          <w:tcPr>
            <w:tcW w:w="3152" w:type="dxa"/>
            <w:vAlign w:val="center"/>
          </w:tcPr>
          <w:p>
            <w:pPr>
              <w:pStyle w:val="TableText"/>
              <w:jc w:val="left"/>
            </w:pPr>
            <w:r/>
            <w:r>
              <w:t>Design coordination chaired fortnightly through Stage 3; written stage design review at each gate</w:t>
            </w:r>
          </w:p>
        </w:tc>
      </w:tr>
      <w:tr>
        <w:trPr>
          <w:cantSplit w:val="true"/>
        </w:trPr>
        <w:tc>
          <w:tcPr>
            <w:tcW w:w="2131" w:type="dxa"/>
            <w:vAlign w:val="center"/>
          </w:tcPr>
          <w:p>
            <w:pPr>
              <w:pStyle w:val="TableText"/>
              <w:jc w:val="left"/>
            </w:pPr>
            <w:r/>
            <w:r>
              <w:t>Information management (ISO 19650)</w:t>
            </w:r>
          </w:p>
        </w:tc>
        <w:tc>
          <w:tcPr>
            <w:tcW w:w="4355" w:type="dxa"/>
            <w:vAlign w:val="center"/>
          </w:tcPr>
          <w:p>
            <w:pPr>
              <w:pStyle w:val="TableText"/>
              <w:jc w:val="left"/>
            </w:pPr>
            <w:r/>
            <w:r>
              <w:t>Establish the information requirements, the common data environment and the naming, revision and approval conventions; manage the information delivery plan; verify model and asset data delivery at handover</w:t>
            </w:r>
          </w:p>
        </w:tc>
        <w:tc>
          <w:tcPr>
            <w:tcW w:w="3152" w:type="dxa"/>
            <w:vAlign w:val="center"/>
          </w:tcPr>
          <w:p>
            <w:pPr>
              <w:pStyle w:val="TableText"/>
              <w:jc w:val="left"/>
            </w:pPr>
            <w:r/>
            <w:r>
              <w:t>Information standard agreed at inception; common data environment operating from week [00]; asset data verified before handover</w:t>
            </w:r>
          </w:p>
        </w:tc>
      </w:tr>
      <w:tr>
        <w:trPr>
          <w:cantSplit w:val="true"/>
        </w:trPr>
        <w:tc>
          <w:tcPr>
            <w:tcW w:w="2131" w:type="dxa"/>
            <w:vAlign w:val="center"/>
          </w:tcPr>
          <w:p>
            <w:pPr>
              <w:pStyle w:val="TableText"/>
              <w:jc w:val="left"/>
            </w:pPr>
            <w:r/>
            <w:r>
              <w:t>Reporting and governance</w:t>
            </w:r>
          </w:p>
        </w:tc>
        <w:tc>
          <w:tcPr>
            <w:tcW w:w="4355" w:type="dxa"/>
            <w:vAlign w:val="center"/>
          </w:tcPr>
          <w:p>
            <w:pPr>
              <w:pStyle w:val="TableText"/>
              <w:jc w:val="left"/>
            </w:pPr>
            <w:r/>
            <w:r>
              <w:t>Establish and run the governance forums; prepare the monthly project report; prepare gateway and board papers; maintain decision, action and approvals registers</w:t>
            </w:r>
          </w:p>
        </w:tc>
        <w:tc>
          <w:tcPr>
            <w:tcW w:w="3152" w:type="dxa"/>
            <w:vAlign w:val="center"/>
          </w:tcPr>
          <w:p>
            <w:pPr>
              <w:pStyle w:val="TableText"/>
              <w:jc w:val="left"/>
            </w:pPr>
            <w:r/>
            <w:r>
              <w:t>Monthly report issued within [00] working days of the data cut-off; board or gateway papers as required by the governance calendar</w:t>
            </w:r>
          </w:p>
        </w:tc>
      </w:tr>
      <w:tr>
        <w:trPr>
          <w:cantSplit w:val="true"/>
        </w:trPr>
        <w:tc>
          <w:tcPr>
            <w:tcW w:w="2131" w:type="dxa"/>
            <w:vAlign w:val="center"/>
          </w:tcPr>
          <w:p>
            <w:pPr>
              <w:pStyle w:val="TableText"/>
              <w:jc w:val="left"/>
            </w:pPr>
            <w:r/>
            <w:r>
              <w:t>Commissioning and handover</w:t>
            </w:r>
          </w:p>
        </w:tc>
        <w:tc>
          <w:tcPr>
            <w:tcW w:w="4355" w:type="dxa"/>
            <w:vAlign w:val="center"/>
          </w:tcPr>
          <w:p>
            <w:pPr>
              <w:pStyle w:val="TableText"/>
              <w:jc w:val="left"/>
            </w:pPr>
            <w:r/>
            <w:r>
              <w:t>Commissioning and handover planning; operational readiness coordination; witnessing of commissioning milestones; defects and handover documentation management</w:t>
            </w:r>
          </w:p>
        </w:tc>
        <w:tc>
          <w:tcPr>
            <w:tcW w:w="3152" w:type="dxa"/>
            <w:vAlign w:val="center"/>
          </w:tcPr>
          <w:p>
            <w:pPr>
              <w:pStyle w:val="TableText"/>
              <w:jc w:val="left"/>
            </w:pPr>
            <w:r/>
            <w:r>
              <w:t>Handover plan issued [00] months before completion; readiness reviews monthly from that point</w:t>
            </w:r>
          </w:p>
        </w:tc>
      </w:tr>
      <w:tr>
        <w:trPr>
          <w:cantSplit w:val="true"/>
        </w:trPr>
        <w:tc>
          <w:tcPr>
            <w:tcW w:w="2131" w:type="dxa"/>
            <w:vAlign w:val="center"/>
          </w:tcPr>
          <w:p>
            <w:pPr>
              <w:pStyle w:val="TableText"/>
              <w:jc w:val="left"/>
            </w:pPr>
            <w:r/>
            <w:r>
              <w:t>Benefits realisation</w:t>
            </w:r>
          </w:p>
        </w:tc>
        <w:tc>
          <w:tcPr>
            <w:tcW w:w="4355" w:type="dxa"/>
            <w:vAlign w:val="center"/>
          </w:tcPr>
          <w:p>
            <w:pPr>
              <w:pStyle w:val="TableText"/>
              <w:jc w:val="left"/>
            </w:pPr>
            <w:r/>
            <w:r>
              <w:t>Define the benefit measures with the Client at inception; track them through delivery; report achievement against the business case at closeout</w:t>
            </w:r>
          </w:p>
        </w:tc>
        <w:tc>
          <w:tcPr>
            <w:tcW w:w="3152" w:type="dxa"/>
            <w:vAlign w:val="center"/>
          </w:tcPr>
          <w:p>
            <w:pPr>
              <w:pStyle w:val="TableText"/>
              <w:jc w:val="left"/>
            </w:pPr>
            <w:r/>
            <w:r>
              <w:t>Benefit measures defined at inception; reported at each gateway and at closeout</w:t>
            </w:r>
          </w:p>
        </w:tc>
      </w:tr>
    </w:tbl>
    <w:p>
      <w:pPr>
        <w:pStyle w:val="Note"/>
      </w:pPr>
      <w:r>
        <w:t>Replace every [00] with a number before issue. An unfilled allowance is an unpriced obligation.</w:t>
      </w:r>
    </w:p>
    <w:p>
      <w:pPr>
        <w:sectPr>
          <w:headerReference w:type="default" r:id="rId11"/>
          <w:footerReference w:type="default" r:id="rId12"/>
          <w:pgSz w:w="11906" w:h="16838"/>
          <w:pgMar w:top="1049" w:right="1134" w:bottom="850" w:left="1134" w:header="482" w:footer="454" w:gutter="0"/>
          <w:cols w:space="720"/>
        </w:sectPr>
      </w:pPr>
    </w:p>
    <w:p>
      <w:pPr>
        <w:pStyle w:val="Heading2"/>
      </w:pPr>
      <w:bookmarkStart w:id="9015" w:name="_Toc90015"/>
      <w:r>
        <w:t>3.3 Responsibility assignment (RACI)</w:t>
      </w:r>
      <w:bookmarkEnd w:id="9015"/>
    </w:p>
    <w:p>
      <w:pPr>
        <w:pStyle w:val="Body"/>
      </w:pPr>
      <w:r>
        <w:t>This matrix is set landscape so it reads across a single page. It resolves the questions that scope wording alone cannot: who decides, who does the work, who must be consulted before it is done, and who is merely told afterwards. Where the Client's own governance model allocates a role differently, mark the change and we will accept it or price the difference.</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14570" w:type="dxa"/>
        <w:tblInd w:w="0" w:type="dxa"/>
        <w:tblCellMar>
          <w:top w:w="45" w:type="dxa"/>
          <w:left w:w="100" w:type="dxa"/>
          <w:bottom w:w="45" w:type="dxa"/>
          <w:right w:w="100" w:type="dxa"/>
        </w:tblCellMar>
      </w:tblPr>
      <w:tblGrid>
        <w:gridCol w:w="8094"/>
        <w:gridCol w:w="1618"/>
        <w:gridCol w:w="1618"/>
        <w:gridCol w:w="1618"/>
        <w:gridCol w:w="1622"/>
      </w:tblGrid>
      <w:tr>
        <w:trPr>
          <w:tblHeader w:val="true"/>
          <w:cantSplit w:val="true"/>
        </w:trPr>
        <w:tc>
          <w:tcPr>
            <w:tcW w:w="8094" w:type="dxa"/>
            <w:shd w:val="clear" w:color="auto" w:fill="1D3245"/>
            <w:vAlign w:val="center"/>
          </w:tcPr>
          <w:p>
            <w:pPr>
              <w:pStyle w:val="TableHeader"/>
              <w:jc w:val="left"/>
            </w:pPr>
            <w:r/>
            <w:r>
              <w:t>Activity</w:t>
            </w:r>
          </w:p>
        </w:tc>
        <w:tc>
          <w:tcPr>
            <w:tcW w:w="1618" w:type="dxa"/>
            <w:shd w:val="clear" w:color="auto" w:fill="1D3245"/>
            <w:vAlign w:val="center"/>
          </w:tcPr>
          <w:p>
            <w:pPr>
              <w:pStyle w:val="TableHeader"/>
              <w:jc w:val="center"/>
            </w:pPr>
            <w:r/>
            <w:r>
              <w:t>PM</w:t>
            </w:r>
          </w:p>
        </w:tc>
        <w:tc>
          <w:tcPr>
            <w:tcW w:w="1618" w:type="dxa"/>
            <w:shd w:val="clear" w:color="auto" w:fill="1D3245"/>
            <w:vAlign w:val="center"/>
          </w:tcPr>
          <w:p>
            <w:pPr>
              <w:pStyle w:val="TableHeader"/>
              <w:jc w:val="center"/>
            </w:pPr>
            <w:r/>
            <w:r>
              <w:t>Client</w:t>
            </w:r>
          </w:p>
        </w:tc>
        <w:tc>
          <w:tcPr>
            <w:tcW w:w="1618" w:type="dxa"/>
            <w:shd w:val="clear" w:color="auto" w:fill="1D3245"/>
            <w:vAlign w:val="center"/>
          </w:tcPr>
          <w:p>
            <w:pPr>
              <w:pStyle w:val="TableHeader"/>
              <w:jc w:val="center"/>
            </w:pPr>
            <w:r/>
            <w:r>
              <w:t>Designer</w:t>
            </w:r>
          </w:p>
        </w:tc>
        <w:tc>
          <w:tcPr>
            <w:tcW w:w="1622" w:type="dxa"/>
            <w:shd w:val="clear" w:color="auto" w:fill="1D3245"/>
            <w:vAlign w:val="center"/>
          </w:tcPr>
          <w:p>
            <w:pPr>
              <w:pStyle w:val="TableHeader"/>
              <w:jc w:val="center"/>
            </w:pPr>
            <w:r/>
            <w:r>
              <w:t>Contractor</w:t>
            </w:r>
          </w:p>
        </w:tc>
      </w:tr>
      <w:tr>
        <w:trPr>
          <w:cantSplit w:val="true"/>
        </w:trPr>
        <w:tc>
          <w:tcPr>
            <w:tcW w:w="8094" w:type="dxa"/>
            <w:vAlign w:val="center"/>
          </w:tcPr>
          <w:p>
            <w:pPr>
              <w:pStyle w:val="TableTextExample"/>
              <w:jc w:val="left"/>
            </w:pPr>
            <w:r/>
            <w:r>
              <w:t>EXAMPLE — Coordinate the Ward Block C decant and the clinical shutdown windows on the live campus</w:t>
            </w:r>
          </w:p>
        </w:tc>
        <w:tc>
          <w:tcPr>
            <w:tcW w:w="1618" w:type="dxa"/>
            <w:vAlign w:val="center"/>
          </w:tcPr>
          <w:p>
            <w:pPr>
              <w:pStyle w:val="TableTextExample"/>
              <w:jc w:val="center"/>
            </w:pPr>
            <w:r/>
            <w:r>
              <w:t>A/R</w:t>
            </w:r>
          </w:p>
        </w:tc>
        <w:tc>
          <w:tcPr>
            <w:tcW w:w="1618" w:type="dxa"/>
            <w:vAlign w:val="center"/>
          </w:tcPr>
          <w:p>
            <w:pPr>
              <w:pStyle w:val="TableTextExample"/>
              <w:jc w:val="center"/>
            </w:pPr>
            <w:r/>
            <w:r>
              <w:t>R</w:t>
            </w:r>
          </w:p>
        </w:tc>
        <w:tc>
          <w:tcPr>
            <w:tcW w:w="1618" w:type="dxa"/>
            <w:vAlign w:val="center"/>
          </w:tcPr>
          <w:p>
            <w:pPr>
              <w:pStyle w:val="TableTextExample"/>
              <w:jc w:val="center"/>
            </w:pPr>
            <w:r/>
            <w:r>
              <w:t>C</w:t>
            </w:r>
          </w:p>
        </w:tc>
        <w:tc>
          <w:tcPr>
            <w:tcW w:w="1622" w:type="dxa"/>
            <w:vAlign w:val="center"/>
          </w:tcPr>
          <w:p>
            <w:pPr>
              <w:pStyle w:val="TableTextExample"/>
              <w:jc w:val="center"/>
            </w:pPr>
            <w:r/>
            <w:r>
              <w:t>R</w:t>
            </w:r>
          </w:p>
        </w:tc>
      </w:tr>
      <w:tr>
        <w:trPr>
          <w:cantSplit w:val="true"/>
        </w:trPr>
        <w:tc>
          <w:tcPr>
            <w:tcW w:w="8094" w:type="dxa"/>
            <w:vAlign w:val="center"/>
          </w:tcPr>
          <w:p>
            <w:pPr>
              <w:pStyle w:val="TableText"/>
              <w:jc w:val="left"/>
            </w:pPr>
            <w:r/>
            <w:r>
              <w:t>Approve the brief, the budget and any change to either</w:t>
            </w:r>
          </w:p>
        </w:tc>
        <w:tc>
          <w:tcPr>
            <w:tcW w:w="1618" w:type="dxa"/>
            <w:vAlign w:val="center"/>
          </w:tcPr>
          <w:p>
            <w:pPr>
              <w:pStyle w:val="TableTextCentre"/>
              <w:jc w:val="center"/>
            </w:pPr>
            <w:r/>
            <w:r>
              <w:t>C</w:t>
            </w:r>
          </w:p>
        </w:tc>
        <w:tc>
          <w:tcPr>
            <w:tcW w:w="1618" w:type="dxa"/>
            <w:vAlign w:val="center"/>
          </w:tcPr>
          <w:p>
            <w:pPr>
              <w:pStyle w:val="TableTextCentre"/>
              <w:jc w:val="center"/>
            </w:pPr>
            <w:r/>
            <w:r>
              <w:t>A/R</w:t>
            </w:r>
          </w:p>
        </w:tc>
        <w:tc>
          <w:tcPr>
            <w:tcW w:w="1618" w:type="dxa"/>
            <w:vAlign w:val="center"/>
          </w:tcPr>
          <w:p>
            <w:pPr>
              <w:pStyle w:val="TableTextCentre"/>
              <w:jc w:val="center"/>
            </w:pPr>
            <w:r/>
            <w:r>
              <w:t>C</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Prepare and maintain the project execution plan</w:t>
            </w:r>
          </w:p>
        </w:tc>
        <w:tc>
          <w:tcPr>
            <w:tcW w:w="1618" w:type="dxa"/>
            <w:vAlign w:val="center"/>
          </w:tcPr>
          <w:p>
            <w:pPr>
              <w:pStyle w:val="TableTextCentre"/>
              <w:jc w:val="center"/>
            </w:pPr>
            <w:r/>
            <w:r>
              <w:t>A/R</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Set and maintain the controls baseline (cost, time, scope)</w:t>
            </w:r>
          </w:p>
        </w:tc>
        <w:tc>
          <w:tcPr>
            <w:tcW w:w="1618" w:type="dxa"/>
            <w:vAlign w:val="center"/>
          </w:tcPr>
          <w:p>
            <w:pPr>
              <w:pStyle w:val="TableTextCentre"/>
              <w:jc w:val="center"/>
            </w:pPr>
            <w:r/>
            <w:r>
              <w:t>A/R</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Prepare the design and warrant its fitness for purpose</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18" w:type="dxa"/>
            <w:vAlign w:val="center"/>
          </w:tcPr>
          <w:p>
            <w:pPr>
              <w:pStyle w:val="TableTextCentre"/>
              <w:jc w:val="center"/>
            </w:pPr>
            <w:r/>
            <w:r>
              <w:t>A/R</w:t>
            </w:r>
          </w:p>
        </w:tc>
        <w:tc>
          <w:tcPr>
            <w:tcW w:w="1622" w:type="dxa"/>
            <w:vAlign w:val="center"/>
          </w:tcPr>
          <w:p>
            <w:pPr>
              <w:pStyle w:val="TableTextCentre"/>
              <w:jc w:val="center"/>
            </w:pPr>
            <w:r/>
            <w:r>
              <w:t>C</w:t>
            </w:r>
          </w:p>
        </w:tc>
      </w:tr>
      <w:tr>
        <w:trPr>
          <w:cantSplit w:val="true"/>
        </w:trPr>
        <w:tc>
          <w:tcPr>
            <w:tcW w:w="8094" w:type="dxa"/>
            <w:vAlign w:val="center"/>
          </w:tcPr>
          <w:p>
            <w:pPr>
              <w:pStyle w:val="TableText"/>
              <w:jc w:val="left"/>
            </w:pPr>
            <w:r/>
            <w:r>
              <w:t>Manage the design programme and consultant deliverables</w:t>
            </w:r>
          </w:p>
        </w:tc>
        <w:tc>
          <w:tcPr>
            <w:tcW w:w="1618" w:type="dxa"/>
            <w:vAlign w:val="center"/>
          </w:tcPr>
          <w:p>
            <w:pPr>
              <w:pStyle w:val="TableTextCentre"/>
              <w:jc w:val="center"/>
            </w:pPr>
            <w:r/>
            <w:r>
              <w:t>A/R</w:t>
            </w:r>
          </w:p>
        </w:tc>
        <w:tc>
          <w:tcPr>
            <w:tcW w:w="1618" w:type="dxa"/>
            <w:vAlign w:val="center"/>
          </w:tcPr>
          <w:p>
            <w:pPr>
              <w:pStyle w:val="TableTextCentre"/>
              <w:jc w:val="center"/>
            </w:pPr>
            <w:r/>
            <w:r>
              <w:t>I</w:t>
            </w:r>
          </w:p>
        </w:tc>
        <w:tc>
          <w:tcPr>
            <w:tcW w:w="1618" w:type="dxa"/>
            <w:vAlign w:val="center"/>
          </w:tcPr>
          <w:p>
            <w:pPr>
              <w:pStyle w:val="TableTextCentre"/>
              <w:jc w:val="center"/>
            </w:pPr>
            <w:r/>
            <w:r>
              <w:t>R</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Approve the design at each stage gate</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Prepare the procurement and packaging strategy</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Assemble tender documentation</w:t>
            </w:r>
          </w:p>
        </w:tc>
        <w:tc>
          <w:tcPr>
            <w:tcW w:w="1618" w:type="dxa"/>
            <w:vAlign w:val="center"/>
          </w:tcPr>
          <w:p>
            <w:pPr>
              <w:pStyle w:val="TableTextCentre"/>
              <w:jc w:val="center"/>
            </w:pPr>
            <w:r/>
            <w:r>
              <w:t>A/R</w:t>
            </w:r>
          </w:p>
        </w:tc>
        <w:tc>
          <w:tcPr>
            <w:tcW w:w="1618" w:type="dxa"/>
            <w:vAlign w:val="center"/>
          </w:tcPr>
          <w:p>
            <w:pPr>
              <w:pStyle w:val="TableTextCentre"/>
              <w:jc w:val="center"/>
            </w:pPr>
            <w:r/>
            <w:r>
              <w:t>C</w:t>
            </w:r>
          </w:p>
        </w:tc>
        <w:tc>
          <w:tcPr>
            <w:tcW w:w="1618" w:type="dxa"/>
            <w:vAlign w:val="center"/>
          </w:tcPr>
          <w:p>
            <w:pPr>
              <w:pStyle w:val="TableTextCentre"/>
              <w:jc w:val="center"/>
            </w:pPr>
            <w:r/>
            <w:r>
              <w:t>R</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Evaluate tenders and recommend award</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Execute the construction contract</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I</w:t>
            </w:r>
          </w:p>
        </w:tc>
        <w:tc>
          <w:tcPr>
            <w:tcW w:w="1622" w:type="dxa"/>
            <w:vAlign w:val="center"/>
          </w:tcPr>
          <w:p>
            <w:pPr>
              <w:pStyle w:val="TableTextCentre"/>
              <w:jc w:val="center"/>
            </w:pPr>
            <w:r/>
            <w:r>
              <w:t>R</w:t>
            </w:r>
          </w:p>
        </w:tc>
      </w:tr>
      <w:tr>
        <w:trPr>
          <w:cantSplit w:val="true"/>
        </w:trPr>
        <w:tc>
          <w:tcPr>
            <w:tcW w:w="8094" w:type="dxa"/>
            <w:vAlign w:val="center"/>
          </w:tcPr>
          <w:p>
            <w:pPr>
              <w:pStyle w:val="TableText"/>
              <w:jc w:val="left"/>
            </w:pPr>
            <w:r/>
            <w:r>
              <w:t>Construct the works and manage site safety and methods</w:t>
            </w:r>
          </w:p>
        </w:tc>
        <w:tc>
          <w:tcPr>
            <w:tcW w:w="1618" w:type="dxa"/>
            <w:vAlign w:val="center"/>
          </w:tcPr>
          <w:p>
            <w:pPr>
              <w:pStyle w:val="TableTextCentre"/>
              <w:jc w:val="center"/>
            </w:pPr>
            <w:r/>
            <w:r>
              <w:t>I</w:t>
            </w:r>
          </w:p>
        </w:tc>
        <w:tc>
          <w:tcPr>
            <w:tcW w:w="1618" w:type="dxa"/>
            <w:vAlign w:val="center"/>
          </w:tcPr>
          <w:p>
            <w:pPr>
              <w:pStyle w:val="TableTextCentre"/>
              <w:jc w:val="center"/>
            </w:pPr>
            <w:r/>
            <w:r>
              <w:t>I</w:t>
            </w:r>
          </w:p>
        </w:tc>
        <w:tc>
          <w:tcPr>
            <w:tcW w:w="1618" w:type="dxa"/>
            <w:vAlign w:val="center"/>
          </w:tcPr>
          <w:p>
            <w:pPr>
              <w:pStyle w:val="TableTextCentre"/>
              <w:jc w:val="center"/>
            </w:pPr>
            <w:r/>
            <w:r>
              <w:t>I</w:t>
            </w:r>
          </w:p>
        </w:tc>
        <w:tc>
          <w:tcPr>
            <w:tcW w:w="1622" w:type="dxa"/>
            <w:vAlign w:val="center"/>
          </w:tcPr>
          <w:p>
            <w:pPr>
              <w:pStyle w:val="TableTextCentre"/>
              <w:jc w:val="center"/>
            </w:pPr>
            <w:r/>
            <w:r>
              <w:t>A/R</w:t>
            </w:r>
          </w:p>
        </w:tc>
      </w:tr>
      <w:tr>
        <w:trPr>
          <w:cantSplit w:val="true"/>
        </w:trPr>
        <w:tc>
          <w:tcPr>
            <w:tcW w:w="8094" w:type="dxa"/>
            <w:vAlign w:val="center"/>
          </w:tcPr>
          <w:p>
            <w:pPr>
              <w:pStyle w:val="TableText"/>
              <w:jc w:val="left"/>
            </w:pPr>
            <w:r/>
            <w:r>
              <w:t>Plan, resource and update the construction programme</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18" w:type="dxa"/>
            <w:vAlign w:val="center"/>
          </w:tcPr>
          <w:p>
            <w:pPr>
              <w:pStyle w:val="TableTextCentre"/>
              <w:jc w:val="center"/>
            </w:pPr>
            <w:r/>
            <w:r>
              <w:t>I</w:t>
            </w:r>
          </w:p>
        </w:tc>
        <w:tc>
          <w:tcPr>
            <w:tcW w:w="1622" w:type="dxa"/>
            <w:vAlign w:val="center"/>
          </w:tcPr>
          <w:p>
            <w:pPr>
              <w:pStyle w:val="TableTextCentre"/>
              <w:jc w:val="center"/>
            </w:pPr>
            <w:r/>
            <w:r>
              <w:t>A/R</w:t>
            </w:r>
          </w:p>
        </w:tc>
      </w:tr>
      <w:tr>
        <w:trPr>
          <w:cantSplit w:val="true"/>
        </w:trPr>
        <w:tc>
          <w:tcPr>
            <w:tcW w:w="8094" w:type="dxa"/>
            <w:vAlign w:val="center"/>
          </w:tcPr>
          <w:p>
            <w:pPr>
              <w:pStyle w:val="TableText"/>
              <w:jc w:val="left"/>
            </w:pPr>
            <w:r/>
            <w:r>
              <w:t>Review and comment on the Contractor's programme</w:t>
            </w:r>
          </w:p>
        </w:tc>
        <w:tc>
          <w:tcPr>
            <w:tcW w:w="1618" w:type="dxa"/>
            <w:vAlign w:val="center"/>
          </w:tcPr>
          <w:p>
            <w:pPr>
              <w:pStyle w:val="TableTextCentre"/>
              <w:jc w:val="center"/>
            </w:pPr>
            <w:r/>
            <w:r>
              <w:t>A/R</w:t>
            </w:r>
          </w:p>
        </w:tc>
        <w:tc>
          <w:tcPr>
            <w:tcW w:w="1618" w:type="dxa"/>
            <w:vAlign w:val="center"/>
          </w:tcPr>
          <w:p>
            <w:pPr>
              <w:pStyle w:val="TableTextCentre"/>
              <w:jc w:val="center"/>
            </w:pPr>
            <w:r/>
            <w:r>
              <w:t>I</w:t>
            </w:r>
          </w:p>
        </w:tc>
        <w:tc>
          <w:tcPr>
            <w:tcW w:w="1618" w:type="dxa"/>
            <w:vAlign w:val="center"/>
          </w:tcPr>
          <w:p>
            <w:pPr>
              <w:pStyle w:val="TableTextCentre"/>
              <w:jc w:val="center"/>
            </w:pPr>
            <w:r/>
            <w:r>
              <w:t>C</w:t>
            </w:r>
          </w:p>
        </w:tc>
        <w:tc>
          <w:tcPr>
            <w:tcW w:w="1622" w:type="dxa"/>
            <w:vAlign w:val="center"/>
          </w:tcPr>
          <w:p>
            <w:pPr>
              <w:pStyle w:val="TableTextCentre"/>
              <w:jc w:val="center"/>
            </w:pPr>
            <w:r/>
            <w:r>
              <w:t>C</w:t>
            </w:r>
          </w:p>
        </w:tc>
      </w:tr>
      <w:tr>
        <w:trPr>
          <w:cantSplit w:val="true"/>
        </w:trPr>
        <w:tc>
          <w:tcPr>
            <w:tcW w:w="8094" w:type="dxa"/>
            <w:vAlign w:val="center"/>
          </w:tcPr>
          <w:p>
            <w:pPr>
              <w:pStyle w:val="TableText"/>
              <w:jc w:val="left"/>
            </w:pPr>
            <w:r/>
            <w:r>
              <w:t>Assess claims for extension of time and delay cost</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R</w:t>
            </w:r>
          </w:p>
        </w:tc>
      </w:tr>
      <w:tr>
        <w:trPr>
          <w:cantSplit w:val="true"/>
        </w:trPr>
        <w:tc>
          <w:tcPr>
            <w:tcW w:w="8094" w:type="dxa"/>
            <w:vAlign w:val="center"/>
          </w:tcPr>
          <w:p>
            <w:pPr>
              <w:pStyle w:val="TableText"/>
              <w:jc w:val="left"/>
            </w:pPr>
            <w:r/>
            <w:r>
              <w:t>Assess and price proposed changes before instruction</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R</w:t>
            </w:r>
          </w:p>
        </w:tc>
      </w:tr>
      <w:tr>
        <w:trPr>
          <w:cantSplit w:val="true"/>
        </w:trPr>
        <w:tc>
          <w:tcPr>
            <w:tcW w:w="8094" w:type="dxa"/>
            <w:vAlign w:val="center"/>
          </w:tcPr>
          <w:p>
            <w:pPr>
              <w:pStyle w:val="TableText"/>
              <w:jc w:val="left"/>
            </w:pPr>
            <w:r/>
            <w:r>
              <w:t>Instruct a change to the works</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I</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Certify progress payments</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I</w:t>
            </w:r>
          </w:p>
        </w:tc>
        <w:tc>
          <w:tcPr>
            <w:tcW w:w="1622" w:type="dxa"/>
            <w:vAlign w:val="center"/>
          </w:tcPr>
          <w:p>
            <w:pPr>
              <w:pStyle w:val="TableTextCentre"/>
              <w:jc w:val="center"/>
            </w:pPr>
            <w:r/>
            <w:r>
              <w:t>I</w:t>
            </w:r>
          </w:p>
        </w:tc>
      </w:tr>
      <w:tr>
        <w:trPr>
          <w:cantSplit w:val="true"/>
        </w:trPr>
        <w:tc>
          <w:tcPr>
            <w:tcW w:w="8094" w:type="dxa"/>
            <w:vAlign w:val="center"/>
          </w:tcPr>
          <w:p>
            <w:pPr>
              <w:pStyle w:val="TableText"/>
              <w:jc w:val="left"/>
            </w:pPr>
            <w:r/>
            <w:r>
              <w:t>Maintain the risk register and recommend contingency drawdown</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C</w:t>
            </w:r>
          </w:p>
        </w:tc>
      </w:tr>
      <w:tr>
        <w:trPr>
          <w:cantSplit w:val="true"/>
        </w:trPr>
        <w:tc>
          <w:tcPr>
            <w:tcW w:w="8094" w:type="dxa"/>
            <w:vAlign w:val="center"/>
          </w:tcPr>
          <w:p>
            <w:pPr>
              <w:pStyle w:val="TableText"/>
              <w:jc w:val="left"/>
            </w:pPr>
            <w:r/>
            <w:r>
              <w:t>Manage quality, inspection and test plans and hold points</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18" w:type="dxa"/>
            <w:vAlign w:val="center"/>
          </w:tcPr>
          <w:p>
            <w:pPr>
              <w:pStyle w:val="TableTextCentre"/>
              <w:jc w:val="center"/>
            </w:pPr>
            <w:r/>
            <w:r>
              <w:t>C</w:t>
            </w:r>
          </w:p>
        </w:tc>
        <w:tc>
          <w:tcPr>
            <w:tcW w:w="1622" w:type="dxa"/>
            <w:vAlign w:val="center"/>
          </w:tcPr>
          <w:p>
            <w:pPr>
              <w:pStyle w:val="TableTextCentre"/>
              <w:jc w:val="center"/>
            </w:pPr>
            <w:r/>
            <w:r>
              <w:t>A/R</w:t>
            </w:r>
          </w:p>
        </w:tc>
      </w:tr>
      <w:tr>
        <w:trPr>
          <w:cantSplit w:val="true"/>
        </w:trPr>
        <w:tc>
          <w:tcPr>
            <w:tcW w:w="8094" w:type="dxa"/>
            <w:vAlign w:val="center"/>
          </w:tcPr>
          <w:p>
            <w:pPr>
              <w:pStyle w:val="TableText"/>
              <w:jc w:val="left"/>
            </w:pPr>
            <w:r/>
            <w:r>
              <w:t>Verify statutory approvals and discharge of conditions</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R</w:t>
            </w:r>
          </w:p>
        </w:tc>
        <w:tc>
          <w:tcPr>
            <w:tcW w:w="1622" w:type="dxa"/>
            <w:vAlign w:val="center"/>
          </w:tcPr>
          <w:p>
            <w:pPr>
              <w:pStyle w:val="TableTextCentre"/>
              <w:jc w:val="center"/>
            </w:pPr>
            <w:r/>
            <w:r>
              <w:t>R</w:t>
            </w:r>
          </w:p>
        </w:tc>
      </w:tr>
      <w:tr>
        <w:trPr>
          <w:cantSplit w:val="true"/>
        </w:trPr>
        <w:tc>
          <w:tcPr>
            <w:tcW w:w="8094" w:type="dxa"/>
            <w:vAlign w:val="center"/>
          </w:tcPr>
          <w:p>
            <w:pPr>
              <w:pStyle w:val="TableText"/>
              <w:jc w:val="left"/>
            </w:pPr>
            <w:r/>
            <w:r>
              <w:t>Plan and execute commissioning</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18" w:type="dxa"/>
            <w:vAlign w:val="center"/>
          </w:tcPr>
          <w:p>
            <w:pPr>
              <w:pStyle w:val="TableTextCentre"/>
              <w:jc w:val="center"/>
            </w:pPr>
            <w:r/>
            <w:r>
              <w:t>C</w:t>
            </w:r>
          </w:p>
        </w:tc>
        <w:tc>
          <w:tcPr>
            <w:tcW w:w="1622" w:type="dxa"/>
            <w:vAlign w:val="center"/>
          </w:tcPr>
          <w:p>
            <w:pPr>
              <w:pStyle w:val="TableTextCentre"/>
              <w:jc w:val="center"/>
            </w:pPr>
            <w:r/>
            <w:r>
              <w:t>A/R</w:t>
            </w:r>
          </w:p>
        </w:tc>
      </w:tr>
      <w:tr>
        <w:trPr>
          <w:cantSplit w:val="true"/>
        </w:trPr>
        <w:tc>
          <w:tcPr>
            <w:tcW w:w="8094" w:type="dxa"/>
            <w:vAlign w:val="center"/>
          </w:tcPr>
          <w:p>
            <w:pPr>
              <w:pStyle w:val="TableText"/>
              <w:jc w:val="left"/>
            </w:pPr>
            <w:r/>
            <w:r>
              <w:t>Coordinate operational readiness and end-user training</w:t>
            </w:r>
          </w:p>
        </w:tc>
        <w:tc>
          <w:tcPr>
            <w:tcW w:w="1618" w:type="dxa"/>
            <w:vAlign w:val="center"/>
          </w:tcPr>
          <w:p>
            <w:pPr>
              <w:pStyle w:val="TableTextCentre"/>
              <w:jc w:val="center"/>
            </w:pPr>
            <w:r/>
            <w:r>
              <w:t>A/R</w:t>
            </w:r>
          </w:p>
        </w:tc>
        <w:tc>
          <w:tcPr>
            <w:tcW w:w="1618" w:type="dxa"/>
            <w:vAlign w:val="center"/>
          </w:tcPr>
          <w:p>
            <w:pPr>
              <w:pStyle w:val="TableTextCentre"/>
              <w:jc w:val="center"/>
            </w:pPr>
            <w:r/>
            <w:r>
              <w:t>R</w:t>
            </w:r>
          </w:p>
        </w:tc>
        <w:tc>
          <w:tcPr>
            <w:tcW w:w="1618" w:type="dxa"/>
            <w:vAlign w:val="center"/>
          </w:tcPr>
          <w:p>
            <w:pPr>
              <w:pStyle w:val="TableTextCentre"/>
              <w:jc w:val="center"/>
            </w:pPr>
            <w:r/>
            <w:r>
              <w:t>C</w:t>
            </w:r>
          </w:p>
        </w:tc>
        <w:tc>
          <w:tcPr>
            <w:tcW w:w="1622" w:type="dxa"/>
            <w:vAlign w:val="center"/>
          </w:tcPr>
          <w:p>
            <w:pPr>
              <w:pStyle w:val="TableTextCentre"/>
              <w:jc w:val="center"/>
            </w:pPr>
            <w:r/>
            <w:r>
              <w:t>C</w:t>
            </w:r>
          </w:p>
        </w:tc>
      </w:tr>
      <w:tr>
        <w:trPr>
          <w:cantSplit w:val="true"/>
        </w:trPr>
        <w:tc>
          <w:tcPr>
            <w:tcW w:w="8094" w:type="dxa"/>
            <w:vAlign w:val="center"/>
          </w:tcPr>
          <w:p>
            <w:pPr>
              <w:pStyle w:val="TableText"/>
              <w:jc w:val="left"/>
            </w:pPr>
            <w:r/>
            <w:r>
              <w:t>Accept the asset and the handover information</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C</w:t>
            </w:r>
          </w:p>
        </w:tc>
        <w:tc>
          <w:tcPr>
            <w:tcW w:w="1622" w:type="dxa"/>
            <w:vAlign w:val="center"/>
          </w:tcPr>
          <w:p>
            <w:pPr>
              <w:pStyle w:val="TableTextCentre"/>
              <w:jc w:val="center"/>
            </w:pPr>
            <w:r/>
            <w:r>
              <w:t>R</w:t>
            </w:r>
          </w:p>
        </w:tc>
      </w:tr>
      <w:tr>
        <w:trPr>
          <w:cantSplit w:val="true"/>
        </w:trPr>
        <w:tc>
          <w:tcPr>
            <w:tcW w:w="8094" w:type="dxa"/>
            <w:vAlign w:val="center"/>
          </w:tcPr>
          <w:p>
            <w:pPr>
              <w:pStyle w:val="TableText"/>
              <w:jc w:val="left"/>
            </w:pPr>
            <w:r/>
            <w:r>
              <w:t>Rectify defects during the defects liability period</w:t>
            </w:r>
          </w:p>
        </w:tc>
        <w:tc>
          <w:tcPr>
            <w:tcW w:w="1618" w:type="dxa"/>
            <w:vAlign w:val="center"/>
          </w:tcPr>
          <w:p>
            <w:pPr>
              <w:pStyle w:val="TableTextCentre"/>
              <w:jc w:val="center"/>
            </w:pPr>
            <w:r/>
            <w:r>
              <w:t>C</w:t>
            </w:r>
          </w:p>
        </w:tc>
        <w:tc>
          <w:tcPr>
            <w:tcW w:w="1618" w:type="dxa"/>
            <w:vAlign w:val="center"/>
          </w:tcPr>
          <w:p>
            <w:pPr>
              <w:pStyle w:val="TableTextCentre"/>
              <w:jc w:val="center"/>
            </w:pPr>
            <w:r/>
            <w:r>
              <w:t>I</w:t>
            </w:r>
          </w:p>
        </w:tc>
        <w:tc>
          <w:tcPr>
            <w:tcW w:w="1618" w:type="dxa"/>
            <w:vAlign w:val="center"/>
          </w:tcPr>
          <w:p>
            <w:pPr>
              <w:pStyle w:val="TableTextCentre"/>
              <w:jc w:val="center"/>
            </w:pPr>
            <w:r/>
            <w:r>
              <w:t>I</w:t>
            </w:r>
          </w:p>
        </w:tc>
        <w:tc>
          <w:tcPr>
            <w:tcW w:w="1622" w:type="dxa"/>
            <w:vAlign w:val="center"/>
          </w:tcPr>
          <w:p>
            <w:pPr>
              <w:pStyle w:val="TableTextCentre"/>
              <w:jc w:val="center"/>
            </w:pPr>
            <w:r/>
            <w:r>
              <w:t>A/R</w:t>
            </w:r>
          </w:p>
        </w:tc>
      </w:tr>
      <w:tr>
        <w:trPr>
          <w:cantSplit w:val="true"/>
        </w:trPr>
        <w:tc>
          <w:tcPr>
            <w:tcW w:w="8094" w:type="dxa"/>
            <w:vAlign w:val="center"/>
          </w:tcPr>
          <w:p>
            <w:pPr>
              <w:pStyle w:val="TableText"/>
              <w:jc w:val="left"/>
            </w:pPr>
            <w:r/>
            <w:r>
              <w:t>Settle the final account and release contract security</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I</w:t>
            </w:r>
          </w:p>
        </w:tc>
        <w:tc>
          <w:tcPr>
            <w:tcW w:w="1622" w:type="dxa"/>
            <w:vAlign w:val="center"/>
          </w:tcPr>
          <w:p>
            <w:pPr>
              <w:pStyle w:val="TableTextCentre"/>
              <w:jc w:val="center"/>
            </w:pPr>
            <w:r/>
            <w:r>
              <w:t>R</w:t>
            </w:r>
          </w:p>
        </w:tc>
      </w:tr>
      <w:tr>
        <w:trPr>
          <w:cantSplit w:val="true"/>
        </w:trPr>
        <w:tc>
          <w:tcPr>
            <w:tcW w:w="8094" w:type="dxa"/>
            <w:vAlign w:val="center"/>
          </w:tcPr>
          <w:p>
            <w:pPr>
              <w:pStyle w:val="TableText"/>
              <w:jc w:val="left"/>
            </w:pPr>
            <w:r/>
            <w:r>
              <w:t>Report benefits realisation against the business case</w:t>
            </w:r>
          </w:p>
        </w:tc>
        <w:tc>
          <w:tcPr>
            <w:tcW w:w="1618" w:type="dxa"/>
            <w:vAlign w:val="center"/>
          </w:tcPr>
          <w:p>
            <w:pPr>
              <w:pStyle w:val="TableTextCentre"/>
              <w:jc w:val="center"/>
            </w:pPr>
            <w:r/>
            <w:r>
              <w:t>R</w:t>
            </w:r>
          </w:p>
        </w:tc>
        <w:tc>
          <w:tcPr>
            <w:tcW w:w="1618" w:type="dxa"/>
            <w:vAlign w:val="center"/>
          </w:tcPr>
          <w:p>
            <w:pPr>
              <w:pStyle w:val="TableTextCentre"/>
              <w:jc w:val="center"/>
            </w:pPr>
            <w:r/>
            <w:r>
              <w:t>A</w:t>
            </w:r>
          </w:p>
        </w:tc>
        <w:tc>
          <w:tcPr>
            <w:tcW w:w="1618" w:type="dxa"/>
            <w:vAlign w:val="center"/>
          </w:tcPr>
          <w:p>
            <w:pPr>
              <w:pStyle w:val="TableTextCentre"/>
              <w:jc w:val="center"/>
            </w:pPr>
            <w:r/>
            <w:r>
              <w:t>I</w:t>
            </w:r>
          </w:p>
        </w:tc>
        <w:tc>
          <w:tcPr>
            <w:tcW w:w="1622" w:type="dxa"/>
            <w:vAlign w:val="center"/>
          </w:tcPr>
          <w:p>
            <w:pPr>
              <w:pStyle w:val="TableTextCentre"/>
              <w:jc w:val="center"/>
            </w:pPr>
            <w:r/>
            <w:r>
              <w:t>I</w:t>
            </w:r>
          </w:p>
        </w:tc>
      </w:tr>
    </w:tbl>
    <w:p>
      <w:pPr>
        <w:pStyle w:val="Note"/>
      </w:pPr>
      <w:r>
        <w:t>The row marked EXAMPLE is project-specific and shown in grey italic — delete it before use, and add your own project-specific activities in the same way. Every other row is the standard allocation and should be edited, not deleted.</w:t>
      </w:r>
    </w:p>
    <w:p>
      <w:pPr>
        <w:pStyle w:val="Note"/>
      </w:pPr>
      <w:r>
        <w:t>A = accountable, and only ever one party per row: the party that answers for the outcome.   R = responsible for performing the work.   C = consulted before the activity is completed.   I = informed after the fact.   A/R = the same party is both accountable and performs the work. Reconcile this matrix against the construction contract and the design appointments before issue — where they differ, the contract prevails and this matrix must be corrected.</w:t>
      </w:r>
    </w:p>
    <w:p>
      <w:pPr>
        <w:sectPr>
          <w:headerReference w:type="default" r:id="rId13"/>
          <w:footerReference w:type="default" r:id="rId14"/>
          <w:pgSz w:w="16838" w:h="11906" w:orient="landscape"/>
          <w:pgMar w:top="964" w:right="1134" w:bottom="794" w:left="1134" w:header="482" w:footer="454" w:gutter="0"/>
          <w:cols w:space="720"/>
        </w:sectPr>
      </w:pPr>
    </w:p>
    <w:p>
      <w:pPr>
        <w:pStyle w:val="Heading1"/>
      </w:pPr>
      <w:bookmarkStart w:id="9016" w:name="_Toc90016"/>
      <w:r>
        <w:t>4. Exclusions and Limitations</w:t>
      </w:r>
      <w:bookmarkEnd w:id="9016"/>
    </w:p>
    <w:p>
      <w:pPr>
        <w:pStyle w:val="BodyLead"/>
      </w:pPr>
      <w:r>
        <w:t>An explicit exclusions list is not a retreat from the scope; it is the mechanism that makes the scope enforceable. It tells the Client exactly what it must obtain elsewhere, so that no duty falls between two appointments and appears only when it is needed urgently. It also protects the Client from paying twice for the same service, and protects us from being held to a duty we are neither insured nor resourced to discharge. Every exclusion below is available for discussion and can be priced as an additional service under Section 7.7.</w:t>
      </w:r>
    </w:p>
    <w:p>
      <w:pPr>
        <w:pStyle w:val="Heading2"/>
      </w:pPr>
      <w:bookmarkStart w:id="9017" w:name="_Toc90017"/>
      <w:r>
        <w:t>4.1 Services not included in the fee</w:t>
      </w:r>
      <w:bookmarkEnd w:id="9017"/>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4302"/>
        <w:gridCol w:w="5336"/>
      </w:tblGrid>
      <w:tr>
        <w:trPr>
          <w:tblHeader w:val="true"/>
          <w:cantSplit w:val="true"/>
        </w:trPr>
        <w:tc>
          <w:tcPr>
            <w:tcW w:w="4302" w:type="dxa"/>
            <w:shd w:val="clear" w:color="auto" w:fill="1D3245"/>
            <w:vAlign w:val="center"/>
          </w:tcPr>
          <w:p>
            <w:pPr>
              <w:pStyle w:val="TableHeader"/>
              <w:jc w:val="left"/>
            </w:pPr>
            <w:r/>
            <w:r>
              <w:t>Excluded service</w:t>
            </w:r>
          </w:p>
        </w:tc>
        <w:tc>
          <w:tcPr>
            <w:tcW w:w="5336" w:type="dxa"/>
            <w:shd w:val="clear" w:color="auto" w:fill="1D3245"/>
            <w:vAlign w:val="center"/>
          </w:tcPr>
          <w:p>
            <w:pPr>
              <w:pStyle w:val="TableHeader"/>
              <w:jc w:val="left"/>
            </w:pPr>
            <w:r/>
            <w:r>
              <w:t>Why it is excluded / who normally provides it</w:t>
            </w:r>
          </w:p>
        </w:tc>
      </w:tr>
      <w:tr>
        <w:trPr>
          <w:cantSplit w:val="true"/>
        </w:trPr>
        <w:tc>
          <w:tcPr>
            <w:tcW w:w="4302" w:type="dxa"/>
            <w:vAlign w:val="center"/>
          </w:tcPr>
          <w:p>
            <w:pPr>
              <w:pStyle w:val="TableTextExample"/>
              <w:jc w:val="left"/>
            </w:pPr>
            <w:r/>
            <w:r>
              <w:t>EXAMPLE — Procurement, installation and relocation of medical equipment and the Ward Block C decant of clinical staff and patients</w:t>
            </w:r>
          </w:p>
        </w:tc>
        <w:tc>
          <w:tcPr>
            <w:tcW w:w="5336" w:type="dxa"/>
            <w:vAlign w:val="center"/>
          </w:tcPr>
          <w:p>
            <w:pPr>
              <w:pStyle w:val="TableTextExample"/>
              <w:jc w:val="left"/>
            </w:pPr>
            <w:r/>
            <w:r>
              <w:t>A separate work stream managed by the Client's operational readiness team. We coordinate the interface and the shutdown windows only, as shown in Section 3.3</w:t>
            </w:r>
          </w:p>
        </w:tc>
      </w:tr>
      <w:tr>
        <w:trPr>
          <w:cantSplit w:val="true"/>
        </w:trPr>
        <w:tc>
          <w:tcPr>
            <w:tcW w:w="4302" w:type="dxa"/>
            <w:vAlign w:val="center"/>
          </w:tcPr>
          <w:p>
            <w:pPr>
              <w:pStyle w:val="TableText"/>
              <w:jc w:val="left"/>
            </w:pPr>
            <w:r/>
            <w:r>
              <w:t>Design, engineering or architectural services of any kind, including certification of design adequacy</w:t>
            </w:r>
          </w:p>
        </w:tc>
        <w:tc>
          <w:tcPr>
            <w:tcW w:w="5336" w:type="dxa"/>
            <w:vAlign w:val="center"/>
          </w:tcPr>
          <w:p>
            <w:pPr>
              <w:pStyle w:val="TableText"/>
              <w:jc w:val="left"/>
            </w:pPr>
            <w:r/>
            <w:r>
              <w:t>Provided by the Client's design consultants under their own appointments and professional indemnity cover. We manage and coordinate the designers; we do not design, and we do not warrant their design</w:t>
            </w:r>
          </w:p>
        </w:tc>
      </w:tr>
      <w:tr>
        <w:trPr>
          <w:cantSplit w:val="true"/>
        </w:trPr>
        <w:tc>
          <w:tcPr>
            <w:tcW w:w="4302" w:type="dxa"/>
            <w:vAlign w:val="center"/>
          </w:tcPr>
          <w:p>
            <w:pPr>
              <w:pStyle w:val="TableText"/>
              <w:jc w:val="left"/>
            </w:pPr>
            <w:r/>
            <w:r>
              <w:t>Quantity surveying measurement, bills of quantities and formal valuation of the works</w:t>
            </w:r>
          </w:p>
        </w:tc>
        <w:tc>
          <w:tcPr>
            <w:tcW w:w="5336" w:type="dxa"/>
            <w:vAlign w:val="center"/>
          </w:tcPr>
          <w:p>
            <w:pPr>
              <w:pStyle w:val="TableText"/>
              <w:jc w:val="left"/>
            </w:pPr>
            <w:r/>
            <w:r>
              <w:t>Provided by a quantity surveyor or cost consultant. Our cost management is plan, forecast and control based on measured information supplied to us</w:t>
            </w:r>
          </w:p>
        </w:tc>
      </w:tr>
      <w:tr>
        <w:trPr>
          <w:cantSplit w:val="true"/>
        </w:trPr>
        <w:tc>
          <w:tcPr>
            <w:tcW w:w="4302" w:type="dxa"/>
            <w:vAlign w:val="center"/>
          </w:tcPr>
          <w:p>
            <w:pPr>
              <w:pStyle w:val="TableText"/>
              <w:jc w:val="left"/>
            </w:pPr>
            <w:r/>
            <w:r>
              <w:t>Acting as Superintendent, Contract Administrator, Engineer or Employer's Agent under the construction contract</w:t>
            </w:r>
          </w:p>
        </w:tc>
        <w:tc>
          <w:tcPr>
            <w:tcW w:w="5336" w:type="dxa"/>
            <w:vAlign w:val="center"/>
          </w:tcPr>
          <w:p>
            <w:pPr>
              <w:pStyle w:val="TableText"/>
              <w:jc w:val="left"/>
            </w:pPr>
            <w:r/>
            <w:r>
              <w:t>A separate appointment with distinct duties and liabilities. We can accept it if separately appointed and priced; until then we support the appointed party</w:t>
            </w:r>
          </w:p>
        </w:tc>
      </w:tr>
      <w:tr>
        <w:trPr>
          <w:cantSplit w:val="true"/>
        </w:trPr>
        <w:tc>
          <w:tcPr>
            <w:tcW w:w="4302" w:type="dxa"/>
            <w:vAlign w:val="center"/>
          </w:tcPr>
          <w:p>
            <w:pPr>
              <w:pStyle w:val="TableText"/>
              <w:jc w:val="left"/>
            </w:pPr>
            <w:r/>
            <w:r>
              <w:t>Statutory applications, approvals, permits or licences lodged in our name</w:t>
            </w:r>
          </w:p>
        </w:tc>
        <w:tc>
          <w:tcPr>
            <w:tcW w:w="5336" w:type="dxa"/>
            <w:vAlign w:val="center"/>
          </w:tcPr>
          <w:p>
            <w:pPr>
              <w:pStyle w:val="TableText"/>
              <w:jc w:val="left"/>
            </w:pPr>
            <w:r/>
            <w:r>
              <w:t>Applications are made in the Client's name. We prepare, coordinate and track submissions and report on outstanding conditions</w:t>
            </w:r>
          </w:p>
        </w:tc>
      </w:tr>
      <w:tr>
        <w:trPr>
          <w:cantSplit w:val="true"/>
        </w:trPr>
        <w:tc>
          <w:tcPr>
            <w:tcW w:w="4302" w:type="dxa"/>
            <w:vAlign w:val="center"/>
          </w:tcPr>
          <w:p>
            <w:pPr>
              <w:pStyle w:val="TableText"/>
              <w:jc w:val="left"/>
            </w:pPr>
            <w:r/>
            <w:r>
              <w:t>Full-time site supervision, clerk of works, inspection or surveillance beyond the allowance stated in Section 3.2</w:t>
            </w:r>
          </w:p>
        </w:tc>
        <w:tc>
          <w:tcPr>
            <w:tcW w:w="5336" w:type="dxa"/>
            <w:vAlign w:val="center"/>
          </w:tcPr>
          <w:p>
            <w:pPr>
              <w:pStyle w:val="TableText"/>
              <w:jc w:val="left"/>
            </w:pPr>
            <w:r/>
            <w:r>
              <w:t>Priced by allowance because the requirement varies with construction method. Additional hours are charged at the rates in Section 7.7</w:t>
            </w:r>
          </w:p>
        </w:tc>
      </w:tr>
      <w:tr>
        <w:trPr>
          <w:cantSplit w:val="true"/>
        </w:trPr>
        <w:tc>
          <w:tcPr>
            <w:tcW w:w="4302" w:type="dxa"/>
            <w:vAlign w:val="center"/>
          </w:tcPr>
          <w:p>
            <w:pPr>
              <w:pStyle w:val="TableText"/>
              <w:jc w:val="left"/>
            </w:pPr>
            <w:r/>
            <w:r>
              <w:t>Expert witness, dispute preparation, arbitration or litigation support, including forensic delay or quantum analysis</w:t>
            </w:r>
          </w:p>
        </w:tc>
        <w:tc>
          <w:tcPr>
            <w:tcW w:w="5336" w:type="dxa"/>
            <w:vAlign w:val="center"/>
          </w:tcPr>
          <w:p>
            <w:pPr>
              <w:pStyle w:val="TableText"/>
              <w:jc w:val="left"/>
            </w:pPr>
            <w:r/>
            <w:r>
              <w:t>A separate engagement with a different standard of care and a different insurance position. Available as an additional service</w:t>
            </w:r>
          </w:p>
        </w:tc>
      </w:tr>
      <w:tr>
        <w:trPr>
          <w:cantSplit w:val="true"/>
        </w:trPr>
        <w:tc>
          <w:tcPr>
            <w:tcW w:w="4302" w:type="dxa"/>
            <w:vAlign w:val="center"/>
          </w:tcPr>
          <w:p>
            <w:pPr>
              <w:pStyle w:val="TableText"/>
              <w:jc w:val="left"/>
            </w:pPr>
            <w:r/>
            <w:r>
              <w:t>Site investigation, survey, testing, hazardous material survey, contamination assessment or environmental monitoring</w:t>
            </w:r>
          </w:p>
        </w:tc>
        <w:tc>
          <w:tcPr>
            <w:tcW w:w="5336" w:type="dxa"/>
            <w:vAlign w:val="center"/>
          </w:tcPr>
          <w:p>
            <w:pPr>
              <w:pStyle w:val="TableText"/>
              <w:jc w:val="left"/>
            </w:pPr>
            <w:r/>
            <w:r>
              <w:t>Specialist services procured directly by the Client. We will scope, procure and manage them if instructed</w:t>
            </w:r>
          </w:p>
        </w:tc>
      </w:tr>
      <w:tr>
        <w:trPr>
          <w:cantSplit w:val="true"/>
        </w:trPr>
        <w:tc>
          <w:tcPr>
            <w:tcW w:w="4302" w:type="dxa"/>
            <w:vAlign w:val="center"/>
          </w:tcPr>
          <w:p>
            <w:pPr>
              <w:pStyle w:val="TableText"/>
              <w:jc w:val="left"/>
            </w:pPr>
            <w:r/>
            <w:r>
              <w:t>Financial, taxation, insurance, valuation, funding or legal advice</w:t>
            </w:r>
          </w:p>
        </w:tc>
        <w:tc>
          <w:tcPr>
            <w:tcW w:w="5336" w:type="dxa"/>
            <w:vAlign w:val="center"/>
          </w:tcPr>
          <w:p>
            <w:pPr>
              <w:pStyle w:val="TableText"/>
              <w:jc w:val="left"/>
            </w:pPr>
            <w:r/>
            <w:r>
              <w:t>Provided by the Client's own advisers. We coordinate their input into the project process</w:t>
            </w:r>
          </w:p>
        </w:tc>
      </w:tr>
      <w:tr>
        <w:trPr>
          <w:cantSplit w:val="true"/>
        </w:trPr>
        <w:tc>
          <w:tcPr>
            <w:tcW w:w="4302" w:type="dxa"/>
            <w:vAlign w:val="center"/>
          </w:tcPr>
          <w:p>
            <w:pPr>
              <w:pStyle w:val="TableText"/>
              <w:jc w:val="left"/>
            </w:pPr>
            <w:r/>
            <w:r>
              <w:t>Operational staffing, clinical or business change management, furniture, equipment procurement and relocation, unless expressly included in Section 3.1</w:t>
            </w:r>
          </w:p>
        </w:tc>
        <w:tc>
          <w:tcPr>
            <w:tcW w:w="5336" w:type="dxa"/>
            <w:vAlign w:val="center"/>
          </w:tcPr>
          <w:p>
            <w:pPr>
              <w:pStyle w:val="TableText"/>
              <w:jc w:val="left"/>
            </w:pPr>
            <w:r/>
            <w:r>
              <w:t>Frequently assumed to be included and rarely is. If the Client requires it, it is priced as a separate work stream</w:t>
            </w:r>
          </w:p>
        </w:tc>
      </w:tr>
      <w:tr>
        <w:trPr>
          <w:cantSplit w:val="true"/>
        </w:trPr>
        <w:tc>
          <w:tcPr>
            <w:tcW w:w="4302" w:type="dxa"/>
            <w:vAlign w:val="center"/>
          </w:tcPr>
          <w:p>
            <w:pPr>
              <w:pStyle w:val="TableText"/>
              <w:jc w:val="left"/>
            </w:pPr>
            <w:r/>
            <w:r>
              <w:t>Third-party costs of any kind — authority and utility fees, printing, testing, connection and headworks charges, advertising</w:t>
            </w:r>
          </w:p>
        </w:tc>
        <w:tc>
          <w:tcPr>
            <w:tcW w:w="5336" w:type="dxa"/>
            <w:vAlign w:val="center"/>
          </w:tcPr>
          <w:p>
            <w:pPr>
              <w:pStyle w:val="TableText"/>
              <w:jc w:val="left"/>
            </w:pPr>
            <w:r/>
            <w:r>
              <w:t>Paid directly by the Client or reimbursed at cost under Section 7.4</w:t>
            </w:r>
          </w:p>
        </w:tc>
      </w:tr>
      <w:tr>
        <w:trPr>
          <w:cantSplit w:val="true"/>
        </w:trPr>
        <w:tc>
          <w:tcPr>
            <w:tcW w:w="4302" w:type="dxa"/>
            <w:vAlign w:val="center"/>
          </w:tcPr>
          <w:p>
            <w:pPr>
              <w:pStyle w:val="TableText"/>
              <w:jc w:val="left"/>
            </w:pPr>
            <w:r/>
            <w:r>
              <w:t>Software licences issued in the Client's own name for the Client's staff</w:t>
            </w:r>
          </w:p>
        </w:tc>
        <w:tc>
          <w:tcPr>
            <w:tcW w:w="5336" w:type="dxa"/>
            <w:vAlign w:val="center"/>
          </w:tcPr>
          <w:p>
            <w:pPr>
              <w:pStyle w:val="TableText"/>
              <w:jc w:val="left"/>
            </w:pPr>
            <w:r/>
            <w:r>
              <w:t>Our project controls platform licence is included for our team; Client-side licences are separately quoted</w:t>
            </w:r>
          </w:p>
        </w:tc>
      </w:tr>
      <w:tr>
        <w:trPr>
          <w:cantSplit w:val="true"/>
        </w:trPr>
        <w:tc>
          <w:tcPr>
            <w:tcW w:w="4302" w:type="dxa"/>
            <w:vAlign w:val="center"/>
          </w:tcPr>
          <w:p>
            <w:pPr>
              <w:pStyle w:val="TableText"/>
              <w:jc w:val="left"/>
            </w:pPr>
            <w:r/>
            <w:r>
              <w:t>[Insert any further exclusion specific to this project]</w:t>
            </w:r>
          </w:p>
        </w:tc>
        <w:tc>
          <w:tcPr>
            <w:tcW w:w="5336" w:type="dxa"/>
            <w:vAlign w:val="center"/>
          </w:tcPr>
          <w:p>
            <w:pPr>
              <w:pStyle w:val="TableText"/>
              <w:jc w:val="left"/>
            </w:pPr>
            <w:r/>
            <w:r>
              <w:t>[Insert the reason and who provides it instead]</w:t>
            </w:r>
          </w:p>
        </w:tc>
      </w:tr>
    </w:tbl>
    <w:p>
      <w:pPr>
        <w:pStyle w:val="Note"/>
      </w:pPr>
      <w:r>
        <w:t>The row marked EXAMPLE is project-specific and shown in grey italic — delete it before use. Every other row is a standard exclusion and should be edited to suit the appointment rather than deleted wholesale.</w:t>
      </w:r>
    </w:p>
    <w:p>
      <w:pPr>
        <w:pStyle w:val="Heading2"/>
      </w:pPr>
      <w:bookmarkStart w:id="9018" w:name="_Toc90018"/>
      <w:r>
        <w:t>4.2 Limitations on our service</w:t>
      </w:r>
      <w:bookmarkEnd w:id="9018"/>
    </w:p>
    <w:p>
      <w:pPr>
        <w:pStyle w:val="BodyBullet"/>
      </w:pPr>
      <w:r>
        <w:rPr>
          <w:color w:val="3480BC"/>
        </w:rPr>
        <w:t xml:space="preserve">—   </w:t>
      </w:r>
      <w:r>
        <w:t>We exercise the reasonable skill and care of a competent project management practice; we do not accept a fitness-for-purpose obligation and we do not guarantee the cost, time or quality outcome of works performed by others.</w:t>
      </w:r>
    </w:p>
    <w:p>
      <w:pPr>
        <w:pStyle w:val="BodyBullet"/>
      </w:pPr>
      <w:r>
        <w:rPr>
          <w:color w:val="3480BC"/>
        </w:rPr>
        <w:t xml:space="preserve">—   </w:t>
      </w:r>
      <w:r>
        <w:t>We rely on information supplied by the Client, the designers and the Contractor and do not independently verify it unless expressly instructed; forecasts are estimates based on information available at the stated cut-off date.</w:t>
      </w:r>
    </w:p>
    <w:p>
      <w:pPr>
        <w:pStyle w:val="BodyBullet"/>
      </w:pPr>
      <w:r>
        <w:rPr>
          <w:color w:val="3480BC"/>
        </w:rPr>
        <w:t xml:space="preserve">—   </w:t>
      </w:r>
      <w:r>
        <w:t>We do not assume the statutory duties of the Client, the principal contractor or any designer under [insert applicable jurisdiction's WHS / OSH legislation] or under any environmental, planning or building legislation.</w:t>
      </w:r>
    </w:p>
    <w:p>
      <w:pPr>
        <w:pStyle w:val="BodyBullet"/>
      </w:pPr>
      <w:r>
        <w:rPr>
          <w:color w:val="3480BC"/>
        </w:rPr>
        <w:t xml:space="preserve">—   </w:t>
      </w:r>
      <w:r>
        <w:t>Our monitoring of quality and safety is by surveillance and sampling and does not substitute for the Contractor's own inspection, testing and safety management obligations.</w:t>
      </w:r>
    </w:p>
    <w:p>
      <w:pPr>
        <w:pStyle w:val="BodyBullet"/>
      </w:pPr>
      <w:r>
        <w:rPr>
          <w:color w:val="3480BC"/>
        </w:rPr>
        <w:t xml:space="preserve">—   </w:t>
      </w:r>
      <w:r>
        <w:t>Our service is priced on the assumptions in Section 2.4 and the programme in Section 8; delay to our service caused by others extends the term and may attract time-related cost under Section 7.7.</w:t>
      </w:r>
    </w:p>
    <w:p>
      <w:pPr>
        <w:pStyle w:val="BodyBullet"/>
      </w:pPr>
      <w:r>
        <w:rPr>
          <w:color w:val="3480BC"/>
        </w:rPr>
        <w:t xml:space="preserve">—   </w:t>
      </w:r>
      <w:r>
        <w:t>Advice is given for the Client's use on this project only and may not be relied upon by a third party without our written consent.</w:t>
      </w:r>
    </w:p>
    <w:tbl>
      <w:tblPr>
        <w:tblLook w:firstColumn="1" w:firstRow="1" w:lastColumn="0" w:lastRow="0" w:noHBand="0" w:noVBand="1" w:val="04A0"/>
        <w:tblLayout w:type="fixed"/>
        <w:tblW w:w="9638" w:type="dxa"/>
        <w:tblInd w:w="0" w:type="dxa"/>
        <w:tblCellMar>
          <w:top w:w="110" w:type="dxa"/>
          <w:left w:w="170" w:type="dxa"/>
          <w:bottom w:w="110" w:type="dxa"/>
          <w:right w:w="170" w:type="dxa"/>
        </w:tblCellMar>
      </w:tblPr>
      <w:tblGrid>
        <w:gridCol w:w="9638"/>
      </w:tblGrid>
      <w:tr>
        <w:trPr>
          <w:cantSplit/>
        </w:trPr>
        <w:tc>
          <w:tcPr>
            <w:tcW w:w="9638" w:type="dxa"/>
            <w:shd w:val="clear" w:color="auto" w:fill="FDF3DC"/>
            <w:tcBorders>
              <w:left w:val="single" w:sz="4" w:space="0" w:color="C98A0E"/>
            </w:tcBorders>
          </w:tcPr>
          <w:p>
            <w:pPr>
              <w:pStyle w:val="Body"/>
            </w:pPr>
            <w:r/>
            <w:r>
              <w:t>Read Sections 3 and 4 together before you issue. Anything that is in neither table is unallocated — and an unallocated duty on a capital project is discovered late, at the worst possible moment, and paid for at a premium.</w:t>
            </w:r>
          </w:p>
        </w:tc>
      </w:tr>
    </w:tbl>
    <w:p>
      <w:pPr>
        <w:spacing w:before="0" w:after="0" w:line="160" w:lineRule="exact"/>
      </w:pPr>
    </w:p>
    <w:p>
      <w:pPr>
        <w:pStyle w:val="Heading1"/>
      </w:pPr>
      <w:bookmarkStart w:id="9019" w:name="_Toc90019"/>
      <w:r>
        <w:t>5. Delivery Approach and Methodology</w:t>
      </w:r>
      <w:bookmarkEnd w:id="9019"/>
    </w:p>
    <w:p>
      <w:pPr>
        <w:pStyle w:val="BodyLead"/>
      </w:pPr>
      <w:r>
        <w:t>Method matters because it is repeatable. This section describes the management system we will actually operate on this project — the forums, the cycle, the registers and the evidence each produces — not a description of project management in the abstract. Everything here is auditable: for each element a reader can ask to see the output and we can produce it.</w:t>
      </w:r>
    </w:p>
    <w:p>
      <w:pPr>
        <w:pStyle w:val="Heading2"/>
      </w:pPr>
      <w:bookmarkStart w:id="9020" w:name="_Toc90020"/>
      <w:r>
        <w:t>5.1 Governance and reporting structure</w:t>
      </w:r>
      <w:bookmarkEnd w:id="9020"/>
    </w:p>
    <w:p>
      <w:pPr>
        <w:pStyle w:val="Body"/>
      </w:pPr>
      <w:r>
        <w:t>Governance succeeds or fails on decision latency. The forums below are sized so that every decision has a scheduled place to be made within the turnaround the programme can absorb. Confirm the cadence against the Client's own committee calendar at inception; a forum that cannot meet its own cadence should be merged, not diarised.</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356"/>
        <w:gridCol w:w="1918"/>
        <w:gridCol w:w="1216"/>
        <w:gridCol w:w="1497"/>
        <w:gridCol w:w="1824"/>
        <w:gridCol w:w="1827"/>
      </w:tblGrid>
      <w:tr>
        <w:trPr>
          <w:tblHeader w:val="true"/>
          <w:cantSplit w:val="true"/>
        </w:trPr>
        <w:tc>
          <w:tcPr>
            <w:tcW w:w="1356" w:type="dxa"/>
            <w:shd w:val="clear" w:color="auto" w:fill="1D3245"/>
            <w:vAlign w:val="center"/>
          </w:tcPr>
          <w:p>
            <w:pPr>
              <w:pStyle w:val="TableHeader"/>
              <w:jc w:val="left"/>
            </w:pPr>
            <w:r/>
            <w:r>
              <w:t>Forum</w:t>
            </w:r>
          </w:p>
        </w:tc>
        <w:tc>
          <w:tcPr>
            <w:tcW w:w="1918" w:type="dxa"/>
            <w:shd w:val="clear" w:color="auto" w:fill="1D3245"/>
            <w:vAlign w:val="center"/>
          </w:tcPr>
          <w:p>
            <w:pPr>
              <w:pStyle w:val="TableHeader"/>
              <w:jc w:val="left"/>
            </w:pPr>
            <w:r/>
            <w:r>
              <w:t>Purpose</w:t>
            </w:r>
          </w:p>
        </w:tc>
        <w:tc>
          <w:tcPr>
            <w:tcW w:w="1216" w:type="dxa"/>
            <w:shd w:val="clear" w:color="auto" w:fill="1D3245"/>
            <w:vAlign w:val="center"/>
          </w:tcPr>
          <w:p>
            <w:pPr>
              <w:pStyle w:val="TableHeader"/>
              <w:jc w:val="left"/>
            </w:pPr>
            <w:r/>
            <w:r>
              <w:t>Frequency</w:t>
            </w:r>
          </w:p>
        </w:tc>
        <w:tc>
          <w:tcPr>
            <w:tcW w:w="1497" w:type="dxa"/>
            <w:shd w:val="clear" w:color="auto" w:fill="1D3245"/>
            <w:vAlign w:val="center"/>
          </w:tcPr>
          <w:p>
            <w:pPr>
              <w:pStyle w:val="TableHeader"/>
              <w:jc w:val="left"/>
            </w:pPr>
            <w:r/>
            <w:r>
              <w:t>Chair</w:t>
            </w:r>
          </w:p>
        </w:tc>
        <w:tc>
          <w:tcPr>
            <w:tcW w:w="1824" w:type="dxa"/>
            <w:shd w:val="clear" w:color="auto" w:fill="1D3245"/>
            <w:vAlign w:val="center"/>
          </w:tcPr>
          <w:p>
            <w:pPr>
              <w:pStyle w:val="TableHeader"/>
              <w:jc w:val="left"/>
            </w:pPr>
            <w:r/>
            <w:r>
              <w:t>Attendees</w:t>
            </w:r>
          </w:p>
        </w:tc>
        <w:tc>
          <w:tcPr>
            <w:tcW w:w="1827" w:type="dxa"/>
            <w:shd w:val="clear" w:color="auto" w:fill="1D3245"/>
            <w:vAlign w:val="center"/>
          </w:tcPr>
          <w:p>
            <w:pPr>
              <w:pStyle w:val="TableHeader"/>
              <w:jc w:val="left"/>
            </w:pPr>
            <w:r/>
            <w:r>
              <w:t>Output</w:t>
            </w:r>
          </w:p>
        </w:tc>
      </w:tr>
      <w:tr>
        <w:trPr>
          <w:cantSplit w:val="true"/>
        </w:trPr>
        <w:tc>
          <w:tcPr>
            <w:tcW w:w="1356" w:type="dxa"/>
            <w:vAlign w:val="center"/>
          </w:tcPr>
          <w:p>
            <w:pPr>
              <w:pStyle w:val="TableTextExample"/>
              <w:jc w:val="left"/>
            </w:pPr>
            <w:r/>
            <w:r>
              <w:t>Project control group</w:t>
            </w:r>
          </w:p>
        </w:tc>
        <w:tc>
          <w:tcPr>
            <w:tcW w:w="1918" w:type="dxa"/>
            <w:vAlign w:val="center"/>
          </w:tcPr>
          <w:p>
            <w:pPr>
              <w:pStyle w:val="TableTextExample"/>
              <w:jc w:val="left"/>
            </w:pPr>
            <w:r/>
            <w:r>
              <w:t>Governance, gateway decisions, budget and contingency approvals, escalated risks</w:t>
            </w:r>
          </w:p>
        </w:tc>
        <w:tc>
          <w:tcPr>
            <w:tcW w:w="1216" w:type="dxa"/>
            <w:vAlign w:val="center"/>
          </w:tcPr>
          <w:p>
            <w:pPr>
              <w:pStyle w:val="TableTextExample"/>
              <w:jc w:val="left"/>
            </w:pPr>
            <w:r/>
            <w:r>
              <w:t>Monthly</w:t>
            </w:r>
          </w:p>
        </w:tc>
        <w:tc>
          <w:tcPr>
            <w:tcW w:w="1497" w:type="dxa"/>
            <w:vAlign w:val="center"/>
          </w:tcPr>
          <w:p>
            <w:pPr>
              <w:pStyle w:val="TableTextExample"/>
              <w:jc w:val="left"/>
            </w:pPr>
            <w:r/>
            <w:r>
              <w:t>Client Project Director</w:t>
            </w:r>
          </w:p>
        </w:tc>
        <w:tc>
          <w:tcPr>
            <w:tcW w:w="1824" w:type="dxa"/>
            <w:vAlign w:val="center"/>
          </w:tcPr>
          <w:p>
            <w:pPr>
              <w:pStyle w:val="TableTextExample"/>
              <w:jc w:val="left"/>
            </w:pPr>
            <w:r/>
            <w:r>
              <w:t>Client executive, Project Director, Project Manager, cost and programme leads</w:t>
            </w:r>
          </w:p>
        </w:tc>
        <w:tc>
          <w:tcPr>
            <w:tcW w:w="1827" w:type="dxa"/>
            <w:vAlign w:val="center"/>
          </w:tcPr>
          <w:p>
            <w:pPr>
              <w:pStyle w:val="TableTextExample"/>
              <w:jc w:val="left"/>
            </w:pPr>
            <w:r/>
            <w:r>
              <w:t>Minuted decisions; approved monthly report; contingency drawdown approvals</w:t>
            </w:r>
          </w:p>
        </w:tc>
      </w:tr>
      <w:tr>
        <w:trPr>
          <w:cantSplit w:val="true"/>
        </w:trPr>
        <w:tc>
          <w:tcPr>
            <w:tcW w:w="1356" w:type="dxa"/>
            <w:vAlign w:val="center"/>
          </w:tcPr>
          <w:p>
            <w:pPr>
              <w:pStyle w:val="TableTextExample"/>
              <w:jc w:val="left"/>
            </w:pPr>
            <w:r/>
            <w:r>
              <w:t>Project team meeting</w:t>
            </w:r>
          </w:p>
        </w:tc>
        <w:tc>
          <w:tcPr>
            <w:tcW w:w="1918" w:type="dxa"/>
            <w:vAlign w:val="center"/>
          </w:tcPr>
          <w:p>
            <w:pPr>
              <w:pStyle w:val="TableTextExample"/>
              <w:jc w:val="left"/>
            </w:pPr>
            <w:r/>
            <w:r>
              <w:t>Delivery coordination across cost, programme, risk, change and approvals</w:t>
            </w:r>
          </w:p>
        </w:tc>
        <w:tc>
          <w:tcPr>
            <w:tcW w:w="1216" w:type="dxa"/>
            <w:vAlign w:val="center"/>
          </w:tcPr>
          <w:p>
            <w:pPr>
              <w:pStyle w:val="TableTextExample"/>
              <w:jc w:val="left"/>
            </w:pPr>
            <w:r/>
            <w:r>
              <w:t>Fortnightly</w:t>
            </w:r>
          </w:p>
        </w:tc>
        <w:tc>
          <w:tcPr>
            <w:tcW w:w="1497" w:type="dxa"/>
            <w:vAlign w:val="center"/>
          </w:tcPr>
          <w:p>
            <w:pPr>
              <w:pStyle w:val="TableTextExample"/>
              <w:jc w:val="left"/>
            </w:pPr>
            <w:r/>
            <w:r>
              <w:t>Project Manager</w:t>
            </w:r>
          </w:p>
        </w:tc>
        <w:tc>
          <w:tcPr>
            <w:tcW w:w="1824" w:type="dxa"/>
            <w:vAlign w:val="center"/>
          </w:tcPr>
          <w:p>
            <w:pPr>
              <w:pStyle w:val="TableTextExample"/>
              <w:jc w:val="left"/>
            </w:pPr>
            <w:r/>
            <w:r>
              <w:t>Client representative, PM team, lead designer, Contractor representative</w:t>
            </w:r>
          </w:p>
        </w:tc>
        <w:tc>
          <w:tcPr>
            <w:tcW w:w="1827" w:type="dxa"/>
            <w:vAlign w:val="center"/>
          </w:tcPr>
          <w:p>
            <w:pPr>
              <w:pStyle w:val="TableTextExample"/>
              <w:jc w:val="left"/>
            </w:pPr>
            <w:r/>
            <w:r>
              <w:t>Action register update; four-week look-ahead; early warnings raised</w:t>
            </w:r>
          </w:p>
        </w:tc>
      </w:tr>
      <w:tr>
        <w:trPr>
          <w:cantSplit w:val="true"/>
        </w:trPr>
        <w:tc>
          <w:tcPr>
            <w:tcW w:w="1356" w:type="dxa"/>
            <w:vAlign w:val="center"/>
          </w:tcPr>
          <w:p>
            <w:pPr>
              <w:pStyle w:val="TableTextExample"/>
              <w:jc w:val="left"/>
            </w:pPr>
            <w:r/>
            <w:r>
              <w:t>Design coordination meeting</w:t>
            </w:r>
          </w:p>
        </w:tc>
        <w:tc>
          <w:tcPr>
            <w:tcW w:w="1918" w:type="dxa"/>
            <w:vAlign w:val="center"/>
          </w:tcPr>
          <w:p>
            <w:pPr>
              <w:pStyle w:val="TableTextExample"/>
              <w:jc w:val="left"/>
            </w:pPr>
            <w:r/>
            <w:r>
              <w:t>Design progress, deliverables, interface resolution and buildability</w:t>
            </w:r>
          </w:p>
        </w:tc>
        <w:tc>
          <w:tcPr>
            <w:tcW w:w="1216" w:type="dxa"/>
            <w:vAlign w:val="center"/>
          </w:tcPr>
          <w:p>
            <w:pPr>
              <w:pStyle w:val="TableTextExample"/>
              <w:jc w:val="left"/>
            </w:pPr>
            <w:r/>
            <w:r>
              <w:t>Fortnightly to end of Stage 3, then monthly</w:t>
            </w:r>
          </w:p>
        </w:tc>
        <w:tc>
          <w:tcPr>
            <w:tcW w:w="1497" w:type="dxa"/>
            <w:vAlign w:val="center"/>
          </w:tcPr>
          <w:p>
            <w:pPr>
              <w:pStyle w:val="TableTextExample"/>
              <w:jc w:val="left"/>
            </w:pPr>
            <w:r/>
            <w:r>
              <w:t>Project Manager / Design Manager</w:t>
            </w:r>
          </w:p>
        </w:tc>
        <w:tc>
          <w:tcPr>
            <w:tcW w:w="1824" w:type="dxa"/>
            <w:vAlign w:val="center"/>
          </w:tcPr>
          <w:p>
            <w:pPr>
              <w:pStyle w:val="TableTextExample"/>
              <w:jc w:val="left"/>
            </w:pPr>
            <w:r/>
            <w:r>
              <w:t>All design disciplines, Client user representative, Contractor (post-award)</w:t>
            </w:r>
          </w:p>
        </w:tc>
        <w:tc>
          <w:tcPr>
            <w:tcW w:w="1827" w:type="dxa"/>
            <w:vAlign w:val="center"/>
          </w:tcPr>
          <w:p>
            <w:pPr>
              <w:pStyle w:val="TableTextExample"/>
              <w:jc w:val="left"/>
            </w:pPr>
            <w:r/>
            <w:r>
              <w:t>Design deliverables schedule update; design change register; resolved interface log</w:t>
            </w:r>
          </w:p>
        </w:tc>
      </w:tr>
      <w:tr>
        <w:trPr>
          <w:cantSplit w:val="true"/>
        </w:trPr>
        <w:tc>
          <w:tcPr>
            <w:tcW w:w="1356" w:type="dxa"/>
            <w:vAlign w:val="center"/>
          </w:tcPr>
          <w:p>
            <w:pPr>
              <w:pStyle w:val="TableTextExample"/>
              <w:jc w:val="left"/>
            </w:pPr>
            <w:r/>
            <w:r>
              <w:t>Site progress and coordination meeting</w:t>
            </w:r>
          </w:p>
        </w:tc>
        <w:tc>
          <w:tcPr>
            <w:tcW w:w="1918" w:type="dxa"/>
            <w:vAlign w:val="center"/>
          </w:tcPr>
          <w:p>
            <w:pPr>
              <w:pStyle w:val="TableTextExample"/>
              <w:jc w:val="left"/>
            </w:pPr>
            <w:r/>
            <w:r>
              <w:t>Progress against programme, site issues, access, quality and HSE</w:t>
            </w:r>
          </w:p>
        </w:tc>
        <w:tc>
          <w:tcPr>
            <w:tcW w:w="1216" w:type="dxa"/>
            <w:vAlign w:val="center"/>
          </w:tcPr>
          <w:p>
            <w:pPr>
              <w:pStyle w:val="TableTextExample"/>
              <w:jc w:val="left"/>
            </w:pPr>
            <w:r/>
            <w:r>
              <w:t>Weekly during Stage 5</w:t>
            </w:r>
          </w:p>
        </w:tc>
        <w:tc>
          <w:tcPr>
            <w:tcW w:w="1497" w:type="dxa"/>
            <w:vAlign w:val="center"/>
          </w:tcPr>
          <w:p>
            <w:pPr>
              <w:pStyle w:val="TableTextExample"/>
              <w:jc w:val="left"/>
            </w:pPr>
            <w:r/>
            <w:r>
              <w:t>Contractor's project manager</w:t>
            </w:r>
          </w:p>
        </w:tc>
        <w:tc>
          <w:tcPr>
            <w:tcW w:w="1824" w:type="dxa"/>
            <w:vAlign w:val="center"/>
          </w:tcPr>
          <w:p>
            <w:pPr>
              <w:pStyle w:val="TableTextExample"/>
              <w:jc w:val="left"/>
            </w:pPr>
            <w:r/>
            <w:r>
              <w:t>Contractor, PM, Superintendent / Contract Administrator, key subcontractors</w:t>
            </w:r>
          </w:p>
        </w:tc>
        <w:tc>
          <w:tcPr>
            <w:tcW w:w="1827" w:type="dxa"/>
            <w:vAlign w:val="center"/>
          </w:tcPr>
          <w:p>
            <w:pPr>
              <w:pStyle w:val="TableTextExample"/>
              <w:jc w:val="left"/>
            </w:pPr>
            <w:r/>
            <w:r>
              <w:t>Progress record; delay notices; site instruction log</w:t>
            </w:r>
          </w:p>
        </w:tc>
      </w:tr>
      <w:tr>
        <w:trPr>
          <w:cantSplit w:val="true"/>
        </w:trPr>
        <w:tc>
          <w:tcPr>
            <w:tcW w:w="1356" w:type="dxa"/>
            <w:vAlign w:val="center"/>
          </w:tcPr>
          <w:p>
            <w:pPr>
              <w:pStyle w:val="TableTextExample"/>
              <w:jc w:val="left"/>
            </w:pPr>
            <w:r/>
            <w:r>
              <w:t>Risk review workshop</w:t>
            </w:r>
          </w:p>
        </w:tc>
        <w:tc>
          <w:tcPr>
            <w:tcW w:w="1918" w:type="dxa"/>
            <w:vAlign w:val="center"/>
          </w:tcPr>
          <w:p>
            <w:pPr>
              <w:pStyle w:val="TableTextExample"/>
              <w:jc w:val="left"/>
            </w:pPr>
            <w:r/>
            <w:r>
              <w:t>Re-score risks, test contingency adequacy, assign and close treatments</w:t>
            </w:r>
          </w:p>
        </w:tc>
        <w:tc>
          <w:tcPr>
            <w:tcW w:w="1216" w:type="dxa"/>
            <w:vAlign w:val="center"/>
          </w:tcPr>
          <w:p>
            <w:pPr>
              <w:pStyle w:val="TableTextExample"/>
              <w:jc w:val="left"/>
            </w:pPr>
            <w:r/>
            <w:r>
              <w:t>Quarterly and at each stage gate</w:t>
            </w:r>
          </w:p>
        </w:tc>
        <w:tc>
          <w:tcPr>
            <w:tcW w:w="1497" w:type="dxa"/>
            <w:vAlign w:val="center"/>
          </w:tcPr>
          <w:p>
            <w:pPr>
              <w:pStyle w:val="TableTextExample"/>
              <w:jc w:val="left"/>
            </w:pPr>
            <w:r/>
            <w:r>
              <w:t>Project Manager</w:t>
            </w:r>
          </w:p>
        </w:tc>
        <w:tc>
          <w:tcPr>
            <w:tcW w:w="1824" w:type="dxa"/>
            <w:vAlign w:val="center"/>
          </w:tcPr>
          <w:p>
            <w:pPr>
              <w:pStyle w:val="TableTextExample"/>
              <w:jc w:val="left"/>
            </w:pPr>
            <w:r/>
            <w:r>
              <w:t>Client, PM team, designers, Contractor (post-award)</w:t>
            </w:r>
          </w:p>
        </w:tc>
        <w:tc>
          <w:tcPr>
            <w:tcW w:w="1827" w:type="dxa"/>
            <w:vAlign w:val="center"/>
          </w:tcPr>
          <w:p>
            <w:pPr>
              <w:pStyle w:val="TableTextExample"/>
              <w:jc w:val="left"/>
            </w:pPr>
            <w:r/>
            <w:r>
              <w:t>Updated risk register; quantified exposure; contingency recommendation</w:t>
            </w:r>
          </w:p>
        </w:tc>
      </w:tr>
      <w:tr>
        <w:trPr>
          <w:cantSplit w:val="true"/>
        </w:trPr>
        <w:tc>
          <w:tcPr>
            <w:tcW w:w="1356" w:type="dxa"/>
            <w:vAlign w:val="center"/>
          </w:tcPr>
          <w:p>
            <w:pPr>
              <w:pStyle w:val="TableTextExample"/>
              <w:jc w:val="left"/>
            </w:pPr>
            <w:r/>
            <w:r>
              <w:t>Change control board</w:t>
            </w:r>
          </w:p>
        </w:tc>
        <w:tc>
          <w:tcPr>
            <w:tcW w:w="1918" w:type="dxa"/>
            <w:vAlign w:val="center"/>
          </w:tcPr>
          <w:p>
            <w:pPr>
              <w:pStyle w:val="TableTextExample"/>
              <w:jc w:val="left"/>
            </w:pPr>
            <w:r/>
            <w:r>
              <w:t>Assess, price and decide proposed changes before instruction</w:t>
            </w:r>
          </w:p>
        </w:tc>
        <w:tc>
          <w:tcPr>
            <w:tcW w:w="1216" w:type="dxa"/>
            <w:vAlign w:val="center"/>
          </w:tcPr>
          <w:p>
            <w:pPr>
              <w:pStyle w:val="TableTextExample"/>
              <w:jc w:val="left"/>
            </w:pPr>
            <w:r/>
            <w:r>
              <w:t>Fortnightly, or on demand for time-critical items</w:t>
            </w:r>
          </w:p>
        </w:tc>
        <w:tc>
          <w:tcPr>
            <w:tcW w:w="1497" w:type="dxa"/>
            <w:vAlign w:val="center"/>
          </w:tcPr>
          <w:p>
            <w:pPr>
              <w:pStyle w:val="TableTextExample"/>
              <w:jc w:val="left"/>
            </w:pPr>
            <w:r/>
            <w:r>
              <w:t>Client representative</w:t>
            </w:r>
          </w:p>
        </w:tc>
        <w:tc>
          <w:tcPr>
            <w:tcW w:w="1824" w:type="dxa"/>
            <w:vAlign w:val="center"/>
          </w:tcPr>
          <w:p>
            <w:pPr>
              <w:pStyle w:val="TableTextExample"/>
              <w:jc w:val="left"/>
            </w:pPr>
            <w:r/>
            <w:r>
              <w:t>Client, PM, cost lead, designer as required</w:t>
            </w:r>
          </w:p>
        </w:tc>
        <w:tc>
          <w:tcPr>
            <w:tcW w:w="1827" w:type="dxa"/>
            <w:vAlign w:val="center"/>
          </w:tcPr>
          <w:p>
            <w:pPr>
              <w:pStyle w:val="TableTextExample"/>
              <w:jc w:val="left"/>
            </w:pPr>
            <w:r/>
            <w:r>
              <w:t>Change register update; costed decisions; instruction or rejection recorded</w:t>
            </w:r>
          </w:p>
        </w:tc>
      </w:tr>
      <w:tr>
        <w:trPr>
          <w:cantSplit w:val="true"/>
        </w:trPr>
        <w:tc>
          <w:tcPr>
            <w:tcW w:w="1356" w:type="dxa"/>
            <w:vAlign w:val="center"/>
          </w:tcPr>
          <w:p>
            <w:pPr>
              <w:pStyle w:val="TableTextExample"/>
              <w:jc w:val="left"/>
            </w:pPr>
            <w:r/>
            <w:r>
              <w:t>Commissioning and operational readiness forum</w:t>
            </w:r>
          </w:p>
        </w:tc>
        <w:tc>
          <w:tcPr>
            <w:tcW w:w="1918" w:type="dxa"/>
            <w:vAlign w:val="center"/>
          </w:tcPr>
          <w:p>
            <w:pPr>
              <w:pStyle w:val="TableTextExample"/>
              <w:jc w:val="left"/>
            </w:pPr>
            <w:r/>
            <w:r>
              <w:t>Commissioning progress, readiness activities, training, handover documentation</w:t>
            </w:r>
          </w:p>
        </w:tc>
        <w:tc>
          <w:tcPr>
            <w:tcW w:w="1216" w:type="dxa"/>
            <w:vAlign w:val="center"/>
          </w:tcPr>
          <w:p>
            <w:pPr>
              <w:pStyle w:val="TableTextExample"/>
              <w:jc w:val="left"/>
            </w:pPr>
            <w:r/>
            <w:r>
              <w:t>Monthly from [00] months before completion</w:t>
            </w:r>
          </w:p>
        </w:tc>
        <w:tc>
          <w:tcPr>
            <w:tcW w:w="1497" w:type="dxa"/>
            <w:vAlign w:val="center"/>
          </w:tcPr>
          <w:p>
            <w:pPr>
              <w:pStyle w:val="TableTextExample"/>
              <w:jc w:val="left"/>
            </w:pPr>
            <w:r/>
            <w:r>
              <w:t>Project Manager</w:t>
            </w:r>
          </w:p>
        </w:tc>
        <w:tc>
          <w:tcPr>
            <w:tcW w:w="1824" w:type="dxa"/>
            <w:vAlign w:val="center"/>
          </w:tcPr>
          <w:p>
            <w:pPr>
              <w:pStyle w:val="TableTextExample"/>
              <w:jc w:val="left"/>
            </w:pPr>
            <w:r/>
            <w:r>
              <w:t>Client operations and facilities, Contractor, commissioning agent</w:t>
            </w:r>
          </w:p>
        </w:tc>
        <w:tc>
          <w:tcPr>
            <w:tcW w:w="1827" w:type="dxa"/>
            <w:vAlign w:val="center"/>
          </w:tcPr>
          <w:p>
            <w:pPr>
              <w:pStyle w:val="TableTextExample"/>
              <w:jc w:val="left"/>
            </w:pPr>
            <w:r/>
            <w:r>
              <w:t>Readiness checklist; handover documentation status; defects position</w:t>
            </w:r>
          </w:p>
        </w:tc>
      </w:tr>
      <w:tr>
        <w:trPr>
          <w:cantSplit w:val="true"/>
        </w:trPr>
        <w:tc>
          <w:tcPr>
            <w:tcW w:w="1356" w:type="dxa"/>
            <w:vAlign w:val="center"/>
          </w:tcPr>
          <w:p>
            <w:pPr>
              <w:pStyle w:val="TableText"/>
              <w:jc w:val="left"/>
            </w:pPr>
            <w:r/>
            <w:r>
              <w:t>[Insert forum]</w:t>
            </w:r>
          </w:p>
        </w:tc>
        <w:tc>
          <w:tcPr>
            <w:tcW w:w="1918" w:type="dxa"/>
            <w:vAlign w:val="center"/>
          </w:tcPr>
          <w:p>
            <w:pPr>
              <w:pStyle w:val="TableText"/>
              <w:jc w:val="left"/>
            </w:pPr>
            <w:r/>
            <w:r>
              <w:t>[Insert purpose]</w:t>
            </w:r>
          </w:p>
        </w:tc>
        <w:tc>
          <w:tcPr>
            <w:tcW w:w="1216" w:type="dxa"/>
            <w:vAlign w:val="center"/>
          </w:tcPr>
          <w:p>
            <w:pPr>
              <w:pStyle w:val="TableText"/>
              <w:jc w:val="left"/>
            </w:pPr>
            <w:r/>
            <w:r>
              <w:t>[Insert frequency]</w:t>
            </w:r>
          </w:p>
        </w:tc>
        <w:tc>
          <w:tcPr>
            <w:tcW w:w="1497" w:type="dxa"/>
            <w:vAlign w:val="center"/>
          </w:tcPr>
          <w:p>
            <w:pPr>
              <w:pStyle w:val="TableText"/>
              <w:jc w:val="left"/>
            </w:pPr>
            <w:r/>
            <w:r>
              <w:t>[Insert chair]</w:t>
            </w:r>
          </w:p>
        </w:tc>
        <w:tc>
          <w:tcPr>
            <w:tcW w:w="1824" w:type="dxa"/>
            <w:vAlign w:val="center"/>
          </w:tcPr>
          <w:p>
            <w:pPr>
              <w:pStyle w:val="TableText"/>
              <w:jc w:val="left"/>
            </w:pPr>
            <w:r/>
            <w:r>
              <w:t>[Insert attendees]</w:t>
            </w:r>
          </w:p>
        </w:tc>
        <w:tc>
          <w:tcPr>
            <w:tcW w:w="1827" w:type="dxa"/>
            <w:vAlign w:val="center"/>
          </w:tcPr>
          <w:p>
            <w:pPr>
              <w:pStyle w:val="TableText"/>
              <w:jc w:val="left"/>
            </w:pPr>
            <w:r/>
            <w:r>
              <w:t>[Insert the document the forum produces]</w:t>
            </w:r>
          </w:p>
        </w:tc>
      </w:tr>
    </w:tbl>
    <w:p>
      <w:pPr>
        <w:pStyle w:val="Note"/>
      </w:pPr>
      <w:r>
        <w:t>Example content shown in grey italic — delete before use. Replace the cadence with the cadence you will actually hold. Every forum must produce a document; a forum with no output is a meeting, not governance.</w:t>
      </w:r>
    </w:p>
    <w:p>
      <w:pPr>
        <w:pStyle w:val="Heading2"/>
      </w:pPr>
      <w:bookmarkStart w:id="9021" w:name="_Toc90021"/>
      <w:r>
        <w:t>5.2 The control cycle we run</w:t>
      </w:r>
      <w:bookmarkEnd w:id="9021"/>
    </w:p>
    <w:p>
      <w:pPr>
        <w:pStyle w:val="Body"/>
      </w:pPr>
      <w:r>
        <w:t>Every control discipline in this proposal runs the same four-step cycle on the same monthly rhythm, which is why the reporting reconciles. The cycle is deliberately dull: the value is in doing it every period without exception, so that a trend is visible while there is still time to respond to it.</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449"/>
        <w:gridCol w:w="3768"/>
        <w:gridCol w:w="1956"/>
        <w:gridCol w:w="2465"/>
      </w:tblGrid>
      <w:tr>
        <w:trPr>
          <w:tblHeader w:val="true"/>
          <w:cantSplit w:val="true"/>
        </w:trPr>
        <w:tc>
          <w:tcPr>
            <w:tcW w:w="1449" w:type="dxa"/>
            <w:shd w:val="clear" w:color="auto" w:fill="1D3245"/>
            <w:vAlign w:val="center"/>
          </w:tcPr>
          <w:p>
            <w:pPr>
              <w:pStyle w:val="TableHeader"/>
              <w:jc w:val="left"/>
            </w:pPr>
            <w:r/>
            <w:r>
              <w:t>Step</w:t>
            </w:r>
          </w:p>
        </w:tc>
        <w:tc>
          <w:tcPr>
            <w:tcW w:w="3768" w:type="dxa"/>
            <w:shd w:val="clear" w:color="auto" w:fill="1D3245"/>
            <w:vAlign w:val="center"/>
          </w:tcPr>
          <w:p>
            <w:pPr>
              <w:pStyle w:val="TableHeader"/>
              <w:jc w:val="left"/>
            </w:pPr>
            <w:r/>
            <w:r>
              <w:t>What happens</w:t>
            </w:r>
          </w:p>
        </w:tc>
        <w:tc>
          <w:tcPr>
            <w:tcW w:w="1956" w:type="dxa"/>
            <w:shd w:val="clear" w:color="auto" w:fill="1D3245"/>
            <w:vAlign w:val="center"/>
          </w:tcPr>
          <w:p>
            <w:pPr>
              <w:pStyle w:val="TableHeader"/>
              <w:jc w:val="left"/>
            </w:pPr>
            <w:r/>
            <w:r>
              <w:t>Cadence</w:t>
            </w:r>
          </w:p>
        </w:tc>
        <w:tc>
          <w:tcPr>
            <w:tcW w:w="2465" w:type="dxa"/>
            <w:shd w:val="clear" w:color="auto" w:fill="1D3245"/>
            <w:vAlign w:val="center"/>
          </w:tcPr>
          <w:p>
            <w:pPr>
              <w:pStyle w:val="TableHeader"/>
              <w:jc w:val="left"/>
            </w:pPr>
            <w:r/>
            <w:r>
              <w:t>Evidence produced</w:t>
            </w:r>
          </w:p>
        </w:tc>
      </w:tr>
      <w:tr>
        <w:trPr>
          <w:cantSplit w:val="true"/>
        </w:trPr>
        <w:tc>
          <w:tcPr>
            <w:tcW w:w="1449" w:type="dxa"/>
            <w:vAlign w:val="center"/>
          </w:tcPr>
          <w:p>
            <w:pPr>
              <w:pStyle w:val="TableText"/>
              <w:jc w:val="left"/>
            </w:pPr>
            <w:r/>
            <w:r>
              <w:t>1. Baseline</w:t>
            </w:r>
          </w:p>
        </w:tc>
        <w:tc>
          <w:tcPr>
            <w:tcW w:w="3768" w:type="dxa"/>
            <w:vAlign w:val="center"/>
          </w:tcPr>
          <w:p>
            <w:pPr>
              <w:pStyle w:val="TableText"/>
              <w:jc w:val="left"/>
            </w:pPr>
            <w:r/>
            <w:r>
              <w:t>Fix the approved scope, budget, programme and risk allowance, and place them under change control. Nothing is measured against a moving target</w:t>
            </w:r>
          </w:p>
        </w:tc>
        <w:tc>
          <w:tcPr>
            <w:tcW w:w="1956" w:type="dxa"/>
            <w:vAlign w:val="center"/>
          </w:tcPr>
          <w:p>
            <w:pPr>
              <w:pStyle w:val="TableText"/>
              <w:jc w:val="left"/>
            </w:pPr>
            <w:r/>
            <w:r>
              <w:t>At inception; re-baselined only by approved change</w:t>
            </w:r>
          </w:p>
        </w:tc>
        <w:tc>
          <w:tcPr>
            <w:tcW w:w="2465" w:type="dxa"/>
            <w:vAlign w:val="center"/>
          </w:tcPr>
          <w:p>
            <w:pPr>
              <w:pStyle w:val="TableText"/>
              <w:jc w:val="left"/>
            </w:pPr>
            <w:r/>
            <w:r>
              <w:t>Approved baseline register; change control log</w:t>
            </w:r>
          </w:p>
        </w:tc>
      </w:tr>
      <w:tr>
        <w:trPr>
          <w:cantSplit w:val="true"/>
        </w:trPr>
        <w:tc>
          <w:tcPr>
            <w:tcW w:w="1449" w:type="dxa"/>
            <w:vAlign w:val="center"/>
          </w:tcPr>
          <w:p>
            <w:pPr>
              <w:pStyle w:val="TableText"/>
              <w:jc w:val="left"/>
            </w:pPr>
            <w:r/>
            <w:r>
              <w:t>2. Measure</w:t>
            </w:r>
          </w:p>
        </w:tc>
        <w:tc>
          <w:tcPr>
            <w:tcW w:w="3768" w:type="dxa"/>
            <w:vAlign w:val="center"/>
          </w:tcPr>
          <w:p>
            <w:pPr>
              <w:pStyle w:val="TableText"/>
              <w:jc w:val="left"/>
            </w:pPr>
            <w:r/>
            <w:r>
              <w:t>Collect actual progress, commitment and expenditure at the same cut-off date every period, from the source system rather than from a narrative</w:t>
            </w:r>
          </w:p>
        </w:tc>
        <w:tc>
          <w:tcPr>
            <w:tcW w:w="1956" w:type="dxa"/>
            <w:vAlign w:val="center"/>
          </w:tcPr>
          <w:p>
            <w:pPr>
              <w:pStyle w:val="TableText"/>
              <w:jc w:val="left"/>
            </w:pPr>
            <w:r/>
            <w:r>
              <w:t>Monthly, at a fixed data cut-off</w:t>
            </w:r>
          </w:p>
        </w:tc>
        <w:tc>
          <w:tcPr>
            <w:tcW w:w="2465" w:type="dxa"/>
            <w:vAlign w:val="center"/>
          </w:tcPr>
          <w:p>
            <w:pPr>
              <w:pStyle w:val="TableText"/>
              <w:jc w:val="left"/>
            </w:pPr>
            <w:r/>
            <w:r>
              <w:t>Progress claim assessment; cost ledger reconciliation; programme update</w:t>
            </w:r>
          </w:p>
        </w:tc>
      </w:tr>
      <w:tr>
        <w:trPr>
          <w:cantSplit w:val="true"/>
        </w:trPr>
        <w:tc>
          <w:tcPr>
            <w:tcW w:w="1449" w:type="dxa"/>
            <w:vAlign w:val="center"/>
          </w:tcPr>
          <w:p>
            <w:pPr>
              <w:pStyle w:val="TableText"/>
              <w:jc w:val="left"/>
            </w:pPr>
            <w:r/>
            <w:r>
              <w:t>3. Forecast</w:t>
            </w:r>
          </w:p>
        </w:tc>
        <w:tc>
          <w:tcPr>
            <w:tcW w:w="3768" w:type="dxa"/>
            <w:vAlign w:val="center"/>
          </w:tcPr>
          <w:p>
            <w:pPr>
              <w:pStyle w:val="TableText"/>
              <w:jc w:val="left"/>
            </w:pPr>
            <w:r/>
            <w:r>
              <w:t>Re-cut the forecast final cost and completion date from measured performance plus a quantified view of remaining risk</w:t>
            </w:r>
          </w:p>
        </w:tc>
        <w:tc>
          <w:tcPr>
            <w:tcW w:w="1956" w:type="dxa"/>
            <w:vAlign w:val="center"/>
          </w:tcPr>
          <w:p>
            <w:pPr>
              <w:pStyle w:val="TableText"/>
              <w:jc w:val="left"/>
            </w:pPr>
            <w:r/>
            <w:r>
              <w:t>Monthly, and at every gateway</w:t>
            </w:r>
          </w:p>
        </w:tc>
        <w:tc>
          <w:tcPr>
            <w:tcW w:w="2465" w:type="dxa"/>
            <w:vAlign w:val="center"/>
          </w:tcPr>
          <w:p>
            <w:pPr>
              <w:pStyle w:val="TableText"/>
              <w:jc w:val="left"/>
            </w:pPr>
            <w:r/>
            <w:r>
              <w:t>Forecast final cost; forecast completion; contingency adequacy assessment</w:t>
            </w:r>
          </w:p>
        </w:tc>
      </w:tr>
      <w:tr>
        <w:trPr>
          <w:cantSplit w:val="true"/>
        </w:trPr>
        <w:tc>
          <w:tcPr>
            <w:tcW w:w="1449" w:type="dxa"/>
            <w:vAlign w:val="center"/>
          </w:tcPr>
          <w:p>
            <w:pPr>
              <w:pStyle w:val="TableText"/>
              <w:jc w:val="left"/>
            </w:pPr>
            <w:r/>
            <w:r>
              <w:t>4. Act</w:t>
            </w:r>
          </w:p>
        </w:tc>
        <w:tc>
          <w:tcPr>
            <w:tcW w:w="3768" w:type="dxa"/>
            <w:vAlign w:val="center"/>
          </w:tcPr>
          <w:p>
            <w:pPr>
              <w:pStyle w:val="TableText"/>
              <w:jc w:val="left"/>
            </w:pPr>
            <w:r/>
            <w:r>
              <w:t>Decide and instruct the corrective action, assign an owner and a date, and carry it forward until closed</w:t>
            </w:r>
          </w:p>
        </w:tc>
        <w:tc>
          <w:tcPr>
            <w:tcW w:w="1956" w:type="dxa"/>
            <w:vAlign w:val="center"/>
          </w:tcPr>
          <w:p>
            <w:pPr>
              <w:pStyle w:val="TableText"/>
              <w:jc w:val="left"/>
            </w:pPr>
            <w:r/>
            <w:r>
              <w:t>At the next governance forum after the forecast</w:t>
            </w:r>
          </w:p>
        </w:tc>
        <w:tc>
          <w:tcPr>
            <w:tcW w:w="2465" w:type="dxa"/>
            <w:vAlign w:val="center"/>
          </w:tcPr>
          <w:p>
            <w:pPr>
              <w:pStyle w:val="TableText"/>
              <w:jc w:val="left"/>
            </w:pPr>
            <w:r/>
            <w:r>
              <w:t>Decision register; action register; early warning notices</w:t>
            </w:r>
          </w:p>
        </w:tc>
      </w:tr>
    </w:tbl>
    <w:p>
      <w:pPr>
        <w:pStyle w:val="Note"/>
      </w:pPr>
      <w:r>
        <w:t>Steps 1 to 3 are analysis and are worthless without step 4. If our reporting shows a deteriorating trend for two consecutive periods with no recorded decision, that is a failure of our service and we expect to be held to it.</w:t>
      </w:r>
    </w:p>
    <w:p>
      <w:pPr>
        <w:pStyle w:val="Heading2"/>
      </w:pPr>
      <w:bookmarkStart w:id="9022" w:name="_Toc90022"/>
      <w:r>
        <w:t>5.3 Programme management approach</w:t>
      </w:r>
      <w:bookmarkEnd w:id="9022"/>
    </w:p>
    <w:p>
      <w:pPr>
        <w:pStyle w:val="Body"/>
      </w:pPr>
      <w:r>
        <w:t>We maintain a Client-side master programme at Level 2 and interrogate the Contractor's Level 3 programme rather than accept it. Each update is reviewed for logic integrity, resource realism, float manipulation, out-of-sequence progress and any change to the critical path, and the review is issued as a written commentary — not a verbal comment at a meeting. Float is treated as a project resource and reported: erosion of float on a near-critical path is the earliest reliable indicator that a completion date is at risk, and it appears in our reporting well before the date itself moves. Extension of time claims are assessed against the contract mechanism and the as-built record, and a determination is recommended within the contractual period so that entitlement does not accrue by default.</w:t>
      </w:r>
    </w:p>
    <w:p>
      <w:pPr>
        <w:pStyle w:val="BodyBullet"/>
      </w:pPr>
      <w:r>
        <w:rPr>
          <w:color w:val="3480BC"/>
        </w:rPr>
        <w:t xml:space="preserve">—   </w:t>
      </w:r>
      <w:r>
        <w:t>Baseline accepted only when it is logic-linked, resource-loaded and free of negative or open-ended float.</w:t>
      </w:r>
    </w:p>
    <w:p>
      <w:pPr>
        <w:pStyle w:val="BodyBullet"/>
      </w:pPr>
      <w:r>
        <w:rPr>
          <w:color w:val="3480BC"/>
        </w:rPr>
        <w:t xml:space="preserve">—   </w:t>
      </w:r>
      <w:r>
        <w:t>Monthly written programme review covering critical path, float erosion, progress override and logic changes since the last update.</w:t>
      </w:r>
    </w:p>
    <w:p>
      <w:pPr>
        <w:pStyle w:val="BodyBullet"/>
      </w:pPr>
      <w:r>
        <w:rPr>
          <w:color w:val="3480BC"/>
        </w:rPr>
        <w:t xml:space="preserve">—   </w:t>
      </w:r>
      <w:r>
        <w:t>Four-week look-ahead maintained with the Contractor and tested against the pre-conditions for each activity — access, information, approvals and long-lead delivery.</w:t>
      </w:r>
    </w:p>
    <w:p>
      <w:pPr>
        <w:pStyle w:val="BodyBullet"/>
      </w:pPr>
      <w:r>
        <w:rPr>
          <w:color w:val="3480BC"/>
        </w:rPr>
        <w:t xml:space="preserve">—   </w:t>
      </w:r>
      <w:r>
        <w:t>Milestone and gateway tracking with a variance in days against the contract date as extended, not against the last update.</w:t>
      </w:r>
    </w:p>
    <w:p>
      <w:pPr>
        <w:pStyle w:val="BodyBullet"/>
      </w:pPr>
      <w:r>
        <w:rPr>
          <w:color w:val="3480BC"/>
        </w:rPr>
        <w:t xml:space="preserve">—   </w:t>
      </w:r>
      <w:r>
        <w:t>Independent assessment of every delay event, with the contemporaneous record identified at the time the event occurs.</w:t>
      </w:r>
    </w:p>
    <w:p>
      <w:pPr>
        <w:pStyle w:val="Heading2"/>
      </w:pPr>
      <w:bookmarkStart w:id="9023" w:name="_Toc90023"/>
      <w:r>
        <w:t>5.4 Cost control approach</w:t>
      </w:r>
      <w:bookmarkEnd w:id="9023"/>
    </w:p>
    <w:p>
      <w:pPr>
        <w:pStyle w:val="Body"/>
      </w:pPr>
      <w:r>
        <w:t>Cost control is forecast-led. The number that governs a capital project is not the amount spent but the forecast final cost, and the only defensible forecast is commitment-based: contracts and orders executed, plus an estimate of the cost to complete, plus a quantified allowance for residual risk. We reconcile the cost report to the Client's own finance ledger every period so that the project and the Client's accounts never tell two different stories, and we report contingency as a drawdown against quantified exposure rather than as a percentage that survives until it is needed.</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251"/>
        <w:gridCol w:w="4683"/>
        <w:gridCol w:w="2704"/>
      </w:tblGrid>
      <w:tr>
        <w:trPr>
          <w:tblHeader w:val="true"/>
          <w:cantSplit w:val="true"/>
        </w:trPr>
        <w:tc>
          <w:tcPr>
            <w:tcW w:w="2251" w:type="dxa"/>
            <w:shd w:val="clear" w:color="auto" w:fill="1D3245"/>
            <w:vAlign w:val="center"/>
          </w:tcPr>
          <w:p>
            <w:pPr>
              <w:pStyle w:val="TableHeader"/>
              <w:jc w:val="left"/>
            </w:pPr>
            <w:r/>
            <w:r>
              <w:t>Control</w:t>
            </w:r>
          </w:p>
        </w:tc>
        <w:tc>
          <w:tcPr>
            <w:tcW w:w="4683" w:type="dxa"/>
            <w:shd w:val="clear" w:color="auto" w:fill="1D3245"/>
            <w:vAlign w:val="center"/>
          </w:tcPr>
          <w:p>
            <w:pPr>
              <w:pStyle w:val="TableHeader"/>
              <w:jc w:val="left"/>
            </w:pPr>
            <w:r/>
            <w:r>
              <w:t>How we operate it</w:t>
            </w:r>
          </w:p>
        </w:tc>
        <w:tc>
          <w:tcPr>
            <w:tcW w:w="2704" w:type="dxa"/>
            <w:shd w:val="clear" w:color="auto" w:fill="1D3245"/>
            <w:vAlign w:val="center"/>
          </w:tcPr>
          <w:p>
            <w:pPr>
              <w:pStyle w:val="TableHeader"/>
              <w:jc w:val="left"/>
            </w:pPr>
            <w:r/>
            <w:r>
              <w:t>Reported</w:t>
            </w:r>
          </w:p>
        </w:tc>
      </w:tr>
      <w:tr>
        <w:trPr>
          <w:cantSplit w:val="true"/>
        </w:trPr>
        <w:tc>
          <w:tcPr>
            <w:tcW w:w="2251" w:type="dxa"/>
            <w:vAlign w:val="center"/>
          </w:tcPr>
          <w:p>
            <w:pPr>
              <w:pStyle w:val="TableText"/>
              <w:jc w:val="left"/>
            </w:pPr>
            <w:r/>
            <w:r>
              <w:t>Cost plan and budget structure</w:t>
            </w:r>
          </w:p>
        </w:tc>
        <w:tc>
          <w:tcPr>
            <w:tcW w:w="4683" w:type="dxa"/>
            <w:vAlign w:val="center"/>
          </w:tcPr>
          <w:p>
            <w:pPr>
              <w:pStyle w:val="TableText"/>
              <w:jc w:val="left"/>
            </w:pPr>
            <w:r/>
            <w:r>
              <w:t>Whole-of-project cost plan by cost centre, mapped to the Client's chart of accounts and funding lines</w:t>
            </w:r>
          </w:p>
        </w:tc>
        <w:tc>
          <w:tcPr>
            <w:tcW w:w="2704" w:type="dxa"/>
            <w:vAlign w:val="center"/>
          </w:tcPr>
          <w:p>
            <w:pPr>
              <w:pStyle w:val="TableText"/>
              <w:jc w:val="left"/>
            </w:pPr>
            <w:r/>
            <w:r>
              <w:t>Monthly, reconciled to the finance ledger</w:t>
            </w:r>
          </w:p>
        </w:tc>
      </w:tr>
      <w:tr>
        <w:trPr>
          <w:cantSplit w:val="true"/>
        </w:trPr>
        <w:tc>
          <w:tcPr>
            <w:tcW w:w="2251" w:type="dxa"/>
            <w:vAlign w:val="center"/>
          </w:tcPr>
          <w:p>
            <w:pPr>
              <w:pStyle w:val="TableText"/>
              <w:jc w:val="left"/>
            </w:pPr>
            <w:r/>
            <w:r>
              <w:t>Commitment and expenditure</w:t>
            </w:r>
          </w:p>
        </w:tc>
        <w:tc>
          <w:tcPr>
            <w:tcW w:w="4683" w:type="dxa"/>
            <w:vAlign w:val="center"/>
          </w:tcPr>
          <w:p>
            <w:pPr>
              <w:pStyle w:val="TableText"/>
              <w:jc w:val="left"/>
            </w:pPr>
            <w:r/>
            <w:r>
              <w:t>Every contract, order and instruction registered at execution; expenditure tracked against certification</w:t>
            </w:r>
          </w:p>
        </w:tc>
        <w:tc>
          <w:tcPr>
            <w:tcW w:w="2704" w:type="dxa"/>
            <w:vAlign w:val="center"/>
          </w:tcPr>
          <w:p>
            <w:pPr>
              <w:pStyle w:val="TableText"/>
              <w:jc w:val="left"/>
            </w:pPr>
            <w:r/>
            <w:r>
              <w:t>Monthly</w:t>
            </w:r>
          </w:p>
        </w:tc>
      </w:tr>
      <w:tr>
        <w:trPr>
          <w:cantSplit w:val="true"/>
        </w:trPr>
        <w:tc>
          <w:tcPr>
            <w:tcW w:w="2251" w:type="dxa"/>
            <w:vAlign w:val="center"/>
          </w:tcPr>
          <w:p>
            <w:pPr>
              <w:pStyle w:val="TableText"/>
              <w:jc w:val="left"/>
            </w:pPr>
            <w:r/>
            <w:r>
              <w:t>Forecast final cost</w:t>
            </w:r>
          </w:p>
        </w:tc>
        <w:tc>
          <w:tcPr>
            <w:tcW w:w="4683" w:type="dxa"/>
            <w:vAlign w:val="center"/>
          </w:tcPr>
          <w:p>
            <w:pPr>
              <w:pStyle w:val="TableText"/>
              <w:jc w:val="left"/>
            </w:pPr>
            <w:r/>
            <w:r>
              <w:t>Commitment + cost to complete + risk-adjusted allowance, re-cut from measured performance</w:t>
            </w:r>
          </w:p>
        </w:tc>
        <w:tc>
          <w:tcPr>
            <w:tcW w:w="2704" w:type="dxa"/>
            <w:vAlign w:val="center"/>
          </w:tcPr>
          <w:p>
            <w:pPr>
              <w:pStyle w:val="TableText"/>
              <w:jc w:val="left"/>
            </w:pPr>
            <w:r/>
            <w:r>
              <w:t>Monthly, with movement explained above a stated threshold</w:t>
            </w:r>
          </w:p>
        </w:tc>
      </w:tr>
      <w:tr>
        <w:trPr>
          <w:cantSplit w:val="true"/>
        </w:trPr>
        <w:tc>
          <w:tcPr>
            <w:tcW w:w="2251" w:type="dxa"/>
            <w:vAlign w:val="center"/>
          </w:tcPr>
          <w:p>
            <w:pPr>
              <w:pStyle w:val="TableText"/>
              <w:jc w:val="left"/>
            </w:pPr>
            <w:r/>
            <w:r>
              <w:t>Contingency and risk allowance</w:t>
            </w:r>
          </w:p>
        </w:tc>
        <w:tc>
          <w:tcPr>
            <w:tcW w:w="4683" w:type="dxa"/>
            <w:vAlign w:val="center"/>
          </w:tcPr>
          <w:p>
            <w:pPr>
              <w:pStyle w:val="TableText"/>
              <w:jc w:val="left"/>
            </w:pPr>
            <w:r/>
            <w:r>
              <w:t>Drawdown only by recorded approval, tested against the quantified risk exposure</w:t>
            </w:r>
          </w:p>
        </w:tc>
        <w:tc>
          <w:tcPr>
            <w:tcW w:w="2704" w:type="dxa"/>
            <w:vAlign w:val="center"/>
          </w:tcPr>
          <w:p>
            <w:pPr>
              <w:pStyle w:val="TableText"/>
              <w:jc w:val="left"/>
            </w:pPr>
            <w:r/>
            <w:r>
              <w:t>Monthly, with remaining exposure cover ratio</w:t>
            </w:r>
          </w:p>
        </w:tc>
      </w:tr>
      <w:tr>
        <w:trPr>
          <w:cantSplit w:val="true"/>
        </w:trPr>
        <w:tc>
          <w:tcPr>
            <w:tcW w:w="2251" w:type="dxa"/>
            <w:vAlign w:val="center"/>
          </w:tcPr>
          <w:p>
            <w:pPr>
              <w:pStyle w:val="TableText"/>
              <w:jc w:val="left"/>
            </w:pPr>
            <w:r/>
            <w:r>
              <w:t>Cash flow</w:t>
            </w:r>
          </w:p>
        </w:tc>
        <w:tc>
          <w:tcPr>
            <w:tcW w:w="4683" w:type="dxa"/>
            <w:vAlign w:val="center"/>
          </w:tcPr>
          <w:p>
            <w:pPr>
              <w:pStyle w:val="TableText"/>
              <w:jc w:val="left"/>
            </w:pPr>
            <w:r/>
            <w:r>
              <w:t>Planned versus certified expenditure by period, against the Client's funding profile</w:t>
            </w:r>
          </w:p>
        </w:tc>
        <w:tc>
          <w:tcPr>
            <w:tcW w:w="2704" w:type="dxa"/>
            <w:vAlign w:val="center"/>
          </w:tcPr>
          <w:p>
            <w:pPr>
              <w:pStyle w:val="TableText"/>
              <w:jc w:val="left"/>
            </w:pPr>
            <w:r/>
            <w:r>
              <w:t>Monthly, with a rolling [00]-month forecast</w:t>
            </w:r>
          </w:p>
        </w:tc>
      </w:tr>
      <w:tr>
        <w:trPr>
          <w:cantSplit w:val="true"/>
        </w:trPr>
        <w:tc>
          <w:tcPr>
            <w:tcW w:w="2251" w:type="dxa"/>
            <w:vAlign w:val="center"/>
          </w:tcPr>
          <w:p>
            <w:pPr>
              <w:pStyle w:val="TableText"/>
              <w:jc w:val="left"/>
            </w:pPr>
            <w:r/>
            <w:r>
              <w:t>Earned value analysis</w:t>
            </w:r>
          </w:p>
        </w:tc>
        <w:tc>
          <w:tcPr>
            <w:tcW w:w="4683" w:type="dxa"/>
            <w:vAlign w:val="center"/>
          </w:tcPr>
          <w:p>
            <w:pPr>
              <w:pStyle w:val="TableText"/>
              <w:jc w:val="left"/>
            </w:pPr>
            <w:r/>
            <w:r>
              <w:t>Applied where the project warrants it — a resource-loaded baseline exists and progress can be measured objectively. We report CPI, SPI and the independent estimate at completion, and we state the measurement rules used</w:t>
            </w:r>
          </w:p>
        </w:tc>
        <w:tc>
          <w:tcPr>
            <w:tcW w:w="2704" w:type="dxa"/>
            <w:vAlign w:val="center"/>
          </w:tcPr>
          <w:p>
            <w:pPr>
              <w:pStyle w:val="TableText"/>
              <w:jc w:val="left"/>
            </w:pPr>
            <w:r/>
            <w:r>
              <w:t>Monthly where applied; otherwise a documented decision not to apply it</w:t>
            </w:r>
          </w:p>
        </w:tc>
      </w:tr>
      <w:tr>
        <w:trPr>
          <w:cantSplit w:val="true"/>
        </w:trPr>
        <w:tc>
          <w:tcPr>
            <w:tcW w:w="2251" w:type="dxa"/>
            <w:vAlign w:val="center"/>
          </w:tcPr>
          <w:p>
            <w:pPr>
              <w:pStyle w:val="TableText"/>
              <w:jc w:val="left"/>
            </w:pPr>
            <w:r/>
            <w:r>
              <w:t>Final account</w:t>
            </w:r>
          </w:p>
        </w:tc>
        <w:tc>
          <w:tcPr>
            <w:tcW w:w="4683" w:type="dxa"/>
            <w:vAlign w:val="center"/>
          </w:tcPr>
          <w:p>
            <w:pPr>
              <w:pStyle w:val="TableText"/>
              <w:jc w:val="left"/>
            </w:pPr>
            <w:r/>
            <w:r>
              <w:t>Progressive reconciliation from first instruction, not assembled at the end</w:t>
            </w:r>
          </w:p>
        </w:tc>
        <w:tc>
          <w:tcPr>
            <w:tcW w:w="2704" w:type="dxa"/>
            <w:vAlign w:val="center"/>
          </w:tcPr>
          <w:p>
            <w:pPr>
              <w:pStyle w:val="TableText"/>
              <w:jc w:val="left"/>
            </w:pPr>
            <w:r/>
            <w:r>
              <w:t>Quarterly, then monthly from practical completion</w:t>
            </w:r>
          </w:p>
        </w:tc>
      </w:tr>
    </w:tbl>
    <w:p>
      <w:pPr>
        <w:pStyle w:val="Note"/>
      </w:pPr>
      <w:r>
        <w:t>Earned value is only as good as the physical progress measurement beneath it. Where progress is claimed on a percentage-of-cost basis rather than measured output, we say so in the report and we do not present the indices as though they were independent. A CPI of 1.00 on a project with no measured quantities is a formatting achievement, not a control.</w:t>
      </w:r>
    </w:p>
    <w:p>
      <w:pPr>
        <w:pStyle w:val="Heading2"/>
      </w:pPr>
      <w:bookmarkStart w:id="9024" w:name="_Toc90024"/>
      <w:r>
        <w:t>5.5 Risk management approach</w:t>
      </w:r>
      <w:bookmarkEnd w:id="9024"/>
    </w:p>
    <w:p>
      <w:pPr>
        <w:pStyle w:val="Body"/>
      </w:pPr>
      <w:r>
        <w:t>Risk management follows the ISO 31000 cycle — establish the context, identify, analyse, evaluate, treat, monitor and communicate — and it is joined to the money. Each significant risk is quantified for likelihood and consequence, tested against the contingency held, and given a named owner and a treatment with a date. A register that is not connected to the contingency position is a list; a register that drives the contingency recommendation is a control. Risks arising from the contract's own allocation — latent conditions, weather, authority delay, escalation — are identified at inception so the Client can decide whether to hold them, price them out or insure them, rather than discover them in a claim.</w:t>
      </w:r>
    </w:p>
    <w:p>
      <w:pPr>
        <w:pStyle w:val="Heading2"/>
      </w:pPr>
      <w:bookmarkStart w:id="9025" w:name="_Toc90025"/>
      <w:r>
        <w:t>5.6 Change control workflow</w:t>
      </w:r>
      <w:bookmarkEnd w:id="9025"/>
    </w:p>
    <w:p>
      <w:pPr>
        <w:pStyle w:val="Body"/>
      </w:pPr>
      <w:r>
        <w:t>The single most valuable discipline on a capital project is refusing to instruct a change before its cost and time impact is known and approved. The workflow below is short by design; the discipline is in never skipping a step, including for changes that appear trivial.</w:t>
      </w:r>
    </w:p>
    <w:p>
      <w:pPr>
        <w:pStyle w:val="BodyBullet"/>
      </w:pPr>
      <w:r>
        <w:rPr>
          <w:b/>
          <w:color w:val="1D3245"/>
        </w:rPr>
        <w:t xml:space="preserve">1.   </w:t>
      </w:r>
      <w:r>
        <w:t>Origination — any party raises a proposed change on the standard form; it is registered on the change register the same day with an originator and a reason.</w:t>
      </w:r>
    </w:p>
    <w:p>
      <w:pPr>
        <w:pStyle w:val="BodyBullet"/>
      </w:pPr>
      <w:r>
        <w:rPr>
          <w:b/>
          <w:color w:val="1D3245"/>
        </w:rPr>
        <w:t xml:space="preserve">2.   </w:t>
      </w:r>
      <w:r>
        <w:t>Screening — the Project Manager tests whether the change is required, whether it is already within scope, and whether an alternative achieves the same outcome without cost.</w:t>
      </w:r>
    </w:p>
    <w:p>
      <w:pPr>
        <w:pStyle w:val="BodyBullet"/>
      </w:pPr>
      <w:r>
        <w:rPr>
          <w:b/>
          <w:color w:val="1D3245"/>
        </w:rPr>
        <w:t xml:space="preserve">3.   </w:t>
      </w:r>
      <w:r>
        <w:t>Impact assessment — cost, programme, risk, operational and approval consequences are assessed and priced, with the designers and the Contractor as required.</w:t>
      </w:r>
    </w:p>
    <w:p>
      <w:pPr>
        <w:pStyle w:val="BodyBullet"/>
      </w:pPr>
      <w:r>
        <w:rPr>
          <w:b/>
          <w:color w:val="1D3245"/>
        </w:rPr>
        <w:t xml:space="preserve">4.   </w:t>
      </w:r>
      <w:r>
        <w:t>Recommendation — a single-page paper stating the options, the recommendation, the funding source and the consequence of not deciding by the required date.</w:t>
      </w:r>
    </w:p>
    <w:p>
      <w:pPr>
        <w:pStyle w:val="BodyBullet"/>
      </w:pPr>
      <w:r>
        <w:rPr>
          <w:b/>
          <w:color w:val="1D3245"/>
        </w:rPr>
        <w:t xml:space="preserve">5.   </w:t>
      </w:r>
      <w:r>
        <w:t>Decision — taken at the change control board or by the authorised representative within delegation, and minuted.</w:t>
      </w:r>
    </w:p>
    <w:p>
      <w:pPr>
        <w:pStyle w:val="BodyBullet"/>
      </w:pPr>
      <w:r>
        <w:rPr>
          <w:b/>
          <w:color w:val="1D3245"/>
        </w:rPr>
        <w:t xml:space="preserve">6.   </w:t>
      </w:r>
      <w:r>
        <w:t>Instruction — issued only after the decision is recorded, and only through the contract's own instruction mechanism.</w:t>
      </w:r>
    </w:p>
    <w:p>
      <w:pPr>
        <w:pStyle w:val="BodyBullet"/>
      </w:pPr>
      <w:r>
        <w:rPr>
          <w:b/>
          <w:color w:val="1D3245"/>
        </w:rPr>
        <w:t xml:space="preserve">7.   </w:t>
      </w:r>
      <w:r>
        <w:t>Close-out — the register is updated, the cost plan and forecast are adjusted, and the change is carried into the final account.</w:t>
      </w:r>
    </w:p>
    <w:p>
      <w:pPr>
        <w:pStyle w:val="Note"/>
      </w:pPr>
      <w:r>
        <w:t>A change instructed before assessment cannot afterwards be priced competitively, and the Client loses its only negotiating position. Where the Client instructs urgent work outside this process, we will record the instruction, the reason and the commercial consequence in the next monthly report.</w:t>
      </w:r>
    </w:p>
    <w:p>
      <w:pPr>
        <w:pStyle w:val="Heading2"/>
      </w:pPr>
      <w:bookmarkStart w:id="9026" w:name="_Toc90026"/>
      <w:r>
        <w:t>5.7 Information management and a single source of truth</w:t>
      </w:r>
      <w:bookmarkEnd w:id="9026"/>
    </w:p>
    <w:p>
      <w:pPr>
        <w:pStyle w:val="Body"/>
      </w:pPr>
      <w:r>
        <w:t>We establish one information environment at inception, structured to ISO 19650 principles, with agreed naming, revision and approval conventions, and we hold the project controls data in one place so that cost, programme, risk, change, approvals and reporting are drawn from the same record rather than reconciled between spreadsheets. Mastt is used as the project controls platform for cost, contract, variation, risk and reporting data; the licence for our team is included in the fee, the Client is given read access to the project data throughout the appointment, and the data is exported to the Client in an open format at closeout. Drawings, models and correspondence are held in the Client's nominated common data environment where one exists.</w:t>
      </w:r>
    </w:p>
    <w:p>
      <w:pPr>
        <w:pStyle w:val="Heading2"/>
      </w:pPr>
      <w:bookmarkStart w:id="9027" w:name="_Toc90027"/>
      <w:r>
        <w:t>5.8 Quality assurance of our own service</w:t>
      </w:r>
      <w:bookmarkEnd w:id="9027"/>
    </w:p>
    <w:p>
      <w:pPr>
        <w:pStyle w:val="Body"/>
      </w:pPr>
      <w:r>
        <w:t>Our own work is subject to the same discipline we ask of others. Every deliverable named in Section 3.1 is reviewed by a second person before issue, and the reviewer is recorded. The Project Director conducts a service review at each stage gate against the deliverables schedule and the Client's satisfaction, and the outcome is reported to the Client rather than kept internal. We invite the Client to score our performance against the criteria in the table below at each gateway; a score below the threshold triggers a written recovery plan from us at our cost.</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4728"/>
        <w:gridCol w:w="1636"/>
        <w:gridCol w:w="3274"/>
      </w:tblGrid>
      <w:tr>
        <w:trPr>
          <w:tblHeader w:val="true"/>
          <w:cantSplit w:val="true"/>
        </w:trPr>
        <w:tc>
          <w:tcPr>
            <w:tcW w:w="4728" w:type="dxa"/>
            <w:shd w:val="clear" w:color="auto" w:fill="1D3245"/>
            <w:vAlign w:val="center"/>
          </w:tcPr>
          <w:p>
            <w:pPr>
              <w:pStyle w:val="TableHeader"/>
              <w:jc w:val="left"/>
            </w:pPr>
            <w:r/>
            <w:r>
              <w:t>Service performance measure</w:t>
            </w:r>
          </w:p>
        </w:tc>
        <w:tc>
          <w:tcPr>
            <w:tcW w:w="1636" w:type="dxa"/>
            <w:shd w:val="clear" w:color="auto" w:fill="1D3245"/>
            <w:vAlign w:val="center"/>
          </w:tcPr>
          <w:p>
            <w:pPr>
              <w:pStyle w:val="TableHeader"/>
              <w:jc w:val="center"/>
            </w:pPr>
            <w:r/>
            <w:r>
              <w:t>Target</w:t>
            </w:r>
          </w:p>
        </w:tc>
        <w:tc>
          <w:tcPr>
            <w:tcW w:w="3274" w:type="dxa"/>
            <w:shd w:val="clear" w:color="auto" w:fill="1D3245"/>
            <w:vAlign w:val="center"/>
          </w:tcPr>
          <w:p>
            <w:pPr>
              <w:pStyle w:val="TableHeader"/>
              <w:jc w:val="left"/>
            </w:pPr>
            <w:r/>
            <w:r>
              <w:t>How measured</w:t>
            </w:r>
          </w:p>
        </w:tc>
      </w:tr>
      <w:tr>
        <w:trPr>
          <w:cantSplit w:val="true"/>
        </w:trPr>
        <w:tc>
          <w:tcPr>
            <w:tcW w:w="4728" w:type="dxa"/>
            <w:vAlign w:val="center"/>
          </w:tcPr>
          <w:p>
            <w:pPr>
              <w:pStyle w:val="TableText"/>
              <w:jc w:val="left"/>
            </w:pPr>
            <w:r/>
            <w:r>
              <w:t>Monthly report issued within the agreed period after data cut-off</w:t>
            </w:r>
          </w:p>
        </w:tc>
        <w:tc>
          <w:tcPr>
            <w:tcW w:w="1636" w:type="dxa"/>
            <w:vAlign w:val="center"/>
          </w:tcPr>
          <w:p>
            <w:pPr>
              <w:pStyle w:val="TableTextCentre"/>
              <w:jc w:val="center"/>
            </w:pPr>
            <w:r/>
            <w:r>
              <w:t>100 %</w:t>
            </w:r>
          </w:p>
        </w:tc>
        <w:tc>
          <w:tcPr>
            <w:tcW w:w="3274" w:type="dxa"/>
            <w:vAlign w:val="center"/>
          </w:tcPr>
          <w:p>
            <w:pPr>
              <w:pStyle w:val="TableText"/>
              <w:jc w:val="left"/>
            </w:pPr>
            <w:r/>
            <w:r>
              <w:t>Issue date against the reporting calendar</w:t>
            </w:r>
          </w:p>
        </w:tc>
      </w:tr>
      <w:tr>
        <w:trPr>
          <w:cantSplit w:val="true"/>
        </w:trPr>
        <w:tc>
          <w:tcPr>
            <w:tcW w:w="4728" w:type="dxa"/>
            <w:vAlign w:val="center"/>
          </w:tcPr>
          <w:p>
            <w:pPr>
              <w:pStyle w:val="TableText"/>
              <w:jc w:val="left"/>
            </w:pPr>
            <w:r/>
            <w:r>
              <w:t>Deliverables issued on or before the date in the deliverables schedule</w:t>
            </w:r>
          </w:p>
        </w:tc>
        <w:tc>
          <w:tcPr>
            <w:tcW w:w="1636" w:type="dxa"/>
            <w:vAlign w:val="center"/>
          </w:tcPr>
          <w:p>
            <w:pPr>
              <w:pStyle w:val="TableTextCentre"/>
              <w:jc w:val="center"/>
            </w:pPr>
            <w:r/>
            <w:r>
              <w:t>≥ 95 %</w:t>
            </w:r>
          </w:p>
        </w:tc>
        <w:tc>
          <w:tcPr>
            <w:tcW w:w="3274" w:type="dxa"/>
            <w:vAlign w:val="center"/>
          </w:tcPr>
          <w:p>
            <w:pPr>
              <w:pStyle w:val="TableText"/>
              <w:jc w:val="left"/>
            </w:pPr>
            <w:r/>
            <w:r>
              <w:t>Deliverables schedule actual versus plan</w:t>
            </w:r>
          </w:p>
        </w:tc>
      </w:tr>
      <w:tr>
        <w:trPr>
          <w:cantSplit w:val="true"/>
        </w:trPr>
        <w:tc>
          <w:tcPr>
            <w:tcW w:w="4728" w:type="dxa"/>
            <w:vAlign w:val="center"/>
          </w:tcPr>
          <w:p>
            <w:pPr>
              <w:pStyle w:val="TableText"/>
              <w:jc w:val="left"/>
            </w:pPr>
            <w:r/>
            <w:r>
              <w:t>Change impact assessments completed within [00] working days of registration</w:t>
            </w:r>
          </w:p>
        </w:tc>
        <w:tc>
          <w:tcPr>
            <w:tcW w:w="1636" w:type="dxa"/>
            <w:vAlign w:val="center"/>
          </w:tcPr>
          <w:p>
            <w:pPr>
              <w:pStyle w:val="TableTextCentre"/>
              <w:jc w:val="center"/>
            </w:pPr>
            <w:r/>
            <w:r>
              <w:t>≥ 90 %</w:t>
            </w:r>
          </w:p>
        </w:tc>
        <w:tc>
          <w:tcPr>
            <w:tcW w:w="3274" w:type="dxa"/>
            <w:vAlign w:val="center"/>
          </w:tcPr>
          <w:p>
            <w:pPr>
              <w:pStyle w:val="TableText"/>
              <w:jc w:val="left"/>
            </w:pPr>
            <w:r/>
            <w:r>
              <w:t>Change register timestamps</w:t>
            </w:r>
          </w:p>
        </w:tc>
      </w:tr>
      <w:tr>
        <w:trPr>
          <w:cantSplit w:val="true"/>
        </w:trPr>
        <w:tc>
          <w:tcPr>
            <w:tcW w:w="4728" w:type="dxa"/>
            <w:vAlign w:val="center"/>
          </w:tcPr>
          <w:p>
            <w:pPr>
              <w:pStyle w:val="TableText"/>
              <w:jc w:val="left"/>
            </w:pPr>
            <w:r/>
            <w:r>
              <w:t>Actions closed by their due date</w:t>
            </w:r>
          </w:p>
        </w:tc>
        <w:tc>
          <w:tcPr>
            <w:tcW w:w="1636" w:type="dxa"/>
            <w:vAlign w:val="center"/>
          </w:tcPr>
          <w:p>
            <w:pPr>
              <w:pStyle w:val="TableTextCentre"/>
              <w:jc w:val="center"/>
            </w:pPr>
            <w:r/>
            <w:r>
              <w:t>≥ 90 %</w:t>
            </w:r>
          </w:p>
        </w:tc>
        <w:tc>
          <w:tcPr>
            <w:tcW w:w="3274" w:type="dxa"/>
            <w:vAlign w:val="center"/>
          </w:tcPr>
          <w:p>
            <w:pPr>
              <w:pStyle w:val="TableText"/>
              <w:jc w:val="left"/>
            </w:pPr>
            <w:r/>
            <w:r>
              <w:t>Action register ageing</w:t>
            </w:r>
          </w:p>
        </w:tc>
      </w:tr>
      <w:tr>
        <w:trPr>
          <w:cantSplit w:val="true"/>
        </w:trPr>
        <w:tc>
          <w:tcPr>
            <w:tcW w:w="4728" w:type="dxa"/>
            <w:vAlign w:val="center"/>
          </w:tcPr>
          <w:p>
            <w:pPr>
              <w:pStyle w:val="TableText"/>
              <w:jc w:val="left"/>
            </w:pPr>
            <w:r/>
            <w:r>
              <w:t>Client satisfaction at each stage gate</w:t>
            </w:r>
          </w:p>
        </w:tc>
        <w:tc>
          <w:tcPr>
            <w:tcW w:w="1636" w:type="dxa"/>
            <w:vAlign w:val="center"/>
          </w:tcPr>
          <w:p>
            <w:pPr>
              <w:pStyle w:val="TableTextCentre"/>
              <w:jc w:val="center"/>
            </w:pPr>
            <w:r/>
            <w:r>
              <w:t>≥ [0] of 5</w:t>
            </w:r>
          </w:p>
        </w:tc>
        <w:tc>
          <w:tcPr>
            <w:tcW w:w="3274" w:type="dxa"/>
            <w:vAlign w:val="center"/>
          </w:tcPr>
          <w:p>
            <w:pPr>
              <w:pStyle w:val="TableText"/>
              <w:jc w:val="left"/>
            </w:pPr>
            <w:r/>
            <w:r>
              <w:t>Client-completed score sheet at the gateway review</w:t>
            </w:r>
          </w:p>
        </w:tc>
      </w:tr>
      <w:tr>
        <w:trPr>
          <w:cantSplit w:val="true"/>
        </w:trPr>
        <w:tc>
          <w:tcPr>
            <w:tcW w:w="4728" w:type="dxa"/>
            <w:vAlign w:val="center"/>
          </w:tcPr>
          <w:p>
            <w:pPr>
              <w:pStyle w:val="TableText"/>
              <w:jc w:val="left"/>
            </w:pPr>
            <w:r/>
            <w:r>
              <w:t>[Insert measure the Client cares about]</w:t>
            </w:r>
          </w:p>
        </w:tc>
        <w:tc>
          <w:tcPr>
            <w:tcW w:w="1636" w:type="dxa"/>
            <w:vAlign w:val="center"/>
          </w:tcPr>
          <w:p>
            <w:pPr>
              <w:pStyle w:val="TableTextCentre"/>
              <w:jc w:val="center"/>
            </w:pPr>
            <w:r/>
            <w:r>
              <w:t>[Insert target]</w:t>
            </w:r>
          </w:p>
        </w:tc>
        <w:tc>
          <w:tcPr>
            <w:tcW w:w="3274" w:type="dxa"/>
            <w:vAlign w:val="center"/>
          </w:tcPr>
          <w:p>
            <w:pPr>
              <w:pStyle w:val="TableText"/>
              <w:jc w:val="left"/>
            </w:pPr>
            <w:r/>
            <w:r>
              <w:t>[Insert the source of truth]</w:t>
            </w:r>
          </w:p>
        </w:tc>
      </w:tr>
    </w:tbl>
    <w:p>
      <w:pPr>
        <w:pStyle w:val="Heading1"/>
      </w:pPr>
      <w:bookmarkStart w:id="9028" w:name="_Toc90028"/>
      <w:r>
        <w:t>6. Project Team and Resourcing</w:t>
      </w:r>
      <w:bookmarkEnd w:id="9028"/>
    </w:p>
    <w:p>
      <w:pPr>
        <w:pStyle w:val="BodyLead"/>
      </w:pPr>
      <w:r>
        <w:t>Clients buy people, not firms. Name the individuals, state their availability honestly, and do not present a senior name at a commitment level nobody intends to honour — availability is the commitment most often tested after award and most often found wanting.</w:t>
      </w:r>
    </w:p>
    <w:p>
      <w:pPr>
        <w:pStyle w:val="Heading2"/>
      </w:pPr>
      <w:bookmarkStart w:id="9029" w:name="_Toc90029"/>
      <w:r>
        <w:t>6.1 Project organisation</w:t>
      </w:r>
      <w:bookmarkEnd w:id="9029"/>
    </w:p>
    <w:tbl>
      <w:tblPr>
        <w:tblLook w:firstColumn="1" w:firstRow="1" w:lastColumn="0" w:lastRow="0" w:noHBand="0" w:noVBand="1" w:val="04A0"/>
        <w:tblLayout w:type="fixed"/>
        <w:tblW w:w="9638" w:type="dxa"/>
        <w:tblInd w:w="0" w:type="dxa"/>
        <w:tblCellMar>
          <w:top w:w="140" w:type="dxa"/>
          <w:left w:w="170" w:type="dxa"/>
          <w:bottom w:w="140" w:type="dxa"/>
          <w:right w:w="170" w:type="dxa"/>
        </w:tblCellMar>
      </w:tblPr>
      <w:tblGrid>
        <w:gridCol w:w="9638"/>
      </w:tblGrid>
      <w:tr>
        <w:trPr>
          <w:cantSplit w:val="true"/>
          <w:trHeight w:val="2600" w:hRule="atLeast"/>
        </w:trPr>
        <w:tc>
          <w:tcPr>
            <w:tcW w:w="9638" w:type="dxa"/>
            <w:shd w:val="clear" w:color="auto" w:fill="F6F9FC"/>
            <w:tcBorders>
              <w:top w:val="single" w:sz="4" w:space="0" w:color="D3DEE9"/>
              <w:left w:val="single" w:sz="4" w:space="0" w:color="D3DEE9"/>
              <w:bottom w:val="single" w:sz="4" w:space="0" w:color="D3DEE9"/>
              <w:right w:val="single" w:sz="4" w:space="0" w:color="D3DEE9"/>
            </w:tcBorders>
            <w:vAlign w:val="center"/>
          </w:tcPr>
          <w:p>
            <w:pPr>
              <w:pStyle w:val="Placeholder"/>
            </w:pPr>
            <w:r/>
            <w:r>
              <w:t>[Insert organisation chart — show the Client's authorised representative and governance body at the top, our team beneath with names and reporting lines, and the designers, Contractor and specialist consultants shown as interfaces with the party who holds each contract clearly marked. Distinguish solid reporting lines from dotted coordination lines. Keep it to one page and make every box a named person, not a role.]</w:t>
            </w:r>
          </w:p>
        </w:tc>
      </w:tr>
    </w:tbl>
    <w:p>
      <w:pPr>
        <w:spacing w:before="0" w:after="0" w:line="120" w:lineRule="exact"/>
      </w:pPr>
    </w:p>
    <w:p>
      <w:pPr>
        <w:pStyle w:val="Caption"/>
      </w:pPr>
      <w:r>
        <w:t>Figure 6.1 — Proposed project organisation and reporting lines for [insert project name].</w:t>
      </w:r>
    </w:p>
    <w:p>
      <w:pPr>
        <w:pStyle w:val="Heading2"/>
      </w:pPr>
      <w:bookmarkStart w:id="9030" w:name="_Toc90030"/>
      <w:r>
        <w:t>6.2 Key personnel</w:t>
      </w:r>
      <w:bookmarkEnd w:id="9030"/>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251"/>
        <w:gridCol w:w="2941"/>
        <w:gridCol w:w="525"/>
        <w:gridCol w:w="2628"/>
        <w:gridCol w:w="976"/>
        <w:gridCol w:w="1317"/>
      </w:tblGrid>
      <w:tr>
        <w:trPr>
          <w:tblHeader w:val="true"/>
          <w:cantSplit w:val="true"/>
        </w:trPr>
        <w:tc>
          <w:tcPr>
            <w:tcW w:w="1251" w:type="dxa"/>
            <w:shd w:val="clear" w:color="auto" w:fill="1D3245"/>
            <w:vAlign w:val="center"/>
          </w:tcPr>
          <w:p>
            <w:pPr>
              <w:pStyle w:val="TableHeader"/>
              <w:jc w:val="left"/>
            </w:pPr>
            <w:r/>
            <w:r>
              <w:t>Name</w:t>
            </w:r>
          </w:p>
        </w:tc>
        <w:tc>
          <w:tcPr>
            <w:tcW w:w="2941" w:type="dxa"/>
            <w:shd w:val="clear" w:color="auto" w:fill="1D3245"/>
            <w:vAlign w:val="center"/>
          </w:tcPr>
          <w:p>
            <w:pPr>
              <w:pStyle w:val="TableHeader"/>
              <w:jc w:val="left"/>
            </w:pPr>
            <w:r/>
            <w:r>
              <w:t>Role on this project</w:t>
            </w:r>
          </w:p>
        </w:tc>
        <w:tc>
          <w:tcPr>
            <w:tcW w:w="525" w:type="dxa"/>
            <w:shd w:val="clear" w:color="auto" w:fill="1D3245"/>
            <w:vAlign w:val="center"/>
          </w:tcPr>
          <w:p>
            <w:pPr>
              <w:pStyle w:val="TableHeader"/>
              <w:jc w:val="center"/>
            </w:pPr>
            <w:r/>
            <w:r>
              <w:t>Yrs</w:t>
            </w:r>
          </w:p>
        </w:tc>
        <w:tc>
          <w:tcPr>
            <w:tcW w:w="2628" w:type="dxa"/>
            <w:shd w:val="clear" w:color="auto" w:fill="1D3245"/>
            <w:vAlign w:val="center"/>
          </w:tcPr>
          <w:p>
            <w:pPr>
              <w:pStyle w:val="TableHeader"/>
              <w:jc w:val="left"/>
            </w:pPr>
            <w:r/>
            <w:r>
              <w:t>Relevant projects</w:t>
            </w:r>
          </w:p>
        </w:tc>
        <w:tc>
          <w:tcPr>
            <w:tcW w:w="976" w:type="dxa"/>
            <w:shd w:val="clear" w:color="auto" w:fill="1D3245"/>
            <w:vAlign w:val="center"/>
          </w:tcPr>
          <w:p>
            <w:pPr>
              <w:pStyle w:val="TableHeader"/>
              <w:jc w:val="center"/>
            </w:pPr>
            <w:r/>
            <w:r>
              <w:t>Time %</w:t>
            </w:r>
          </w:p>
        </w:tc>
        <w:tc>
          <w:tcPr>
            <w:tcW w:w="1317" w:type="dxa"/>
            <w:shd w:val="clear" w:color="auto" w:fill="1D3245"/>
            <w:vAlign w:val="center"/>
          </w:tcPr>
          <w:p>
            <w:pPr>
              <w:pStyle w:val="TableHeader"/>
              <w:jc w:val="left"/>
            </w:pPr>
            <w:r/>
            <w:r>
              <w:t>Based</w:t>
            </w:r>
          </w:p>
        </w:tc>
      </w:tr>
      <w:tr>
        <w:trPr>
          <w:cantSplit w:val="true"/>
        </w:trPr>
        <w:tc>
          <w:tcPr>
            <w:tcW w:w="1251" w:type="dxa"/>
            <w:vAlign w:val="center"/>
          </w:tcPr>
          <w:p>
            <w:pPr>
              <w:pStyle w:val="TableTextExample"/>
              <w:jc w:val="left"/>
            </w:pPr>
            <w:r/>
            <w:r>
              <w:t>[Name]</w:t>
            </w:r>
          </w:p>
        </w:tc>
        <w:tc>
          <w:tcPr>
            <w:tcW w:w="2941" w:type="dxa"/>
            <w:vAlign w:val="center"/>
          </w:tcPr>
          <w:p>
            <w:pPr>
              <w:pStyle w:val="TableTextExample"/>
              <w:jc w:val="left"/>
            </w:pPr>
            <w:r/>
            <w:r>
              <w:t>Project Director — accountable for the appointment, governance and commercial outcome</w:t>
            </w:r>
          </w:p>
        </w:tc>
        <w:tc>
          <w:tcPr>
            <w:tcW w:w="525" w:type="dxa"/>
            <w:vAlign w:val="center"/>
          </w:tcPr>
          <w:p>
            <w:pPr>
              <w:pStyle w:val="TableTextExample"/>
              <w:jc w:val="center"/>
            </w:pPr>
            <w:r/>
            <w:r>
              <w:t>24</w:t>
            </w:r>
          </w:p>
        </w:tc>
        <w:tc>
          <w:tcPr>
            <w:tcW w:w="2628" w:type="dxa"/>
            <w:vAlign w:val="center"/>
          </w:tcPr>
          <w:p>
            <w:pPr>
              <w:pStyle w:val="TableTextExample"/>
              <w:jc w:val="left"/>
            </w:pPr>
            <w:r/>
            <w:r>
              <w:t>Northbank Health Precinct Stage 1 ([CUR] 310 m); Riverside Teaching Hospital redevelopment</w:t>
            </w:r>
          </w:p>
        </w:tc>
        <w:tc>
          <w:tcPr>
            <w:tcW w:w="976" w:type="dxa"/>
            <w:vAlign w:val="center"/>
          </w:tcPr>
          <w:p>
            <w:pPr>
              <w:pStyle w:val="TableTextExample"/>
              <w:jc w:val="center"/>
            </w:pPr>
            <w:r/>
            <w:r>
              <w:t>20 %</w:t>
            </w:r>
          </w:p>
        </w:tc>
        <w:tc>
          <w:tcPr>
            <w:tcW w:w="1317" w:type="dxa"/>
            <w:vAlign w:val="center"/>
          </w:tcPr>
          <w:p>
            <w:pPr>
              <w:pStyle w:val="TableTextExample"/>
              <w:jc w:val="left"/>
            </w:pPr>
            <w:r/>
            <w:r>
              <w:t>[City] — 25 km from site</w:t>
            </w:r>
          </w:p>
        </w:tc>
      </w:tr>
      <w:tr>
        <w:trPr>
          <w:cantSplit w:val="true"/>
        </w:trPr>
        <w:tc>
          <w:tcPr>
            <w:tcW w:w="1251" w:type="dxa"/>
            <w:vAlign w:val="center"/>
          </w:tcPr>
          <w:p>
            <w:pPr>
              <w:pStyle w:val="TableTextExample"/>
              <w:jc w:val="left"/>
            </w:pPr>
            <w:r/>
            <w:r>
              <w:t>[Name]</w:t>
            </w:r>
          </w:p>
        </w:tc>
        <w:tc>
          <w:tcPr>
            <w:tcW w:w="2941" w:type="dxa"/>
            <w:vAlign w:val="center"/>
          </w:tcPr>
          <w:p>
            <w:pPr>
              <w:pStyle w:val="TableTextExample"/>
              <w:jc w:val="left"/>
            </w:pPr>
            <w:r/>
            <w:r>
              <w:t>Project Manager — day-to-day delivery lead, chairs the project team meeting</w:t>
            </w:r>
          </w:p>
        </w:tc>
        <w:tc>
          <w:tcPr>
            <w:tcW w:w="525" w:type="dxa"/>
            <w:vAlign w:val="center"/>
          </w:tcPr>
          <w:p>
            <w:pPr>
              <w:pStyle w:val="TableTextExample"/>
              <w:jc w:val="center"/>
            </w:pPr>
            <w:r/>
            <w:r>
              <w:t>16</w:t>
            </w:r>
          </w:p>
        </w:tc>
        <w:tc>
          <w:tcPr>
            <w:tcW w:w="2628" w:type="dxa"/>
            <w:vAlign w:val="center"/>
          </w:tcPr>
          <w:p>
            <w:pPr>
              <w:pStyle w:val="TableTextExample"/>
              <w:jc w:val="left"/>
            </w:pPr>
            <w:r/>
            <w:r>
              <w:t>Southgate Emergency Department expansion ([CUR] 142 m); Northbank Stage 1 fit-out</w:t>
            </w:r>
          </w:p>
        </w:tc>
        <w:tc>
          <w:tcPr>
            <w:tcW w:w="976" w:type="dxa"/>
            <w:vAlign w:val="center"/>
          </w:tcPr>
          <w:p>
            <w:pPr>
              <w:pStyle w:val="TableTextExample"/>
              <w:jc w:val="center"/>
            </w:pPr>
            <w:r/>
            <w:r>
              <w:t>100 %</w:t>
            </w:r>
          </w:p>
        </w:tc>
        <w:tc>
          <w:tcPr>
            <w:tcW w:w="1317" w:type="dxa"/>
            <w:vAlign w:val="center"/>
          </w:tcPr>
          <w:p>
            <w:pPr>
              <w:pStyle w:val="TableTextExample"/>
              <w:jc w:val="left"/>
            </w:pPr>
            <w:r/>
            <w:r>
              <w:t>Site office, full time</w:t>
            </w:r>
          </w:p>
        </w:tc>
      </w:tr>
      <w:tr>
        <w:trPr>
          <w:cantSplit w:val="true"/>
        </w:trPr>
        <w:tc>
          <w:tcPr>
            <w:tcW w:w="1251" w:type="dxa"/>
            <w:vAlign w:val="center"/>
          </w:tcPr>
          <w:p>
            <w:pPr>
              <w:pStyle w:val="TableTextExample"/>
              <w:jc w:val="left"/>
            </w:pPr>
            <w:r/>
            <w:r>
              <w:t>[Name]</w:t>
            </w:r>
          </w:p>
        </w:tc>
        <w:tc>
          <w:tcPr>
            <w:tcW w:w="2941" w:type="dxa"/>
            <w:vAlign w:val="center"/>
          </w:tcPr>
          <w:p>
            <w:pPr>
              <w:pStyle w:val="TableTextExample"/>
              <w:jc w:val="left"/>
            </w:pPr>
            <w:r/>
            <w:r>
              <w:t>Cost Manager — cost plan, forecasting, change pricing, final account</w:t>
            </w:r>
          </w:p>
        </w:tc>
        <w:tc>
          <w:tcPr>
            <w:tcW w:w="525" w:type="dxa"/>
            <w:vAlign w:val="center"/>
          </w:tcPr>
          <w:p>
            <w:pPr>
              <w:pStyle w:val="TableTextExample"/>
              <w:jc w:val="center"/>
            </w:pPr>
            <w:r/>
            <w:r>
              <w:t>12</w:t>
            </w:r>
          </w:p>
        </w:tc>
        <w:tc>
          <w:tcPr>
            <w:tcW w:w="2628" w:type="dxa"/>
            <w:vAlign w:val="center"/>
          </w:tcPr>
          <w:p>
            <w:pPr>
              <w:pStyle w:val="TableTextExample"/>
              <w:jc w:val="left"/>
            </w:pPr>
            <w:r/>
            <w:r>
              <w:t>Northbank Stage 1; Central Rail Interchange ([CUR] 640 m)</w:t>
            </w:r>
          </w:p>
        </w:tc>
        <w:tc>
          <w:tcPr>
            <w:tcW w:w="976" w:type="dxa"/>
            <w:vAlign w:val="center"/>
          </w:tcPr>
          <w:p>
            <w:pPr>
              <w:pStyle w:val="TableTextExample"/>
              <w:jc w:val="center"/>
            </w:pPr>
            <w:r/>
            <w:r>
              <w:t>60 %</w:t>
            </w:r>
          </w:p>
        </w:tc>
        <w:tc>
          <w:tcPr>
            <w:tcW w:w="1317" w:type="dxa"/>
            <w:vAlign w:val="center"/>
          </w:tcPr>
          <w:p>
            <w:pPr>
              <w:pStyle w:val="TableTextExample"/>
              <w:jc w:val="left"/>
            </w:pPr>
            <w:r/>
            <w:r>
              <w:t>[City]</w:t>
            </w:r>
          </w:p>
        </w:tc>
      </w:tr>
      <w:tr>
        <w:trPr>
          <w:cantSplit w:val="true"/>
        </w:trPr>
        <w:tc>
          <w:tcPr>
            <w:tcW w:w="1251" w:type="dxa"/>
            <w:vAlign w:val="center"/>
          </w:tcPr>
          <w:p>
            <w:pPr>
              <w:pStyle w:val="TableTextExample"/>
              <w:jc w:val="left"/>
            </w:pPr>
            <w:r/>
            <w:r>
              <w:t>[Name]</w:t>
            </w:r>
          </w:p>
        </w:tc>
        <w:tc>
          <w:tcPr>
            <w:tcW w:w="2941" w:type="dxa"/>
            <w:vAlign w:val="center"/>
          </w:tcPr>
          <w:p>
            <w:pPr>
              <w:pStyle w:val="TableTextExample"/>
              <w:jc w:val="left"/>
            </w:pPr>
            <w:r/>
            <w:r>
              <w:t>Programme Manager — master programme, contractor programme review, delay assessment</w:t>
            </w:r>
          </w:p>
        </w:tc>
        <w:tc>
          <w:tcPr>
            <w:tcW w:w="525" w:type="dxa"/>
            <w:vAlign w:val="center"/>
          </w:tcPr>
          <w:p>
            <w:pPr>
              <w:pStyle w:val="TableTextExample"/>
              <w:jc w:val="center"/>
            </w:pPr>
            <w:r/>
            <w:r>
              <w:t>18</w:t>
            </w:r>
          </w:p>
        </w:tc>
        <w:tc>
          <w:tcPr>
            <w:tcW w:w="2628" w:type="dxa"/>
            <w:vAlign w:val="center"/>
          </w:tcPr>
          <w:p>
            <w:pPr>
              <w:pStyle w:val="TableTextExample"/>
              <w:jc w:val="left"/>
            </w:pPr>
            <w:r/>
            <w:r>
              <w:t>Coastal Desalination Upgrade; Metro Depot Stage 2</w:t>
            </w:r>
          </w:p>
        </w:tc>
        <w:tc>
          <w:tcPr>
            <w:tcW w:w="976" w:type="dxa"/>
            <w:vAlign w:val="center"/>
          </w:tcPr>
          <w:p>
            <w:pPr>
              <w:pStyle w:val="TableTextExample"/>
              <w:jc w:val="center"/>
            </w:pPr>
            <w:r/>
            <w:r>
              <w:t>40 %</w:t>
            </w:r>
          </w:p>
        </w:tc>
        <w:tc>
          <w:tcPr>
            <w:tcW w:w="1317" w:type="dxa"/>
            <w:vAlign w:val="center"/>
          </w:tcPr>
          <w:p>
            <w:pPr>
              <w:pStyle w:val="TableTextExample"/>
              <w:jc w:val="left"/>
            </w:pPr>
            <w:r/>
            <w:r>
              <w:t>[City]</w:t>
            </w:r>
          </w:p>
        </w:tc>
      </w:tr>
      <w:tr>
        <w:trPr>
          <w:cantSplit w:val="true"/>
        </w:trPr>
        <w:tc>
          <w:tcPr>
            <w:tcW w:w="1251" w:type="dxa"/>
            <w:vAlign w:val="center"/>
          </w:tcPr>
          <w:p>
            <w:pPr>
              <w:pStyle w:val="TableText"/>
              <w:jc w:val="left"/>
            </w:pPr>
            <w:r/>
            <w:r>
              <w:t>[Name]</w:t>
            </w:r>
          </w:p>
        </w:tc>
        <w:tc>
          <w:tcPr>
            <w:tcW w:w="2941" w:type="dxa"/>
            <w:vAlign w:val="center"/>
          </w:tcPr>
          <w:p>
            <w:pPr>
              <w:pStyle w:val="TableText"/>
              <w:jc w:val="left"/>
            </w:pPr>
            <w:r/>
            <w:r>
              <w:t>[Insert role and what this person is accountable for]</w:t>
            </w:r>
          </w:p>
        </w:tc>
        <w:tc>
          <w:tcPr>
            <w:tcW w:w="525" w:type="dxa"/>
            <w:vAlign w:val="center"/>
          </w:tcPr>
          <w:p>
            <w:pPr>
              <w:pStyle w:val="TableTextCentre"/>
              <w:jc w:val="center"/>
            </w:pPr>
            <w:r/>
            <w:r>
              <w:t>[00]</w:t>
            </w:r>
          </w:p>
        </w:tc>
        <w:tc>
          <w:tcPr>
            <w:tcW w:w="2628" w:type="dxa"/>
            <w:vAlign w:val="center"/>
          </w:tcPr>
          <w:p>
            <w:pPr>
              <w:pStyle w:val="TableText"/>
              <w:jc w:val="left"/>
            </w:pPr>
            <w:r/>
            <w:r>
              <w:t>[Insert two comparable projects, with value or scale]</w:t>
            </w:r>
          </w:p>
        </w:tc>
        <w:tc>
          <w:tcPr>
            <w:tcW w:w="976" w:type="dxa"/>
            <w:vAlign w:val="center"/>
          </w:tcPr>
          <w:p>
            <w:pPr>
              <w:pStyle w:val="TableTextCentre"/>
              <w:jc w:val="center"/>
            </w:pPr>
            <w:r/>
            <w:r>
              <w:t>[00] %</w:t>
            </w:r>
          </w:p>
        </w:tc>
        <w:tc>
          <w:tcPr>
            <w:tcW w:w="1317" w:type="dxa"/>
            <w:vAlign w:val="center"/>
          </w:tcPr>
          <w:p>
            <w:pPr>
              <w:pStyle w:val="TableText"/>
              <w:jc w:val="left"/>
            </w:pPr>
            <w:r/>
            <w:r>
              <w:t>[Insert location and distance from site]</w:t>
            </w:r>
          </w:p>
        </w:tc>
      </w:tr>
    </w:tbl>
    <w:p>
      <w:pPr>
        <w:pStyle w:val="Note"/>
      </w:pPr>
      <w:r>
        <w:t>Example content shown in grey italic — delete before use. Attach a two-page curriculum vitae for each named person at Appendix A. State time commitment as a percentage of a full-time equivalent and make sure the percentages reconcile to the resourcing schedule in Section 6.3 and to the fee build-up in Section 7.1.</w:t>
      </w:r>
    </w:p>
    <w:p>
      <w:pPr>
        <w:pStyle w:val="Heading2"/>
      </w:pPr>
      <w:bookmarkStart w:id="9031" w:name="_Toc90031"/>
      <w:r>
        <w:t>6.3 Resourcing schedule by stage</w:t>
      </w:r>
      <w:bookmarkEnd w:id="9031"/>
    </w:p>
    <w:p>
      <w:pPr>
        <w:pStyle w:val="Body"/>
      </w:pPr>
      <w:r>
        <w:t>Full-time equivalents by role and stage. This table is the bridge between the team and the fee: if the FTE profile does not multiply out to the hours in Section 7.1, one of the two is wrong and an evaluator will find it.</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3232"/>
        <w:gridCol w:w="727"/>
        <w:gridCol w:w="727"/>
        <w:gridCol w:w="727"/>
        <w:gridCol w:w="727"/>
        <w:gridCol w:w="727"/>
        <w:gridCol w:w="727"/>
        <w:gridCol w:w="727"/>
        <w:gridCol w:w="1317"/>
      </w:tblGrid>
      <w:tr>
        <w:trPr>
          <w:tblHeader w:val="true"/>
          <w:cantSplit w:val="true"/>
        </w:trPr>
        <w:tc>
          <w:tcPr>
            <w:tcW w:w="3232" w:type="dxa"/>
            <w:shd w:val="clear" w:color="auto" w:fill="1D3245"/>
            <w:vAlign w:val="center"/>
          </w:tcPr>
          <w:p>
            <w:pPr>
              <w:pStyle w:val="TableHeader"/>
              <w:jc w:val="left"/>
            </w:pPr>
            <w:r/>
            <w:r>
              <w:t>Role</w:t>
            </w:r>
          </w:p>
        </w:tc>
        <w:tc>
          <w:tcPr>
            <w:tcW w:w="727" w:type="dxa"/>
            <w:shd w:val="clear" w:color="auto" w:fill="1D3245"/>
            <w:vAlign w:val="center"/>
          </w:tcPr>
          <w:p>
            <w:pPr>
              <w:pStyle w:val="TableHeader"/>
              <w:jc w:val="center"/>
            </w:pPr>
            <w:r/>
            <w:r>
              <w:t>S1</w:t>
            </w:r>
          </w:p>
        </w:tc>
        <w:tc>
          <w:tcPr>
            <w:tcW w:w="727" w:type="dxa"/>
            <w:shd w:val="clear" w:color="auto" w:fill="1D3245"/>
            <w:vAlign w:val="center"/>
          </w:tcPr>
          <w:p>
            <w:pPr>
              <w:pStyle w:val="TableHeader"/>
              <w:jc w:val="center"/>
            </w:pPr>
            <w:r/>
            <w:r>
              <w:t>S2</w:t>
            </w:r>
          </w:p>
        </w:tc>
        <w:tc>
          <w:tcPr>
            <w:tcW w:w="727" w:type="dxa"/>
            <w:shd w:val="clear" w:color="auto" w:fill="1D3245"/>
            <w:vAlign w:val="center"/>
          </w:tcPr>
          <w:p>
            <w:pPr>
              <w:pStyle w:val="TableHeader"/>
              <w:jc w:val="center"/>
            </w:pPr>
            <w:r/>
            <w:r>
              <w:t>S3</w:t>
            </w:r>
          </w:p>
        </w:tc>
        <w:tc>
          <w:tcPr>
            <w:tcW w:w="727" w:type="dxa"/>
            <w:shd w:val="clear" w:color="auto" w:fill="1D3245"/>
            <w:vAlign w:val="center"/>
          </w:tcPr>
          <w:p>
            <w:pPr>
              <w:pStyle w:val="TableHeader"/>
              <w:jc w:val="center"/>
            </w:pPr>
            <w:r/>
            <w:r>
              <w:t>S4</w:t>
            </w:r>
          </w:p>
        </w:tc>
        <w:tc>
          <w:tcPr>
            <w:tcW w:w="727" w:type="dxa"/>
            <w:shd w:val="clear" w:color="auto" w:fill="1D3245"/>
            <w:vAlign w:val="center"/>
          </w:tcPr>
          <w:p>
            <w:pPr>
              <w:pStyle w:val="TableHeader"/>
              <w:jc w:val="center"/>
            </w:pPr>
            <w:r/>
            <w:r>
              <w:t>S5</w:t>
            </w:r>
          </w:p>
        </w:tc>
        <w:tc>
          <w:tcPr>
            <w:tcW w:w="727" w:type="dxa"/>
            <w:shd w:val="clear" w:color="auto" w:fill="1D3245"/>
            <w:vAlign w:val="center"/>
          </w:tcPr>
          <w:p>
            <w:pPr>
              <w:pStyle w:val="TableHeader"/>
              <w:jc w:val="center"/>
            </w:pPr>
            <w:r/>
            <w:r>
              <w:t>S6</w:t>
            </w:r>
          </w:p>
        </w:tc>
        <w:tc>
          <w:tcPr>
            <w:tcW w:w="727" w:type="dxa"/>
            <w:shd w:val="clear" w:color="auto" w:fill="1D3245"/>
            <w:vAlign w:val="center"/>
          </w:tcPr>
          <w:p>
            <w:pPr>
              <w:pStyle w:val="TableHeader"/>
              <w:jc w:val="center"/>
            </w:pPr>
            <w:r/>
            <w:r>
              <w:t>S7</w:t>
            </w:r>
          </w:p>
        </w:tc>
        <w:tc>
          <w:tcPr>
            <w:tcW w:w="1317" w:type="dxa"/>
            <w:shd w:val="clear" w:color="auto" w:fill="1D3245"/>
            <w:vAlign w:val="center"/>
          </w:tcPr>
          <w:p>
            <w:pPr>
              <w:pStyle w:val="TableHeader"/>
              <w:jc w:val="right"/>
            </w:pPr>
            <w:r/>
            <w:r>
              <w:t>Total FTE-mo</w:t>
            </w:r>
          </w:p>
        </w:tc>
      </w:tr>
      <w:tr>
        <w:trPr>
          <w:cantSplit w:val="true"/>
        </w:trPr>
        <w:tc>
          <w:tcPr>
            <w:tcW w:w="3232" w:type="dxa"/>
            <w:vAlign w:val="center"/>
          </w:tcPr>
          <w:p>
            <w:pPr>
              <w:pStyle w:val="TableTextExample"/>
              <w:jc w:val="left"/>
            </w:pPr>
            <w:r/>
            <w:r>
              <w:t>Project Director</w:t>
            </w:r>
          </w:p>
        </w:tc>
        <w:tc>
          <w:tcPr>
            <w:tcW w:w="727" w:type="dxa"/>
            <w:vAlign w:val="center"/>
          </w:tcPr>
          <w:p>
            <w:pPr>
              <w:pStyle w:val="TableTextExample"/>
              <w:jc w:val="center"/>
            </w:pPr>
            <w:r/>
            <w:r>
              <w:t>0.2</w:t>
            </w:r>
          </w:p>
        </w:tc>
        <w:tc>
          <w:tcPr>
            <w:tcW w:w="727" w:type="dxa"/>
            <w:vAlign w:val="center"/>
          </w:tcPr>
          <w:p>
            <w:pPr>
              <w:pStyle w:val="TableTextExample"/>
              <w:jc w:val="center"/>
            </w:pPr>
            <w:r/>
            <w:r>
              <w:t>0.2</w:t>
            </w:r>
          </w:p>
        </w:tc>
        <w:tc>
          <w:tcPr>
            <w:tcW w:w="727" w:type="dxa"/>
            <w:vAlign w:val="center"/>
          </w:tcPr>
          <w:p>
            <w:pPr>
              <w:pStyle w:val="TableTextExample"/>
              <w:jc w:val="center"/>
            </w:pPr>
            <w:r/>
            <w:r>
              <w:t>0.2</w:t>
            </w:r>
          </w:p>
        </w:tc>
        <w:tc>
          <w:tcPr>
            <w:tcW w:w="727" w:type="dxa"/>
            <w:vAlign w:val="center"/>
          </w:tcPr>
          <w:p>
            <w:pPr>
              <w:pStyle w:val="TableTextExample"/>
              <w:jc w:val="center"/>
            </w:pPr>
            <w:r/>
            <w:r>
              <w:t>0.3</w:t>
            </w:r>
          </w:p>
        </w:tc>
        <w:tc>
          <w:tcPr>
            <w:tcW w:w="727" w:type="dxa"/>
            <w:vAlign w:val="center"/>
          </w:tcPr>
          <w:p>
            <w:pPr>
              <w:pStyle w:val="TableTextExample"/>
              <w:jc w:val="center"/>
            </w:pPr>
            <w:r/>
            <w:r>
              <w:t>0.2</w:t>
            </w:r>
          </w:p>
        </w:tc>
        <w:tc>
          <w:tcPr>
            <w:tcW w:w="727" w:type="dxa"/>
            <w:vAlign w:val="center"/>
          </w:tcPr>
          <w:p>
            <w:pPr>
              <w:pStyle w:val="TableTextExample"/>
              <w:jc w:val="center"/>
            </w:pPr>
            <w:r/>
            <w:r>
              <w:t>0.2</w:t>
            </w:r>
          </w:p>
        </w:tc>
        <w:tc>
          <w:tcPr>
            <w:tcW w:w="727" w:type="dxa"/>
            <w:vAlign w:val="center"/>
          </w:tcPr>
          <w:p>
            <w:pPr>
              <w:pStyle w:val="TableTextExample"/>
              <w:jc w:val="center"/>
            </w:pPr>
            <w:r/>
            <w:r>
              <w:t>0.1</w:t>
            </w:r>
          </w:p>
        </w:tc>
        <w:tc>
          <w:tcPr>
            <w:tcW w:w="1317" w:type="dxa"/>
            <w:vAlign w:val="center"/>
          </w:tcPr>
          <w:p>
            <w:pPr>
              <w:pStyle w:val="TableTextExample"/>
              <w:jc w:val="right"/>
            </w:pPr>
            <w:r/>
            <w:r>
              <w:t>6.4</w:t>
            </w:r>
          </w:p>
        </w:tc>
      </w:tr>
      <w:tr>
        <w:trPr>
          <w:cantSplit w:val="true"/>
        </w:trPr>
        <w:tc>
          <w:tcPr>
            <w:tcW w:w="3232" w:type="dxa"/>
            <w:vAlign w:val="center"/>
          </w:tcPr>
          <w:p>
            <w:pPr>
              <w:pStyle w:val="TableTextExample"/>
              <w:jc w:val="left"/>
            </w:pPr>
            <w:r/>
            <w:r>
              <w:t>Project Manager</w:t>
            </w:r>
          </w:p>
        </w:tc>
        <w:tc>
          <w:tcPr>
            <w:tcW w:w="727" w:type="dxa"/>
            <w:vAlign w:val="center"/>
          </w:tcPr>
          <w:p>
            <w:pPr>
              <w:pStyle w:val="TableTextExample"/>
              <w:jc w:val="center"/>
            </w:pPr>
            <w:r/>
            <w:r>
              <w:t>0.5</w:t>
            </w:r>
          </w:p>
        </w:tc>
        <w:tc>
          <w:tcPr>
            <w:tcW w:w="727" w:type="dxa"/>
            <w:vAlign w:val="center"/>
          </w:tcPr>
          <w:p>
            <w:pPr>
              <w:pStyle w:val="TableTextExample"/>
              <w:jc w:val="center"/>
            </w:pPr>
            <w:r/>
            <w:r>
              <w:t>0.8</w:t>
            </w:r>
          </w:p>
        </w:tc>
        <w:tc>
          <w:tcPr>
            <w:tcW w:w="727" w:type="dxa"/>
            <w:vAlign w:val="center"/>
          </w:tcPr>
          <w:p>
            <w:pPr>
              <w:pStyle w:val="TableTextExample"/>
              <w:jc w:val="center"/>
            </w:pPr>
            <w:r/>
            <w:r>
              <w:t>1.0</w:t>
            </w:r>
          </w:p>
        </w:tc>
        <w:tc>
          <w:tcPr>
            <w:tcW w:w="727" w:type="dxa"/>
            <w:vAlign w:val="center"/>
          </w:tcPr>
          <w:p>
            <w:pPr>
              <w:pStyle w:val="TableTextExample"/>
              <w:jc w:val="center"/>
            </w:pPr>
            <w:r/>
            <w:r>
              <w:t>1.0</w:t>
            </w:r>
          </w:p>
        </w:tc>
        <w:tc>
          <w:tcPr>
            <w:tcW w:w="727" w:type="dxa"/>
            <w:vAlign w:val="center"/>
          </w:tcPr>
          <w:p>
            <w:pPr>
              <w:pStyle w:val="TableTextExample"/>
              <w:jc w:val="center"/>
            </w:pPr>
            <w:r/>
            <w:r>
              <w:t>1.0</w:t>
            </w:r>
          </w:p>
        </w:tc>
        <w:tc>
          <w:tcPr>
            <w:tcW w:w="727" w:type="dxa"/>
            <w:vAlign w:val="center"/>
          </w:tcPr>
          <w:p>
            <w:pPr>
              <w:pStyle w:val="TableTextExample"/>
              <w:jc w:val="center"/>
            </w:pPr>
            <w:r/>
            <w:r>
              <w:t>1.0</w:t>
            </w:r>
          </w:p>
        </w:tc>
        <w:tc>
          <w:tcPr>
            <w:tcW w:w="727" w:type="dxa"/>
            <w:vAlign w:val="center"/>
          </w:tcPr>
          <w:p>
            <w:pPr>
              <w:pStyle w:val="TableTextExample"/>
              <w:jc w:val="center"/>
            </w:pPr>
            <w:r/>
            <w:r>
              <w:t>0.3</w:t>
            </w:r>
          </w:p>
        </w:tc>
        <w:tc>
          <w:tcPr>
            <w:tcW w:w="1317" w:type="dxa"/>
            <w:vAlign w:val="center"/>
          </w:tcPr>
          <w:p>
            <w:pPr>
              <w:pStyle w:val="TableTextExample"/>
              <w:jc w:val="right"/>
            </w:pPr>
            <w:r/>
            <w:r>
              <w:t>29.1</w:t>
            </w:r>
          </w:p>
        </w:tc>
      </w:tr>
      <w:tr>
        <w:trPr>
          <w:cantSplit w:val="true"/>
        </w:trPr>
        <w:tc>
          <w:tcPr>
            <w:tcW w:w="3232" w:type="dxa"/>
            <w:vAlign w:val="center"/>
          </w:tcPr>
          <w:p>
            <w:pPr>
              <w:pStyle w:val="TableTextExample"/>
              <w:jc w:val="left"/>
            </w:pPr>
            <w:r/>
            <w:r>
              <w:t>Assistant Project Manager</w:t>
            </w:r>
          </w:p>
        </w:tc>
        <w:tc>
          <w:tcPr>
            <w:tcW w:w="727" w:type="dxa"/>
            <w:vAlign w:val="center"/>
          </w:tcPr>
          <w:p>
            <w:pPr>
              <w:pStyle w:val="TableTextExample"/>
              <w:jc w:val="center"/>
            </w:pPr>
            <w:r/>
            <w:r>
              <w:t>—</w:t>
            </w:r>
          </w:p>
        </w:tc>
        <w:tc>
          <w:tcPr>
            <w:tcW w:w="727" w:type="dxa"/>
            <w:vAlign w:val="center"/>
          </w:tcPr>
          <w:p>
            <w:pPr>
              <w:pStyle w:val="TableTextExample"/>
              <w:jc w:val="center"/>
            </w:pPr>
            <w:r/>
            <w:r>
              <w:t>—</w:t>
            </w:r>
          </w:p>
        </w:tc>
        <w:tc>
          <w:tcPr>
            <w:tcW w:w="727" w:type="dxa"/>
            <w:vAlign w:val="center"/>
          </w:tcPr>
          <w:p>
            <w:pPr>
              <w:pStyle w:val="TableTextExample"/>
              <w:jc w:val="center"/>
            </w:pPr>
            <w:r/>
            <w:r>
              <w:t>0.5</w:t>
            </w:r>
          </w:p>
        </w:tc>
        <w:tc>
          <w:tcPr>
            <w:tcW w:w="727" w:type="dxa"/>
            <w:vAlign w:val="center"/>
          </w:tcPr>
          <w:p>
            <w:pPr>
              <w:pStyle w:val="TableTextExample"/>
              <w:jc w:val="center"/>
            </w:pPr>
            <w:r/>
            <w:r>
              <w:t>1.0</w:t>
            </w:r>
          </w:p>
        </w:tc>
        <w:tc>
          <w:tcPr>
            <w:tcW w:w="727" w:type="dxa"/>
            <w:vAlign w:val="center"/>
          </w:tcPr>
          <w:p>
            <w:pPr>
              <w:pStyle w:val="TableTextExample"/>
              <w:jc w:val="center"/>
            </w:pPr>
            <w:r/>
            <w:r>
              <w:t>1.0</w:t>
            </w:r>
          </w:p>
        </w:tc>
        <w:tc>
          <w:tcPr>
            <w:tcW w:w="727" w:type="dxa"/>
            <w:vAlign w:val="center"/>
          </w:tcPr>
          <w:p>
            <w:pPr>
              <w:pStyle w:val="TableTextExample"/>
              <w:jc w:val="center"/>
            </w:pPr>
            <w:r/>
            <w:r>
              <w:t>1.0</w:t>
            </w:r>
          </w:p>
        </w:tc>
        <w:tc>
          <w:tcPr>
            <w:tcW w:w="727" w:type="dxa"/>
            <w:vAlign w:val="center"/>
          </w:tcPr>
          <w:p>
            <w:pPr>
              <w:pStyle w:val="TableTextExample"/>
              <w:jc w:val="center"/>
            </w:pPr>
            <w:r/>
            <w:r>
              <w:t>0.2</w:t>
            </w:r>
          </w:p>
        </w:tc>
        <w:tc>
          <w:tcPr>
            <w:tcW w:w="1317" w:type="dxa"/>
            <w:vAlign w:val="center"/>
          </w:tcPr>
          <w:p>
            <w:pPr>
              <w:pStyle w:val="TableTextExample"/>
              <w:jc w:val="right"/>
            </w:pPr>
            <w:r/>
            <w:r>
              <w:t>22.4</w:t>
            </w:r>
          </w:p>
        </w:tc>
      </w:tr>
      <w:tr>
        <w:trPr>
          <w:cantSplit w:val="true"/>
        </w:trPr>
        <w:tc>
          <w:tcPr>
            <w:tcW w:w="3232" w:type="dxa"/>
            <w:vAlign w:val="center"/>
          </w:tcPr>
          <w:p>
            <w:pPr>
              <w:pStyle w:val="TableTextExample"/>
              <w:jc w:val="left"/>
            </w:pPr>
            <w:r/>
            <w:r>
              <w:t>Cost Manager</w:t>
            </w:r>
          </w:p>
        </w:tc>
        <w:tc>
          <w:tcPr>
            <w:tcW w:w="727" w:type="dxa"/>
            <w:vAlign w:val="center"/>
          </w:tcPr>
          <w:p>
            <w:pPr>
              <w:pStyle w:val="TableTextExample"/>
              <w:jc w:val="center"/>
            </w:pPr>
            <w:r/>
            <w:r>
              <w:t>0.3</w:t>
            </w:r>
          </w:p>
        </w:tc>
        <w:tc>
          <w:tcPr>
            <w:tcW w:w="727" w:type="dxa"/>
            <w:vAlign w:val="center"/>
          </w:tcPr>
          <w:p>
            <w:pPr>
              <w:pStyle w:val="TableTextExample"/>
              <w:jc w:val="center"/>
            </w:pPr>
            <w:r/>
            <w:r>
              <w:t>0.5</w:t>
            </w:r>
          </w:p>
        </w:tc>
        <w:tc>
          <w:tcPr>
            <w:tcW w:w="727" w:type="dxa"/>
            <w:vAlign w:val="center"/>
          </w:tcPr>
          <w:p>
            <w:pPr>
              <w:pStyle w:val="TableTextExample"/>
              <w:jc w:val="center"/>
            </w:pPr>
            <w:r/>
            <w:r>
              <w:t>0.6</w:t>
            </w:r>
          </w:p>
        </w:tc>
        <w:tc>
          <w:tcPr>
            <w:tcW w:w="727" w:type="dxa"/>
            <w:vAlign w:val="center"/>
          </w:tcPr>
          <w:p>
            <w:pPr>
              <w:pStyle w:val="TableTextExample"/>
              <w:jc w:val="center"/>
            </w:pPr>
            <w:r/>
            <w:r>
              <w:t>0.8</w:t>
            </w:r>
          </w:p>
        </w:tc>
        <w:tc>
          <w:tcPr>
            <w:tcW w:w="727" w:type="dxa"/>
            <w:vAlign w:val="center"/>
          </w:tcPr>
          <w:p>
            <w:pPr>
              <w:pStyle w:val="TableTextExample"/>
              <w:jc w:val="center"/>
            </w:pPr>
            <w:r/>
            <w:r>
              <w:t>0.6</w:t>
            </w:r>
          </w:p>
        </w:tc>
        <w:tc>
          <w:tcPr>
            <w:tcW w:w="727" w:type="dxa"/>
            <w:vAlign w:val="center"/>
          </w:tcPr>
          <w:p>
            <w:pPr>
              <w:pStyle w:val="TableTextExample"/>
              <w:jc w:val="center"/>
            </w:pPr>
            <w:r/>
            <w:r>
              <w:t>0.4</w:t>
            </w:r>
          </w:p>
        </w:tc>
        <w:tc>
          <w:tcPr>
            <w:tcW w:w="727" w:type="dxa"/>
            <w:vAlign w:val="center"/>
          </w:tcPr>
          <w:p>
            <w:pPr>
              <w:pStyle w:val="TableTextExample"/>
              <w:jc w:val="center"/>
            </w:pPr>
            <w:r/>
            <w:r>
              <w:t>0.3</w:t>
            </w:r>
          </w:p>
        </w:tc>
        <w:tc>
          <w:tcPr>
            <w:tcW w:w="1317" w:type="dxa"/>
            <w:vAlign w:val="center"/>
          </w:tcPr>
          <w:p>
            <w:pPr>
              <w:pStyle w:val="TableTextExample"/>
              <w:jc w:val="right"/>
            </w:pPr>
            <w:r/>
            <w:r>
              <w:t>16.8</w:t>
            </w:r>
          </w:p>
        </w:tc>
      </w:tr>
      <w:tr>
        <w:trPr>
          <w:cantSplit w:val="true"/>
        </w:trPr>
        <w:tc>
          <w:tcPr>
            <w:tcW w:w="3232" w:type="dxa"/>
            <w:vAlign w:val="center"/>
          </w:tcPr>
          <w:p>
            <w:pPr>
              <w:pStyle w:val="TableTextExample"/>
              <w:jc w:val="left"/>
            </w:pPr>
            <w:r/>
            <w:r>
              <w:t>Programme Manager</w:t>
            </w:r>
          </w:p>
        </w:tc>
        <w:tc>
          <w:tcPr>
            <w:tcW w:w="727" w:type="dxa"/>
            <w:vAlign w:val="center"/>
          </w:tcPr>
          <w:p>
            <w:pPr>
              <w:pStyle w:val="TableTextExample"/>
              <w:jc w:val="center"/>
            </w:pPr>
            <w:r/>
            <w:r>
              <w:t>0.2</w:t>
            </w:r>
          </w:p>
        </w:tc>
        <w:tc>
          <w:tcPr>
            <w:tcW w:w="727" w:type="dxa"/>
            <w:vAlign w:val="center"/>
          </w:tcPr>
          <w:p>
            <w:pPr>
              <w:pStyle w:val="TableTextExample"/>
              <w:jc w:val="center"/>
            </w:pPr>
            <w:r/>
            <w:r>
              <w:t>0.3</w:t>
            </w:r>
          </w:p>
        </w:tc>
        <w:tc>
          <w:tcPr>
            <w:tcW w:w="727" w:type="dxa"/>
            <w:vAlign w:val="center"/>
          </w:tcPr>
          <w:p>
            <w:pPr>
              <w:pStyle w:val="TableTextExample"/>
              <w:jc w:val="center"/>
            </w:pPr>
            <w:r/>
            <w:r>
              <w:t>0.4</w:t>
            </w:r>
          </w:p>
        </w:tc>
        <w:tc>
          <w:tcPr>
            <w:tcW w:w="727" w:type="dxa"/>
            <w:vAlign w:val="center"/>
          </w:tcPr>
          <w:p>
            <w:pPr>
              <w:pStyle w:val="TableTextExample"/>
              <w:jc w:val="center"/>
            </w:pPr>
            <w:r/>
            <w:r>
              <w:t>0.5</w:t>
            </w:r>
          </w:p>
        </w:tc>
        <w:tc>
          <w:tcPr>
            <w:tcW w:w="727" w:type="dxa"/>
            <w:vAlign w:val="center"/>
          </w:tcPr>
          <w:p>
            <w:pPr>
              <w:pStyle w:val="TableTextExample"/>
              <w:jc w:val="center"/>
            </w:pPr>
            <w:r/>
            <w:r>
              <w:t>0.4</w:t>
            </w:r>
          </w:p>
        </w:tc>
        <w:tc>
          <w:tcPr>
            <w:tcW w:w="727" w:type="dxa"/>
            <w:vAlign w:val="center"/>
          </w:tcPr>
          <w:p>
            <w:pPr>
              <w:pStyle w:val="TableTextExample"/>
              <w:jc w:val="center"/>
            </w:pPr>
            <w:r/>
            <w:r>
              <w:t>0.3</w:t>
            </w:r>
          </w:p>
        </w:tc>
        <w:tc>
          <w:tcPr>
            <w:tcW w:w="727" w:type="dxa"/>
            <w:vAlign w:val="center"/>
          </w:tcPr>
          <w:p>
            <w:pPr>
              <w:pStyle w:val="TableTextExample"/>
              <w:jc w:val="center"/>
            </w:pPr>
            <w:r/>
            <w:r>
              <w:t>0.1</w:t>
            </w:r>
          </w:p>
        </w:tc>
        <w:tc>
          <w:tcPr>
            <w:tcW w:w="1317" w:type="dxa"/>
            <w:vAlign w:val="center"/>
          </w:tcPr>
          <w:p>
            <w:pPr>
              <w:pStyle w:val="TableTextExample"/>
              <w:jc w:val="right"/>
            </w:pPr>
            <w:r/>
            <w:r>
              <w:t>10.6</w:t>
            </w:r>
          </w:p>
        </w:tc>
      </w:tr>
      <w:tr>
        <w:trPr>
          <w:cantSplit w:val="true"/>
        </w:trPr>
        <w:tc>
          <w:tcPr>
            <w:tcW w:w="3232" w:type="dxa"/>
            <w:vAlign w:val="center"/>
          </w:tcPr>
          <w:p>
            <w:pPr>
              <w:pStyle w:val="TableTextExample"/>
              <w:jc w:val="left"/>
            </w:pPr>
            <w:r/>
            <w:r>
              <w:t>Site-based Project Engineer</w:t>
            </w:r>
          </w:p>
        </w:tc>
        <w:tc>
          <w:tcPr>
            <w:tcW w:w="727" w:type="dxa"/>
            <w:vAlign w:val="center"/>
          </w:tcPr>
          <w:p>
            <w:pPr>
              <w:pStyle w:val="TableTextExample"/>
              <w:jc w:val="center"/>
            </w:pPr>
            <w:r/>
            <w:r>
              <w:t>—</w:t>
            </w:r>
          </w:p>
        </w:tc>
        <w:tc>
          <w:tcPr>
            <w:tcW w:w="727" w:type="dxa"/>
            <w:vAlign w:val="center"/>
          </w:tcPr>
          <w:p>
            <w:pPr>
              <w:pStyle w:val="TableTextExample"/>
              <w:jc w:val="center"/>
            </w:pPr>
            <w:r/>
            <w:r>
              <w:t>—</w:t>
            </w:r>
          </w:p>
        </w:tc>
        <w:tc>
          <w:tcPr>
            <w:tcW w:w="727" w:type="dxa"/>
            <w:vAlign w:val="center"/>
          </w:tcPr>
          <w:p>
            <w:pPr>
              <w:pStyle w:val="TableTextExample"/>
              <w:jc w:val="center"/>
            </w:pPr>
            <w:r/>
            <w:r>
              <w:t>—</w:t>
            </w:r>
          </w:p>
        </w:tc>
        <w:tc>
          <w:tcPr>
            <w:tcW w:w="727" w:type="dxa"/>
            <w:vAlign w:val="center"/>
          </w:tcPr>
          <w:p>
            <w:pPr>
              <w:pStyle w:val="TableTextExample"/>
              <w:jc w:val="center"/>
            </w:pPr>
            <w:r/>
            <w:r>
              <w:t>—</w:t>
            </w:r>
          </w:p>
        </w:tc>
        <w:tc>
          <w:tcPr>
            <w:tcW w:w="727" w:type="dxa"/>
            <w:vAlign w:val="center"/>
          </w:tcPr>
          <w:p>
            <w:pPr>
              <w:pStyle w:val="TableTextExample"/>
              <w:jc w:val="center"/>
            </w:pPr>
            <w:r/>
            <w:r>
              <w:t>2.0</w:t>
            </w:r>
          </w:p>
        </w:tc>
        <w:tc>
          <w:tcPr>
            <w:tcW w:w="727" w:type="dxa"/>
            <w:vAlign w:val="center"/>
          </w:tcPr>
          <w:p>
            <w:pPr>
              <w:pStyle w:val="TableTextExample"/>
              <w:jc w:val="center"/>
            </w:pPr>
            <w:r/>
            <w:r>
              <w:t>1.5</w:t>
            </w:r>
          </w:p>
        </w:tc>
        <w:tc>
          <w:tcPr>
            <w:tcW w:w="727" w:type="dxa"/>
            <w:vAlign w:val="center"/>
          </w:tcPr>
          <w:p>
            <w:pPr>
              <w:pStyle w:val="TableTextExample"/>
              <w:jc w:val="center"/>
            </w:pPr>
            <w:r/>
            <w:r>
              <w:t>—</w:t>
            </w:r>
          </w:p>
        </w:tc>
        <w:tc>
          <w:tcPr>
            <w:tcW w:w="1317" w:type="dxa"/>
            <w:vAlign w:val="center"/>
          </w:tcPr>
          <w:p>
            <w:pPr>
              <w:pStyle w:val="TableTextExample"/>
              <w:jc w:val="right"/>
            </w:pPr>
            <w:r/>
            <w:r>
              <w:t>26.0</w:t>
            </w:r>
          </w:p>
        </w:tc>
      </w:tr>
      <w:tr>
        <w:trPr>
          <w:cantSplit w:val="true"/>
        </w:trPr>
        <w:tc>
          <w:tcPr>
            <w:tcW w:w="3232" w:type="dxa"/>
            <w:vAlign w:val="center"/>
          </w:tcPr>
          <w:p>
            <w:pPr>
              <w:pStyle w:val="TableTextExample"/>
              <w:jc w:val="left"/>
            </w:pPr>
            <w:r/>
            <w:r>
              <w:t>Project Support / controls analyst</w:t>
            </w:r>
          </w:p>
        </w:tc>
        <w:tc>
          <w:tcPr>
            <w:tcW w:w="727" w:type="dxa"/>
            <w:vAlign w:val="center"/>
          </w:tcPr>
          <w:p>
            <w:pPr>
              <w:pStyle w:val="TableTextExample"/>
              <w:jc w:val="center"/>
            </w:pPr>
            <w:r/>
            <w:r>
              <w:t>0.2</w:t>
            </w:r>
          </w:p>
        </w:tc>
        <w:tc>
          <w:tcPr>
            <w:tcW w:w="727" w:type="dxa"/>
            <w:vAlign w:val="center"/>
          </w:tcPr>
          <w:p>
            <w:pPr>
              <w:pStyle w:val="TableTextExample"/>
              <w:jc w:val="center"/>
            </w:pPr>
            <w:r/>
            <w:r>
              <w:t>0.2</w:t>
            </w:r>
          </w:p>
        </w:tc>
        <w:tc>
          <w:tcPr>
            <w:tcW w:w="727" w:type="dxa"/>
            <w:vAlign w:val="center"/>
          </w:tcPr>
          <w:p>
            <w:pPr>
              <w:pStyle w:val="TableTextExample"/>
              <w:jc w:val="center"/>
            </w:pPr>
            <w:r/>
            <w:r>
              <w:t>0.4</w:t>
            </w:r>
          </w:p>
        </w:tc>
        <w:tc>
          <w:tcPr>
            <w:tcW w:w="727" w:type="dxa"/>
            <w:vAlign w:val="center"/>
          </w:tcPr>
          <w:p>
            <w:pPr>
              <w:pStyle w:val="TableTextExample"/>
              <w:jc w:val="center"/>
            </w:pPr>
            <w:r/>
            <w:r>
              <w:t>0.5</w:t>
            </w:r>
          </w:p>
        </w:tc>
        <w:tc>
          <w:tcPr>
            <w:tcW w:w="727" w:type="dxa"/>
            <w:vAlign w:val="center"/>
          </w:tcPr>
          <w:p>
            <w:pPr>
              <w:pStyle w:val="TableTextExample"/>
              <w:jc w:val="center"/>
            </w:pPr>
            <w:r/>
            <w:r>
              <w:t>0.6</w:t>
            </w:r>
          </w:p>
        </w:tc>
        <w:tc>
          <w:tcPr>
            <w:tcW w:w="727" w:type="dxa"/>
            <w:vAlign w:val="center"/>
          </w:tcPr>
          <w:p>
            <w:pPr>
              <w:pStyle w:val="TableTextExample"/>
              <w:jc w:val="center"/>
            </w:pPr>
            <w:r/>
            <w:r>
              <w:t>0.5</w:t>
            </w:r>
          </w:p>
        </w:tc>
        <w:tc>
          <w:tcPr>
            <w:tcW w:w="727" w:type="dxa"/>
            <w:vAlign w:val="center"/>
          </w:tcPr>
          <w:p>
            <w:pPr>
              <w:pStyle w:val="TableTextExample"/>
              <w:jc w:val="center"/>
            </w:pPr>
            <w:r/>
            <w:r>
              <w:t>0.2</w:t>
            </w:r>
          </w:p>
        </w:tc>
        <w:tc>
          <w:tcPr>
            <w:tcW w:w="1317" w:type="dxa"/>
            <w:vAlign w:val="center"/>
          </w:tcPr>
          <w:p>
            <w:pPr>
              <w:pStyle w:val="TableTextExample"/>
              <w:jc w:val="right"/>
            </w:pPr>
            <w:r/>
            <w:r>
              <w:t>12.9</w:t>
            </w:r>
          </w:p>
        </w:tc>
      </w:tr>
      <w:tr>
        <w:trPr>
          <w:cantSplit w:val="true"/>
        </w:trPr>
        <w:tc>
          <w:tcPr>
            <w:tcW w:w="3232" w:type="dxa"/>
            <w:vAlign w:val="center"/>
          </w:tcPr>
          <w:p>
            <w:pPr>
              <w:pStyle w:val="TableTextExample"/>
              <w:jc w:val="left"/>
            </w:pPr>
            <w:r/>
            <w:r>
              <w:t>Total FTE</w:t>
            </w:r>
          </w:p>
        </w:tc>
        <w:tc>
          <w:tcPr>
            <w:tcW w:w="727" w:type="dxa"/>
            <w:vAlign w:val="center"/>
          </w:tcPr>
          <w:p>
            <w:pPr>
              <w:pStyle w:val="TableTextExample"/>
              <w:jc w:val="center"/>
            </w:pPr>
            <w:r/>
            <w:r>
              <w:t>1.4</w:t>
            </w:r>
          </w:p>
        </w:tc>
        <w:tc>
          <w:tcPr>
            <w:tcW w:w="727" w:type="dxa"/>
            <w:vAlign w:val="center"/>
          </w:tcPr>
          <w:p>
            <w:pPr>
              <w:pStyle w:val="TableTextExample"/>
              <w:jc w:val="center"/>
            </w:pPr>
            <w:r/>
            <w:r>
              <w:t>2.0</w:t>
            </w:r>
          </w:p>
        </w:tc>
        <w:tc>
          <w:tcPr>
            <w:tcW w:w="727" w:type="dxa"/>
            <w:vAlign w:val="center"/>
          </w:tcPr>
          <w:p>
            <w:pPr>
              <w:pStyle w:val="TableTextExample"/>
              <w:jc w:val="center"/>
            </w:pPr>
            <w:r/>
            <w:r>
              <w:t>3.1</w:t>
            </w:r>
          </w:p>
        </w:tc>
        <w:tc>
          <w:tcPr>
            <w:tcW w:w="727" w:type="dxa"/>
            <w:vAlign w:val="center"/>
          </w:tcPr>
          <w:p>
            <w:pPr>
              <w:pStyle w:val="TableTextExample"/>
              <w:jc w:val="center"/>
            </w:pPr>
            <w:r/>
            <w:r>
              <w:t>4.1</w:t>
            </w:r>
          </w:p>
        </w:tc>
        <w:tc>
          <w:tcPr>
            <w:tcW w:w="727" w:type="dxa"/>
            <w:vAlign w:val="center"/>
          </w:tcPr>
          <w:p>
            <w:pPr>
              <w:pStyle w:val="TableTextExample"/>
              <w:jc w:val="center"/>
            </w:pPr>
            <w:r/>
            <w:r>
              <w:t>5.8</w:t>
            </w:r>
          </w:p>
        </w:tc>
        <w:tc>
          <w:tcPr>
            <w:tcW w:w="727" w:type="dxa"/>
            <w:vAlign w:val="center"/>
          </w:tcPr>
          <w:p>
            <w:pPr>
              <w:pStyle w:val="TableTextExample"/>
              <w:jc w:val="center"/>
            </w:pPr>
            <w:r/>
            <w:r>
              <w:t>4.9</w:t>
            </w:r>
          </w:p>
        </w:tc>
        <w:tc>
          <w:tcPr>
            <w:tcW w:w="727" w:type="dxa"/>
            <w:vAlign w:val="center"/>
          </w:tcPr>
          <w:p>
            <w:pPr>
              <w:pStyle w:val="TableTextExample"/>
              <w:jc w:val="center"/>
            </w:pPr>
            <w:r/>
            <w:r>
              <w:t>1.2</w:t>
            </w:r>
          </w:p>
        </w:tc>
        <w:tc>
          <w:tcPr>
            <w:tcW w:w="1317" w:type="dxa"/>
            <w:vAlign w:val="center"/>
          </w:tcPr>
          <w:p>
            <w:pPr>
              <w:pStyle w:val="TableTextExample"/>
              <w:jc w:val="right"/>
            </w:pPr>
            <w:r/>
            <w:r>
              <w:t>124.2</w:t>
            </w:r>
          </w:p>
        </w:tc>
      </w:tr>
      <w:tr>
        <w:trPr>
          <w:cantSplit w:val="true"/>
        </w:trPr>
        <w:tc>
          <w:tcPr>
            <w:tcW w:w="3232" w:type="dxa"/>
            <w:vAlign w:val="center"/>
          </w:tcPr>
          <w:p>
            <w:pPr>
              <w:pStyle w:val="TableText"/>
              <w:jc w:val="left"/>
            </w:pPr>
            <w:r/>
            <w:r>
              <w:t>[Insert role]</w:t>
            </w:r>
          </w:p>
        </w:tc>
        <w:tc>
          <w:tcPr>
            <w:tcW w:w="727" w:type="dxa"/>
            <w:vAlign w:val="center"/>
          </w:tcPr>
          <w:p>
            <w:pPr>
              <w:pStyle w:val="TableTextCentre"/>
              <w:jc w:val="center"/>
            </w:pPr>
            <w:r/>
            <w:r>
              <w:t>[0.0]</w:t>
            </w:r>
          </w:p>
        </w:tc>
        <w:tc>
          <w:tcPr>
            <w:tcW w:w="727" w:type="dxa"/>
            <w:vAlign w:val="center"/>
          </w:tcPr>
          <w:p>
            <w:pPr>
              <w:pStyle w:val="TableTextCentre"/>
              <w:jc w:val="center"/>
            </w:pPr>
            <w:r/>
            <w:r>
              <w:t>[0.0]</w:t>
            </w:r>
          </w:p>
        </w:tc>
        <w:tc>
          <w:tcPr>
            <w:tcW w:w="727" w:type="dxa"/>
            <w:vAlign w:val="center"/>
          </w:tcPr>
          <w:p>
            <w:pPr>
              <w:pStyle w:val="TableTextCentre"/>
              <w:jc w:val="center"/>
            </w:pPr>
            <w:r/>
            <w:r>
              <w:t>[0.0]</w:t>
            </w:r>
          </w:p>
        </w:tc>
        <w:tc>
          <w:tcPr>
            <w:tcW w:w="727" w:type="dxa"/>
            <w:vAlign w:val="center"/>
          </w:tcPr>
          <w:p>
            <w:pPr>
              <w:pStyle w:val="TableTextCentre"/>
              <w:jc w:val="center"/>
            </w:pPr>
            <w:r/>
            <w:r>
              <w:t>[0.0]</w:t>
            </w:r>
          </w:p>
        </w:tc>
        <w:tc>
          <w:tcPr>
            <w:tcW w:w="727" w:type="dxa"/>
            <w:vAlign w:val="center"/>
          </w:tcPr>
          <w:p>
            <w:pPr>
              <w:pStyle w:val="TableTextCentre"/>
              <w:jc w:val="center"/>
            </w:pPr>
            <w:r/>
            <w:r>
              <w:t>[0.0]</w:t>
            </w:r>
          </w:p>
        </w:tc>
        <w:tc>
          <w:tcPr>
            <w:tcW w:w="727" w:type="dxa"/>
            <w:vAlign w:val="center"/>
          </w:tcPr>
          <w:p>
            <w:pPr>
              <w:pStyle w:val="TableTextCentre"/>
              <w:jc w:val="center"/>
            </w:pPr>
            <w:r/>
            <w:r>
              <w:t>[0.0]</w:t>
            </w:r>
          </w:p>
        </w:tc>
        <w:tc>
          <w:tcPr>
            <w:tcW w:w="727" w:type="dxa"/>
            <w:vAlign w:val="center"/>
          </w:tcPr>
          <w:p>
            <w:pPr>
              <w:pStyle w:val="TableTextCentre"/>
              <w:jc w:val="center"/>
            </w:pPr>
            <w:r/>
            <w:r>
              <w:t>[0.0]</w:t>
            </w:r>
          </w:p>
        </w:tc>
        <w:tc>
          <w:tcPr>
            <w:tcW w:w="1317" w:type="dxa"/>
            <w:vAlign w:val="center"/>
          </w:tcPr>
          <w:p>
            <w:pPr>
              <w:pStyle w:val="TableTextRight"/>
              <w:jc w:val="right"/>
            </w:pPr>
            <w:r/>
            <w:r>
              <w:t>[0.0]</w:t>
            </w:r>
          </w:p>
        </w:tc>
      </w:tr>
    </w:tbl>
    <w:p>
      <w:pPr>
        <w:pStyle w:val="Note"/>
      </w:pPr>
      <w:r>
        <w:t>S1–S7 are the stages in Section 3.1. Example content shown in grey italic — delete before use. The 'Total FTE' row must be the sum of the rows above it, and the total FTE-months column must reconcile to the units priced in Section 7.1.</w:t>
      </w:r>
    </w:p>
    <w:p>
      <w:pPr>
        <w:pStyle w:val="Heading2"/>
      </w:pPr>
      <w:bookmarkStart w:id="9032" w:name="_Toc90032"/>
      <w:r>
        <w:t>6.4 Key personnel and substitution</w:t>
      </w:r>
      <w:bookmarkEnd w:id="9032"/>
    </w:p>
    <w:p>
      <w:pPr>
        <w:pStyle w:val="Body"/>
      </w:pPr>
      <w:r>
        <w:t>The individuals named in Section 6.2 are key personnel. We propose the following provisions, which we are content to see written into the appointment:</w:t>
      </w:r>
    </w:p>
    <w:p>
      <w:pPr>
        <w:pStyle w:val="BodyBullet"/>
      </w:pPr>
      <w:r>
        <w:rPr>
          <w:color w:val="3480BC"/>
        </w:rPr>
        <w:t xml:space="preserve">—   </w:t>
      </w:r>
      <w:r>
        <w:t>No key person is removed, replaced or reduced in committed time without the Client's prior written consent, other than for illness, resignation or a circumstance outside our control.</w:t>
      </w:r>
    </w:p>
    <w:p>
      <w:pPr>
        <w:pStyle w:val="BodyBullet"/>
      </w:pPr>
      <w:r>
        <w:rPr>
          <w:color w:val="3480BC"/>
        </w:rPr>
        <w:t xml:space="preserve">—   </w:t>
      </w:r>
      <w:r>
        <w:t>Any proposed substitute is offered with a curriculum vitae and is of equivalent or greater experience in the same asset class; the Client may reject a substitute and require a further nomination.</w:t>
      </w:r>
    </w:p>
    <w:p>
      <w:pPr>
        <w:pStyle w:val="BodyBullet"/>
      </w:pPr>
      <w:r>
        <w:rPr>
          <w:color w:val="3480BC"/>
        </w:rPr>
        <w:t xml:space="preserve">—   </w:t>
      </w:r>
      <w:r>
        <w:t>A substitute for the Project Director or Project Manager works alongside the departing person for a handover period of not less than [00] working days, at our cost.</w:t>
      </w:r>
    </w:p>
    <w:p>
      <w:pPr>
        <w:pStyle w:val="BodyBullet"/>
      </w:pPr>
      <w:r>
        <w:rPr>
          <w:color w:val="3480BC"/>
        </w:rPr>
        <w:t xml:space="preserve">—   </w:t>
      </w:r>
      <w:r>
        <w:t>Where a key person leaves our firm, we notify the Client within [00] working days and propose a replacement within [00] working days.</w:t>
      </w:r>
    </w:p>
    <w:p>
      <w:pPr>
        <w:pStyle w:val="BodyBullet"/>
      </w:pPr>
      <w:r>
        <w:rPr>
          <w:color w:val="3480BC"/>
        </w:rPr>
        <w:t xml:space="preserve">—   </w:t>
      </w:r>
      <w:r>
        <w:t>Rates for a substitute do not exceed the rate for the person replaced, regardless of the substitute's own charge-out rate.</w:t>
      </w:r>
    </w:p>
    <w:p>
      <w:pPr>
        <w:pStyle w:val="Heading2"/>
      </w:pPr>
      <w:bookmarkStart w:id="9033" w:name="_Toc90033"/>
      <w:r>
        <w:t>6.5 Local presence and coverage</w:t>
      </w:r>
      <w:bookmarkEnd w:id="9033"/>
    </w:p>
    <w:p>
      <w:pPr>
        <w:pStyle w:val="Body"/>
      </w:pPr>
      <w:r>
        <w:t>Proximity is a delivery control, not a courtesy. State where the team physically sits, how quickly a person can be on site when something goes wrong, and what depth of resource sits behind the named team if the project needs to surge.</w:t>
      </w:r>
    </w:p>
    <w:p>
      <w:pPr>
        <w:pStyle w:val="Placeholder"/>
      </w:pPr>
      <w:r>
        <w:t>[Insert statement — the office from which this project is served and its distance and travel time from site; how many staff of the relevant discipline are employed in that office; who covers the Project Manager during leave or illness, named; the response time committed for attendance on site in an incident or urgent matter; the surge capacity available from other offices, with the number of staff and how quickly they can be mobilised; and any local employment, local content or supplier participation commitment the Client's procurement requires.]</w:t>
      </w:r>
    </w:p>
    <w:p>
      <w:pPr>
        <w:sectPr>
          <w:headerReference w:type="default" r:id="rId11"/>
          <w:footerReference w:type="default" r:id="rId12"/>
          <w:pgSz w:w="11906" w:h="16838"/>
          <w:pgMar w:top="1049" w:right="1134" w:bottom="850" w:left="1134" w:header="482" w:footer="454" w:gutter="0"/>
          <w:cols w:space="720"/>
        </w:sectPr>
      </w:pPr>
    </w:p>
    <w:p>
      <w:pPr>
        <w:pStyle w:val="Heading1"/>
      </w:pPr>
      <w:bookmarkStart w:id="9034" w:name="_Toc90034"/>
      <w:r>
        <w:t>7. Fee Proposal and Commercial Terms</w:t>
      </w:r>
      <w:bookmarkEnd w:id="9034"/>
    </w:p>
    <w:p>
      <w:pPr>
        <w:pStyle w:val="BodyLead"/>
      </w:pPr>
      <w:r>
        <w:t>This section is set landscape so the fee build-up reads across a single page. Price transparently: a build-up that shows role, rate, quantum and stage allocation can be interrogated and negotiated, which is what an evaluator needs in order to recommend it. A single lump sum with no build-up invites either rejection or a demand for the build-up at the worst moment.</w:t>
      </w:r>
    </w:p>
    <w:p>
      <w:pPr>
        <w:pStyle w:val="Heading2"/>
      </w:pPr>
      <w:bookmarkStart w:id="9035" w:name="_Toc90035"/>
      <w:r>
        <w:t>7.1 Fee build-up</w:t>
      </w:r>
      <w:bookmarkEnd w:id="9035"/>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14570" w:type="dxa"/>
        <w:tblInd w:w="0" w:type="dxa"/>
        <w:tblCellMar>
          <w:top w:w="45" w:type="dxa"/>
          <w:left w:w="100" w:type="dxa"/>
          <w:bottom w:w="45" w:type="dxa"/>
          <w:right w:w="100" w:type="dxa"/>
        </w:tblCellMar>
      </w:tblPr>
      <w:tblGrid>
        <w:gridCol w:w="4526"/>
        <w:gridCol w:w="1697"/>
        <w:gridCol w:w="1414"/>
        <w:gridCol w:w="1414"/>
        <w:gridCol w:w="3677"/>
        <w:gridCol w:w="1842"/>
      </w:tblGrid>
      <w:tr>
        <w:trPr>
          <w:tblHeader w:val="true"/>
          <w:cantSplit w:val="true"/>
        </w:trPr>
        <w:tc>
          <w:tcPr>
            <w:tcW w:w="4526" w:type="dxa"/>
            <w:shd w:val="clear" w:color="auto" w:fill="1D3245"/>
            <w:vAlign w:val="center"/>
          </w:tcPr>
          <w:p>
            <w:pPr>
              <w:pStyle w:val="TableHeader"/>
              <w:jc w:val="left"/>
            </w:pPr>
            <w:r/>
            <w:r>
              <w:t>Role</w:t>
            </w:r>
          </w:p>
        </w:tc>
        <w:tc>
          <w:tcPr>
            <w:tcW w:w="1697" w:type="dxa"/>
            <w:shd w:val="clear" w:color="auto" w:fill="1D3245"/>
            <w:vAlign w:val="center"/>
          </w:tcPr>
          <w:p>
            <w:pPr>
              <w:pStyle w:val="TableHeader"/>
              <w:jc w:val="center"/>
            </w:pPr>
            <w:r/>
            <w:r>
              <w:t>Rate basis</w:t>
            </w:r>
          </w:p>
        </w:tc>
        <w:tc>
          <w:tcPr>
            <w:tcW w:w="1414" w:type="dxa"/>
            <w:shd w:val="clear" w:color="auto" w:fill="1D3245"/>
            <w:vAlign w:val="center"/>
          </w:tcPr>
          <w:p>
            <w:pPr>
              <w:pStyle w:val="TableHeader"/>
              <w:jc w:val="right"/>
            </w:pPr>
            <w:r/>
            <w:r>
              <w:t>Rate [CUR]</w:t>
            </w:r>
          </w:p>
        </w:tc>
        <w:tc>
          <w:tcPr>
            <w:tcW w:w="1414" w:type="dxa"/>
            <w:shd w:val="clear" w:color="auto" w:fill="1D3245"/>
            <w:vAlign w:val="center"/>
          </w:tcPr>
          <w:p>
            <w:pPr>
              <w:pStyle w:val="TableHeader"/>
              <w:jc w:val="right"/>
            </w:pPr>
            <w:r/>
            <w:r>
              <w:t>Units</w:t>
            </w:r>
          </w:p>
        </w:tc>
        <w:tc>
          <w:tcPr>
            <w:tcW w:w="3677" w:type="dxa"/>
            <w:shd w:val="clear" w:color="auto" w:fill="1D3245"/>
            <w:vAlign w:val="center"/>
          </w:tcPr>
          <w:p>
            <w:pPr>
              <w:pStyle w:val="TableHeader"/>
              <w:jc w:val="left"/>
            </w:pPr>
            <w:r/>
            <w:r>
              <w:t>Stage allocation</w:t>
            </w:r>
          </w:p>
        </w:tc>
        <w:tc>
          <w:tcPr>
            <w:tcW w:w="1842" w:type="dxa"/>
            <w:shd w:val="clear" w:color="auto" w:fill="1D3245"/>
            <w:vAlign w:val="center"/>
          </w:tcPr>
          <w:p>
            <w:pPr>
              <w:pStyle w:val="TableHeader"/>
              <w:jc w:val="right"/>
            </w:pPr>
            <w:r/>
            <w:r>
              <w:t>Fee [CUR]</w:t>
            </w:r>
          </w:p>
        </w:tc>
      </w:tr>
      <w:tr>
        <w:trPr>
          <w:cantSplit w:val="true"/>
        </w:trPr>
        <w:tc>
          <w:tcPr>
            <w:tcW w:w="4526" w:type="dxa"/>
            <w:vAlign w:val="center"/>
          </w:tcPr>
          <w:p>
            <w:pPr>
              <w:pStyle w:val="TableTextExample"/>
              <w:jc w:val="left"/>
            </w:pPr>
            <w:r/>
            <w:r>
              <w:t>Project Director</w:t>
            </w:r>
          </w:p>
        </w:tc>
        <w:tc>
          <w:tcPr>
            <w:tcW w:w="1697" w:type="dxa"/>
            <w:vAlign w:val="center"/>
          </w:tcPr>
          <w:p>
            <w:pPr>
              <w:pStyle w:val="TableTextExample"/>
              <w:jc w:val="center"/>
            </w:pPr>
            <w:r/>
            <w:r>
              <w:t>Hourly</w:t>
            </w:r>
          </w:p>
        </w:tc>
        <w:tc>
          <w:tcPr>
            <w:tcW w:w="1414" w:type="dxa"/>
            <w:vAlign w:val="center"/>
          </w:tcPr>
          <w:p>
            <w:pPr>
              <w:pStyle w:val="TableTextExample"/>
              <w:jc w:val="right"/>
            </w:pPr>
            <w:r/>
            <w:r>
              <w:t>310</w:t>
            </w:r>
          </w:p>
        </w:tc>
        <w:tc>
          <w:tcPr>
            <w:tcW w:w="1414" w:type="dxa"/>
            <w:vAlign w:val="center"/>
          </w:tcPr>
          <w:p>
            <w:pPr>
              <w:pStyle w:val="TableTextExample"/>
              <w:jc w:val="right"/>
            </w:pPr>
            <w:r/>
            <w:r>
              <w:t>620 h</w:t>
            </w:r>
          </w:p>
        </w:tc>
        <w:tc>
          <w:tcPr>
            <w:tcW w:w="3677" w:type="dxa"/>
            <w:vAlign w:val="center"/>
          </w:tcPr>
          <w:p>
            <w:pPr>
              <w:pStyle w:val="TableTextExample"/>
              <w:jc w:val="left"/>
            </w:pPr>
            <w:r/>
            <w:r>
              <w:t>S1–S7, weighted to gateways</w:t>
            </w:r>
          </w:p>
        </w:tc>
        <w:tc>
          <w:tcPr>
            <w:tcW w:w="1842" w:type="dxa"/>
            <w:vAlign w:val="center"/>
          </w:tcPr>
          <w:p>
            <w:pPr>
              <w:pStyle w:val="TableTextExample"/>
              <w:jc w:val="right"/>
            </w:pPr>
            <w:r/>
            <w:r>
              <w:t>192,200</w:t>
            </w:r>
          </w:p>
        </w:tc>
      </w:tr>
      <w:tr>
        <w:trPr>
          <w:cantSplit w:val="true"/>
        </w:trPr>
        <w:tc>
          <w:tcPr>
            <w:tcW w:w="4526" w:type="dxa"/>
            <w:vAlign w:val="center"/>
          </w:tcPr>
          <w:p>
            <w:pPr>
              <w:pStyle w:val="TableTextExample"/>
              <w:jc w:val="left"/>
            </w:pPr>
            <w:r/>
            <w:r>
              <w:t>Project Manager</w:t>
            </w:r>
          </w:p>
        </w:tc>
        <w:tc>
          <w:tcPr>
            <w:tcW w:w="1697" w:type="dxa"/>
            <w:vAlign w:val="center"/>
          </w:tcPr>
          <w:p>
            <w:pPr>
              <w:pStyle w:val="TableTextExample"/>
              <w:jc w:val="center"/>
            </w:pPr>
            <w:r/>
            <w:r>
              <w:t>Monthly</w:t>
            </w:r>
          </w:p>
        </w:tc>
        <w:tc>
          <w:tcPr>
            <w:tcW w:w="1414" w:type="dxa"/>
            <w:vAlign w:val="center"/>
          </w:tcPr>
          <w:p>
            <w:pPr>
              <w:pStyle w:val="TableTextExample"/>
              <w:jc w:val="right"/>
            </w:pPr>
            <w:r/>
            <w:r>
              <w:t>31,400</w:t>
            </w:r>
          </w:p>
        </w:tc>
        <w:tc>
          <w:tcPr>
            <w:tcW w:w="1414" w:type="dxa"/>
            <w:vAlign w:val="center"/>
          </w:tcPr>
          <w:p>
            <w:pPr>
              <w:pStyle w:val="TableTextExample"/>
              <w:jc w:val="right"/>
            </w:pPr>
            <w:r/>
            <w:r>
              <w:t>29.1 mo</w:t>
            </w:r>
          </w:p>
        </w:tc>
        <w:tc>
          <w:tcPr>
            <w:tcW w:w="3677" w:type="dxa"/>
            <w:vAlign w:val="center"/>
          </w:tcPr>
          <w:p>
            <w:pPr>
              <w:pStyle w:val="TableTextExample"/>
              <w:jc w:val="left"/>
            </w:pPr>
            <w:r/>
            <w:r>
              <w:t>S1–S7, full time S3–S6</w:t>
            </w:r>
          </w:p>
        </w:tc>
        <w:tc>
          <w:tcPr>
            <w:tcW w:w="1842" w:type="dxa"/>
            <w:vAlign w:val="center"/>
          </w:tcPr>
          <w:p>
            <w:pPr>
              <w:pStyle w:val="TableTextExample"/>
              <w:jc w:val="right"/>
            </w:pPr>
            <w:r/>
            <w:r>
              <w:t>913,740</w:t>
            </w:r>
          </w:p>
        </w:tc>
      </w:tr>
      <w:tr>
        <w:trPr>
          <w:cantSplit w:val="true"/>
        </w:trPr>
        <w:tc>
          <w:tcPr>
            <w:tcW w:w="4526" w:type="dxa"/>
            <w:vAlign w:val="center"/>
          </w:tcPr>
          <w:p>
            <w:pPr>
              <w:pStyle w:val="TableTextExample"/>
              <w:jc w:val="left"/>
            </w:pPr>
            <w:r/>
            <w:r>
              <w:t>Assistant Project Manager</w:t>
            </w:r>
          </w:p>
        </w:tc>
        <w:tc>
          <w:tcPr>
            <w:tcW w:w="1697" w:type="dxa"/>
            <w:vAlign w:val="center"/>
          </w:tcPr>
          <w:p>
            <w:pPr>
              <w:pStyle w:val="TableTextExample"/>
              <w:jc w:val="center"/>
            </w:pPr>
            <w:r/>
            <w:r>
              <w:t>Monthly</w:t>
            </w:r>
          </w:p>
        </w:tc>
        <w:tc>
          <w:tcPr>
            <w:tcW w:w="1414" w:type="dxa"/>
            <w:vAlign w:val="center"/>
          </w:tcPr>
          <w:p>
            <w:pPr>
              <w:pStyle w:val="TableTextExample"/>
              <w:jc w:val="right"/>
            </w:pPr>
            <w:r/>
            <w:r>
              <w:t>18,900</w:t>
            </w:r>
          </w:p>
        </w:tc>
        <w:tc>
          <w:tcPr>
            <w:tcW w:w="1414" w:type="dxa"/>
            <w:vAlign w:val="center"/>
          </w:tcPr>
          <w:p>
            <w:pPr>
              <w:pStyle w:val="TableTextExample"/>
              <w:jc w:val="right"/>
            </w:pPr>
            <w:r/>
            <w:r>
              <w:t>22.4 mo</w:t>
            </w:r>
          </w:p>
        </w:tc>
        <w:tc>
          <w:tcPr>
            <w:tcW w:w="3677" w:type="dxa"/>
            <w:vAlign w:val="center"/>
          </w:tcPr>
          <w:p>
            <w:pPr>
              <w:pStyle w:val="TableTextExample"/>
              <w:jc w:val="left"/>
            </w:pPr>
            <w:r/>
            <w:r>
              <w:t>S3–S6</w:t>
            </w:r>
          </w:p>
        </w:tc>
        <w:tc>
          <w:tcPr>
            <w:tcW w:w="1842" w:type="dxa"/>
            <w:vAlign w:val="center"/>
          </w:tcPr>
          <w:p>
            <w:pPr>
              <w:pStyle w:val="TableTextExample"/>
              <w:jc w:val="right"/>
            </w:pPr>
            <w:r/>
            <w:r>
              <w:t>423,360</w:t>
            </w:r>
          </w:p>
        </w:tc>
      </w:tr>
      <w:tr>
        <w:trPr>
          <w:cantSplit w:val="true"/>
        </w:trPr>
        <w:tc>
          <w:tcPr>
            <w:tcW w:w="4526" w:type="dxa"/>
            <w:vAlign w:val="center"/>
          </w:tcPr>
          <w:p>
            <w:pPr>
              <w:pStyle w:val="TableTextExample"/>
              <w:jc w:val="left"/>
            </w:pPr>
            <w:r/>
            <w:r>
              <w:t>Cost Manager</w:t>
            </w:r>
          </w:p>
        </w:tc>
        <w:tc>
          <w:tcPr>
            <w:tcW w:w="1697" w:type="dxa"/>
            <w:vAlign w:val="center"/>
          </w:tcPr>
          <w:p>
            <w:pPr>
              <w:pStyle w:val="TableTextExample"/>
              <w:jc w:val="center"/>
            </w:pPr>
            <w:r/>
            <w:r>
              <w:t>Hourly</w:t>
            </w:r>
          </w:p>
        </w:tc>
        <w:tc>
          <w:tcPr>
            <w:tcW w:w="1414" w:type="dxa"/>
            <w:vAlign w:val="center"/>
          </w:tcPr>
          <w:p>
            <w:pPr>
              <w:pStyle w:val="TableTextExample"/>
              <w:jc w:val="right"/>
            </w:pPr>
            <w:r/>
            <w:r>
              <w:t>215</w:t>
            </w:r>
          </w:p>
        </w:tc>
        <w:tc>
          <w:tcPr>
            <w:tcW w:w="1414" w:type="dxa"/>
            <w:vAlign w:val="center"/>
          </w:tcPr>
          <w:p>
            <w:pPr>
              <w:pStyle w:val="TableTextExample"/>
              <w:jc w:val="right"/>
            </w:pPr>
            <w:r/>
            <w:r>
              <w:t>1,180 h</w:t>
            </w:r>
          </w:p>
        </w:tc>
        <w:tc>
          <w:tcPr>
            <w:tcW w:w="3677" w:type="dxa"/>
            <w:vAlign w:val="center"/>
          </w:tcPr>
          <w:p>
            <w:pPr>
              <w:pStyle w:val="TableTextExample"/>
              <w:jc w:val="left"/>
            </w:pPr>
            <w:r/>
            <w:r>
              <w:t>S1–S7, peak at S4</w:t>
            </w:r>
          </w:p>
        </w:tc>
        <w:tc>
          <w:tcPr>
            <w:tcW w:w="1842" w:type="dxa"/>
            <w:vAlign w:val="center"/>
          </w:tcPr>
          <w:p>
            <w:pPr>
              <w:pStyle w:val="TableTextExample"/>
              <w:jc w:val="right"/>
            </w:pPr>
            <w:r/>
            <w:r>
              <w:t>253,700</w:t>
            </w:r>
          </w:p>
        </w:tc>
      </w:tr>
      <w:tr>
        <w:trPr>
          <w:cantSplit w:val="true"/>
        </w:trPr>
        <w:tc>
          <w:tcPr>
            <w:tcW w:w="4526" w:type="dxa"/>
            <w:vAlign w:val="center"/>
          </w:tcPr>
          <w:p>
            <w:pPr>
              <w:pStyle w:val="TableTextExample"/>
              <w:jc w:val="left"/>
            </w:pPr>
            <w:r/>
            <w:r>
              <w:t>Programme Manager</w:t>
            </w:r>
          </w:p>
        </w:tc>
        <w:tc>
          <w:tcPr>
            <w:tcW w:w="1697" w:type="dxa"/>
            <w:vAlign w:val="center"/>
          </w:tcPr>
          <w:p>
            <w:pPr>
              <w:pStyle w:val="TableTextExample"/>
              <w:jc w:val="center"/>
            </w:pPr>
            <w:r/>
            <w:r>
              <w:t>Hourly</w:t>
            </w:r>
          </w:p>
        </w:tc>
        <w:tc>
          <w:tcPr>
            <w:tcW w:w="1414" w:type="dxa"/>
            <w:vAlign w:val="center"/>
          </w:tcPr>
          <w:p>
            <w:pPr>
              <w:pStyle w:val="TableTextExample"/>
              <w:jc w:val="right"/>
            </w:pPr>
            <w:r/>
            <w:r>
              <w:t>225</w:t>
            </w:r>
          </w:p>
        </w:tc>
        <w:tc>
          <w:tcPr>
            <w:tcW w:w="1414" w:type="dxa"/>
            <w:vAlign w:val="center"/>
          </w:tcPr>
          <w:p>
            <w:pPr>
              <w:pStyle w:val="TableTextExample"/>
              <w:jc w:val="right"/>
            </w:pPr>
            <w:r/>
            <w:r>
              <w:t>740 h</w:t>
            </w:r>
          </w:p>
        </w:tc>
        <w:tc>
          <w:tcPr>
            <w:tcW w:w="3677" w:type="dxa"/>
            <w:vAlign w:val="center"/>
          </w:tcPr>
          <w:p>
            <w:pPr>
              <w:pStyle w:val="TableTextExample"/>
              <w:jc w:val="left"/>
            </w:pPr>
            <w:r/>
            <w:r>
              <w:t>S1–S7, peak at S4</w:t>
            </w:r>
          </w:p>
        </w:tc>
        <w:tc>
          <w:tcPr>
            <w:tcW w:w="1842" w:type="dxa"/>
            <w:vAlign w:val="center"/>
          </w:tcPr>
          <w:p>
            <w:pPr>
              <w:pStyle w:val="TableTextExample"/>
              <w:jc w:val="right"/>
            </w:pPr>
            <w:r/>
            <w:r>
              <w:t>166,500</w:t>
            </w:r>
          </w:p>
        </w:tc>
      </w:tr>
      <w:tr>
        <w:trPr>
          <w:cantSplit w:val="true"/>
        </w:trPr>
        <w:tc>
          <w:tcPr>
            <w:tcW w:w="4526" w:type="dxa"/>
            <w:vAlign w:val="center"/>
          </w:tcPr>
          <w:p>
            <w:pPr>
              <w:pStyle w:val="TableTextExample"/>
              <w:jc w:val="left"/>
            </w:pPr>
            <w:r/>
            <w:r>
              <w:t>Site-based Project Engineer</w:t>
            </w:r>
          </w:p>
        </w:tc>
        <w:tc>
          <w:tcPr>
            <w:tcW w:w="1697" w:type="dxa"/>
            <w:vAlign w:val="center"/>
          </w:tcPr>
          <w:p>
            <w:pPr>
              <w:pStyle w:val="TableTextExample"/>
              <w:jc w:val="center"/>
            </w:pPr>
            <w:r/>
            <w:r>
              <w:t>Monthly</w:t>
            </w:r>
          </w:p>
        </w:tc>
        <w:tc>
          <w:tcPr>
            <w:tcW w:w="1414" w:type="dxa"/>
            <w:vAlign w:val="center"/>
          </w:tcPr>
          <w:p>
            <w:pPr>
              <w:pStyle w:val="TableTextExample"/>
              <w:jc w:val="right"/>
            </w:pPr>
            <w:r/>
            <w:r>
              <w:t>16,200</w:t>
            </w:r>
          </w:p>
        </w:tc>
        <w:tc>
          <w:tcPr>
            <w:tcW w:w="1414" w:type="dxa"/>
            <w:vAlign w:val="center"/>
          </w:tcPr>
          <w:p>
            <w:pPr>
              <w:pStyle w:val="TableTextExample"/>
              <w:jc w:val="right"/>
            </w:pPr>
            <w:r/>
            <w:r>
              <w:t>26.0 mo</w:t>
            </w:r>
          </w:p>
        </w:tc>
        <w:tc>
          <w:tcPr>
            <w:tcW w:w="3677" w:type="dxa"/>
            <w:vAlign w:val="center"/>
          </w:tcPr>
          <w:p>
            <w:pPr>
              <w:pStyle w:val="TableTextExample"/>
              <w:jc w:val="left"/>
            </w:pPr>
            <w:r/>
            <w:r>
              <w:t>S5–S6</w:t>
            </w:r>
          </w:p>
        </w:tc>
        <w:tc>
          <w:tcPr>
            <w:tcW w:w="1842" w:type="dxa"/>
            <w:vAlign w:val="center"/>
          </w:tcPr>
          <w:p>
            <w:pPr>
              <w:pStyle w:val="TableTextExample"/>
              <w:jc w:val="right"/>
            </w:pPr>
            <w:r/>
            <w:r>
              <w:t>421,200</w:t>
            </w:r>
          </w:p>
        </w:tc>
      </w:tr>
      <w:tr>
        <w:trPr>
          <w:cantSplit w:val="true"/>
        </w:trPr>
        <w:tc>
          <w:tcPr>
            <w:tcW w:w="4526" w:type="dxa"/>
            <w:vAlign w:val="center"/>
          </w:tcPr>
          <w:p>
            <w:pPr>
              <w:pStyle w:val="TableTextExample"/>
              <w:jc w:val="left"/>
            </w:pPr>
            <w:r/>
            <w:r>
              <w:t>Project Support / controls analyst</w:t>
            </w:r>
          </w:p>
        </w:tc>
        <w:tc>
          <w:tcPr>
            <w:tcW w:w="1697" w:type="dxa"/>
            <w:vAlign w:val="center"/>
          </w:tcPr>
          <w:p>
            <w:pPr>
              <w:pStyle w:val="TableTextExample"/>
              <w:jc w:val="center"/>
            </w:pPr>
            <w:r/>
            <w:r>
              <w:t>Hourly</w:t>
            </w:r>
          </w:p>
        </w:tc>
        <w:tc>
          <w:tcPr>
            <w:tcW w:w="1414" w:type="dxa"/>
            <w:vAlign w:val="center"/>
          </w:tcPr>
          <w:p>
            <w:pPr>
              <w:pStyle w:val="TableTextExample"/>
              <w:jc w:val="right"/>
            </w:pPr>
            <w:r/>
            <w:r>
              <w:t>120</w:t>
            </w:r>
          </w:p>
        </w:tc>
        <w:tc>
          <w:tcPr>
            <w:tcW w:w="1414" w:type="dxa"/>
            <w:vAlign w:val="center"/>
          </w:tcPr>
          <w:p>
            <w:pPr>
              <w:pStyle w:val="TableTextExample"/>
              <w:jc w:val="right"/>
            </w:pPr>
            <w:r/>
            <w:r>
              <w:t>1,420 h</w:t>
            </w:r>
          </w:p>
        </w:tc>
        <w:tc>
          <w:tcPr>
            <w:tcW w:w="3677" w:type="dxa"/>
            <w:vAlign w:val="center"/>
          </w:tcPr>
          <w:p>
            <w:pPr>
              <w:pStyle w:val="TableTextExample"/>
              <w:jc w:val="left"/>
            </w:pPr>
            <w:r/>
            <w:r>
              <w:t>S1–S7</w:t>
            </w:r>
          </w:p>
        </w:tc>
        <w:tc>
          <w:tcPr>
            <w:tcW w:w="1842" w:type="dxa"/>
            <w:vAlign w:val="center"/>
          </w:tcPr>
          <w:p>
            <w:pPr>
              <w:pStyle w:val="TableTextExample"/>
              <w:jc w:val="right"/>
            </w:pPr>
            <w:r/>
            <w:r>
              <w:t>170,400</w:t>
            </w:r>
          </w:p>
        </w:tc>
      </w:tr>
      <w:tr>
        <w:trPr>
          <w:cantSplit w:val="true"/>
        </w:trPr>
        <w:tc>
          <w:tcPr>
            <w:tcW w:w="4526" w:type="dxa"/>
            <w:vAlign w:val="center"/>
          </w:tcPr>
          <w:p>
            <w:pPr>
              <w:pStyle w:val="TableTextExample"/>
              <w:jc w:val="left"/>
            </w:pPr>
            <w:r/>
            <w:r>
              <w:t>Sub-total — professional services</w:t>
            </w:r>
          </w:p>
        </w:tc>
        <w:tc>
          <w:tcPr>
            <w:tcW w:w="1697" w:type="dxa"/>
            <w:vAlign w:val="center"/>
          </w:tcPr>
          <w:p>
            <w:pPr>
              <w:pStyle w:val="TableTextExample"/>
              <w:jc w:val="center"/>
            </w:pPr>
            <w:r/>
          </w:p>
        </w:tc>
        <w:tc>
          <w:tcPr>
            <w:tcW w:w="1414" w:type="dxa"/>
            <w:vAlign w:val="center"/>
          </w:tcPr>
          <w:p>
            <w:pPr>
              <w:pStyle w:val="TableTextExample"/>
              <w:jc w:val="right"/>
            </w:pPr>
            <w:r/>
          </w:p>
        </w:tc>
        <w:tc>
          <w:tcPr>
            <w:tcW w:w="1414" w:type="dxa"/>
            <w:vAlign w:val="center"/>
          </w:tcPr>
          <w:p>
            <w:pPr>
              <w:pStyle w:val="TableTextExample"/>
              <w:jc w:val="right"/>
            </w:pPr>
            <w:r/>
          </w:p>
        </w:tc>
        <w:tc>
          <w:tcPr>
            <w:tcW w:w="3677" w:type="dxa"/>
            <w:vAlign w:val="center"/>
          </w:tcPr>
          <w:p>
            <w:pPr>
              <w:pStyle w:val="TableTextExample"/>
              <w:jc w:val="left"/>
            </w:pPr>
            <w:r/>
          </w:p>
        </w:tc>
        <w:tc>
          <w:tcPr>
            <w:tcW w:w="1842" w:type="dxa"/>
            <w:vAlign w:val="center"/>
          </w:tcPr>
          <w:p>
            <w:pPr>
              <w:pStyle w:val="TableTextExample"/>
              <w:jc w:val="right"/>
            </w:pPr>
            <w:r/>
            <w:r>
              <w:t>2,541,100</w:t>
            </w:r>
          </w:p>
        </w:tc>
      </w:tr>
      <w:tr>
        <w:trPr>
          <w:cantSplit w:val="true"/>
        </w:trPr>
        <w:tc>
          <w:tcPr>
            <w:tcW w:w="4526" w:type="dxa"/>
            <w:vAlign w:val="center"/>
          </w:tcPr>
          <w:p>
            <w:pPr>
              <w:pStyle w:val="TableTextExample"/>
              <w:jc w:val="left"/>
            </w:pPr>
            <w:r/>
            <w:r>
              <w:t>Less efficiency adjustment for continuity from Stage 1</w:t>
            </w:r>
          </w:p>
        </w:tc>
        <w:tc>
          <w:tcPr>
            <w:tcW w:w="1697" w:type="dxa"/>
            <w:vAlign w:val="center"/>
          </w:tcPr>
          <w:p>
            <w:pPr>
              <w:pStyle w:val="TableTextExample"/>
              <w:jc w:val="center"/>
            </w:pPr>
            <w:r/>
          </w:p>
        </w:tc>
        <w:tc>
          <w:tcPr>
            <w:tcW w:w="1414" w:type="dxa"/>
            <w:vAlign w:val="center"/>
          </w:tcPr>
          <w:p>
            <w:pPr>
              <w:pStyle w:val="TableTextExample"/>
              <w:jc w:val="right"/>
            </w:pPr>
            <w:r/>
          </w:p>
        </w:tc>
        <w:tc>
          <w:tcPr>
            <w:tcW w:w="1414" w:type="dxa"/>
            <w:vAlign w:val="center"/>
          </w:tcPr>
          <w:p>
            <w:pPr>
              <w:pStyle w:val="TableTextExample"/>
              <w:jc w:val="right"/>
            </w:pPr>
            <w:r/>
          </w:p>
        </w:tc>
        <w:tc>
          <w:tcPr>
            <w:tcW w:w="3677" w:type="dxa"/>
            <w:vAlign w:val="center"/>
          </w:tcPr>
          <w:p>
            <w:pPr>
              <w:pStyle w:val="TableTextExample"/>
              <w:jc w:val="left"/>
            </w:pPr>
            <w:r/>
            <w:r>
              <w:t>Applied across S1–S7</w:t>
            </w:r>
          </w:p>
        </w:tc>
        <w:tc>
          <w:tcPr>
            <w:tcW w:w="1842" w:type="dxa"/>
            <w:vAlign w:val="center"/>
          </w:tcPr>
          <w:p>
            <w:pPr>
              <w:pStyle w:val="TableTextExample"/>
              <w:jc w:val="right"/>
            </w:pPr>
            <w:r/>
            <w:r>
              <w:t>(102,000)</w:t>
            </w:r>
          </w:p>
        </w:tc>
      </w:tr>
      <w:tr>
        <w:trPr>
          <w:cantSplit w:val="true"/>
        </w:trPr>
        <w:tc>
          <w:tcPr>
            <w:tcW w:w="4526" w:type="dxa"/>
            <w:vAlign w:val="center"/>
          </w:tcPr>
          <w:p>
            <w:pPr>
              <w:pStyle w:val="TableTextExample"/>
              <w:jc w:val="left"/>
            </w:pPr>
            <w:r/>
            <w:r>
              <w:t>Total professional service fee (lump sum)</w:t>
            </w:r>
          </w:p>
        </w:tc>
        <w:tc>
          <w:tcPr>
            <w:tcW w:w="1697" w:type="dxa"/>
            <w:vAlign w:val="center"/>
          </w:tcPr>
          <w:p>
            <w:pPr>
              <w:pStyle w:val="TableTextExample"/>
              <w:jc w:val="center"/>
            </w:pPr>
            <w:r/>
          </w:p>
        </w:tc>
        <w:tc>
          <w:tcPr>
            <w:tcW w:w="1414" w:type="dxa"/>
            <w:vAlign w:val="center"/>
          </w:tcPr>
          <w:p>
            <w:pPr>
              <w:pStyle w:val="TableTextExample"/>
              <w:jc w:val="right"/>
            </w:pPr>
            <w:r/>
          </w:p>
        </w:tc>
        <w:tc>
          <w:tcPr>
            <w:tcW w:w="1414" w:type="dxa"/>
            <w:vAlign w:val="center"/>
          </w:tcPr>
          <w:p>
            <w:pPr>
              <w:pStyle w:val="TableTextExample"/>
              <w:jc w:val="right"/>
            </w:pPr>
            <w:r/>
          </w:p>
        </w:tc>
        <w:tc>
          <w:tcPr>
            <w:tcW w:w="3677" w:type="dxa"/>
            <w:vAlign w:val="center"/>
          </w:tcPr>
          <w:p>
            <w:pPr>
              <w:pStyle w:val="TableTextExample"/>
              <w:jc w:val="left"/>
            </w:pPr>
            <w:r/>
          </w:p>
        </w:tc>
        <w:tc>
          <w:tcPr>
            <w:tcW w:w="1842" w:type="dxa"/>
            <w:vAlign w:val="center"/>
          </w:tcPr>
          <w:p>
            <w:pPr>
              <w:pStyle w:val="TableTextExample"/>
              <w:jc w:val="right"/>
            </w:pPr>
            <w:r/>
            <w:r>
              <w:t>2,439,100</w:t>
            </w:r>
          </w:p>
        </w:tc>
      </w:tr>
      <w:tr>
        <w:trPr>
          <w:cantSplit w:val="true"/>
        </w:trPr>
        <w:tc>
          <w:tcPr>
            <w:tcW w:w="4526" w:type="dxa"/>
            <w:vAlign w:val="center"/>
          </w:tcPr>
          <w:p>
            <w:pPr>
              <w:pStyle w:val="TableText"/>
              <w:jc w:val="left"/>
            </w:pPr>
            <w:r/>
            <w:r>
              <w:t>[Insert role]</w:t>
            </w:r>
          </w:p>
        </w:tc>
        <w:tc>
          <w:tcPr>
            <w:tcW w:w="1697" w:type="dxa"/>
            <w:vAlign w:val="center"/>
          </w:tcPr>
          <w:p>
            <w:pPr>
              <w:pStyle w:val="TableTextCentre"/>
              <w:jc w:val="center"/>
            </w:pPr>
            <w:r/>
            <w:r>
              <w:t>[Hourly / monthly]</w:t>
            </w:r>
          </w:p>
        </w:tc>
        <w:tc>
          <w:tcPr>
            <w:tcW w:w="1414" w:type="dxa"/>
            <w:vAlign w:val="center"/>
          </w:tcPr>
          <w:p>
            <w:pPr>
              <w:pStyle w:val="TableTextRight"/>
              <w:jc w:val="right"/>
            </w:pPr>
            <w:r/>
            <w:r>
              <w:t>[0]</w:t>
            </w:r>
          </w:p>
        </w:tc>
        <w:tc>
          <w:tcPr>
            <w:tcW w:w="1414" w:type="dxa"/>
            <w:vAlign w:val="center"/>
          </w:tcPr>
          <w:p>
            <w:pPr>
              <w:pStyle w:val="TableTextRight"/>
              <w:jc w:val="right"/>
            </w:pPr>
            <w:r/>
            <w:r>
              <w:t>[0 h / 0 mo]</w:t>
            </w:r>
          </w:p>
        </w:tc>
        <w:tc>
          <w:tcPr>
            <w:tcW w:w="3677" w:type="dxa"/>
            <w:vAlign w:val="center"/>
          </w:tcPr>
          <w:p>
            <w:pPr>
              <w:pStyle w:val="TableText"/>
              <w:jc w:val="left"/>
            </w:pPr>
            <w:r/>
            <w:r>
              <w:t>[Insert stages]</w:t>
            </w:r>
          </w:p>
        </w:tc>
        <w:tc>
          <w:tcPr>
            <w:tcW w:w="1842" w:type="dxa"/>
            <w:vAlign w:val="center"/>
          </w:tcPr>
          <w:p>
            <w:pPr>
              <w:pStyle w:val="TableTextRight"/>
              <w:jc w:val="right"/>
            </w:pPr>
            <w:r/>
            <w:r>
              <w:t>[0]</w:t>
            </w:r>
          </w:p>
        </w:tc>
      </w:tr>
      <w:tr>
        <w:trPr>
          <w:cantSplit w:val="true"/>
        </w:trPr>
        <w:tc>
          <w:tcPr>
            <w:tcW w:w="4526" w:type="dxa"/>
            <w:vAlign w:val="center"/>
          </w:tcPr>
          <w:p>
            <w:pPr>
              <w:pStyle w:val="TableText"/>
              <w:jc w:val="left"/>
            </w:pPr>
            <w:r/>
            <w:r>
              <w:t>TOTAL — check this figure before issue</w:t>
            </w:r>
          </w:p>
        </w:tc>
        <w:tc>
          <w:tcPr>
            <w:tcW w:w="1697" w:type="dxa"/>
            <w:vAlign w:val="center"/>
          </w:tcPr>
          <w:p>
            <w:pPr>
              <w:pStyle w:val="TableTextCentre"/>
              <w:jc w:val="center"/>
            </w:pPr>
            <w:r/>
          </w:p>
        </w:tc>
        <w:tc>
          <w:tcPr>
            <w:tcW w:w="1414" w:type="dxa"/>
            <w:vAlign w:val="center"/>
          </w:tcPr>
          <w:p>
            <w:pPr>
              <w:pStyle w:val="TableTextRight"/>
              <w:jc w:val="right"/>
            </w:pPr>
            <w:r/>
          </w:p>
        </w:tc>
        <w:tc>
          <w:tcPr>
            <w:tcW w:w="1414" w:type="dxa"/>
            <w:vAlign w:val="center"/>
          </w:tcPr>
          <w:p>
            <w:pPr>
              <w:pStyle w:val="TableTextRight"/>
              <w:jc w:val="right"/>
            </w:pPr>
            <w:r/>
          </w:p>
        </w:tc>
        <w:tc>
          <w:tcPr>
            <w:tcW w:w="3677" w:type="dxa"/>
            <w:vAlign w:val="center"/>
          </w:tcPr>
          <w:p>
            <w:pPr>
              <w:pStyle w:val="TableText"/>
              <w:jc w:val="left"/>
            </w:pPr>
            <w:r/>
          </w:p>
        </w:tc>
        <w:tc>
          <w:tcPr>
            <w:tcW w:w="1842" w:type="dxa"/>
            <w:vAlign w:val="center"/>
          </w:tcPr>
          <w:p>
            <w:pPr>
              <w:pStyle w:val="TableTextRight"/>
              <w:jc w:val="right"/>
            </w:pPr>
            <w:r/>
            <w:r>
              <w:t>[CUR] [0]</w:t>
            </w:r>
          </w:p>
        </w:tc>
      </w:tr>
    </w:tbl>
    <w:p>
      <w:pPr>
        <w:pStyle w:val="Note"/>
      </w:pPr>
      <w:r>
        <w:t>Example content shown in grey italic — delete before use. Sum the fee column, check it against the sub-total, the adjustment and the total, and check the total against the commercial summary in Section 1.2 and the resourcing schedule in Section 6.3. These figures are illustrative only and are not a quotation; every number must be replaced and re-checked before issue. Rates are exclusive of applicable taxes.</w:t>
      </w:r>
    </w:p>
    <w:p>
      <w:pPr>
        <w:pStyle w:val="Heading2"/>
      </w:pPr>
      <w:bookmarkStart w:id="9036" w:name="_Toc90036"/>
      <w:r>
        <w:t>7.2 Fee basis options</w:t>
      </w:r>
      <w:bookmarkEnd w:id="9036"/>
    </w:p>
    <w:p>
      <w:pPr>
        <w:pStyle w:val="Body"/>
      </w:pPr>
      <w:r>
        <w:t>We are able to price this service on any of the bases below. They are not equivalent: each allocates a different risk to a different party, and the cheapest headline is rarely the lowest outturn cost for the Client.</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14570" w:type="dxa"/>
        <w:tblInd w:w="0" w:type="dxa"/>
        <w:tblCellMar>
          <w:top w:w="45" w:type="dxa"/>
          <w:left w:w="100" w:type="dxa"/>
          <w:bottom w:w="45" w:type="dxa"/>
          <w:right w:w="100" w:type="dxa"/>
        </w:tblCellMar>
      </w:tblPr>
      <w:tblGrid>
        <w:gridCol w:w="1687"/>
        <w:gridCol w:w="3374"/>
        <w:gridCol w:w="3067"/>
        <w:gridCol w:w="3374"/>
        <w:gridCol w:w="3068"/>
      </w:tblGrid>
      <w:tr>
        <w:trPr>
          <w:tblHeader w:val="true"/>
          <w:cantSplit w:val="true"/>
        </w:trPr>
        <w:tc>
          <w:tcPr>
            <w:tcW w:w="1687" w:type="dxa"/>
            <w:shd w:val="clear" w:color="auto" w:fill="1D3245"/>
            <w:vAlign w:val="center"/>
          </w:tcPr>
          <w:p>
            <w:pPr>
              <w:pStyle w:val="TableHeader"/>
              <w:jc w:val="left"/>
            </w:pPr>
            <w:r/>
            <w:r>
              <w:t>Basis</w:t>
            </w:r>
          </w:p>
        </w:tc>
        <w:tc>
          <w:tcPr>
            <w:tcW w:w="3374" w:type="dxa"/>
            <w:shd w:val="clear" w:color="auto" w:fill="1D3245"/>
            <w:vAlign w:val="center"/>
          </w:tcPr>
          <w:p>
            <w:pPr>
              <w:pStyle w:val="TableHeader"/>
              <w:jc w:val="left"/>
            </w:pPr>
            <w:r/>
            <w:r>
              <w:t>How it works</w:t>
            </w:r>
          </w:p>
        </w:tc>
        <w:tc>
          <w:tcPr>
            <w:tcW w:w="3067" w:type="dxa"/>
            <w:shd w:val="clear" w:color="auto" w:fill="1D3245"/>
            <w:vAlign w:val="center"/>
          </w:tcPr>
          <w:p>
            <w:pPr>
              <w:pStyle w:val="TableHeader"/>
              <w:jc w:val="left"/>
            </w:pPr>
            <w:r/>
            <w:r>
              <w:t>When it is appropriate</w:t>
            </w:r>
          </w:p>
        </w:tc>
        <w:tc>
          <w:tcPr>
            <w:tcW w:w="3374" w:type="dxa"/>
            <w:shd w:val="clear" w:color="auto" w:fill="1D3245"/>
            <w:vAlign w:val="center"/>
          </w:tcPr>
          <w:p>
            <w:pPr>
              <w:pStyle w:val="TableHeader"/>
              <w:jc w:val="left"/>
            </w:pPr>
            <w:r/>
            <w:r>
              <w:t>Risk carried by the Client</w:t>
            </w:r>
          </w:p>
        </w:tc>
        <w:tc>
          <w:tcPr>
            <w:tcW w:w="3068" w:type="dxa"/>
            <w:shd w:val="clear" w:color="auto" w:fill="1D3245"/>
            <w:vAlign w:val="center"/>
          </w:tcPr>
          <w:p>
            <w:pPr>
              <w:pStyle w:val="TableHeader"/>
              <w:jc w:val="left"/>
            </w:pPr>
            <w:r/>
            <w:r>
              <w:t>Risk carried by us</w:t>
            </w:r>
          </w:p>
        </w:tc>
      </w:tr>
      <w:tr>
        <w:trPr>
          <w:cantSplit w:val="true"/>
        </w:trPr>
        <w:tc>
          <w:tcPr>
            <w:tcW w:w="1687" w:type="dxa"/>
            <w:vAlign w:val="center"/>
          </w:tcPr>
          <w:p>
            <w:pPr>
              <w:pStyle w:val="TableText"/>
              <w:jc w:val="left"/>
            </w:pPr>
            <w:r/>
            <w:r>
              <w:t>Lump sum</w:t>
            </w:r>
          </w:p>
        </w:tc>
        <w:tc>
          <w:tcPr>
            <w:tcW w:w="3374" w:type="dxa"/>
            <w:vAlign w:val="center"/>
          </w:tcPr>
          <w:p>
            <w:pPr>
              <w:pStyle w:val="TableText"/>
              <w:jc w:val="left"/>
            </w:pPr>
            <w:r/>
            <w:r>
              <w:t>A fixed fee for a defined scope, stage and term, drawn down against a payment schedule</w:t>
            </w:r>
          </w:p>
        </w:tc>
        <w:tc>
          <w:tcPr>
            <w:tcW w:w="3067" w:type="dxa"/>
            <w:vAlign w:val="center"/>
          </w:tcPr>
          <w:p>
            <w:pPr>
              <w:pStyle w:val="TableText"/>
              <w:jc w:val="left"/>
            </w:pPr>
            <w:r/>
            <w:r>
              <w:t>Scope, programme and term are reasonably certain — the normal case for a defined stage</w:t>
            </w:r>
          </w:p>
        </w:tc>
        <w:tc>
          <w:tcPr>
            <w:tcW w:w="3374" w:type="dxa"/>
            <w:vAlign w:val="center"/>
          </w:tcPr>
          <w:p>
            <w:pPr>
              <w:pStyle w:val="TableText"/>
              <w:jc w:val="left"/>
            </w:pPr>
            <w:r/>
            <w:r>
              <w:t>Pays the fixed fee even if the service proves lighter than assumed; pays for scope or term change through variation</w:t>
            </w:r>
          </w:p>
        </w:tc>
        <w:tc>
          <w:tcPr>
            <w:tcW w:w="3068" w:type="dxa"/>
            <w:vAlign w:val="center"/>
          </w:tcPr>
          <w:p>
            <w:pPr>
              <w:pStyle w:val="TableText"/>
              <w:jc w:val="left"/>
            </w:pPr>
            <w:r/>
            <w:r>
              <w:t>Absorbs inefficiency and over-run within the defined scope and term</w:t>
            </w:r>
          </w:p>
        </w:tc>
      </w:tr>
      <w:tr>
        <w:trPr>
          <w:cantSplit w:val="true"/>
        </w:trPr>
        <w:tc>
          <w:tcPr>
            <w:tcW w:w="1687" w:type="dxa"/>
            <w:vAlign w:val="center"/>
          </w:tcPr>
          <w:p>
            <w:pPr>
              <w:pStyle w:val="TableText"/>
              <w:jc w:val="left"/>
            </w:pPr>
            <w:r/>
            <w:r>
              <w:t>Percentage of construction cost</w:t>
            </w:r>
          </w:p>
        </w:tc>
        <w:tc>
          <w:tcPr>
            <w:tcW w:w="3374" w:type="dxa"/>
            <w:vAlign w:val="center"/>
          </w:tcPr>
          <w:p>
            <w:pPr>
              <w:pStyle w:val="TableText"/>
              <w:jc w:val="left"/>
            </w:pPr>
            <w:r/>
            <w:r>
              <w:t>Fee calculated as an agreed percentage of the final construction cost, adjusted as that cost changes</w:t>
            </w:r>
          </w:p>
        </w:tc>
        <w:tc>
          <w:tcPr>
            <w:tcW w:w="3067" w:type="dxa"/>
            <w:vAlign w:val="center"/>
          </w:tcPr>
          <w:p>
            <w:pPr>
              <w:pStyle w:val="TableText"/>
              <w:jc w:val="left"/>
            </w:pPr>
            <w:r/>
            <w:r>
              <w:t>Scope is genuinely undefined at appointment, or the Client's funding rules require it</w:t>
            </w:r>
          </w:p>
        </w:tc>
        <w:tc>
          <w:tcPr>
            <w:tcW w:w="3374" w:type="dxa"/>
            <w:vAlign w:val="center"/>
          </w:tcPr>
          <w:p>
            <w:pPr>
              <w:pStyle w:val="TableText"/>
              <w:jc w:val="left"/>
            </w:pPr>
            <w:r/>
            <w:r>
              <w:t>Fee rises with cost growth, including growth the Client itself causes; the incentive alignment is poor</w:t>
            </w:r>
          </w:p>
        </w:tc>
        <w:tc>
          <w:tcPr>
            <w:tcW w:w="3068" w:type="dxa"/>
            <w:vAlign w:val="center"/>
          </w:tcPr>
          <w:p>
            <w:pPr>
              <w:pStyle w:val="TableText"/>
              <w:jc w:val="left"/>
            </w:pPr>
            <w:r/>
            <w:r>
              <w:t>Fee falls if the project is descoped or deferred; little protection against a long, low-value programme</w:t>
            </w:r>
          </w:p>
        </w:tc>
      </w:tr>
      <w:tr>
        <w:trPr>
          <w:cantSplit w:val="true"/>
        </w:trPr>
        <w:tc>
          <w:tcPr>
            <w:tcW w:w="1687" w:type="dxa"/>
            <w:vAlign w:val="center"/>
          </w:tcPr>
          <w:p>
            <w:pPr>
              <w:pStyle w:val="TableText"/>
              <w:jc w:val="left"/>
            </w:pPr>
            <w:r/>
            <w:r>
              <w:t>Time charge with a cap</w:t>
            </w:r>
          </w:p>
        </w:tc>
        <w:tc>
          <w:tcPr>
            <w:tcW w:w="3374" w:type="dxa"/>
            <w:vAlign w:val="center"/>
          </w:tcPr>
          <w:p>
            <w:pPr>
              <w:pStyle w:val="TableText"/>
              <w:jc w:val="left"/>
            </w:pPr>
            <w:r/>
            <w:r>
              <w:t>Charged at agreed hourly rates against timesheets, capped at an agreed maximum not exceeded without approval</w:t>
            </w:r>
          </w:p>
        </w:tc>
        <w:tc>
          <w:tcPr>
            <w:tcW w:w="3067" w:type="dxa"/>
            <w:vAlign w:val="center"/>
          </w:tcPr>
          <w:p>
            <w:pPr>
              <w:pStyle w:val="TableText"/>
              <w:jc w:val="left"/>
            </w:pPr>
            <w:r/>
            <w:r>
              <w:t>Early stages, options work, or a scope that cannot yet be defined</w:t>
            </w:r>
          </w:p>
        </w:tc>
        <w:tc>
          <w:tcPr>
            <w:tcW w:w="3374" w:type="dxa"/>
            <w:vAlign w:val="center"/>
          </w:tcPr>
          <w:p>
            <w:pPr>
              <w:pStyle w:val="TableText"/>
              <w:jc w:val="left"/>
            </w:pPr>
            <w:r/>
            <w:r>
              <w:t>Pays for actual time up to the cap; requires timesheet scrutiny and monthly forecast-to-cap reporting</w:t>
            </w:r>
          </w:p>
        </w:tc>
        <w:tc>
          <w:tcPr>
            <w:tcW w:w="3068" w:type="dxa"/>
            <w:vAlign w:val="center"/>
          </w:tcPr>
          <w:p>
            <w:pPr>
              <w:pStyle w:val="TableText"/>
              <w:jc w:val="left"/>
            </w:pPr>
            <w:r/>
            <w:r>
              <w:t>Cannot recover above the cap without an approved variation</w:t>
            </w:r>
          </w:p>
        </w:tc>
      </w:tr>
      <w:tr>
        <w:trPr>
          <w:cantSplit w:val="true"/>
        </w:trPr>
        <w:tc>
          <w:tcPr>
            <w:tcW w:w="1687" w:type="dxa"/>
            <w:vAlign w:val="center"/>
          </w:tcPr>
          <w:p>
            <w:pPr>
              <w:pStyle w:val="TableText"/>
              <w:jc w:val="left"/>
            </w:pPr>
            <w:r/>
            <w:r>
              <w:t>Hybrid</w:t>
            </w:r>
          </w:p>
        </w:tc>
        <w:tc>
          <w:tcPr>
            <w:tcW w:w="3374" w:type="dxa"/>
            <w:vAlign w:val="center"/>
          </w:tcPr>
          <w:p>
            <w:pPr>
              <w:pStyle w:val="TableText"/>
              <w:jc w:val="left"/>
            </w:pPr>
            <w:r/>
            <w:r>
              <w:t>Lump sum for defined stages, time charge with a cap for undefined stages, and a schedule of rates for additional services</w:t>
            </w:r>
          </w:p>
        </w:tc>
        <w:tc>
          <w:tcPr>
            <w:tcW w:w="3067" w:type="dxa"/>
            <w:vAlign w:val="center"/>
          </w:tcPr>
          <w:p>
            <w:pPr>
              <w:pStyle w:val="TableText"/>
              <w:jc w:val="left"/>
            </w:pPr>
            <w:r/>
            <w:r>
              <w:t>Most capital projects — the usual recommendation, and the basis of Section 7.1</w:t>
            </w:r>
          </w:p>
        </w:tc>
        <w:tc>
          <w:tcPr>
            <w:tcW w:w="3374" w:type="dxa"/>
            <w:vAlign w:val="center"/>
          </w:tcPr>
          <w:p>
            <w:pPr>
              <w:pStyle w:val="TableText"/>
              <w:jc w:val="left"/>
            </w:pPr>
            <w:r/>
            <w:r>
              <w:t>Needs clarity on where each basis applies and on the trigger for moving between them</w:t>
            </w:r>
          </w:p>
        </w:tc>
        <w:tc>
          <w:tcPr>
            <w:tcW w:w="3068" w:type="dxa"/>
            <w:vAlign w:val="center"/>
          </w:tcPr>
          <w:p>
            <w:pPr>
              <w:pStyle w:val="TableText"/>
              <w:jc w:val="left"/>
            </w:pPr>
            <w:r/>
            <w:r>
              <w:t>Carries the lump sum stages at fixed price while remaining accountable for the capped stages</w:t>
            </w:r>
          </w:p>
        </w:tc>
      </w:tr>
    </w:tbl>
    <w:p>
      <w:pPr>
        <w:pStyle w:val="Note"/>
      </w:pPr>
      <w:r>
        <w:t>State plainly which basis the fee in Section 7.1 is offered on, and price no more than two alternatives. A proposal offering four prices without a recommendation transfers the decision back to the evaluator and reads as indecision.</w:t>
      </w:r>
    </w:p>
    <w:p>
      <w:pPr>
        <w:pStyle w:val="Heading2"/>
      </w:pPr>
      <w:bookmarkStart w:id="9037" w:name="_Toc90037"/>
      <w:r>
        <w:t>7.3 Payment schedule</w:t>
      </w:r>
      <w:bookmarkEnd w:id="9037"/>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14570" w:type="dxa"/>
        <w:tblInd w:w="0" w:type="dxa"/>
        <w:tblCellMar>
          <w:top w:w="45" w:type="dxa"/>
          <w:left w:w="100" w:type="dxa"/>
          <w:bottom w:w="45" w:type="dxa"/>
          <w:right w:w="100" w:type="dxa"/>
        </w:tblCellMar>
      </w:tblPr>
      <w:tblGrid>
        <w:gridCol w:w="633"/>
        <w:gridCol w:w="3642"/>
        <w:gridCol w:w="5384"/>
        <w:gridCol w:w="1266"/>
        <w:gridCol w:w="1900"/>
        <w:gridCol w:w="1745"/>
      </w:tblGrid>
      <w:tr>
        <w:trPr>
          <w:tblHeader w:val="true"/>
          <w:cantSplit w:val="true"/>
        </w:trPr>
        <w:tc>
          <w:tcPr>
            <w:tcW w:w="633" w:type="dxa"/>
            <w:shd w:val="clear" w:color="auto" w:fill="1D3245"/>
            <w:vAlign w:val="center"/>
          </w:tcPr>
          <w:p>
            <w:pPr>
              <w:pStyle w:val="TableHeader"/>
              <w:jc w:val="center"/>
            </w:pPr>
            <w:r/>
            <w:r>
              <w:t>#</w:t>
            </w:r>
          </w:p>
        </w:tc>
        <w:tc>
          <w:tcPr>
            <w:tcW w:w="3642" w:type="dxa"/>
            <w:shd w:val="clear" w:color="auto" w:fill="1D3245"/>
            <w:vAlign w:val="center"/>
          </w:tcPr>
          <w:p>
            <w:pPr>
              <w:pStyle w:val="TableHeader"/>
              <w:jc w:val="left"/>
            </w:pPr>
            <w:r/>
            <w:r>
              <w:t>Milestone / period</w:t>
            </w:r>
          </w:p>
        </w:tc>
        <w:tc>
          <w:tcPr>
            <w:tcW w:w="5384" w:type="dxa"/>
            <w:shd w:val="clear" w:color="auto" w:fill="1D3245"/>
            <w:vAlign w:val="center"/>
          </w:tcPr>
          <w:p>
            <w:pPr>
              <w:pStyle w:val="TableHeader"/>
              <w:jc w:val="left"/>
            </w:pPr>
            <w:r/>
            <w:r>
              <w:t>Trigger for payment</w:t>
            </w:r>
          </w:p>
        </w:tc>
        <w:tc>
          <w:tcPr>
            <w:tcW w:w="1266" w:type="dxa"/>
            <w:shd w:val="clear" w:color="auto" w:fill="1D3245"/>
            <w:vAlign w:val="center"/>
          </w:tcPr>
          <w:p>
            <w:pPr>
              <w:pStyle w:val="TableHeader"/>
              <w:jc w:val="center"/>
            </w:pPr>
            <w:r/>
            <w:r>
              <w:t>%</w:t>
            </w:r>
          </w:p>
        </w:tc>
        <w:tc>
          <w:tcPr>
            <w:tcW w:w="1900" w:type="dxa"/>
            <w:shd w:val="clear" w:color="auto" w:fill="1D3245"/>
            <w:vAlign w:val="center"/>
          </w:tcPr>
          <w:p>
            <w:pPr>
              <w:pStyle w:val="TableHeader"/>
              <w:jc w:val="right"/>
            </w:pPr>
            <w:r/>
            <w:r>
              <w:t>Value [CUR]</w:t>
            </w:r>
          </w:p>
        </w:tc>
        <w:tc>
          <w:tcPr>
            <w:tcW w:w="1745" w:type="dxa"/>
            <w:shd w:val="clear" w:color="auto" w:fill="1D3245"/>
            <w:vAlign w:val="center"/>
          </w:tcPr>
          <w:p>
            <w:pPr>
              <w:pStyle w:val="TableHeader"/>
              <w:jc w:val="center"/>
            </w:pPr>
            <w:r/>
            <w:r>
              <w:t>Cumulative %</w:t>
            </w:r>
          </w:p>
        </w:tc>
      </w:tr>
      <w:tr>
        <w:trPr>
          <w:cantSplit w:val="true"/>
        </w:trPr>
        <w:tc>
          <w:tcPr>
            <w:tcW w:w="633" w:type="dxa"/>
            <w:vAlign w:val="center"/>
          </w:tcPr>
          <w:p>
            <w:pPr>
              <w:pStyle w:val="TableTextExample"/>
              <w:jc w:val="center"/>
            </w:pPr>
            <w:r/>
            <w:r>
              <w:t>1</w:t>
            </w:r>
          </w:p>
        </w:tc>
        <w:tc>
          <w:tcPr>
            <w:tcW w:w="3642" w:type="dxa"/>
            <w:vAlign w:val="center"/>
          </w:tcPr>
          <w:p>
            <w:pPr>
              <w:pStyle w:val="TableTextExample"/>
              <w:jc w:val="left"/>
            </w:pPr>
            <w:r/>
            <w:r>
              <w:t>Mobilisation and inception</w:t>
            </w:r>
          </w:p>
        </w:tc>
        <w:tc>
          <w:tcPr>
            <w:tcW w:w="5384" w:type="dxa"/>
            <w:vAlign w:val="center"/>
          </w:tcPr>
          <w:p>
            <w:pPr>
              <w:pStyle w:val="TableTextExample"/>
              <w:jc w:val="left"/>
            </w:pPr>
            <w:r/>
            <w:r>
              <w:t>Project execution plan and controls baseline accepted by the Client</w:t>
            </w:r>
          </w:p>
        </w:tc>
        <w:tc>
          <w:tcPr>
            <w:tcW w:w="1266" w:type="dxa"/>
            <w:vAlign w:val="center"/>
          </w:tcPr>
          <w:p>
            <w:pPr>
              <w:pStyle w:val="TableTextExample"/>
              <w:jc w:val="center"/>
            </w:pPr>
            <w:r/>
            <w:r>
              <w:t>5 %</w:t>
            </w:r>
          </w:p>
        </w:tc>
        <w:tc>
          <w:tcPr>
            <w:tcW w:w="1900" w:type="dxa"/>
            <w:vAlign w:val="center"/>
          </w:tcPr>
          <w:p>
            <w:pPr>
              <w:pStyle w:val="TableTextExample"/>
              <w:jc w:val="right"/>
            </w:pPr>
            <w:r/>
            <w:r>
              <w:t>121,955</w:t>
            </w:r>
          </w:p>
        </w:tc>
        <w:tc>
          <w:tcPr>
            <w:tcW w:w="1745" w:type="dxa"/>
            <w:vAlign w:val="center"/>
          </w:tcPr>
          <w:p>
            <w:pPr>
              <w:pStyle w:val="TableTextExample"/>
              <w:jc w:val="center"/>
            </w:pPr>
            <w:r/>
            <w:r>
              <w:t>5 %</w:t>
            </w:r>
          </w:p>
        </w:tc>
      </w:tr>
      <w:tr>
        <w:trPr>
          <w:cantSplit w:val="true"/>
        </w:trPr>
        <w:tc>
          <w:tcPr>
            <w:tcW w:w="633" w:type="dxa"/>
            <w:vAlign w:val="center"/>
          </w:tcPr>
          <w:p>
            <w:pPr>
              <w:pStyle w:val="TableTextExample"/>
              <w:jc w:val="center"/>
            </w:pPr>
            <w:r/>
            <w:r>
              <w:t>2</w:t>
            </w:r>
          </w:p>
        </w:tc>
        <w:tc>
          <w:tcPr>
            <w:tcW w:w="3642" w:type="dxa"/>
            <w:vAlign w:val="center"/>
          </w:tcPr>
          <w:p>
            <w:pPr>
              <w:pStyle w:val="TableTextExample"/>
              <w:jc w:val="left"/>
            </w:pPr>
            <w:r/>
            <w:r>
              <w:t>Stages 1–2 complete</w:t>
            </w:r>
          </w:p>
        </w:tc>
        <w:tc>
          <w:tcPr>
            <w:tcW w:w="5384" w:type="dxa"/>
            <w:vAlign w:val="center"/>
          </w:tcPr>
          <w:p>
            <w:pPr>
              <w:pStyle w:val="TableTextExample"/>
              <w:jc w:val="left"/>
            </w:pPr>
            <w:r/>
            <w:r>
              <w:t>Options assessment report and preferred option endorsed</w:t>
            </w:r>
          </w:p>
        </w:tc>
        <w:tc>
          <w:tcPr>
            <w:tcW w:w="1266" w:type="dxa"/>
            <w:vAlign w:val="center"/>
          </w:tcPr>
          <w:p>
            <w:pPr>
              <w:pStyle w:val="TableTextExample"/>
              <w:jc w:val="center"/>
            </w:pPr>
            <w:r/>
            <w:r>
              <w:t>10 %</w:t>
            </w:r>
          </w:p>
        </w:tc>
        <w:tc>
          <w:tcPr>
            <w:tcW w:w="1900" w:type="dxa"/>
            <w:vAlign w:val="center"/>
          </w:tcPr>
          <w:p>
            <w:pPr>
              <w:pStyle w:val="TableTextExample"/>
              <w:jc w:val="right"/>
            </w:pPr>
            <w:r/>
            <w:r>
              <w:t>243,910</w:t>
            </w:r>
          </w:p>
        </w:tc>
        <w:tc>
          <w:tcPr>
            <w:tcW w:w="1745" w:type="dxa"/>
            <w:vAlign w:val="center"/>
          </w:tcPr>
          <w:p>
            <w:pPr>
              <w:pStyle w:val="TableTextExample"/>
              <w:jc w:val="center"/>
            </w:pPr>
            <w:r/>
            <w:r>
              <w:t>15 %</w:t>
            </w:r>
          </w:p>
        </w:tc>
      </w:tr>
      <w:tr>
        <w:trPr>
          <w:cantSplit w:val="true"/>
        </w:trPr>
        <w:tc>
          <w:tcPr>
            <w:tcW w:w="633" w:type="dxa"/>
            <w:vAlign w:val="center"/>
          </w:tcPr>
          <w:p>
            <w:pPr>
              <w:pStyle w:val="TableTextExample"/>
              <w:jc w:val="center"/>
            </w:pPr>
            <w:r/>
            <w:r>
              <w:t>3</w:t>
            </w:r>
          </w:p>
        </w:tc>
        <w:tc>
          <w:tcPr>
            <w:tcW w:w="3642" w:type="dxa"/>
            <w:vAlign w:val="center"/>
          </w:tcPr>
          <w:p>
            <w:pPr>
              <w:pStyle w:val="TableTextExample"/>
              <w:jc w:val="left"/>
            </w:pPr>
            <w:r/>
            <w:r>
              <w:t>Stage 3 — monthly in arrears</w:t>
            </w:r>
          </w:p>
        </w:tc>
        <w:tc>
          <w:tcPr>
            <w:tcW w:w="5384" w:type="dxa"/>
            <w:vAlign w:val="center"/>
          </w:tcPr>
          <w:p>
            <w:pPr>
              <w:pStyle w:val="TableTextExample"/>
              <w:jc w:val="left"/>
            </w:pPr>
            <w:r/>
            <w:r>
              <w:t>Monthly report issued and accepted; deliverables schedule current</w:t>
            </w:r>
          </w:p>
        </w:tc>
        <w:tc>
          <w:tcPr>
            <w:tcW w:w="1266" w:type="dxa"/>
            <w:vAlign w:val="center"/>
          </w:tcPr>
          <w:p>
            <w:pPr>
              <w:pStyle w:val="TableTextExample"/>
              <w:jc w:val="center"/>
            </w:pPr>
            <w:r/>
            <w:r>
              <w:t>20 %</w:t>
            </w:r>
          </w:p>
        </w:tc>
        <w:tc>
          <w:tcPr>
            <w:tcW w:w="1900" w:type="dxa"/>
            <w:vAlign w:val="center"/>
          </w:tcPr>
          <w:p>
            <w:pPr>
              <w:pStyle w:val="TableTextExample"/>
              <w:jc w:val="right"/>
            </w:pPr>
            <w:r/>
            <w:r>
              <w:t>487,820</w:t>
            </w:r>
          </w:p>
        </w:tc>
        <w:tc>
          <w:tcPr>
            <w:tcW w:w="1745" w:type="dxa"/>
            <w:vAlign w:val="center"/>
          </w:tcPr>
          <w:p>
            <w:pPr>
              <w:pStyle w:val="TableTextExample"/>
              <w:jc w:val="center"/>
            </w:pPr>
            <w:r/>
            <w:r>
              <w:t>35 %</w:t>
            </w:r>
          </w:p>
        </w:tc>
      </w:tr>
      <w:tr>
        <w:trPr>
          <w:cantSplit w:val="true"/>
        </w:trPr>
        <w:tc>
          <w:tcPr>
            <w:tcW w:w="633" w:type="dxa"/>
            <w:vAlign w:val="center"/>
          </w:tcPr>
          <w:p>
            <w:pPr>
              <w:pStyle w:val="TableTextExample"/>
              <w:jc w:val="center"/>
            </w:pPr>
            <w:r/>
            <w:r>
              <w:t>4</w:t>
            </w:r>
          </w:p>
        </w:tc>
        <w:tc>
          <w:tcPr>
            <w:tcW w:w="3642" w:type="dxa"/>
            <w:vAlign w:val="center"/>
          </w:tcPr>
          <w:p>
            <w:pPr>
              <w:pStyle w:val="TableTextExample"/>
              <w:jc w:val="left"/>
            </w:pPr>
            <w:r/>
            <w:r>
              <w:t>Contracts awarded</w:t>
            </w:r>
          </w:p>
        </w:tc>
        <w:tc>
          <w:tcPr>
            <w:tcW w:w="5384" w:type="dxa"/>
            <w:vAlign w:val="center"/>
          </w:tcPr>
          <w:p>
            <w:pPr>
              <w:pStyle w:val="TableTextExample"/>
              <w:jc w:val="left"/>
            </w:pPr>
            <w:r/>
            <w:r>
              <w:t>Award recommendation accepted and head contract executed</w:t>
            </w:r>
          </w:p>
        </w:tc>
        <w:tc>
          <w:tcPr>
            <w:tcW w:w="1266" w:type="dxa"/>
            <w:vAlign w:val="center"/>
          </w:tcPr>
          <w:p>
            <w:pPr>
              <w:pStyle w:val="TableTextExample"/>
              <w:jc w:val="center"/>
            </w:pPr>
            <w:r/>
            <w:r>
              <w:t>10 %</w:t>
            </w:r>
          </w:p>
        </w:tc>
        <w:tc>
          <w:tcPr>
            <w:tcW w:w="1900" w:type="dxa"/>
            <w:vAlign w:val="center"/>
          </w:tcPr>
          <w:p>
            <w:pPr>
              <w:pStyle w:val="TableTextExample"/>
              <w:jc w:val="right"/>
            </w:pPr>
            <w:r/>
            <w:r>
              <w:t>243,910</w:t>
            </w:r>
          </w:p>
        </w:tc>
        <w:tc>
          <w:tcPr>
            <w:tcW w:w="1745" w:type="dxa"/>
            <w:vAlign w:val="center"/>
          </w:tcPr>
          <w:p>
            <w:pPr>
              <w:pStyle w:val="TableTextExample"/>
              <w:jc w:val="center"/>
            </w:pPr>
            <w:r/>
            <w:r>
              <w:t>45 %</w:t>
            </w:r>
          </w:p>
        </w:tc>
      </w:tr>
      <w:tr>
        <w:trPr>
          <w:cantSplit w:val="true"/>
        </w:trPr>
        <w:tc>
          <w:tcPr>
            <w:tcW w:w="633" w:type="dxa"/>
            <w:vAlign w:val="center"/>
          </w:tcPr>
          <w:p>
            <w:pPr>
              <w:pStyle w:val="TableTextExample"/>
              <w:jc w:val="center"/>
            </w:pPr>
            <w:r/>
            <w:r>
              <w:t>5</w:t>
            </w:r>
          </w:p>
        </w:tc>
        <w:tc>
          <w:tcPr>
            <w:tcW w:w="3642" w:type="dxa"/>
            <w:vAlign w:val="center"/>
          </w:tcPr>
          <w:p>
            <w:pPr>
              <w:pStyle w:val="TableTextExample"/>
              <w:jc w:val="left"/>
            </w:pPr>
            <w:r/>
            <w:r>
              <w:t>Stage 5 — monthly in arrears</w:t>
            </w:r>
          </w:p>
        </w:tc>
        <w:tc>
          <w:tcPr>
            <w:tcW w:w="5384" w:type="dxa"/>
            <w:vAlign w:val="center"/>
          </w:tcPr>
          <w:p>
            <w:pPr>
              <w:pStyle w:val="TableTextExample"/>
              <w:jc w:val="left"/>
            </w:pPr>
            <w:r/>
            <w:r>
              <w:t>Monthly report issued; cost report reconciled to the Client's ledger</w:t>
            </w:r>
          </w:p>
        </w:tc>
        <w:tc>
          <w:tcPr>
            <w:tcW w:w="1266" w:type="dxa"/>
            <w:vAlign w:val="center"/>
          </w:tcPr>
          <w:p>
            <w:pPr>
              <w:pStyle w:val="TableTextExample"/>
              <w:jc w:val="center"/>
            </w:pPr>
            <w:r/>
            <w:r>
              <w:t>40 %</w:t>
            </w:r>
          </w:p>
        </w:tc>
        <w:tc>
          <w:tcPr>
            <w:tcW w:w="1900" w:type="dxa"/>
            <w:vAlign w:val="center"/>
          </w:tcPr>
          <w:p>
            <w:pPr>
              <w:pStyle w:val="TableTextExample"/>
              <w:jc w:val="right"/>
            </w:pPr>
            <w:r/>
            <w:r>
              <w:t>975,640</w:t>
            </w:r>
          </w:p>
        </w:tc>
        <w:tc>
          <w:tcPr>
            <w:tcW w:w="1745" w:type="dxa"/>
            <w:vAlign w:val="center"/>
          </w:tcPr>
          <w:p>
            <w:pPr>
              <w:pStyle w:val="TableTextExample"/>
              <w:jc w:val="center"/>
            </w:pPr>
            <w:r/>
            <w:r>
              <w:t>85 %</w:t>
            </w:r>
          </w:p>
        </w:tc>
      </w:tr>
      <w:tr>
        <w:trPr>
          <w:cantSplit w:val="true"/>
        </w:trPr>
        <w:tc>
          <w:tcPr>
            <w:tcW w:w="633" w:type="dxa"/>
            <w:vAlign w:val="center"/>
          </w:tcPr>
          <w:p>
            <w:pPr>
              <w:pStyle w:val="TableTextExample"/>
              <w:jc w:val="center"/>
            </w:pPr>
            <w:r/>
            <w:r>
              <w:t>6</w:t>
            </w:r>
          </w:p>
        </w:tc>
        <w:tc>
          <w:tcPr>
            <w:tcW w:w="3642" w:type="dxa"/>
            <w:vAlign w:val="center"/>
          </w:tcPr>
          <w:p>
            <w:pPr>
              <w:pStyle w:val="TableTextExample"/>
              <w:jc w:val="left"/>
            </w:pPr>
            <w:r/>
            <w:r>
              <w:t>Practical completion and handover</w:t>
            </w:r>
          </w:p>
        </w:tc>
        <w:tc>
          <w:tcPr>
            <w:tcW w:w="5384" w:type="dxa"/>
            <w:vAlign w:val="center"/>
          </w:tcPr>
          <w:p>
            <w:pPr>
              <w:pStyle w:val="TableTextExample"/>
              <w:jc w:val="left"/>
            </w:pPr>
            <w:r/>
            <w:r>
              <w:t>Completion certificate issued; handover documentation delivered</w:t>
            </w:r>
          </w:p>
        </w:tc>
        <w:tc>
          <w:tcPr>
            <w:tcW w:w="1266" w:type="dxa"/>
            <w:vAlign w:val="center"/>
          </w:tcPr>
          <w:p>
            <w:pPr>
              <w:pStyle w:val="TableTextExample"/>
              <w:jc w:val="center"/>
            </w:pPr>
            <w:r/>
            <w:r>
              <w:t>10 %</w:t>
            </w:r>
          </w:p>
        </w:tc>
        <w:tc>
          <w:tcPr>
            <w:tcW w:w="1900" w:type="dxa"/>
            <w:vAlign w:val="center"/>
          </w:tcPr>
          <w:p>
            <w:pPr>
              <w:pStyle w:val="TableTextExample"/>
              <w:jc w:val="right"/>
            </w:pPr>
            <w:r/>
            <w:r>
              <w:t>243,910</w:t>
            </w:r>
          </w:p>
        </w:tc>
        <w:tc>
          <w:tcPr>
            <w:tcW w:w="1745" w:type="dxa"/>
            <w:vAlign w:val="center"/>
          </w:tcPr>
          <w:p>
            <w:pPr>
              <w:pStyle w:val="TableTextExample"/>
              <w:jc w:val="center"/>
            </w:pPr>
            <w:r/>
            <w:r>
              <w:t>95 %</w:t>
            </w:r>
          </w:p>
        </w:tc>
      </w:tr>
      <w:tr>
        <w:trPr>
          <w:cantSplit w:val="true"/>
        </w:trPr>
        <w:tc>
          <w:tcPr>
            <w:tcW w:w="633" w:type="dxa"/>
            <w:vAlign w:val="center"/>
          </w:tcPr>
          <w:p>
            <w:pPr>
              <w:pStyle w:val="TableTextExample"/>
              <w:jc w:val="center"/>
            </w:pPr>
            <w:r/>
            <w:r>
              <w:t>7</w:t>
            </w:r>
          </w:p>
        </w:tc>
        <w:tc>
          <w:tcPr>
            <w:tcW w:w="3642" w:type="dxa"/>
            <w:vAlign w:val="center"/>
          </w:tcPr>
          <w:p>
            <w:pPr>
              <w:pStyle w:val="TableTextExample"/>
              <w:jc w:val="left"/>
            </w:pPr>
            <w:r/>
            <w:r>
              <w:t>Final account and closeout</w:t>
            </w:r>
          </w:p>
        </w:tc>
        <w:tc>
          <w:tcPr>
            <w:tcW w:w="5384" w:type="dxa"/>
            <w:vAlign w:val="center"/>
          </w:tcPr>
          <w:p>
            <w:pPr>
              <w:pStyle w:val="TableTextExample"/>
              <w:jc w:val="left"/>
            </w:pPr>
            <w:r/>
            <w:r>
              <w:t>Final account agreed; closeout and benefits report issued; project data exported to the Client</w:t>
            </w:r>
          </w:p>
        </w:tc>
        <w:tc>
          <w:tcPr>
            <w:tcW w:w="1266" w:type="dxa"/>
            <w:vAlign w:val="center"/>
          </w:tcPr>
          <w:p>
            <w:pPr>
              <w:pStyle w:val="TableTextExample"/>
              <w:jc w:val="center"/>
            </w:pPr>
            <w:r/>
            <w:r>
              <w:t>5 %</w:t>
            </w:r>
          </w:p>
        </w:tc>
        <w:tc>
          <w:tcPr>
            <w:tcW w:w="1900" w:type="dxa"/>
            <w:vAlign w:val="center"/>
          </w:tcPr>
          <w:p>
            <w:pPr>
              <w:pStyle w:val="TableTextExample"/>
              <w:jc w:val="right"/>
            </w:pPr>
            <w:r/>
            <w:r>
              <w:t>121,955</w:t>
            </w:r>
          </w:p>
        </w:tc>
        <w:tc>
          <w:tcPr>
            <w:tcW w:w="1745" w:type="dxa"/>
            <w:vAlign w:val="center"/>
          </w:tcPr>
          <w:p>
            <w:pPr>
              <w:pStyle w:val="TableTextExample"/>
              <w:jc w:val="center"/>
            </w:pPr>
            <w:r/>
            <w:r>
              <w:t>100 %</w:t>
            </w:r>
          </w:p>
        </w:tc>
      </w:tr>
      <w:tr>
        <w:trPr>
          <w:cantSplit w:val="true"/>
        </w:trPr>
        <w:tc>
          <w:tcPr>
            <w:tcW w:w="633" w:type="dxa"/>
            <w:vAlign w:val="center"/>
          </w:tcPr>
          <w:p>
            <w:pPr>
              <w:pStyle w:val="TableTextCentre"/>
              <w:jc w:val="center"/>
            </w:pPr>
            <w:r/>
          </w:p>
        </w:tc>
        <w:tc>
          <w:tcPr>
            <w:tcW w:w="3642" w:type="dxa"/>
            <w:vAlign w:val="center"/>
          </w:tcPr>
          <w:p>
            <w:pPr>
              <w:pStyle w:val="TableText"/>
              <w:jc w:val="left"/>
            </w:pPr>
            <w:r/>
            <w:r>
              <w:t>[Insert milestone]</w:t>
            </w:r>
          </w:p>
        </w:tc>
        <w:tc>
          <w:tcPr>
            <w:tcW w:w="5384" w:type="dxa"/>
            <w:vAlign w:val="center"/>
          </w:tcPr>
          <w:p>
            <w:pPr>
              <w:pStyle w:val="TableText"/>
              <w:jc w:val="left"/>
            </w:pPr>
            <w:r/>
            <w:r>
              <w:t>[Insert the objective, evidenced trigger]</w:t>
            </w:r>
          </w:p>
        </w:tc>
        <w:tc>
          <w:tcPr>
            <w:tcW w:w="1266" w:type="dxa"/>
            <w:vAlign w:val="center"/>
          </w:tcPr>
          <w:p>
            <w:pPr>
              <w:pStyle w:val="TableTextCentre"/>
              <w:jc w:val="center"/>
            </w:pPr>
            <w:r/>
            <w:r>
              <w:t>[0] %</w:t>
            </w:r>
          </w:p>
        </w:tc>
        <w:tc>
          <w:tcPr>
            <w:tcW w:w="1900" w:type="dxa"/>
            <w:vAlign w:val="center"/>
          </w:tcPr>
          <w:p>
            <w:pPr>
              <w:pStyle w:val="TableTextRight"/>
              <w:jc w:val="right"/>
            </w:pPr>
            <w:r/>
            <w:r>
              <w:t>[0]</w:t>
            </w:r>
          </w:p>
        </w:tc>
        <w:tc>
          <w:tcPr>
            <w:tcW w:w="1745" w:type="dxa"/>
            <w:vAlign w:val="center"/>
          </w:tcPr>
          <w:p>
            <w:pPr>
              <w:pStyle w:val="TableTextCentre"/>
              <w:jc w:val="center"/>
            </w:pPr>
            <w:r/>
            <w:r>
              <w:t>[0] %</w:t>
            </w:r>
          </w:p>
        </w:tc>
      </w:tr>
    </w:tbl>
    <w:p>
      <w:pPr>
        <w:pStyle w:val="Note"/>
      </w:pPr>
      <w:r>
        <w:t>Example content shown in grey italic — delete before use. Percentages must total 100 and the values must total the lump sum in Section 7.1. Every trigger must be an event a third party could verify — 'progress' is not a trigger. Hold a meaningful proportion, at least 10 per cent, until after handover: it keeps the closeout resourced, which is the stage most often abandoned.</w:t>
      </w:r>
    </w:p>
    <w:p>
      <w:pPr>
        <w:pStyle w:val="Heading2"/>
      </w:pPr>
      <w:bookmarkStart w:id="9038" w:name="_Toc90038"/>
      <w:r>
        <w:t>7.4 Reimbursable expenses</w:t>
      </w:r>
      <w:bookmarkEnd w:id="9038"/>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14570" w:type="dxa"/>
        <w:tblInd w:w="0" w:type="dxa"/>
        <w:tblCellMar>
          <w:top w:w="45" w:type="dxa"/>
          <w:left w:w="100" w:type="dxa"/>
          <w:bottom w:w="45" w:type="dxa"/>
          <w:right w:w="100" w:type="dxa"/>
        </w:tblCellMar>
      </w:tblPr>
      <w:tblGrid>
        <w:gridCol w:w="4570"/>
        <w:gridCol w:w="4285"/>
        <w:gridCol w:w="1999"/>
        <w:gridCol w:w="3716"/>
      </w:tblGrid>
      <w:tr>
        <w:trPr>
          <w:tblHeader w:val="true"/>
          <w:cantSplit w:val="true"/>
        </w:trPr>
        <w:tc>
          <w:tcPr>
            <w:tcW w:w="4570" w:type="dxa"/>
            <w:shd w:val="clear" w:color="auto" w:fill="1D3245"/>
            <w:vAlign w:val="center"/>
          </w:tcPr>
          <w:p>
            <w:pPr>
              <w:pStyle w:val="TableHeader"/>
              <w:jc w:val="left"/>
            </w:pPr>
            <w:r/>
            <w:r>
              <w:t>Category</w:t>
            </w:r>
          </w:p>
        </w:tc>
        <w:tc>
          <w:tcPr>
            <w:tcW w:w="4285" w:type="dxa"/>
            <w:shd w:val="clear" w:color="auto" w:fill="1D3245"/>
            <w:vAlign w:val="center"/>
          </w:tcPr>
          <w:p>
            <w:pPr>
              <w:pStyle w:val="TableHeader"/>
              <w:jc w:val="left"/>
            </w:pPr>
            <w:r/>
            <w:r>
              <w:t>Basis of charge</w:t>
            </w:r>
          </w:p>
        </w:tc>
        <w:tc>
          <w:tcPr>
            <w:tcW w:w="1999" w:type="dxa"/>
            <w:shd w:val="clear" w:color="auto" w:fill="1D3245"/>
            <w:vAlign w:val="center"/>
          </w:tcPr>
          <w:p>
            <w:pPr>
              <w:pStyle w:val="TableHeader"/>
              <w:jc w:val="right"/>
            </w:pPr>
            <w:r/>
            <w:r>
              <w:t>Allowance [CUR]</w:t>
            </w:r>
          </w:p>
        </w:tc>
        <w:tc>
          <w:tcPr>
            <w:tcW w:w="3716" w:type="dxa"/>
            <w:shd w:val="clear" w:color="auto" w:fill="1D3245"/>
            <w:vAlign w:val="center"/>
          </w:tcPr>
          <w:p>
            <w:pPr>
              <w:pStyle w:val="TableHeader"/>
              <w:jc w:val="left"/>
            </w:pPr>
            <w:r/>
            <w:r>
              <w:t>Evidence required</w:t>
            </w:r>
          </w:p>
        </w:tc>
      </w:tr>
      <w:tr>
        <w:trPr>
          <w:cantSplit w:val="true"/>
        </w:trPr>
        <w:tc>
          <w:tcPr>
            <w:tcW w:w="4570" w:type="dxa"/>
            <w:vAlign w:val="center"/>
          </w:tcPr>
          <w:p>
            <w:pPr>
              <w:pStyle w:val="TableTextExample"/>
              <w:jc w:val="left"/>
            </w:pPr>
            <w:r/>
            <w:r>
              <w:t>Travel beyond [insert radius] from the servicing office</w:t>
            </w:r>
          </w:p>
        </w:tc>
        <w:tc>
          <w:tcPr>
            <w:tcW w:w="4285" w:type="dxa"/>
            <w:vAlign w:val="center"/>
          </w:tcPr>
          <w:p>
            <w:pPr>
              <w:pStyle w:val="TableTextExample"/>
              <w:jc w:val="left"/>
            </w:pPr>
            <w:r/>
            <w:r>
              <w:t>At cost, economy class air and standard road rates</w:t>
            </w:r>
          </w:p>
        </w:tc>
        <w:tc>
          <w:tcPr>
            <w:tcW w:w="1999" w:type="dxa"/>
            <w:vAlign w:val="center"/>
          </w:tcPr>
          <w:p>
            <w:pPr>
              <w:pStyle w:val="TableTextExample"/>
              <w:jc w:val="right"/>
            </w:pPr>
            <w:r/>
            <w:r>
              <w:t>38,000</w:t>
            </w:r>
          </w:p>
        </w:tc>
        <w:tc>
          <w:tcPr>
            <w:tcW w:w="3716" w:type="dxa"/>
            <w:vAlign w:val="center"/>
          </w:tcPr>
          <w:p>
            <w:pPr>
              <w:pStyle w:val="TableTextExample"/>
              <w:jc w:val="left"/>
            </w:pPr>
            <w:r/>
            <w:r>
              <w:t>Itinerary and receipt with each claim</w:t>
            </w:r>
          </w:p>
        </w:tc>
      </w:tr>
      <w:tr>
        <w:trPr>
          <w:cantSplit w:val="true"/>
        </w:trPr>
        <w:tc>
          <w:tcPr>
            <w:tcW w:w="4570" w:type="dxa"/>
            <w:vAlign w:val="center"/>
          </w:tcPr>
          <w:p>
            <w:pPr>
              <w:pStyle w:val="TableTextExample"/>
              <w:jc w:val="left"/>
            </w:pPr>
            <w:r/>
            <w:r>
              <w:t>Accommodation and subsistence for site attendance</w:t>
            </w:r>
          </w:p>
        </w:tc>
        <w:tc>
          <w:tcPr>
            <w:tcW w:w="4285" w:type="dxa"/>
            <w:vAlign w:val="center"/>
          </w:tcPr>
          <w:p>
            <w:pPr>
              <w:pStyle w:val="TableTextExample"/>
              <w:jc w:val="left"/>
            </w:pPr>
            <w:r/>
            <w:r>
              <w:t>At cost, within the Client's own travel policy where one applies</w:t>
            </w:r>
          </w:p>
        </w:tc>
        <w:tc>
          <w:tcPr>
            <w:tcW w:w="1999" w:type="dxa"/>
            <w:vAlign w:val="center"/>
          </w:tcPr>
          <w:p>
            <w:pPr>
              <w:pStyle w:val="TableTextExample"/>
              <w:jc w:val="right"/>
            </w:pPr>
            <w:r/>
            <w:r>
              <w:t>24,500</w:t>
            </w:r>
          </w:p>
        </w:tc>
        <w:tc>
          <w:tcPr>
            <w:tcW w:w="3716" w:type="dxa"/>
            <w:vAlign w:val="center"/>
          </w:tcPr>
          <w:p>
            <w:pPr>
              <w:pStyle w:val="TableTextExample"/>
              <w:jc w:val="left"/>
            </w:pPr>
            <w:r/>
            <w:r>
              <w:t>Receipts, no per-diem uplift</w:t>
            </w:r>
          </w:p>
        </w:tc>
      </w:tr>
      <w:tr>
        <w:trPr>
          <w:cantSplit w:val="true"/>
        </w:trPr>
        <w:tc>
          <w:tcPr>
            <w:tcW w:w="4570" w:type="dxa"/>
            <w:vAlign w:val="center"/>
          </w:tcPr>
          <w:p>
            <w:pPr>
              <w:pStyle w:val="TableTextExample"/>
              <w:jc w:val="left"/>
            </w:pPr>
            <w:r/>
            <w:r>
              <w:t>Printing, plotting and document reproduction</w:t>
            </w:r>
          </w:p>
        </w:tc>
        <w:tc>
          <w:tcPr>
            <w:tcW w:w="4285" w:type="dxa"/>
            <w:vAlign w:val="center"/>
          </w:tcPr>
          <w:p>
            <w:pPr>
              <w:pStyle w:val="TableTextExample"/>
              <w:jc w:val="left"/>
            </w:pPr>
            <w:r/>
            <w:r>
              <w:t>At cost</w:t>
            </w:r>
          </w:p>
        </w:tc>
        <w:tc>
          <w:tcPr>
            <w:tcW w:w="1999" w:type="dxa"/>
            <w:vAlign w:val="center"/>
          </w:tcPr>
          <w:p>
            <w:pPr>
              <w:pStyle w:val="TableTextExample"/>
              <w:jc w:val="right"/>
            </w:pPr>
            <w:r/>
            <w:r>
              <w:t>9,000</w:t>
            </w:r>
          </w:p>
        </w:tc>
        <w:tc>
          <w:tcPr>
            <w:tcW w:w="3716" w:type="dxa"/>
            <w:vAlign w:val="center"/>
          </w:tcPr>
          <w:p>
            <w:pPr>
              <w:pStyle w:val="TableTextExample"/>
              <w:jc w:val="left"/>
            </w:pPr>
            <w:r/>
            <w:r>
              <w:t>Supplier invoice</w:t>
            </w:r>
          </w:p>
        </w:tc>
      </w:tr>
      <w:tr>
        <w:trPr>
          <w:cantSplit w:val="true"/>
        </w:trPr>
        <w:tc>
          <w:tcPr>
            <w:tcW w:w="4570" w:type="dxa"/>
            <w:vAlign w:val="center"/>
          </w:tcPr>
          <w:p>
            <w:pPr>
              <w:pStyle w:val="TableTextExample"/>
              <w:jc w:val="left"/>
            </w:pPr>
            <w:r/>
            <w:r>
              <w:t>Project controls platform licences for Client-side users</w:t>
            </w:r>
          </w:p>
        </w:tc>
        <w:tc>
          <w:tcPr>
            <w:tcW w:w="4285" w:type="dxa"/>
            <w:vAlign w:val="center"/>
          </w:tcPr>
          <w:p>
            <w:pPr>
              <w:pStyle w:val="TableTextExample"/>
              <w:jc w:val="left"/>
            </w:pPr>
            <w:r/>
            <w:r>
              <w:t>At cost, per named user per month</w:t>
            </w:r>
          </w:p>
        </w:tc>
        <w:tc>
          <w:tcPr>
            <w:tcW w:w="1999" w:type="dxa"/>
            <w:vAlign w:val="center"/>
          </w:tcPr>
          <w:p>
            <w:pPr>
              <w:pStyle w:val="TableTextExample"/>
              <w:jc w:val="right"/>
            </w:pPr>
            <w:r/>
            <w:r>
              <w:t>18,000</w:t>
            </w:r>
          </w:p>
        </w:tc>
        <w:tc>
          <w:tcPr>
            <w:tcW w:w="3716" w:type="dxa"/>
            <w:vAlign w:val="center"/>
          </w:tcPr>
          <w:p>
            <w:pPr>
              <w:pStyle w:val="TableTextExample"/>
              <w:jc w:val="left"/>
            </w:pPr>
            <w:r/>
            <w:r>
              <w:t>Licence schedule and invoice</w:t>
            </w:r>
          </w:p>
        </w:tc>
      </w:tr>
      <w:tr>
        <w:trPr>
          <w:cantSplit w:val="true"/>
        </w:trPr>
        <w:tc>
          <w:tcPr>
            <w:tcW w:w="4570" w:type="dxa"/>
            <w:vAlign w:val="center"/>
          </w:tcPr>
          <w:p>
            <w:pPr>
              <w:pStyle w:val="TableTextExample"/>
              <w:jc w:val="left"/>
            </w:pPr>
            <w:r/>
            <w:r>
              <w:t>Specialist searches, registers and third-party data</w:t>
            </w:r>
          </w:p>
        </w:tc>
        <w:tc>
          <w:tcPr>
            <w:tcW w:w="4285" w:type="dxa"/>
            <w:vAlign w:val="center"/>
          </w:tcPr>
          <w:p>
            <w:pPr>
              <w:pStyle w:val="TableTextExample"/>
              <w:jc w:val="left"/>
            </w:pPr>
            <w:r/>
            <w:r>
              <w:t>At cost</w:t>
            </w:r>
          </w:p>
        </w:tc>
        <w:tc>
          <w:tcPr>
            <w:tcW w:w="1999" w:type="dxa"/>
            <w:vAlign w:val="center"/>
          </w:tcPr>
          <w:p>
            <w:pPr>
              <w:pStyle w:val="TableTextExample"/>
              <w:jc w:val="right"/>
            </w:pPr>
            <w:r/>
            <w:r>
              <w:t>7,000</w:t>
            </w:r>
          </w:p>
        </w:tc>
        <w:tc>
          <w:tcPr>
            <w:tcW w:w="3716" w:type="dxa"/>
            <w:vAlign w:val="center"/>
          </w:tcPr>
          <w:p>
            <w:pPr>
              <w:pStyle w:val="TableTextExample"/>
              <w:jc w:val="left"/>
            </w:pPr>
            <w:r/>
            <w:r>
              <w:t>Supplier invoice</w:t>
            </w:r>
          </w:p>
        </w:tc>
      </w:tr>
      <w:tr>
        <w:trPr>
          <w:cantSplit w:val="true"/>
        </w:trPr>
        <w:tc>
          <w:tcPr>
            <w:tcW w:w="4570" w:type="dxa"/>
            <w:vAlign w:val="center"/>
          </w:tcPr>
          <w:p>
            <w:pPr>
              <w:pStyle w:val="TableTextExample"/>
              <w:jc w:val="left"/>
            </w:pPr>
            <w:r/>
            <w:r>
              <w:t>Total reimbursable allowance (provisional)</w:t>
            </w:r>
          </w:p>
        </w:tc>
        <w:tc>
          <w:tcPr>
            <w:tcW w:w="4285" w:type="dxa"/>
            <w:vAlign w:val="center"/>
          </w:tcPr>
          <w:p>
            <w:pPr>
              <w:pStyle w:val="TableTextExample"/>
              <w:jc w:val="left"/>
            </w:pPr>
            <w:r/>
            <w:r>
              <w:t>Drawn against actual spend, not a lump sum</w:t>
            </w:r>
          </w:p>
        </w:tc>
        <w:tc>
          <w:tcPr>
            <w:tcW w:w="1999" w:type="dxa"/>
            <w:vAlign w:val="center"/>
          </w:tcPr>
          <w:p>
            <w:pPr>
              <w:pStyle w:val="TableTextExample"/>
              <w:jc w:val="right"/>
            </w:pPr>
            <w:r/>
            <w:r>
              <w:t>96,500</w:t>
            </w:r>
          </w:p>
        </w:tc>
        <w:tc>
          <w:tcPr>
            <w:tcW w:w="3716" w:type="dxa"/>
            <w:vAlign w:val="center"/>
          </w:tcPr>
          <w:p>
            <w:pPr>
              <w:pStyle w:val="TableTextExample"/>
              <w:jc w:val="left"/>
            </w:pPr>
            <w:r/>
            <w:r>
              <w:t>Reported monthly against allowance</w:t>
            </w:r>
          </w:p>
        </w:tc>
      </w:tr>
      <w:tr>
        <w:trPr>
          <w:cantSplit w:val="true"/>
        </w:trPr>
        <w:tc>
          <w:tcPr>
            <w:tcW w:w="4570" w:type="dxa"/>
            <w:vAlign w:val="center"/>
          </w:tcPr>
          <w:p>
            <w:pPr>
              <w:pStyle w:val="TableText"/>
              <w:jc w:val="left"/>
            </w:pPr>
            <w:r/>
            <w:r>
              <w:t>[Insert category]</w:t>
            </w:r>
          </w:p>
        </w:tc>
        <w:tc>
          <w:tcPr>
            <w:tcW w:w="4285" w:type="dxa"/>
            <w:vAlign w:val="center"/>
          </w:tcPr>
          <w:p>
            <w:pPr>
              <w:pStyle w:val="TableText"/>
              <w:jc w:val="left"/>
            </w:pPr>
            <w:r/>
            <w:r>
              <w:t>[Insert basis]</w:t>
            </w:r>
          </w:p>
        </w:tc>
        <w:tc>
          <w:tcPr>
            <w:tcW w:w="1999" w:type="dxa"/>
            <w:vAlign w:val="center"/>
          </w:tcPr>
          <w:p>
            <w:pPr>
              <w:pStyle w:val="TableTextRight"/>
              <w:jc w:val="right"/>
            </w:pPr>
            <w:r/>
            <w:r>
              <w:t>[0]</w:t>
            </w:r>
          </w:p>
        </w:tc>
        <w:tc>
          <w:tcPr>
            <w:tcW w:w="3716" w:type="dxa"/>
            <w:vAlign w:val="center"/>
          </w:tcPr>
          <w:p>
            <w:pPr>
              <w:pStyle w:val="TableText"/>
              <w:jc w:val="left"/>
            </w:pPr>
            <w:r/>
            <w:r>
              <w:t>[Insert evidence]</w:t>
            </w:r>
          </w:p>
        </w:tc>
      </w:tr>
    </w:tbl>
    <w:p>
      <w:pPr>
        <w:pStyle w:val="Note"/>
      </w:pPr>
      <w:r>
        <w:t xml:space="preserve">Example content shown in grey italic — delete before use. Reimbursables are a provisional allowance, not an entitlement: unspent allowance is not payable. No administrative mark-up is applied. </w:t>
      </w:r>
    </w:p>
    <w:p>
      <w:pPr>
        <w:pStyle w:val="Heading2"/>
      </w:pPr>
      <w:bookmarkStart w:id="9039" w:name="_Toc90039"/>
      <w:r>
        <w:t>7.5 Rate escalation</w:t>
      </w:r>
      <w:bookmarkEnd w:id="9039"/>
    </w:p>
    <w:p>
      <w:pPr>
        <w:pStyle w:val="Body"/>
      </w:pPr>
      <w:r>
        <w:t>Rates are fixed for [00] months from the date of this proposal. Thereafter they are adjusted annually on the anniversary of commencement by the lesser of the movement in [insert the published index the Client's contracts use — for example a national consumer price index or a wage price index for the professional services sector] over the preceding twelve months, and [00] per cent. No adjustment applies retrospectively, and no adjustment applies to a stage that is late through our own default.</w:t>
      </w:r>
    </w:p>
    <w:p>
      <w:pPr>
        <w:pStyle w:val="Heading2"/>
      </w:pPr>
      <w:bookmarkStart w:id="9040" w:name="_Toc90040"/>
      <w:r>
        <w:t>7.6 Defects liability period service</w:t>
      </w:r>
      <w:bookmarkEnd w:id="9040"/>
    </w:p>
    <w:p>
      <w:pPr>
        <w:pStyle w:val="Body"/>
      </w:pPr>
      <w:r>
        <w:t>The defects liability period is priced separately because its effort profile is different: intermittent attendance, defect close-out, final account and security release. We propose [insert basis — for example a monthly retainer of [CUR] [0] for [00] months, or a time charge against a cap of [CUR] [0]]. Where the defects liability period is extended by the Contractor's default, our service is extended on the same basis.</w:t>
      </w:r>
    </w:p>
    <w:p>
      <w:pPr>
        <w:pStyle w:val="Heading2"/>
      </w:pPr>
      <w:bookmarkStart w:id="9041" w:name="_Toc90041"/>
      <w:r>
        <w:t>7.7 Additional services and hourly rates</w:t>
      </w:r>
      <w:bookmarkEnd w:id="9041"/>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14570" w:type="dxa"/>
        <w:tblInd w:w="0" w:type="dxa"/>
        <w:tblCellMar>
          <w:top w:w="45" w:type="dxa"/>
          <w:left w:w="100" w:type="dxa"/>
          <w:bottom w:w="45" w:type="dxa"/>
          <w:right w:w="100" w:type="dxa"/>
        </w:tblCellMar>
      </w:tblPr>
      <w:tblGrid>
        <w:gridCol w:w="5142"/>
        <w:gridCol w:w="2142"/>
        <w:gridCol w:w="2142"/>
        <w:gridCol w:w="5144"/>
      </w:tblGrid>
      <w:tr>
        <w:trPr>
          <w:tblHeader w:val="true"/>
          <w:cantSplit w:val="true"/>
        </w:trPr>
        <w:tc>
          <w:tcPr>
            <w:tcW w:w="5142" w:type="dxa"/>
            <w:shd w:val="clear" w:color="auto" w:fill="1D3245"/>
            <w:vAlign w:val="center"/>
          </w:tcPr>
          <w:p>
            <w:pPr>
              <w:pStyle w:val="TableHeader"/>
              <w:jc w:val="left"/>
            </w:pPr>
            <w:r/>
            <w:r>
              <w:t>Role / grade</w:t>
            </w:r>
          </w:p>
        </w:tc>
        <w:tc>
          <w:tcPr>
            <w:tcW w:w="2142" w:type="dxa"/>
            <w:shd w:val="clear" w:color="auto" w:fill="1D3245"/>
            <w:vAlign w:val="center"/>
          </w:tcPr>
          <w:p>
            <w:pPr>
              <w:pStyle w:val="TableHeader"/>
              <w:jc w:val="right"/>
            </w:pPr>
            <w:r/>
            <w:r>
              <w:t>Hourly rate [CUR]</w:t>
            </w:r>
          </w:p>
        </w:tc>
        <w:tc>
          <w:tcPr>
            <w:tcW w:w="2142" w:type="dxa"/>
            <w:shd w:val="clear" w:color="auto" w:fill="1D3245"/>
            <w:vAlign w:val="center"/>
          </w:tcPr>
          <w:p>
            <w:pPr>
              <w:pStyle w:val="TableHeader"/>
              <w:jc w:val="right"/>
            </w:pPr>
            <w:r/>
            <w:r>
              <w:t>Daily rate [CUR]</w:t>
            </w:r>
          </w:p>
        </w:tc>
        <w:tc>
          <w:tcPr>
            <w:tcW w:w="5144" w:type="dxa"/>
            <w:shd w:val="clear" w:color="auto" w:fill="1D3245"/>
            <w:vAlign w:val="center"/>
          </w:tcPr>
          <w:p>
            <w:pPr>
              <w:pStyle w:val="TableHeader"/>
              <w:jc w:val="left"/>
            </w:pPr>
            <w:r/>
            <w:r>
              <w:t>Notes</w:t>
            </w:r>
          </w:p>
        </w:tc>
      </w:tr>
      <w:tr>
        <w:trPr>
          <w:cantSplit w:val="true"/>
        </w:trPr>
        <w:tc>
          <w:tcPr>
            <w:tcW w:w="5142" w:type="dxa"/>
            <w:vAlign w:val="center"/>
          </w:tcPr>
          <w:p>
            <w:pPr>
              <w:pStyle w:val="TableTextExample"/>
              <w:jc w:val="left"/>
            </w:pPr>
            <w:r/>
            <w:r>
              <w:t>Project Director / Partner</w:t>
            </w:r>
          </w:p>
        </w:tc>
        <w:tc>
          <w:tcPr>
            <w:tcW w:w="2142" w:type="dxa"/>
            <w:vAlign w:val="center"/>
          </w:tcPr>
          <w:p>
            <w:pPr>
              <w:pStyle w:val="TableTextExample"/>
              <w:jc w:val="right"/>
            </w:pPr>
            <w:r/>
            <w:r>
              <w:t>310</w:t>
            </w:r>
          </w:p>
        </w:tc>
        <w:tc>
          <w:tcPr>
            <w:tcW w:w="2142" w:type="dxa"/>
            <w:vAlign w:val="center"/>
          </w:tcPr>
          <w:p>
            <w:pPr>
              <w:pStyle w:val="TableTextExample"/>
              <w:jc w:val="right"/>
            </w:pPr>
            <w:r/>
            <w:r>
              <w:t>2,480</w:t>
            </w:r>
          </w:p>
        </w:tc>
        <w:tc>
          <w:tcPr>
            <w:tcW w:w="5144" w:type="dxa"/>
            <w:vAlign w:val="center"/>
          </w:tcPr>
          <w:p>
            <w:pPr>
              <w:pStyle w:val="TableTextExample"/>
              <w:jc w:val="left"/>
            </w:pPr>
            <w:r/>
            <w:r>
              <w:t>Minimum charge one hour; travel time charged at 50 per cent</w:t>
            </w:r>
          </w:p>
        </w:tc>
      </w:tr>
      <w:tr>
        <w:trPr>
          <w:cantSplit w:val="true"/>
        </w:trPr>
        <w:tc>
          <w:tcPr>
            <w:tcW w:w="5142" w:type="dxa"/>
            <w:vAlign w:val="center"/>
          </w:tcPr>
          <w:p>
            <w:pPr>
              <w:pStyle w:val="TableTextExample"/>
              <w:jc w:val="left"/>
            </w:pPr>
            <w:r/>
            <w:r>
              <w:t>Senior Project Manager</w:t>
            </w:r>
          </w:p>
        </w:tc>
        <w:tc>
          <w:tcPr>
            <w:tcW w:w="2142" w:type="dxa"/>
            <w:vAlign w:val="center"/>
          </w:tcPr>
          <w:p>
            <w:pPr>
              <w:pStyle w:val="TableTextExample"/>
              <w:jc w:val="right"/>
            </w:pPr>
            <w:r/>
            <w:r>
              <w:t>265</w:t>
            </w:r>
          </w:p>
        </w:tc>
        <w:tc>
          <w:tcPr>
            <w:tcW w:w="2142" w:type="dxa"/>
            <w:vAlign w:val="center"/>
          </w:tcPr>
          <w:p>
            <w:pPr>
              <w:pStyle w:val="TableTextExample"/>
              <w:jc w:val="right"/>
            </w:pPr>
            <w:r/>
            <w:r>
              <w:t>2,120</w:t>
            </w:r>
          </w:p>
        </w:tc>
        <w:tc>
          <w:tcPr>
            <w:tcW w:w="5144" w:type="dxa"/>
            <w:vAlign w:val="center"/>
          </w:tcPr>
          <w:p>
            <w:pPr>
              <w:pStyle w:val="TableTextExample"/>
              <w:jc w:val="left"/>
            </w:pPr>
            <w:r/>
          </w:p>
        </w:tc>
      </w:tr>
      <w:tr>
        <w:trPr>
          <w:cantSplit w:val="true"/>
        </w:trPr>
        <w:tc>
          <w:tcPr>
            <w:tcW w:w="5142" w:type="dxa"/>
            <w:vAlign w:val="center"/>
          </w:tcPr>
          <w:p>
            <w:pPr>
              <w:pStyle w:val="TableTextExample"/>
              <w:jc w:val="left"/>
            </w:pPr>
            <w:r/>
            <w:r>
              <w:t>Project Manager</w:t>
            </w:r>
          </w:p>
        </w:tc>
        <w:tc>
          <w:tcPr>
            <w:tcW w:w="2142" w:type="dxa"/>
            <w:vAlign w:val="center"/>
          </w:tcPr>
          <w:p>
            <w:pPr>
              <w:pStyle w:val="TableTextExample"/>
              <w:jc w:val="right"/>
            </w:pPr>
            <w:r/>
            <w:r>
              <w:t>225</w:t>
            </w:r>
          </w:p>
        </w:tc>
        <w:tc>
          <w:tcPr>
            <w:tcW w:w="2142" w:type="dxa"/>
            <w:vAlign w:val="center"/>
          </w:tcPr>
          <w:p>
            <w:pPr>
              <w:pStyle w:val="TableTextExample"/>
              <w:jc w:val="right"/>
            </w:pPr>
            <w:r/>
            <w:r>
              <w:t>1,800</w:t>
            </w:r>
          </w:p>
        </w:tc>
        <w:tc>
          <w:tcPr>
            <w:tcW w:w="5144" w:type="dxa"/>
            <w:vAlign w:val="center"/>
          </w:tcPr>
          <w:p>
            <w:pPr>
              <w:pStyle w:val="TableTextExample"/>
              <w:jc w:val="left"/>
            </w:pPr>
            <w:r/>
          </w:p>
        </w:tc>
      </w:tr>
      <w:tr>
        <w:trPr>
          <w:cantSplit w:val="true"/>
        </w:trPr>
        <w:tc>
          <w:tcPr>
            <w:tcW w:w="5142" w:type="dxa"/>
            <w:vAlign w:val="center"/>
          </w:tcPr>
          <w:p>
            <w:pPr>
              <w:pStyle w:val="TableTextExample"/>
              <w:jc w:val="left"/>
            </w:pPr>
            <w:r/>
            <w:r>
              <w:t>Cost Manager</w:t>
            </w:r>
          </w:p>
        </w:tc>
        <w:tc>
          <w:tcPr>
            <w:tcW w:w="2142" w:type="dxa"/>
            <w:vAlign w:val="center"/>
          </w:tcPr>
          <w:p>
            <w:pPr>
              <w:pStyle w:val="TableTextExample"/>
              <w:jc w:val="right"/>
            </w:pPr>
            <w:r/>
            <w:r>
              <w:t>215</w:t>
            </w:r>
          </w:p>
        </w:tc>
        <w:tc>
          <w:tcPr>
            <w:tcW w:w="2142" w:type="dxa"/>
            <w:vAlign w:val="center"/>
          </w:tcPr>
          <w:p>
            <w:pPr>
              <w:pStyle w:val="TableTextExample"/>
              <w:jc w:val="right"/>
            </w:pPr>
            <w:r/>
            <w:r>
              <w:t>1,720</w:t>
            </w:r>
          </w:p>
        </w:tc>
        <w:tc>
          <w:tcPr>
            <w:tcW w:w="5144" w:type="dxa"/>
            <w:vAlign w:val="center"/>
          </w:tcPr>
          <w:p>
            <w:pPr>
              <w:pStyle w:val="TableTextExample"/>
              <w:jc w:val="left"/>
            </w:pPr>
            <w:r/>
          </w:p>
        </w:tc>
      </w:tr>
      <w:tr>
        <w:trPr>
          <w:cantSplit w:val="true"/>
        </w:trPr>
        <w:tc>
          <w:tcPr>
            <w:tcW w:w="5142" w:type="dxa"/>
            <w:vAlign w:val="center"/>
          </w:tcPr>
          <w:p>
            <w:pPr>
              <w:pStyle w:val="TableTextExample"/>
              <w:jc w:val="left"/>
            </w:pPr>
            <w:r/>
            <w:r>
              <w:t>Programme / planning specialist</w:t>
            </w:r>
          </w:p>
        </w:tc>
        <w:tc>
          <w:tcPr>
            <w:tcW w:w="2142" w:type="dxa"/>
            <w:vAlign w:val="center"/>
          </w:tcPr>
          <w:p>
            <w:pPr>
              <w:pStyle w:val="TableTextExample"/>
              <w:jc w:val="right"/>
            </w:pPr>
            <w:r/>
            <w:r>
              <w:t>225</w:t>
            </w:r>
          </w:p>
        </w:tc>
        <w:tc>
          <w:tcPr>
            <w:tcW w:w="2142" w:type="dxa"/>
            <w:vAlign w:val="center"/>
          </w:tcPr>
          <w:p>
            <w:pPr>
              <w:pStyle w:val="TableTextExample"/>
              <w:jc w:val="right"/>
            </w:pPr>
            <w:r/>
            <w:r>
              <w:t>1,800</w:t>
            </w:r>
          </w:p>
        </w:tc>
        <w:tc>
          <w:tcPr>
            <w:tcW w:w="5144" w:type="dxa"/>
            <w:vAlign w:val="center"/>
          </w:tcPr>
          <w:p>
            <w:pPr>
              <w:pStyle w:val="TableTextExample"/>
              <w:jc w:val="left"/>
            </w:pPr>
            <w:r/>
          </w:p>
        </w:tc>
      </w:tr>
      <w:tr>
        <w:trPr>
          <w:cantSplit w:val="true"/>
        </w:trPr>
        <w:tc>
          <w:tcPr>
            <w:tcW w:w="5142" w:type="dxa"/>
            <w:vAlign w:val="center"/>
          </w:tcPr>
          <w:p>
            <w:pPr>
              <w:pStyle w:val="TableTextExample"/>
              <w:jc w:val="left"/>
            </w:pPr>
            <w:r/>
            <w:r>
              <w:t>Assistant Project Manager / Project Engineer</w:t>
            </w:r>
          </w:p>
        </w:tc>
        <w:tc>
          <w:tcPr>
            <w:tcW w:w="2142" w:type="dxa"/>
            <w:vAlign w:val="center"/>
          </w:tcPr>
          <w:p>
            <w:pPr>
              <w:pStyle w:val="TableTextExample"/>
              <w:jc w:val="right"/>
            </w:pPr>
            <w:r/>
            <w:r>
              <w:t>155</w:t>
            </w:r>
          </w:p>
        </w:tc>
        <w:tc>
          <w:tcPr>
            <w:tcW w:w="2142" w:type="dxa"/>
            <w:vAlign w:val="center"/>
          </w:tcPr>
          <w:p>
            <w:pPr>
              <w:pStyle w:val="TableTextExample"/>
              <w:jc w:val="right"/>
            </w:pPr>
            <w:r/>
            <w:r>
              <w:t>1,240</w:t>
            </w:r>
          </w:p>
        </w:tc>
        <w:tc>
          <w:tcPr>
            <w:tcW w:w="5144" w:type="dxa"/>
            <w:vAlign w:val="center"/>
          </w:tcPr>
          <w:p>
            <w:pPr>
              <w:pStyle w:val="TableTextExample"/>
              <w:jc w:val="left"/>
            </w:pPr>
            <w:r/>
          </w:p>
        </w:tc>
      </w:tr>
      <w:tr>
        <w:trPr>
          <w:cantSplit w:val="true"/>
        </w:trPr>
        <w:tc>
          <w:tcPr>
            <w:tcW w:w="5142" w:type="dxa"/>
            <w:vAlign w:val="center"/>
          </w:tcPr>
          <w:p>
            <w:pPr>
              <w:pStyle w:val="TableTextExample"/>
              <w:jc w:val="left"/>
            </w:pPr>
            <w:r/>
            <w:r>
              <w:t>Project support / controls analyst</w:t>
            </w:r>
          </w:p>
        </w:tc>
        <w:tc>
          <w:tcPr>
            <w:tcW w:w="2142" w:type="dxa"/>
            <w:vAlign w:val="center"/>
          </w:tcPr>
          <w:p>
            <w:pPr>
              <w:pStyle w:val="TableTextExample"/>
              <w:jc w:val="right"/>
            </w:pPr>
            <w:r/>
            <w:r>
              <w:t>120</w:t>
            </w:r>
          </w:p>
        </w:tc>
        <w:tc>
          <w:tcPr>
            <w:tcW w:w="2142" w:type="dxa"/>
            <w:vAlign w:val="center"/>
          </w:tcPr>
          <w:p>
            <w:pPr>
              <w:pStyle w:val="TableTextExample"/>
              <w:jc w:val="right"/>
            </w:pPr>
            <w:r/>
            <w:r>
              <w:t>960</w:t>
            </w:r>
          </w:p>
        </w:tc>
        <w:tc>
          <w:tcPr>
            <w:tcW w:w="5144" w:type="dxa"/>
            <w:vAlign w:val="center"/>
          </w:tcPr>
          <w:p>
            <w:pPr>
              <w:pStyle w:val="TableTextExample"/>
              <w:jc w:val="left"/>
            </w:pPr>
            <w:r/>
          </w:p>
        </w:tc>
      </w:tr>
      <w:tr>
        <w:trPr>
          <w:cantSplit w:val="true"/>
        </w:trPr>
        <w:tc>
          <w:tcPr>
            <w:tcW w:w="5142" w:type="dxa"/>
            <w:vAlign w:val="center"/>
          </w:tcPr>
          <w:p>
            <w:pPr>
              <w:pStyle w:val="TableText"/>
              <w:jc w:val="left"/>
            </w:pPr>
            <w:r/>
            <w:r>
              <w:t>[Insert grade]</w:t>
            </w:r>
          </w:p>
        </w:tc>
        <w:tc>
          <w:tcPr>
            <w:tcW w:w="2142" w:type="dxa"/>
            <w:vAlign w:val="center"/>
          </w:tcPr>
          <w:p>
            <w:pPr>
              <w:pStyle w:val="TableTextRight"/>
              <w:jc w:val="right"/>
            </w:pPr>
            <w:r/>
            <w:r>
              <w:t>[0]</w:t>
            </w:r>
          </w:p>
        </w:tc>
        <w:tc>
          <w:tcPr>
            <w:tcW w:w="2142" w:type="dxa"/>
            <w:vAlign w:val="center"/>
          </w:tcPr>
          <w:p>
            <w:pPr>
              <w:pStyle w:val="TableTextRight"/>
              <w:jc w:val="right"/>
            </w:pPr>
            <w:r/>
            <w:r>
              <w:t>[0]</w:t>
            </w:r>
          </w:p>
        </w:tc>
        <w:tc>
          <w:tcPr>
            <w:tcW w:w="5144" w:type="dxa"/>
            <w:vAlign w:val="center"/>
          </w:tcPr>
          <w:p>
            <w:pPr>
              <w:pStyle w:val="TableText"/>
              <w:jc w:val="left"/>
            </w:pPr>
            <w:r/>
            <w:r>
              <w:t>[Insert note]</w:t>
            </w:r>
          </w:p>
        </w:tc>
      </w:tr>
    </w:tbl>
    <w:p>
      <w:pPr>
        <w:pStyle w:val="Note"/>
      </w:pPr>
      <w:r>
        <w:t>Example content shown in grey italic — delete before use. Additional services are performed only on the Client's written instruction, after a written estimate of hours and cost has been provided and accepted. Where a change to the project extends the term of our appointment, the time-related cost of maintaining the team is claimed at these rates.</w:t>
      </w:r>
    </w:p>
    <w:p>
      <w:pPr>
        <w:pStyle w:val="Heading2"/>
      </w:pPr>
      <w:bookmarkStart w:id="9042" w:name="_Toc90042"/>
      <w:r>
        <w:t>7.8 Invoicing, payment terms and taxes</w:t>
      </w:r>
      <w:bookmarkEnd w:id="9042"/>
    </w:p>
    <w:p>
      <w:pPr>
        <w:pStyle w:val="BodyBullet"/>
      </w:pPr>
      <w:r>
        <w:rPr>
          <w:color w:val="3480BC"/>
        </w:rPr>
        <w:t xml:space="preserve">—   </w:t>
      </w:r>
      <w:r>
        <w:t>Invoices are issued monthly, in arrears, against the payment schedule in Section 7.3, with a fee status report showing the amount claimed, paid to date and remaining.</w:t>
      </w:r>
    </w:p>
    <w:p>
      <w:pPr>
        <w:pStyle w:val="BodyBullet"/>
      </w:pPr>
      <w:r>
        <w:rPr>
          <w:color w:val="3480BC"/>
        </w:rPr>
        <w:t xml:space="preserve">—   </w:t>
      </w:r>
      <w:r>
        <w:t>Payment terms are [00] days from receipt of a correctly rendered invoice at the address or portal nominated by the Client.</w:t>
      </w:r>
    </w:p>
    <w:p>
      <w:pPr>
        <w:pStyle w:val="BodyBullet"/>
      </w:pPr>
      <w:r>
        <w:rPr>
          <w:color w:val="3480BC"/>
        </w:rPr>
        <w:t xml:space="preserve">—   </w:t>
      </w:r>
      <w:r>
        <w:t>Timesheets supporting time-charge or additional services claims are provided with the invoice, at task level.</w:t>
      </w:r>
    </w:p>
    <w:p>
      <w:pPr>
        <w:pStyle w:val="BodyBullet"/>
      </w:pPr>
      <w:r>
        <w:rPr>
          <w:color w:val="3480BC"/>
        </w:rPr>
        <w:t xml:space="preserve">—   </w:t>
      </w:r>
      <w:r>
        <w:t>Interest on overdue amounts accrues at [insert rate or reference rate plus margin] from the due date.</w:t>
      </w:r>
    </w:p>
    <w:p>
      <w:pPr>
        <w:pStyle w:val="BodyBullet"/>
      </w:pPr>
      <w:r>
        <w:rPr>
          <w:color w:val="3480BC"/>
        </w:rPr>
        <w:t xml:space="preserve">—   </w:t>
      </w:r>
      <w:r>
        <w:t>All amounts are exclusive of value added tax, goods and services tax or equivalent transaction taxes, which are added at the rate applicable in [insert jurisdiction] and shown separately.</w:t>
      </w:r>
    </w:p>
    <w:p>
      <w:pPr>
        <w:pStyle w:val="BodyBullet"/>
      </w:pPr>
      <w:r>
        <w:rPr>
          <w:color w:val="3480BC"/>
        </w:rPr>
        <w:t xml:space="preserve">—   </w:t>
      </w:r>
      <w:r>
        <w:t>Withholding taxes, if any, are the Client's responsibility and the fee is grossed up accordingly unless a treaty exemption is evidenced.</w:t>
      </w:r>
    </w:p>
    <w:p>
      <w:pPr>
        <w:pStyle w:val="BodyBullet"/>
      </w:pPr>
      <w:r>
        <w:rPr>
          <w:color w:val="3480BC"/>
        </w:rPr>
        <w:t xml:space="preserve">—   </w:t>
      </w:r>
      <w:r>
        <w:t>We may suspend service after [00] days' written notice if an undisputed invoice remains unpaid — see Section 12.4.</w:t>
      </w:r>
    </w:p>
    <w:p>
      <w:pPr>
        <w:sectPr>
          <w:headerReference w:type="default" r:id="rId13"/>
          <w:footerReference w:type="default" r:id="rId14"/>
          <w:pgSz w:w="16838" w:h="11906" w:orient="landscape"/>
          <w:pgMar w:top="964" w:right="1134" w:bottom="794" w:left="1134" w:header="482" w:footer="454" w:gutter="0"/>
          <w:cols w:space="720"/>
        </w:sectPr>
      </w:pPr>
    </w:p>
    <w:p>
      <w:pPr>
        <w:pStyle w:val="Heading1"/>
      </w:pPr>
      <w:bookmarkStart w:id="9043" w:name="_Toc90043"/>
      <w:r>
        <w:t>8. Programme for our Services</w:t>
      </w:r>
      <w:bookmarkEnd w:id="9043"/>
    </w:p>
    <w:p>
      <w:pPr>
        <w:pStyle w:val="BodyLead"/>
      </w:pPr>
      <w:r>
        <w:t>The programme for the service, not for the works. It shows when we mobilise, what we deliver at the end of each stage, and what we depend on from others. Read together with Section 2.4, it is the basis on which any claim for extension of our own term would be assessed.</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023"/>
        <w:gridCol w:w="1118"/>
        <w:gridCol w:w="1224"/>
        <w:gridCol w:w="1224"/>
        <w:gridCol w:w="2129"/>
        <w:gridCol w:w="1920"/>
      </w:tblGrid>
      <w:tr>
        <w:trPr>
          <w:tblHeader w:val="true"/>
          <w:cantSplit w:val="true"/>
        </w:trPr>
        <w:tc>
          <w:tcPr>
            <w:tcW w:w="2023" w:type="dxa"/>
            <w:shd w:val="clear" w:color="auto" w:fill="1D3245"/>
            <w:vAlign w:val="center"/>
          </w:tcPr>
          <w:p>
            <w:pPr>
              <w:pStyle w:val="TableHeader"/>
              <w:jc w:val="left"/>
            </w:pPr>
            <w:r/>
            <w:r>
              <w:t>Stage</w:t>
            </w:r>
          </w:p>
        </w:tc>
        <w:tc>
          <w:tcPr>
            <w:tcW w:w="1118" w:type="dxa"/>
            <w:shd w:val="clear" w:color="auto" w:fill="1D3245"/>
            <w:vAlign w:val="center"/>
          </w:tcPr>
          <w:p>
            <w:pPr>
              <w:pStyle w:val="TableHeader"/>
              <w:jc w:val="left"/>
            </w:pPr>
            <w:r/>
            <w:r>
              <w:t>Duration</w:t>
            </w:r>
          </w:p>
        </w:tc>
        <w:tc>
          <w:tcPr>
            <w:tcW w:w="1224" w:type="dxa"/>
            <w:shd w:val="clear" w:color="auto" w:fill="1D3245"/>
            <w:vAlign w:val="center"/>
          </w:tcPr>
          <w:p>
            <w:pPr>
              <w:pStyle w:val="TableHeader"/>
              <w:jc w:val="left"/>
            </w:pPr>
            <w:r/>
            <w:r>
              <w:t>Start</w:t>
            </w:r>
          </w:p>
        </w:tc>
        <w:tc>
          <w:tcPr>
            <w:tcW w:w="1224" w:type="dxa"/>
            <w:shd w:val="clear" w:color="auto" w:fill="1D3245"/>
            <w:vAlign w:val="center"/>
          </w:tcPr>
          <w:p>
            <w:pPr>
              <w:pStyle w:val="TableHeader"/>
              <w:jc w:val="left"/>
            </w:pPr>
            <w:r/>
            <w:r>
              <w:t>Finish</w:t>
            </w:r>
          </w:p>
        </w:tc>
        <w:tc>
          <w:tcPr>
            <w:tcW w:w="2129" w:type="dxa"/>
            <w:shd w:val="clear" w:color="auto" w:fill="1D3245"/>
            <w:vAlign w:val="center"/>
          </w:tcPr>
          <w:p>
            <w:pPr>
              <w:pStyle w:val="TableHeader"/>
              <w:jc w:val="left"/>
            </w:pPr>
            <w:r/>
            <w:r>
              <w:t>Key dependency</w:t>
            </w:r>
          </w:p>
        </w:tc>
        <w:tc>
          <w:tcPr>
            <w:tcW w:w="1920" w:type="dxa"/>
            <w:shd w:val="clear" w:color="auto" w:fill="1D3245"/>
            <w:vAlign w:val="center"/>
          </w:tcPr>
          <w:p>
            <w:pPr>
              <w:pStyle w:val="TableHeader"/>
              <w:jc w:val="left"/>
            </w:pPr>
            <w:r/>
            <w:r>
              <w:t>Deliverable at stage end</w:t>
            </w:r>
          </w:p>
        </w:tc>
      </w:tr>
      <w:tr>
        <w:trPr>
          <w:cantSplit w:val="true"/>
        </w:trPr>
        <w:tc>
          <w:tcPr>
            <w:tcW w:w="2023" w:type="dxa"/>
            <w:vAlign w:val="center"/>
          </w:tcPr>
          <w:p>
            <w:pPr>
              <w:pStyle w:val="TableTextExample"/>
              <w:jc w:val="left"/>
            </w:pPr>
            <w:r/>
            <w:r>
              <w:t>1. Inception and business case</w:t>
            </w:r>
          </w:p>
        </w:tc>
        <w:tc>
          <w:tcPr>
            <w:tcW w:w="1118" w:type="dxa"/>
            <w:vAlign w:val="center"/>
          </w:tcPr>
          <w:p>
            <w:pPr>
              <w:pStyle w:val="TableTextExample"/>
              <w:jc w:val="left"/>
            </w:pPr>
            <w:r/>
            <w:r>
              <w:t>2 months</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Brief, budget and site information provided at commencement</w:t>
            </w:r>
          </w:p>
        </w:tc>
        <w:tc>
          <w:tcPr>
            <w:tcW w:w="1920" w:type="dxa"/>
            <w:vAlign w:val="center"/>
          </w:tcPr>
          <w:p>
            <w:pPr>
              <w:pStyle w:val="TableTextExample"/>
              <w:jc w:val="left"/>
            </w:pPr>
            <w:r/>
            <w:r>
              <w:t>Project execution plan; controls baseline</w:t>
            </w:r>
          </w:p>
        </w:tc>
      </w:tr>
      <w:tr>
        <w:trPr>
          <w:cantSplit w:val="true"/>
        </w:trPr>
        <w:tc>
          <w:tcPr>
            <w:tcW w:w="2023" w:type="dxa"/>
            <w:vAlign w:val="center"/>
          </w:tcPr>
          <w:p>
            <w:pPr>
              <w:pStyle w:val="TableTextExample"/>
              <w:jc w:val="left"/>
            </w:pPr>
            <w:r/>
            <w:r>
              <w:t>2. Feasibility and options</w:t>
            </w:r>
          </w:p>
        </w:tc>
        <w:tc>
          <w:tcPr>
            <w:tcW w:w="1118" w:type="dxa"/>
            <w:vAlign w:val="center"/>
          </w:tcPr>
          <w:p>
            <w:pPr>
              <w:pStyle w:val="TableTextExample"/>
              <w:jc w:val="left"/>
            </w:pPr>
            <w:r/>
            <w:r>
              <w:t>3 months</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Operational input available for the options workshops</w:t>
            </w:r>
          </w:p>
        </w:tc>
        <w:tc>
          <w:tcPr>
            <w:tcW w:w="1920" w:type="dxa"/>
            <w:vAlign w:val="center"/>
          </w:tcPr>
          <w:p>
            <w:pPr>
              <w:pStyle w:val="TableTextExample"/>
              <w:jc w:val="left"/>
            </w:pPr>
            <w:r/>
            <w:r>
              <w:t>Options assessment report; preferred option endorsed</w:t>
            </w:r>
          </w:p>
        </w:tc>
      </w:tr>
      <w:tr>
        <w:trPr>
          <w:cantSplit w:val="true"/>
        </w:trPr>
        <w:tc>
          <w:tcPr>
            <w:tcW w:w="2023" w:type="dxa"/>
            <w:vAlign w:val="center"/>
          </w:tcPr>
          <w:p>
            <w:pPr>
              <w:pStyle w:val="TableTextExample"/>
              <w:jc w:val="left"/>
            </w:pPr>
            <w:r/>
            <w:r>
              <w:t>3. Design development</w:t>
            </w:r>
          </w:p>
        </w:tc>
        <w:tc>
          <w:tcPr>
            <w:tcW w:w="1118" w:type="dxa"/>
            <w:vAlign w:val="center"/>
          </w:tcPr>
          <w:p>
            <w:pPr>
              <w:pStyle w:val="TableTextExample"/>
              <w:jc w:val="left"/>
            </w:pPr>
            <w:r/>
            <w:r>
              <w:t>8 months</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Design consultants appointed within [00] weeks of commencement</w:t>
            </w:r>
          </w:p>
        </w:tc>
        <w:tc>
          <w:tcPr>
            <w:tcW w:w="1920" w:type="dxa"/>
            <w:vAlign w:val="center"/>
          </w:tcPr>
          <w:p>
            <w:pPr>
              <w:pStyle w:val="TableTextExample"/>
              <w:jc w:val="left"/>
            </w:pPr>
            <w:r/>
            <w:r>
              <w:t>Design frozen for tender; reconciled cost plan</w:t>
            </w:r>
          </w:p>
        </w:tc>
      </w:tr>
      <w:tr>
        <w:trPr>
          <w:cantSplit w:val="true"/>
        </w:trPr>
        <w:tc>
          <w:tcPr>
            <w:tcW w:w="2023" w:type="dxa"/>
            <w:vAlign w:val="center"/>
          </w:tcPr>
          <w:p>
            <w:pPr>
              <w:pStyle w:val="TableTextExample"/>
              <w:jc w:val="left"/>
            </w:pPr>
            <w:r/>
            <w:r>
              <w:t>4. Procurement and tendering</w:t>
            </w:r>
          </w:p>
        </w:tc>
        <w:tc>
          <w:tcPr>
            <w:tcW w:w="1118" w:type="dxa"/>
            <w:vAlign w:val="center"/>
          </w:tcPr>
          <w:p>
            <w:pPr>
              <w:pStyle w:val="TableTextExample"/>
              <w:jc w:val="left"/>
            </w:pPr>
            <w:r/>
            <w:r>
              <w:t>5 months</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Contract terms and legal review provided by the Client</w:t>
            </w:r>
          </w:p>
        </w:tc>
        <w:tc>
          <w:tcPr>
            <w:tcW w:w="1920" w:type="dxa"/>
            <w:vAlign w:val="center"/>
          </w:tcPr>
          <w:p>
            <w:pPr>
              <w:pStyle w:val="TableTextExample"/>
              <w:jc w:val="left"/>
            </w:pPr>
            <w:r/>
            <w:r>
              <w:t>Tender evaluation report; executed head contract</w:t>
            </w:r>
          </w:p>
        </w:tc>
      </w:tr>
      <w:tr>
        <w:trPr>
          <w:cantSplit w:val="true"/>
        </w:trPr>
        <w:tc>
          <w:tcPr>
            <w:tcW w:w="2023" w:type="dxa"/>
            <w:vAlign w:val="center"/>
          </w:tcPr>
          <w:p>
            <w:pPr>
              <w:pStyle w:val="TableTextExample"/>
              <w:jc w:val="left"/>
            </w:pPr>
            <w:r/>
            <w:r>
              <w:t>5. Construction delivery</w:t>
            </w:r>
          </w:p>
        </w:tc>
        <w:tc>
          <w:tcPr>
            <w:tcW w:w="1118" w:type="dxa"/>
            <w:vAlign w:val="center"/>
          </w:tcPr>
          <w:p>
            <w:pPr>
              <w:pStyle w:val="TableTextExample"/>
              <w:jc w:val="left"/>
            </w:pPr>
            <w:r/>
            <w:r>
              <w:t>16 months</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Site access granted on the contractual date</w:t>
            </w:r>
          </w:p>
        </w:tc>
        <w:tc>
          <w:tcPr>
            <w:tcW w:w="1920" w:type="dxa"/>
            <w:vAlign w:val="center"/>
          </w:tcPr>
          <w:p>
            <w:pPr>
              <w:pStyle w:val="TableTextExample"/>
              <w:jc w:val="left"/>
            </w:pPr>
            <w:r/>
            <w:r>
              <w:t>Practical completion achieved</w:t>
            </w:r>
          </w:p>
        </w:tc>
      </w:tr>
      <w:tr>
        <w:trPr>
          <w:cantSplit w:val="true"/>
        </w:trPr>
        <w:tc>
          <w:tcPr>
            <w:tcW w:w="2023" w:type="dxa"/>
            <w:vAlign w:val="center"/>
          </w:tcPr>
          <w:p>
            <w:pPr>
              <w:pStyle w:val="TableTextExample"/>
              <w:jc w:val="left"/>
            </w:pPr>
            <w:r/>
            <w:r>
              <w:t>6. Commissioning and handover</w:t>
            </w:r>
          </w:p>
        </w:tc>
        <w:tc>
          <w:tcPr>
            <w:tcW w:w="1118" w:type="dxa"/>
            <w:vAlign w:val="center"/>
          </w:tcPr>
          <w:p>
            <w:pPr>
              <w:pStyle w:val="TableTextExample"/>
              <w:jc w:val="left"/>
            </w:pPr>
            <w:r/>
            <w:r>
              <w:t>3 months</w:t>
            </w:r>
          </w:p>
          <w:p>
            <w:pPr>
              <w:pStyle w:val="TableTextExample"/>
              <w:jc w:val="left"/>
            </w:pPr>
            <w:r>
              <w:t>(within Stage 5)</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Operational resources released for readiness activities</w:t>
            </w:r>
          </w:p>
        </w:tc>
        <w:tc>
          <w:tcPr>
            <w:tcW w:w="1920" w:type="dxa"/>
            <w:vAlign w:val="center"/>
          </w:tcPr>
          <w:p>
            <w:pPr>
              <w:pStyle w:val="TableTextExample"/>
              <w:jc w:val="left"/>
            </w:pPr>
            <w:r/>
            <w:r>
              <w:t>Asset handed over and occupied</w:t>
            </w:r>
          </w:p>
        </w:tc>
      </w:tr>
      <w:tr>
        <w:trPr>
          <w:cantSplit w:val="true"/>
        </w:trPr>
        <w:tc>
          <w:tcPr>
            <w:tcW w:w="2023" w:type="dxa"/>
            <w:vAlign w:val="center"/>
          </w:tcPr>
          <w:p>
            <w:pPr>
              <w:pStyle w:val="TableTextExample"/>
              <w:jc w:val="left"/>
            </w:pPr>
            <w:r/>
            <w:r>
              <w:t>7. Defects liability and closeout</w:t>
            </w:r>
          </w:p>
        </w:tc>
        <w:tc>
          <w:tcPr>
            <w:tcW w:w="1118" w:type="dxa"/>
            <w:vAlign w:val="center"/>
          </w:tcPr>
          <w:p>
            <w:pPr>
              <w:pStyle w:val="TableTextExample"/>
              <w:jc w:val="left"/>
            </w:pPr>
            <w:r/>
            <w:r>
              <w:t>12 months</w:t>
            </w:r>
          </w:p>
        </w:tc>
        <w:tc>
          <w:tcPr>
            <w:tcW w:w="1224" w:type="dxa"/>
            <w:vAlign w:val="center"/>
          </w:tcPr>
          <w:p>
            <w:pPr>
              <w:pStyle w:val="TableTextExample"/>
              <w:jc w:val="left"/>
            </w:pPr>
            <w:r/>
            <w:r>
              <w:t>[DD/MM/YY]</w:t>
            </w:r>
          </w:p>
        </w:tc>
        <w:tc>
          <w:tcPr>
            <w:tcW w:w="1224" w:type="dxa"/>
            <w:vAlign w:val="center"/>
          </w:tcPr>
          <w:p>
            <w:pPr>
              <w:pStyle w:val="TableTextExample"/>
              <w:jc w:val="left"/>
            </w:pPr>
            <w:r/>
            <w:r>
              <w:t>[DD/MM/YY]</w:t>
            </w:r>
          </w:p>
        </w:tc>
        <w:tc>
          <w:tcPr>
            <w:tcW w:w="2129" w:type="dxa"/>
            <w:vAlign w:val="center"/>
          </w:tcPr>
          <w:p>
            <w:pPr>
              <w:pStyle w:val="TableTextExample"/>
              <w:jc w:val="left"/>
            </w:pPr>
            <w:r/>
            <w:r>
              <w:t>Defects reported by the Client as they arise</w:t>
            </w:r>
          </w:p>
        </w:tc>
        <w:tc>
          <w:tcPr>
            <w:tcW w:w="1920" w:type="dxa"/>
            <w:vAlign w:val="center"/>
          </w:tcPr>
          <w:p>
            <w:pPr>
              <w:pStyle w:val="TableTextExample"/>
              <w:jc w:val="left"/>
            </w:pPr>
            <w:r/>
            <w:r>
              <w:t>Final account settled; closeout and benefits report</w:t>
            </w:r>
          </w:p>
        </w:tc>
      </w:tr>
      <w:tr>
        <w:trPr>
          <w:cantSplit w:val="true"/>
        </w:trPr>
        <w:tc>
          <w:tcPr>
            <w:tcW w:w="2023" w:type="dxa"/>
            <w:vAlign w:val="center"/>
          </w:tcPr>
          <w:p>
            <w:pPr>
              <w:pStyle w:val="TableText"/>
              <w:jc w:val="left"/>
            </w:pPr>
            <w:r/>
            <w:r>
              <w:t>[Insert stage]</w:t>
            </w:r>
          </w:p>
        </w:tc>
        <w:tc>
          <w:tcPr>
            <w:tcW w:w="1118" w:type="dxa"/>
            <w:vAlign w:val="center"/>
          </w:tcPr>
          <w:p>
            <w:pPr>
              <w:pStyle w:val="TableText"/>
              <w:jc w:val="left"/>
            </w:pPr>
            <w:r/>
            <w:r>
              <w:t>[00] months</w:t>
            </w:r>
          </w:p>
        </w:tc>
        <w:tc>
          <w:tcPr>
            <w:tcW w:w="1224" w:type="dxa"/>
            <w:vAlign w:val="center"/>
          </w:tcPr>
          <w:p>
            <w:pPr>
              <w:pStyle w:val="TableText"/>
              <w:jc w:val="left"/>
            </w:pPr>
            <w:r/>
            <w:r>
              <w:t>[DD/MM/YY]</w:t>
            </w:r>
          </w:p>
        </w:tc>
        <w:tc>
          <w:tcPr>
            <w:tcW w:w="1224" w:type="dxa"/>
            <w:vAlign w:val="center"/>
          </w:tcPr>
          <w:p>
            <w:pPr>
              <w:pStyle w:val="TableText"/>
              <w:jc w:val="left"/>
            </w:pPr>
            <w:r/>
            <w:r>
              <w:t>[DD/MM/YY]</w:t>
            </w:r>
          </w:p>
        </w:tc>
        <w:tc>
          <w:tcPr>
            <w:tcW w:w="2129" w:type="dxa"/>
            <w:vAlign w:val="center"/>
          </w:tcPr>
          <w:p>
            <w:pPr>
              <w:pStyle w:val="TableText"/>
              <w:jc w:val="left"/>
            </w:pPr>
            <w:r/>
            <w:r>
              <w:t>[Insert the dependency on the Client or a third party]</w:t>
            </w:r>
          </w:p>
        </w:tc>
        <w:tc>
          <w:tcPr>
            <w:tcW w:w="1920" w:type="dxa"/>
            <w:vAlign w:val="center"/>
          </w:tcPr>
          <w:p>
            <w:pPr>
              <w:pStyle w:val="TableText"/>
              <w:jc w:val="left"/>
            </w:pPr>
            <w:r/>
            <w:r>
              <w:t>[Insert deliverable]</w:t>
            </w:r>
          </w:p>
        </w:tc>
      </w:tr>
    </w:tbl>
    <w:p>
      <w:pPr>
        <w:pStyle w:val="Note"/>
      </w:pPr>
      <w:r>
        <w:t>Example row shown in grey italic — delete before use. All dates assume the commencement date stated on the cover and that the appointment is executed by [DD/MM/YY]. Where stages overlap, say so — an apparently sequential programme that is actually concurrent understates the peak resourcing and therefore the fee. If commencement slips, the stage dates move by the same interval and the escalation date in Section 7.5 moves with them.</w:t>
      </w:r>
    </w:p>
    <w:p>
      <w:pPr>
        <w:pStyle w:val="Heading1"/>
      </w:pPr>
      <w:bookmarkStart w:id="9044" w:name="_Toc90044"/>
      <w:r>
        <w:t>9. Value We Add</w:t>
      </w:r>
      <w:bookmarkEnd w:id="9044"/>
    </w:p>
    <w:p>
      <w:pPr>
        <w:pStyle w:val="BodyLead"/>
      </w:pPr>
      <w:r>
        <w:t>Claims of value are only persuasive if they are mechanical — if the reader can see how the saving arises and how it would be demonstrated afterwards. State the mechanism, give an order of magnitude drawn from projects you can name, and state how the benefit will be evidenced on this project. Do not state a benefit you would be embarrassed to be measured against.</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861"/>
        <w:gridCol w:w="2924"/>
        <w:gridCol w:w="2326"/>
        <w:gridCol w:w="2527"/>
      </w:tblGrid>
      <w:tr>
        <w:trPr>
          <w:tblHeader w:val="true"/>
          <w:cantSplit w:val="true"/>
        </w:trPr>
        <w:tc>
          <w:tcPr>
            <w:tcW w:w="1861" w:type="dxa"/>
            <w:shd w:val="clear" w:color="auto" w:fill="1D3245"/>
            <w:vAlign w:val="center"/>
          </w:tcPr>
          <w:p>
            <w:pPr>
              <w:pStyle w:val="TableHeader"/>
              <w:jc w:val="left"/>
            </w:pPr>
            <w:r/>
            <w:r>
              <w:t>Value lever</w:t>
            </w:r>
          </w:p>
        </w:tc>
        <w:tc>
          <w:tcPr>
            <w:tcW w:w="2924" w:type="dxa"/>
            <w:shd w:val="clear" w:color="auto" w:fill="1D3245"/>
            <w:vAlign w:val="center"/>
          </w:tcPr>
          <w:p>
            <w:pPr>
              <w:pStyle w:val="TableHeader"/>
              <w:jc w:val="left"/>
            </w:pPr>
            <w:r/>
            <w:r>
              <w:t>Mechanism</w:t>
            </w:r>
          </w:p>
        </w:tc>
        <w:tc>
          <w:tcPr>
            <w:tcW w:w="2326" w:type="dxa"/>
            <w:shd w:val="clear" w:color="auto" w:fill="1D3245"/>
            <w:vAlign w:val="center"/>
          </w:tcPr>
          <w:p>
            <w:pPr>
              <w:pStyle w:val="TableHeader"/>
              <w:jc w:val="left"/>
            </w:pPr>
            <w:r/>
            <w:r>
              <w:t>Typical order of benefit</w:t>
            </w:r>
          </w:p>
        </w:tc>
        <w:tc>
          <w:tcPr>
            <w:tcW w:w="2527" w:type="dxa"/>
            <w:shd w:val="clear" w:color="auto" w:fill="1D3245"/>
            <w:vAlign w:val="center"/>
          </w:tcPr>
          <w:p>
            <w:pPr>
              <w:pStyle w:val="TableHeader"/>
              <w:jc w:val="left"/>
            </w:pPr>
            <w:r/>
            <w:r>
              <w:t>How it will be evidenced</w:t>
            </w:r>
          </w:p>
        </w:tc>
      </w:tr>
      <w:tr>
        <w:trPr>
          <w:cantSplit w:val="true"/>
        </w:trPr>
        <w:tc>
          <w:tcPr>
            <w:tcW w:w="1861" w:type="dxa"/>
            <w:vAlign w:val="center"/>
          </w:tcPr>
          <w:p>
            <w:pPr>
              <w:pStyle w:val="TableTextExample"/>
              <w:jc w:val="left"/>
            </w:pPr>
            <w:r/>
            <w:r>
              <w:t>Early procurement of long-lead plant</w:t>
            </w:r>
          </w:p>
        </w:tc>
        <w:tc>
          <w:tcPr>
            <w:tcW w:w="2924" w:type="dxa"/>
            <w:vAlign w:val="center"/>
          </w:tcPr>
          <w:p>
            <w:pPr>
              <w:pStyle w:val="TableTextExample"/>
              <w:jc w:val="left"/>
            </w:pPr>
            <w:r/>
            <w:r>
              <w:t>Ordering critical plant as an early works package before the main award removes it from the critical path</w:t>
            </w:r>
          </w:p>
        </w:tc>
        <w:tc>
          <w:tcPr>
            <w:tcW w:w="2326" w:type="dxa"/>
            <w:vAlign w:val="center"/>
          </w:tcPr>
          <w:p>
            <w:pPr>
              <w:pStyle w:val="TableTextExample"/>
              <w:jc w:val="left"/>
            </w:pPr>
            <w:r/>
            <w:r>
              <w:t>4–8 weeks of programme, and avoidance of the time-related preliminaries that follow it</w:t>
            </w:r>
          </w:p>
        </w:tc>
        <w:tc>
          <w:tcPr>
            <w:tcW w:w="2527" w:type="dxa"/>
            <w:vAlign w:val="center"/>
          </w:tcPr>
          <w:p>
            <w:pPr>
              <w:pStyle w:val="TableTextExample"/>
              <w:jc w:val="left"/>
            </w:pPr>
            <w:r/>
            <w:r>
              <w:t>Long-lead register with order dates against required-on-site dates and float reported monthly</w:t>
            </w:r>
          </w:p>
        </w:tc>
      </w:tr>
      <w:tr>
        <w:trPr>
          <w:cantSplit w:val="true"/>
        </w:trPr>
        <w:tc>
          <w:tcPr>
            <w:tcW w:w="1861" w:type="dxa"/>
            <w:vAlign w:val="center"/>
          </w:tcPr>
          <w:p>
            <w:pPr>
              <w:pStyle w:val="TableTextExample"/>
              <w:jc w:val="left"/>
            </w:pPr>
            <w:r/>
            <w:r>
              <w:t>Change control before instruction</w:t>
            </w:r>
          </w:p>
        </w:tc>
        <w:tc>
          <w:tcPr>
            <w:tcW w:w="2924" w:type="dxa"/>
            <w:vAlign w:val="center"/>
          </w:tcPr>
          <w:p>
            <w:pPr>
              <w:pStyle w:val="TableTextExample"/>
              <w:jc w:val="left"/>
            </w:pPr>
            <w:r/>
            <w:r>
              <w:t>Pricing and programming every change before it is instructed preserves the Client's negotiating position</w:t>
            </w:r>
          </w:p>
        </w:tc>
        <w:tc>
          <w:tcPr>
            <w:tcW w:w="2326" w:type="dxa"/>
            <w:vAlign w:val="center"/>
          </w:tcPr>
          <w:p>
            <w:pPr>
              <w:pStyle w:val="TableTextExample"/>
              <w:jc w:val="left"/>
            </w:pPr>
            <w:r/>
            <w:r>
              <w:t>3–7 % of the value of change, and a measurable reduction in disputed claims</w:t>
            </w:r>
          </w:p>
        </w:tc>
        <w:tc>
          <w:tcPr>
            <w:tcW w:w="2527" w:type="dxa"/>
            <w:vAlign w:val="center"/>
          </w:tcPr>
          <w:p>
            <w:pPr>
              <w:pStyle w:val="TableTextExample"/>
              <w:jc w:val="left"/>
            </w:pPr>
            <w:r/>
            <w:r>
              <w:t>Change register showing assessed value against instructed value, reported at each gateway</w:t>
            </w:r>
          </w:p>
        </w:tc>
      </w:tr>
      <w:tr>
        <w:trPr>
          <w:cantSplit w:val="true"/>
        </w:trPr>
        <w:tc>
          <w:tcPr>
            <w:tcW w:w="1861" w:type="dxa"/>
            <w:vAlign w:val="center"/>
          </w:tcPr>
          <w:p>
            <w:pPr>
              <w:pStyle w:val="TableTextExample"/>
              <w:jc w:val="left"/>
            </w:pPr>
            <w:r/>
            <w:r>
              <w:t>Documentation completeness audit before tender</w:t>
            </w:r>
          </w:p>
        </w:tc>
        <w:tc>
          <w:tcPr>
            <w:tcW w:w="2924" w:type="dxa"/>
            <w:vAlign w:val="center"/>
          </w:tcPr>
          <w:p>
            <w:pPr>
              <w:pStyle w:val="TableTextExample"/>
              <w:jc w:val="left"/>
            </w:pPr>
            <w:r/>
            <w:r>
              <w:t>Tendering on complete information reduces provisional sums, qualifications and later claims</w:t>
            </w:r>
          </w:p>
        </w:tc>
        <w:tc>
          <w:tcPr>
            <w:tcW w:w="2326" w:type="dxa"/>
            <w:vAlign w:val="center"/>
          </w:tcPr>
          <w:p>
            <w:pPr>
              <w:pStyle w:val="TableTextExample"/>
              <w:jc w:val="left"/>
            </w:pPr>
            <w:r/>
            <w:r>
              <w:t>1–3 % of contract value in reduced provisional sums and priced risk</w:t>
            </w:r>
          </w:p>
        </w:tc>
        <w:tc>
          <w:tcPr>
            <w:tcW w:w="2527" w:type="dxa"/>
            <w:vAlign w:val="center"/>
          </w:tcPr>
          <w:p>
            <w:pPr>
              <w:pStyle w:val="TableTextExample"/>
              <w:jc w:val="left"/>
            </w:pPr>
            <w:r/>
            <w:r>
              <w:t>Provisional sum value at award compared with the pre-audit cost plan</w:t>
            </w:r>
          </w:p>
        </w:tc>
      </w:tr>
      <w:tr>
        <w:trPr>
          <w:cantSplit w:val="true"/>
        </w:trPr>
        <w:tc>
          <w:tcPr>
            <w:tcW w:w="1861" w:type="dxa"/>
            <w:vAlign w:val="center"/>
          </w:tcPr>
          <w:p>
            <w:pPr>
              <w:pStyle w:val="TableTextExample"/>
              <w:jc w:val="left"/>
            </w:pPr>
            <w:r/>
            <w:r>
              <w:t>Quantified risk against contingency</w:t>
            </w:r>
          </w:p>
        </w:tc>
        <w:tc>
          <w:tcPr>
            <w:tcW w:w="2924" w:type="dxa"/>
            <w:vAlign w:val="center"/>
          </w:tcPr>
          <w:p>
            <w:pPr>
              <w:pStyle w:val="TableTextExample"/>
              <w:jc w:val="left"/>
            </w:pPr>
            <w:r/>
            <w:r>
              <w:t>Sizing contingency against modelled exposure rather than a flat percentage releases capital that would otherwise sit idle</w:t>
            </w:r>
          </w:p>
        </w:tc>
        <w:tc>
          <w:tcPr>
            <w:tcW w:w="2326" w:type="dxa"/>
            <w:vAlign w:val="center"/>
          </w:tcPr>
          <w:p>
            <w:pPr>
              <w:pStyle w:val="TableTextExample"/>
              <w:jc w:val="left"/>
            </w:pPr>
            <w:r/>
            <w:r>
              <w:t>Release of unneeded contingency at gateways, or early warning that it is inadequate</w:t>
            </w:r>
          </w:p>
        </w:tc>
        <w:tc>
          <w:tcPr>
            <w:tcW w:w="2527" w:type="dxa"/>
            <w:vAlign w:val="center"/>
          </w:tcPr>
          <w:p>
            <w:pPr>
              <w:pStyle w:val="TableTextExample"/>
              <w:jc w:val="left"/>
            </w:pPr>
            <w:r/>
            <w:r>
              <w:t>Contingency cover ratio reported monthly; drawdown against quantified exposure</w:t>
            </w:r>
          </w:p>
        </w:tc>
      </w:tr>
      <w:tr>
        <w:trPr>
          <w:cantSplit w:val="true"/>
        </w:trPr>
        <w:tc>
          <w:tcPr>
            <w:tcW w:w="1861" w:type="dxa"/>
            <w:vAlign w:val="center"/>
          </w:tcPr>
          <w:p>
            <w:pPr>
              <w:pStyle w:val="TableTextExample"/>
              <w:jc w:val="left"/>
            </w:pPr>
            <w:r/>
            <w:r>
              <w:t>Single source of controls data</w:t>
            </w:r>
          </w:p>
        </w:tc>
        <w:tc>
          <w:tcPr>
            <w:tcW w:w="2924" w:type="dxa"/>
            <w:vAlign w:val="center"/>
          </w:tcPr>
          <w:p>
            <w:pPr>
              <w:pStyle w:val="TableTextExample"/>
              <w:jc w:val="left"/>
            </w:pPr>
            <w:r/>
            <w:r>
              <w:t>One record for cost, change, risk and reporting removes reconciliation effort and the disputes it generates</w:t>
            </w:r>
          </w:p>
        </w:tc>
        <w:tc>
          <w:tcPr>
            <w:tcW w:w="2326" w:type="dxa"/>
            <w:vAlign w:val="center"/>
          </w:tcPr>
          <w:p>
            <w:pPr>
              <w:pStyle w:val="TableTextExample"/>
              <w:jc w:val="left"/>
            </w:pPr>
            <w:r/>
            <w:r>
              <w:t>[00] hours per period of client-side effort, and faster gateway decisions</w:t>
            </w:r>
          </w:p>
        </w:tc>
        <w:tc>
          <w:tcPr>
            <w:tcW w:w="2527" w:type="dxa"/>
            <w:vAlign w:val="center"/>
          </w:tcPr>
          <w:p>
            <w:pPr>
              <w:pStyle w:val="TableTextExample"/>
              <w:jc w:val="left"/>
            </w:pPr>
            <w:r/>
            <w:r>
              <w:t>Reporting cycle time from data cut-off to issue, and the reconciliation variance to the Client's ledger</w:t>
            </w:r>
          </w:p>
        </w:tc>
      </w:tr>
      <w:tr>
        <w:trPr>
          <w:cantSplit w:val="true"/>
        </w:trPr>
        <w:tc>
          <w:tcPr>
            <w:tcW w:w="1861" w:type="dxa"/>
            <w:vAlign w:val="center"/>
          </w:tcPr>
          <w:p>
            <w:pPr>
              <w:pStyle w:val="TableTextExample"/>
              <w:jc w:val="left"/>
            </w:pPr>
            <w:r/>
            <w:r>
              <w:t>Operational readiness driven from the design stage</w:t>
            </w:r>
          </w:p>
        </w:tc>
        <w:tc>
          <w:tcPr>
            <w:tcW w:w="2924" w:type="dxa"/>
            <w:vAlign w:val="center"/>
          </w:tcPr>
          <w:p>
            <w:pPr>
              <w:pStyle w:val="TableTextExample"/>
              <w:jc w:val="left"/>
            </w:pPr>
            <w:r/>
            <w:r>
              <w:t>Bringing operations into design review avoids late change and handover delay</w:t>
            </w:r>
          </w:p>
        </w:tc>
        <w:tc>
          <w:tcPr>
            <w:tcW w:w="2326" w:type="dxa"/>
            <w:vAlign w:val="center"/>
          </w:tcPr>
          <w:p>
            <w:pPr>
              <w:pStyle w:val="TableTextExample"/>
              <w:jc w:val="left"/>
            </w:pPr>
            <w:r/>
            <w:r>
              <w:t>Avoidance of late clinical or operational variations, typically the most expensive category of change</w:t>
            </w:r>
          </w:p>
        </w:tc>
        <w:tc>
          <w:tcPr>
            <w:tcW w:w="2527" w:type="dxa"/>
            <w:vAlign w:val="center"/>
          </w:tcPr>
          <w:p>
            <w:pPr>
              <w:pStyle w:val="TableTextExample"/>
              <w:jc w:val="left"/>
            </w:pPr>
            <w:r/>
            <w:r>
              <w:t>Count and value of operationally driven changes after design freeze</w:t>
            </w:r>
          </w:p>
        </w:tc>
      </w:tr>
      <w:tr>
        <w:trPr>
          <w:cantSplit w:val="true"/>
        </w:trPr>
        <w:tc>
          <w:tcPr>
            <w:tcW w:w="1861" w:type="dxa"/>
            <w:vAlign w:val="center"/>
          </w:tcPr>
          <w:p>
            <w:pPr>
              <w:pStyle w:val="TableText"/>
              <w:jc w:val="left"/>
            </w:pPr>
            <w:r/>
            <w:r>
              <w:t>[Insert lever]</w:t>
            </w:r>
          </w:p>
        </w:tc>
        <w:tc>
          <w:tcPr>
            <w:tcW w:w="2924" w:type="dxa"/>
            <w:vAlign w:val="center"/>
          </w:tcPr>
          <w:p>
            <w:pPr>
              <w:pStyle w:val="TableText"/>
              <w:jc w:val="left"/>
            </w:pPr>
            <w:r/>
            <w:r>
              <w:t>[Insert the mechanism in one sentence]</w:t>
            </w:r>
          </w:p>
        </w:tc>
        <w:tc>
          <w:tcPr>
            <w:tcW w:w="2326" w:type="dxa"/>
            <w:vAlign w:val="center"/>
          </w:tcPr>
          <w:p>
            <w:pPr>
              <w:pStyle w:val="TableText"/>
              <w:jc w:val="left"/>
            </w:pPr>
            <w:r/>
            <w:r>
              <w:t>[Insert an order of magnitude you can defend]</w:t>
            </w:r>
          </w:p>
        </w:tc>
        <w:tc>
          <w:tcPr>
            <w:tcW w:w="2527" w:type="dxa"/>
            <w:vAlign w:val="center"/>
          </w:tcPr>
          <w:p>
            <w:pPr>
              <w:pStyle w:val="TableText"/>
              <w:jc w:val="left"/>
            </w:pPr>
            <w:r/>
            <w:r>
              <w:t>[Insert the measure and where it will be reported]</w:t>
            </w:r>
          </w:p>
        </w:tc>
      </w:tr>
    </w:tbl>
    <w:p>
      <w:pPr>
        <w:pStyle w:val="Note"/>
      </w:pPr>
      <w:r>
        <w:t>Example content shown in grey italic — delete before use. Use ranges, not single figures, and name the projects the ranges come from if the Client asks. Delete any row you cannot evidence — one unsupported claim discredits the rest of the table.</w:t>
      </w:r>
    </w:p>
    <w:p>
      <w:pPr>
        <w:pStyle w:val="Heading1"/>
      </w:pPr>
      <w:bookmarkStart w:id="9045" w:name="_Toc90045"/>
      <w:r>
        <w:t>10. Relevant Experience</w:t>
      </w:r>
      <w:bookmarkEnd w:id="9045"/>
    </w:p>
    <w:p>
      <w:pPr>
        <w:pStyle w:val="BodyLead"/>
      </w:pPr>
      <w:r>
        <w:t>Three projects, chosen for relevance rather than size: same asset type, same delivery model, same jurisdiction, or the same problem the Client is facing. Include the outcome, including where it was difficult, and include a contactable referee. A case study without a referee is a brochure.</w:t>
      </w:r>
    </w:p>
    <w:p>
      <w:pPr>
        <w:pStyle w:val="Heading3"/>
      </w:pPr>
      <w:bookmarkStart w:id="9046" w:name="_Toc90046"/>
      <w:r>
        <w:t>Case study 1 — [insert project name]</w:t>
      </w:r>
      <w:bookmarkEnd w:id="9046"/>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853"/>
        <w:gridCol w:w="7785"/>
      </w:tblGrid>
      <w:tr>
        <w:trPr>
          <w:tblHeader w:val="true"/>
          <w:cantSplit w:val="true"/>
        </w:trPr>
        <w:tc>
          <w:tcPr>
            <w:tcW w:w="1853" w:type="dxa"/>
            <w:shd w:val="clear" w:color="auto" w:fill="1D3245"/>
            <w:vAlign w:val="center"/>
          </w:tcPr>
          <w:p>
            <w:pPr>
              <w:pStyle w:val="TableHeader"/>
              <w:jc w:val="left"/>
            </w:pPr>
            <w:r/>
            <w:r>
              <w:t>Item</w:t>
            </w:r>
          </w:p>
        </w:tc>
        <w:tc>
          <w:tcPr>
            <w:tcW w:w="7785" w:type="dxa"/>
            <w:shd w:val="clear" w:color="auto" w:fill="1D3245"/>
            <w:vAlign w:val="center"/>
          </w:tcPr>
          <w:p>
            <w:pPr>
              <w:pStyle w:val="TableHeader"/>
              <w:jc w:val="left"/>
            </w:pPr>
            <w:r/>
            <w:r>
              <w:t>Detail</w:t>
            </w:r>
          </w:p>
        </w:tc>
      </w:tr>
      <w:tr>
        <w:trPr>
          <w:cantSplit w:val="true"/>
        </w:trPr>
        <w:tc>
          <w:tcPr>
            <w:tcW w:w="1853" w:type="dxa"/>
            <w:vAlign w:val="center"/>
          </w:tcPr>
          <w:p>
            <w:pPr>
              <w:pStyle w:val="TableTextExample"/>
              <w:jc w:val="left"/>
            </w:pPr>
            <w:r/>
            <w:r>
              <w:t>Client</w:t>
            </w:r>
          </w:p>
        </w:tc>
        <w:tc>
          <w:tcPr>
            <w:tcW w:w="7785" w:type="dxa"/>
            <w:vAlign w:val="center"/>
          </w:tcPr>
          <w:p>
            <w:pPr>
              <w:pStyle w:val="TableTextExample"/>
              <w:jc w:val="left"/>
            </w:pPr>
            <w:r/>
            <w:r>
              <w:t>Northbank Health Authority — Capital Delivery Office</w:t>
            </w:r>
          </w:p>
        </w:tc>
      </w:tr>
      <w:tr>
        <w:trPr>
          <w:cantSplit w:val="true"/>
        </w:trPr>
        <w:tc>
          <w:tcPr>
            <w:tcW w:w="1853" w:type="dxa"/>
            <w:vAlign w:val="center"/>
          </w:tcPr>
          <w:p>
            <w:pPr>
              <w:pStyle w:val="TableTextExample"/>
              <w:jc w:val="left"/>
            </w:pPr>
            <w:r/>
            <w:r>
              <w:t>Capital value</w:t>
            </w:r>
          </w:p>
        </w:tc>
        <w:tc>
          <w:tcPr>
            <w:tcW w:w="7785" w:type="dxa"/>
            <w:vAlign w:val="center"/>
          </w:tcPr>
          <w:p>
            <w:pPr>
              <w:pStyle w:val="TableTextExample"/>
              <w:jc w:val="left"/>
            </w:pPr>
            <w:r/>
            <w:r>
              <w:t>[CUR] 310 million (construction), [CUR] 372 million (total project cost)</w:t>
            </w:r>
          </w:p>
        </w:tc>
      </w:tr>
      <w:tr>
        <w:trPr>
          <w:cantSplit w:val="true"/>
        </w:trPr>
        <w:tc>
          <w:tcPr>
            <w:tcW w:w="1853" w:type="dxa"/>
            <w:vAlign w:val="center"/>
          </w:tcPr>
          <w:p>
            <w:pPr>
              <w:pStyle w:val="TableTextExample"/>
              <w:jc w:val="left"/>
            </w:pPr>
            <w:r/>
            <w:r>
              <w:t>Scope</w:t>
            </w:r>
          </w:p>
        </w:tc>
        <w:tc>
          <w:tcPr>
            <w:tcW w:w="7785" w:type="dxa"/>
            <w:vAlign w:val="center"/>
          </w:tcPr>
          <w:p>
            <w:pPr>
              <w:pStyle w:val="TableTextExample"/>
              <w:jc w:val="left"/>
            </w:pPr>
            <w:r/>
            <w:r>
              <w:t>New 240-bed acute inpatient building, central sterile services department and campus-wide services upgrade, constructed alongside a fully operating acute hospital</w:t>
            </w:r>
          </w:p>
        </w:tc>
      </w:tr>
      <w:tr>
        <w:trPr>
          <w:cantSplit w:val="true"/>
        </w:trPr>
        <w:tc>
          <w:tcPr>
            <w:tcW w:w="1853" w:type="dxa"/>
            <w:vAlign w:val="center"/>
          </w:tcPr>
          <w:p>
            <w:pPr>
              <w:pStyle w:val="TableTextExample"/>
              <w:jc w:val="left"/>
            </w:pPr>
            <w:r/>
            <w:r>
              <w:t>Our role</w:t>
            </w:r>
          </w:p>
        </w:tc>
        <w:tc>
          <w:tcPr>
            <w:tcW w:w="7785" w:type="dxa"/>
            <w:vAlign w:val="center"/>
          </w:tcPr>
          <w:p>
            <w:pPr>
              <w:pStyle w:val="TableTextExample"/>
              <w:jc w:val="left"/>
            </w:pPr>
            <w:r/>
            <w:r>
              <w:t>Client-side project management and project controls, Stages 1–7, including procurement of eleven trade packages and administration support to the Superintendent / Contract Administrator</w:t>
            </w:r>
          </w:p>
        </w:tc>
      </w:tr>
      <w:tr>
        <w:trPr>
          <w:cantSplit w:val="true"/>
        </w:trPr>
        <w:tc>
          <w:tcPr>
            <w:tcW w:w="1853" w:type="dxa"/>
            <w:vAlign w:val="center"/>
          </w:tcPr>
          <w:p>
            <w:pPr>
              <w:pStyle w:val="TableTextExample"/>
              <w:jc w:val="left"/>
            </w:pPr>
            <w:r/>
            <w:r>
              <w:t>Duration</w:t>
            </w:r>
          </w:p>
        </w:tc>
        <w:tc>
          <w:tcPr>
            <w:tcW w:w="7785" w:type="dxa"/>
            <w:vAlign w:val="center"/>
          </w:tcPr>
          <w:p>
            <w:pPr>
              <w:pStyle w:val="TableTextExample"/>
              <w:jc w:val="left"/>
            </w:pPr>
            <w:r/>
            <w:r>
              <w:t>42 months, from business case to final account</w:t>
            </w:r>
          </w:p>
        </w:tc>
      </w:tr>
      <w:tr>
        <w:trPr>
          <w:cantSplit w:val="true"/>
        </w:trPr>
        <w:tc>
          <w:tcPr>
            <w:tcW w:w="1853" w:type="dxa"/>
            <w:vAlign w:val="center"/>
          </w:tcPr>
          <w:p>
            <w:pPr>
              <w:pStyle w:val="TableTextExample"/>
              <w:jc w:val="left"/>
            </w:pPr>
            <w:r/>
            <w:r>
              <w:t>Outcome</w:t>
            </w:r>
          </w:p>
        </w:tc>
        <w:tc>
          <w:tcPr>
            <w:tcW w:w="7785" w:type="dxa"/>
            <w:vAlign w:val="center"/>
          </w:tcPr>
          <w:p>
            <w:pPr>
              <w:pStyle w:val="TableTextExample"/>
              <w:jc w:val="left"/>
            </w:pPr>
            <w:r/>
            <w:r>
              <w:t>Completed eleven days ahead of the contractual date with the final account settled 0.6 % below the approved budget. Contingency of [CUR] 4.1 million released at the Stage 5 gateway following requantification of the residual risk. No claims proceeded past the first tier of the contractual dispute process</w:t>
            </w:r>
          </w:p>
        </w:tc>
      </w:tr>
      <w:tr>
        <w:trPr>
          <w:cantSplit w:val="true"/>
        </w:trPr>
        <w:tc>
          <w:tcPr>
            <w:tcW w:w="1853" w:type="dxa"/>
            <w:vAlign w:val="center"/>
          </w:tcPr>
          <w:p>
            <w:pPr>
              <w:pStyle w:val="TableTextExample"/>
              <w:jc w:val="left"/>
            </w:pPr>
            <w:r/>
            <w:r>
              <w:t>Referee</w:t>
            </w:r>
          </w:p>
        </w:tc>
        <w:tc>
          <w:tcPr>
            <w:tcW w:w="7785" w:type="dxa"/>
            <w:vAlign w:val="center"/>
          </w:tcPr>
          <w:p>
            <w:pPr>
              <w:pStyle w:val="TableTextExample"/>
              <w:jc w:val="left"/>
            </w:pPr>
            <w:r/>
            <w:r>
              <w:t>[Name], [Role], [Client entity] — [telephone], [email]. Contact permitted; please advise us before contacting</w:t>
            </w:r>
          </w:p>
        </w:tc>
      </w:tr>
    </w:tbl>
    <w:p>
      <w:pPr>
        <w:pStyle w:val="Note"/>
      </w:pPr>
      <w:r>
        <w:t>Example content shown in grey italic — delete before use. Replace the whole block. Keep the row structure — evaluators score against a consistent structure and penalise case studies that omit a field.</w:t>
      </w:r>
    </w:p>
    <w:p>
      <w:pPr>
        <w:pStyle w:val="Heading3"/>
      </w:pPr>
      <w:bookmarkStart w:id="9047" w:name="_Toc90047"/>
      <w:r>
        <w:t>Case study 2 — [insert project name]</w:t>
      </w:r>
      <w:bookmarkEnd w:id="9047"/>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853"/>
        <w:gridCol w:w="7785"/>
      </w:tblGrid>
      <w:tr>
        <w:trPr>
          <w:tblHeader w:val="true"/>
          <w:cantSplit w:val="true"/>
        </w:trPr>
        <w:tc>
          <w:tcPr>
            <w:tcW w:w="1853" w:type="dxa"/>
            <w:shd w:val="clear" w:color="auto" w:fill="1D3245"/>
            <w:vAlign w:val="center"/>
          </w:tcPr>
          <w:p>
            <w:pPr>
              <w:pStyle w:val="TableHeader"/>
              <w:jc w:val="left"/>
            </w:pPr>
            <w:r/>
            <w:r>
              <w:t>Item</w:t>
            </w:r>
          </w:p>
        </w:tc>
        <w:tc>
          <w:tcPr>
            <w:tcW w:w="7785" w:type="dxa"/>
            <w:shd w:val="clear" w:color="auto" w:fill="1D3245"/>
            <w:vAlign w:val="center"/>
          </w:tcPr>
          <w:p>
            <w:pPr>
              <w:pStyle w:val="TableHeader"/>
              <w:jc w:val="left"/>
            </w:pPr>
            <w:r/>
            <w:r>
              <w:t>Detail</w:t>
            </w:r>
          </w:p>
        </w:tc>
      </w:tr>
      <w:tr>
        <w:trPr>
          <w:cantSplit w:val="true"/>
        </w:trPr>
        <w:tc>
          <w:tcPr>
            <w:tcW w:w="1853" w:type="dxa"/>
            <w:vAlign w:val="center"/>
          </w:tcPr>
          <w:p>
            <w:pPr>
              <w:pStyle w:val="TableText"/>
              <w:jc w:val="left"/>
            </w:pPr>
            <w:r/>
            <w:r>
              <w:t>Client</w:t>
            </w:r>
          </w:p>
        </w:tc>
        <w:tc>
          <w:tcPr>
            <w:tcW w:w="7785" w:type="dxa"/>
            <w:vAlign w:val="center"/>
          </w:tcPr>
          <w:p>
            <w:pPr>
              <w:pStyle w:val="TableText"/>
              <w:jc w:val="left"/>
            </w:pPr>
            <w:r/>
            <w:r>
              <w:t>[Insert client entity]</w:t>
            </w:r>
          </w:p>
        </w:tc>
      </w:tr>
      <w:tr>
        <w:trPr>
          <w:cantSplit w:val="true"/>
        </w:trPr>
        <w:tc>
          <w:tcPr>
            <w:tcW w:w="1853" w:type="dxa"/>
            <w:vAlign w:val="center"/>
          </w:tcPr>
          <w:p>
            <w:pPr>
              <w:pStyle w:val="TableText"/>
              <w:jc w:val="left"/>
            </w:pPr>
            <w:r/>
            <w:r>
              <w:t>Capital value</w:t>
            </w:r>
          </w:p>
        </w:tc>
        <w:tc>
          <w:tcPr>
            <w:tcW w:w="7785" w:type="dxa"/>
            <w:vAlign w:val="center"/>
          </w:tcPr>
          <w:p>
            <w:pPr>
              <w:pStyle w:val="TableText"/>
              <w:jc w:val="left"/>
            </w:pPr>
            <w:r/>
            <w:r>
              <w:t>[CUR] [0] million</w:t>
            </w:r>
          </w:p>
        </w:tc>
      </w:tr>
      <w:tr>
        <w:trPr>
          <w:cantSplit w:val="true"/>
        </w:trPr>
        <w:tc>
          <w:tcPr>
            <w:tcW w:w="1853" w:type="dxa"/>
            <w:vAlign w:val="center"/>
          </w:tcPr>
          <w:p>
            <w:pPr>
              <w:pStyle w:val="TableText"/>
              <w:jc w:val="left"/>
            </w:pPr>
            <w:r/>
            <w:r>
              <w:t>Scope</w:t>
            </w:r>
          </w:p>
        </w:tc>
        <w:tc>
          <w:tcPr>
            <w:tcW w:w="7785" w:type="dxa"/>
            <w:vAlign w:val="center"/>
          </w:tcPr>
          <w:p>
            <w:pPr>
              <w:pStyle w:val="TableText"/>
              <w:jc w:val="left"/>
            </w:pPr>
            <w:r/>
            <w:r>
              <w:t>[Insert scope in two or three lines, including the constraint that makes it comparable to this project]</w:t>
            </w:r>
          </w:p>
        </w:tc>
      </w:tr>
      <w:tr>
        <w:trPr>
          <w:cantSplit w:val="true"/>
        </w:trPr>
        <w:tc>
          <w:tcPr>
            <w:tcW w:w="1853" w:type="dxa"/>
            <w:vAlign w:val="center"/>
          </w:tcPr>
          <w:p>
            <w:pPr>
              <w:pStyle w:val="TableText"/>
              <w:jc w:val="left"/>
            </w:pPr>
            <w:r/>
            <w:r>
              <w:t>Our role</w:t>
            </w:r>
          </w:p>
        </w:tc>
        <w:tc>
          <w:tcPr>
            <w:tcW w:w="7785" w:type="dxa"/>
            <w:vAlign w:val="center"/>
          </w:tcPr>
          <w:p>
            <w:pPr>
              <w:pStyle w:val="TableText"/>
              <w:jc w:val="left"/>
            </w:pPr>
            <w:r/>
            <w:r>
              <w:t>[Insert the services provided and the stages covered — be honest about what was and was not yours]</w:t>
            </w:r>
          </w:p>
        </w:tc>
      </w:tr>
      <w:tr>
        <w:trPr>
          <w:cantSplit w:val="true"/>
        </w:trPr>
        <w:tc>
          <w:tcPr>
            <w:tcW w:w="1853" w:type="dxa"/>
            <w:vAlign w:val="center"/>
          </w:tcPr>
          <w:p>
            <w:pPr>
              <w:pStyle w:val="TableText"/>
              <w:jc w:val="left"/>
            </w:pPr>
            <w:r/>
            <w:r>
              <w:t>Duration</w:t>
            </w:r>
          </w:p>
        </w:tc>
        <w:tc>
          <w:tcPr>
            <w:tcW w:w="7785" w:type="dxa"/>
            <w:vAlign w:val="center"/>
          </w:tcPr>
          <w:p>
            <w:pPr>
              <w:pStyle w:val="TableText"/>
              <w:jc w:val="left"/>
            </w:pPr>
            <w:r/>
            <w:r>
              <w:t>[00] months, [Month Year] to [Month Year]</w:t>
            </w:r>
          </w:p>
        </w:tc>
      </w:tr>
      <w:tr>
        <w:trPr>
          <w:cantSplit w:val="true"/>
        </w:trPr>
        <w:tc>
          <w:tcPr>
            <w:tcW w:w="1853" w:type="dxa"/>
            <w:vAlign w:val="center"/>
          </w:tcPr>
          <w:p>
            <w:pPr>
              <w:pStyle w:val="TableText"/>
              <w:jc w:val="left"/>
            </w:pPr>
            <w:r/>
            <w:r>
              <w:t>Outcome</w:t>
            </w:r>
          </w:p>
        </w:tc>
        <w:tc>
          <w:tcPr>
            <w:tcW w:w="7785" w:type="dxa"/>
            <w:vAlign w:val="center"/>
          </w:tcPr>
          <w:p>
            <w:pPr>
              <w:pStyle w:val="TableText"/>
              <w:jc w:val="left"/>
            </w:pPr>
            <w:r/>
            <w:r>
              <w:t>[Insert the outcome against time, cost and quality, with figures. Include one difficulty and how it was resolved — evaluators trust a case study that admits one]</w:t>
            </w:r>
          </w:p>
        </w:tc>
      </w:tr>
      <w:tr>
        <w:trPr>
          <w:cantSplit w:val="true"/>
        </w:trPr>
        <w:tc>
          <w:tcPr>
            <w:tcW w:w="1853" w:type="dxa"/>
            <w:vAlign w:val="center"/>
          </w:tcPr>
          <w:p>
            <w:pPr>
              <w:pStyle w:val="TableText"/>
              <w:jc w:val="left"/>
            </w:pPr>
            <w:r/>
            <w:r>
              <w:t>Referee</w:t>
            </w:r>
          </w:p>
        </w:tc>
        <w:tc>
          <w:tcPr>
            <w:tcW w:w="7785" w:type="dxa"/>
            <w:vAlign w:val="center"/>
          </w:tcPr>
          <w:p>
            <w:pPr>
              <w:pStyle w:val="TableText"/>
              <w:jc w:val="left"/>
            </w:pPr>
            <w:r/>
            <w:r>
              <w:t>[Name], [Role], [Client entity] — [telephone], [email]</w:t>
            </w:r>
          </w:p>
        </w:tc>
      </w:tr>
    </w:tbl>
    <w:p>
      <w:pPr>
        <w:pStyle w:val="Heading3"/>
      </w:pPr>
      <w:bookmarkStart w:id="9048" w:name="_Toc90048"/>
      <w:r>
        <w:t>Case study 3 — [insert project name]</w:t>
      </w:r>
      <w:bookmarkEnd w:id="9048"/>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853"/>
        <w:gridCol w:w="7785"/>
      </w:tblGrid>
      <w:tr>
        <w:trPr>
          <w:tblHeader w:val="true"/>
          <w:cantSplit w:val="true"/>
        </w:trPr>
        <w:tc>
          <w:tcPr>
            <w:tcW w:w="1853" w:type="dxa"/>
            <w:shd w:val="clear" w:color="auto" w:fill="1D3245"/>
            <w:vAlign w:val="center"/>
          </w:tcPr>
          <w:p>
            <w:pPr>
              <w:pStyle w:val="TableHeader"/>
              <w:jc w:val="left"/>
            </w:pPr>
            <w:r/>
            <w:r>
              <w:t>Item</w:t>
            </w:r>
          </w:p>
        </w:tc>
        <w:tc>
          <w:tcPr>
            <w:tcW w:w="7785" w:type="dxa"/>
            <w:shd w:val="clear" w:color="auto" w:fill="1D3245"/>
            <w:vAlign w:val="center"/>
          </w:tcPr>
          <w:p>
            <w:pPr>
              <w:pStyle w:val="TableHeader"/>
              <w:jc w:val="left"/>
            </w:pPr>
            <w:r/>
            <w:r>
              <w:t>Detail</w:t>
            </w:r>
          </w:p>
        </w:tc>
      </w:tr>
      <w:tr>
        <w:trPr>
          <w:cantSplit w:val="true"/>
        </w:trPr>
        <w:tc>
          <w:tcPr>
            <w:tcW w:w="1853" w:type="dxa"/>
            <w:vAlign w:val="center"/>
          </w:tcPr>
          <w:p>
            <w:pPr>
              <w:pStyle w:val="TableText"/>
              <w:jc w:val="left"/>
            </w:pPr>
            <w:r/>
            <w:r>
              <w:t>Client</w:t>
            </w:r>
          </w:p>
        </w:tc>
        <w:tc>
          <w:tcPr>
            <w:tcW w:w="7785" w:type="dxa"/>
            <w:vAlign w:val="center"/>
          </w:tcPr>
          <w:p>
            <w:pPr>
              <w:pStyle w:val="TableText"/>
              <w:jc w:val="left"/>
            </w:pPr>
            <w:r/>
            <w:r>
              <w:t>[Insert client entity]</w:t>
            </w:r>
          </w:p>
        </w:tc>
      </w:tr>
      <w:tr>
        <w:trPr>
          <w:cantSplit w:val="true"/>
        </w:trPr>
        <w:tc>
          <w:tcPr>
            <w:tcW w:w="1853" w:type="dxa"/>
            <w:vAlign w:val="center"/>
          </w:tcPr>
          <w:p>
            <w:pPr>
              <w:pStyle w:val="TableText"/>
              <w:jc w:val="left"/>
            </w:pPr>
            <w:r/>
            <w:r>
              <w:t>Capital value</w:t>
            </w:r>
          </w:p>
        </w:tc>
        <w:tc>
          <w:tcPr>
            <w:tcW w:w="7785" w:type="dxa"/>
            <w:vAlign w:val="center"/>
          </w:tcPr>
          <w:p>
            <w:pPr>
              <w:pStyle w:val="TableText"/>
              <w:jc w:val="left"/>
            </w:pPr>
            <w:r/>
            <w:r>
              <w:t>[CUR] [0] million</w:t>
            </w:r>
          </w:p>
        </w:tc>
      </w:tr>
      <w:tr>
        <w:trPr>
          <w:cantSplit w:val="true"/>
        </w:trPr>
        <w:tc>
          <w:tcPr>
            <w:tcW w:w="1853" w:type="dxa"/>
            <w:vAlign w:val="center"/>
          </w:tcPr>
          <w:p>
            <w:pPr>
              <w:pStyle w:val="TableText"/>
              <w:jc w:val="left"/>
            </w:pPr>
            <w:r/>
            <w:r>
              <w:t>Scope</w:t>
            </w:r>
          </w:p>
        </w:tc>
        <w:tc>
          <w:tcPr>
            <w:tcW w:w="7785" w:type="dxa"/>
            <w:vAlign w:val="center"/>
          </w:tcPr>
          <w:p>
            <w:pPr>
              <w:pStyle w:val="TableText"/>
              <w:jc w:val="left"/>
            </w:pPr>
            <w:r/>
            <w:r>
              <w:t>[Insert scope]</w:t>
            </w:r>
          </w:p>
        </w:tc>
      </w:tr>
      <w:tr>
        <w:trPr>
          <w:cantSplit w:val="true"/>
        </w:trPr>
        <w:tc>
          <w:tcPr>
            <w:tcW w:w="1853" w:type="dxa"/>
            <w:vAlign w:val="center"/>
          </w:tcPr>
          <w:p>
            <w:pPr>
              <w:pStyle w:val="TableText"/>
              <w:jc w:val="left"/>
            </w:pPr>
            <w:r/>
            <w:r>
              <w:t>Our role</w:t>
            </w:r>
          </w:p>
        </w:tc>
        <w:tc>
          <w:tcPr>
            <w:tcW w:w="7785" w:type="dxa"/>
            <w:vAlign w:val="center"/>
          </w:tcPr>
          <w:p>
            <w:pPr>
              <w:pStyle w:val="TableText"/>
              <w:jc w:val="left"/>
            </w:pPr>
            <w:r/>
            <w:r>
              <w:t>[Insert role and stages]</w:t>
            </w:r>
          </w:p>
        </w:tc>
      </w:tr>
      <w:tr>
        <w:trPr>
          <w:cantSplit w:val="true"/>
        </w:trPr>
        <w:tc>
          <w:tcPr>
            <w:tcW w:w="1853" w:type="dxa"/>
            <w:vAlign w:val="center"/>
          </w:tcPr>
          <w:p>
            <w:pPr>
              <w:pStyle w:val="TableText"/>
              <w:jc w:val="left"/>
            </w:pPr>
            <w:r/>
            <w:r>
              <w:t>Duration</w:t>
            </w:r>
          </w:p>
        </w:tc>
        <w:tc>
          <w:tcPr>
            <w:tcW w:w="7785" w:type="dxa"/>
            <w:vAlign w:val="center"/>
          </w:tcPr>
          <w:p>
            <w:pPr>
              <w:pStyle w:val="TableText"/>
              <w:jc w:val="left"/>
            </w:pPr>
            <w:r/>
            <w:r>
              <w:t>[00] months, [Month Year] to [Month Year]</w:t>
            </w:r>
          </w:p>
        </w:tc>
      </w:tr>
      <w:tr>
        <w:trPr>
          <w:cantSplit w:val="true"/>
        </w:trPr>
        <w:tc>
          <w:tcPr>
            <w:tcW w:w="1853" w:type="dxa"/>
            <w:vAlign w:val="center"/>
          </w:tcPr>
          <w:p>
            <w:pPr>
              <w:pStyle w:val="TableText"/>
              <w:jc w:val="left"/>
            </w:pPr>
            <w:r/>
            <w:r>
              <w:t>Outcome</w:t>
            </w:r>
          </w:p>
        </w:tc>
        <w:tc>
          <w:tcPr>
            <w:tcW w:w="7785" w:type="dxa"/>
            <w:vAlign w:val="center"/>
          </w:tcPr>
          <w:p>
            <w:pPr>
              <w:pStyle w:val="TableText"/>
              <w:jc w:val="left"/>
            </w:pPr>
            <w:r/>
            <w:r>
              <w:t>[Insert outcome, quantified]</w:t>
            </w:r>
          </w:p>
        </w:tc>
      </w:tr>
      <w:tr>
        <w:trPr>
          <w:cantSplit w:val="true"/>
        </w:trPr>
        <w:tc>
          <w:tcPr>
            <w:tcW w:w="1853" w:type="dxa"/>
            <w:vAlign w:val="center"/>
          </w:tcPr>
          <w:p>
            <w:pPr>
              <w:pStyle w:val="TableText"/>
              <w:jc w:val="left"/>
            </w:pPr>
            <w:r/>
            <w:r>
              <w:t>Referee</w:t>
            </w:r>
          </w:p>
        </w:tc>
        <w:tc>
          <w:tcPr>
            <w:tcW w:w="7785" w:type="dxa"/>
            <w:vAlign w:val="center"/>
          </w:tcPr>
          <w:p>
            <w:pPr>
              <w:pStyle w:val="TableText"/>
              <w:jc w:val="left"/>
            </w:pPr>
            <w:r/>
            <w:r>
              <w:t>[Name], [Role], [Client entity] — [telephone], [email]</w:t>
            </w:r>
          </w:p>
        </w:tc>
      </w:tr>
    </w:tbl>
    <w:p>
      <w:pPr>
        <w:pStyle w:val="Note"/>
      </w:pPr>
      <w:r>
        <w:t>Obtain each referee's consent before naming them, and tell them which project and which team they are being asked about. A referee called cold is worse than no referee.</w:t>
      </w:r>
    </w:p>
    <w:p>
      <w:pPr>
        <w:pStyle w:val="Heading1"/>
      </w:pPr>
      <w:bookmarkStart w:id="9049" w:name="_Toc90049"/>
      <w:r>
        <w:t>11. Risk, Insurance and Compliance</w:t>
      </w:r>
      <w:bookmarkEnd w:id="9049"/>
    </w:p>
    <w:p>
      <w:pPr>
        <w:pStyle w:val="BodyLead"/>
      </w:pPr>
      <w:r>
        <w:t>Compliance information is checked, not read. Provide it in the form the Client's procurement team can verify against its own requirements, and attach the certificates rather than describing them.</w:t>
      </w:r>
    </w:p>
    <w:p>
      <w:pPr>
        <w:pStyle w:val="Heading2"/>
      </w:pPr>
      <w:bookmarkStart w:id="9050" w:name="_Toc90050"/>
      <w:r>
        <w:t>11.1 Insurances held</w:t>
      </w:r>
      <w:bookmarkEnd w:id="9050"/>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916"/>
        <w:gridCol w:w="2409"/>
        <w:gridCol w:w="1648"/>
        <w:gridCol w:w="1394"/>
        <w:gridCol w:w="1271"/>
      </w:tblGrid>
      <w:tr>
        <w:trPr>
          <w:tblHeader w:val="true"/>
          <w:cantSplit w:val="true"/>
        </w:trPr>
        <w:tc>
          <w:tcPr>
            <w:tcW w:w="2916" w:type="dxa"/>
            <w:shd w:val="clear" w:color="auto" w:fill="1D3245"/>
            <w:vAlign w:val="center"/>
          </w:tcPr>
          <w:p>
            <w:pPr>
              <w:pStyle w:val="TableHeader"/>
              <w:jc w:val="left"/>
            </w:pPr>
            <w:r/>
            <w:r>
              <w:t>Cover</w:t>
            </w:r>
          </w:p>
        </w:tc>
        <w:tc>
          <w:tcPr>
            <w:tcW w:w="2409" w:type="dxa"/>
            <w:shd w:val="clear" w:color="auto" w:fill="1D3245"/>
            <w:vAlign w:val="center"/>
          </w:tcPr>
          <w:p>
            <w:pPr>
              <w:pStyle w:val="TableHeader"/>
              <w:jc w:val="left"/>
            </w:pPr>
            <w:r/>
            <w:r>
              <w:t>Limit [CUR]</w:t>
            </w:r>
          </w:p>
        </w:tc>
        <w:tc>
          <w:tcPr>
            <w:tcW w:w="1648" w:type="dxa"/>
            <w:shd w:val="clear" w:color="auto" w:fill="1D3245"/>
            <w:vAlign w:val="center"/>
          </w:tcPr>
          <w:p>
            <w:pPr>
              <w:pStyle w:val="TableHeader"/>
              <w:jc w:val="left"/>
            </w:pPr>
            <w:r/>
            <w:r>
              <w:t>Insurer</w:t>
            </w:r>
          </w:p>
        </w:tc>
        <w:tc>
          <w:tcPr>
            <w:tcW w:w="1394" w:type="dxa"/>
            <w:shd w:val="clear" w:color="auto" w:fill="1D3245"/>
            <w:vAlign w:val="center"/>
          </w:tcPr>
          <w:p>
            <w:pPr>
              <w:pStyle w:val="TableHeader"/>
              <w:jc w:val="left"/>
            </w:pPr>
            <w:r/>
            <w:r>
              <w:t>Policy no.</w:t>
            </w:r>
          </w:p>
        </w:tc>
        <w:tc>
          <w:tcPr>
            <w:tcW w:w="1271" w:type="dxa"/>
            <w:shd w:val="clear" w:color="auto" w:fill="1D3245"/>
            <w:vAlign w:val="center"/>
          </w:tcPr>
          <w:p>
            <w:pPr>
              <w:pStyle w:val="TableHeader"/>
              <w:jc w:val="center"/>
            </w:pPr>
            <w:r/>
            <w:r>
              <w:t>Expiry</w:t>
            </w:r>
          </w:p>
        </w:tc>
      </w:tr>
      <w:tr>
        <w:trPr>
          <w:cantSplit w:val="true"/>
        </w:trPr>
        <w:tc>
          <w:tcPr>
            <w:tcW w:w="2916" w:type="dxa"/>
            <w:vAlign w:val="center"/>
          </w:tcPr>
          <w:p>
            <w:pPr>
              <w:pStyle w:val="TableTextExample"/>
              <w:jc w:val="left"/>
            </w:pPr>
            <w:r/>
            <w:r>
              <w:t>Professional indemnity</w:t>
            </w:r>
          </w:p>
        </w:tc>
        <w:tc>
          <w:tcPr>
            <w:tcW w:w="2409" w:type="dxa"/>
            <w:vAlign w:val="center"/>
          </w:tcPr>
          <w:p>
            <w:pPr>
              <w:pStyle w:val="TableTextExample"/>
              <w:jc w:val="left"/>
            </w:pPr>
            <w:r/>
            <w:r>
              <w:t>20,000,000 any one claim and in the aggregate</w:t>
            </w:r>
          </w:p>
        </w:tc>
        <w:tc>
          <w:tcPr>
            <w:tcW w:w="1648" w:type="dxa"/>
            <w:vAlign w:val="center"/>
          </w:tcPr>
          <w:p>
            <w:pPr>
              <w:pStyle w:val="TableTextExample"/>
              <w:jc w:val="left"/>
            </w:pPr>
            <w:r/>
            <w:r>
              <w:t>[Insurer]</w:t>
            </w:r>
          </w:p>
        </w:tc>
        <w:tc>
          <w:tcPr>
            <w:tcW w:w="1394" w:type="dxa"/>
            <w:vAlign w:val="center"/>
          </w:tcPr>
          <w:p>
            <w:pPr>
              <w:pStyle w:val="TableTextExample"/>
              <w:jc w:val="left"/>
            </w:pPr>
            <w:r/>
            <w:r>
              <w:t>[Number]</w:t>
            </w:r>
          </w:p>
        </w:tc>
        <w:tc>
          <w:tcPr>
            <w:tcW w:w="1271" w:type="dxa"/>
            <w:vAlign w:val="center"/>
          </w:tcPr>
          <w:p>
            <w:pPr>
              <w:pStyle w:val="TableTextExample"/>
              <w:jc w:val="center"/>
            </w:pPr>
            <w:r/>
            <w:r>
              <w:t>[DD/MM/YY]</w:t>
            </w:r>
          </w:p>
        </w:tc>
      </w:tr>
      <w:tr>
        <w:trPr>
          <w:cantSplit w:val="true"/>
        </w:trPr>
        <w:tc>
          <w:tcPr>
            <w:tcW w:w="2916" w:type="dxa"/>
            <w:vAlign w:val="center"/>
          </w:tcPr>
          <w:p>
            <w:pPr>
              <w:pStyle w:val="TableTextExample"/>
              <w:jc w:val="left"/>
            </w:pPr>
            <w:r/>
            <w:r>
              <w:t>Public and products liability</w:t>
            </w:r>
          </w:p>
        </w:tc>
        <w:tc>
          <w:tcPr>
            <w:tcW w:w="2409" w:type="dxa"/>
            <w:vAlign w:val="center"/>
          </w:tcPr>
          <w:p>
            <w:pPr>
              <w:pStyle w:val="TableTextExample"/>
              <w:jc w:val="left"/>
            </w:pPr>
            <w:r/>
            <w:r>
              <w:t>20,000,000 any one occurrence</w:t>
            </w:r>
          </w:p>
        </w:tc>
        <w:tc>
          <w:tcPr>
            <w:tcW w:w="1648" w:type="dxa"/>
            <w:vAlign w:val="center"/>
          </w:tcPr>
          <w:p>
            <w:pPr>
              <w:pStyle w:val="TableTextExample"/>
              <w:jc w:val="left"/>
            </w:pPr>
            <w:r/>
            <w:r>
              <w:t>[Insurer]</w:t>
            </w:r>
          </w:p>
        </w:tc>
        <w:tc>
          <w:tcPr>
            <w:tcW w:w="1394" w:type="dxa"/>
            <w:vAlign w:val="center"/>
          </w:tcPr>
          <w:p>
            <w:pPr>
              <w:pStyle w:val="TableTextExample"/>
              <w:jc w:val="left"/>
            </w:pPr>
            <w:r/>
            <w:r>
              <w:t>[Number]</w:t>
            </w:r>
          </w:p>
        </w:tc>
        <w:tc>
          <w:tcPr>
            <w:tcW w:w="1271" w:type="dxa"/>
            <w:vAlign w:val="center"/>
          </w:tcPr>
          <w:p>
            <w:pPr>
              <w:pStyle w:val="TableTextExample"/>
              <w:jc w:val="center"/>
            </w:pPr>
            <w:r/>
            <w:r>
              <w:t>[DD/MM/YY]</w:t>
            </w:r>
          </w:p>
        </w:tc>
      </w:tr>
      <w:tr>
        <w:trPr>
          <w:cantSplit w:val="true"/>
        </w:trPr>
        <w:tc>
          <w:tcPr>
            <w:tcW w:w="2916" w:type="dxa"/>
            <w:vAlign w:val="center"/>
          </w:tcPr>
          <w:p>
            <w:pPr>
              <w:pStyle w:val="TableTextExample"/>
              <w:jc w:val="left"/>
            </w:pPr>
            <w:r/>
            <w:r>
              <w:t>Workers compensation / employers liability</w:t>
            </w:r>
          </w:p>
        </w:tc>
        <w:tc>
          <w:tcPr>
            <w:tcW w:w="2409" w:type="dxa"/>
            <w:vAlign w:val="center"/>
          </w:tcPr>
          <w:p>
            <w:pPr>
              <w:pStyle w:val="TableTextExample"/>
              <w:jc w:val="left"/>
            </w:pPr>
            <w:r/>
            <w:r>
              <w:t>As required by [insert applicable jurisdiction's legislation]</w:t>
            </w:r>
          </w:p>
        </w:tc>
        <w:tc>
          <w:tcPr>
            <w:tcW w:w="1648" w:type="dxa"/>
            <w:vAlign w:val="center"/>
          </w:tcPr>
          <w:p>
            <w:pPr>
              <w:pStyle w:val="TableTextExample"/>
              <w:jc w:val="left"/>
            </w:pPr>
            <w:r/>
            <w:r>
              <w:t>[Insurer]</w:t>
            </w:r>
          </w:p>
        </w:tc>
        <w:tc>
          <w:tcPr>
            <w:tcW w:w="1394" w:type="dxa"/>
            <w:vAlign w:val="center"/>
          </w:tcPr>
          <w:p>
            <w:pPr>
              <w:pStyle w:val="TableTextExample"/>
              <w:jc w:val="left"/>
            </w:pPr>
            <w:r/>
            <w:r>
              <w:t>[Number]</w:t>
            </w:r>
          </w:p>
        </w:tc>
        <w:tc>
          <w:tcPr>
            <w:tcW w:w="1271" w:type="dxa"/>
            <w:vAlign w:val="center"/>
          </w:tcPr>
          <w:p>
            <w:pPr>
              <w:pStyle w:val="TableTextExample"/>
              <w:jc w:val="center"/>
            </w:pPr>
            <w:r/>
            <w:r>
              <w:t>[DD/MM/YY]</w:t>
            </w:r>
          </w:p>
        </w:tc>
      </w:tr>
      <w:tr>
        <w:trPr>
          <w:cantSplit w:val="true"/>
        </w:trPr>
        <w:tc>
          <w:tcPr>
            <w:tcW w:w="2916" w:type="dxa"/>
            <w:vAlign w:val="center"/>
          </w:tcPr>
          <w:p>
            <w:pPr>
              <w:pStyle w:val="TableTextExample"/>
              <w:jc w:val="left"/>
            </w:pPr>
            <w:r/>
            <w:r>
              <w:t>Cyber and data liability</w:t>
            </w:r>
          </w:p>
        </w:tc>
        <w:tc>
          <w:tcPr>
            <w:tcW w:w="2409" w:type="dxa"/>
            <w:vAlign w:val="center"/>
          </w:tcPr>
          <w:p>
            <w:pPr>
              <w:pStyle w:val="TableTextExample"/>
              <w:jc w:val="left"/>
            </w:pPr>
            <w:r/>
            <w:r>
              <w:t>5,000,000 any one claim</w:t>
            </w:r>
          </w:p>
        </w:tc>
        <w:tc>
          <w:tcPr>
            <w:tcW w:w="1648" w:type="dxa"/>
            <w:vAlign w:val="center"/>
          </w:tcPr>
          <w:p>
            <w:pPr>
              <w:pStyle w:val="TableTextExample"/>
              <w:jc w:val="left"/>
            </w:pPr>
            <w:r/>
            <w:r>
              <w:t>[Insurer]</w:t>
            </w:r>
          </w:p>
        </w:tc>
        <w:tc>
          <w:tcPr>
            <w:tcW w:w="1394" w:type="dxa"/>
            <w:vAlign w:val="center"/>
          </w:tcPr>
          <w:p>
            <w:pPr>
              <w:pStyle w:val="TableTextExample"/>
              <w:jc w:val="left"/>
            </w:pPr>
            <w:r/>
            <w:r>
              <w:t>[Number]</w:t>
            </w:r>
          </w:p>
        </w:tc>
        <w:tc>
          <w:tcPr>
            <w:tcW w:w="1271" w:type="dxa"/>
            <w:vAlign w:val="center"/>
          </w:tcPr>
          <w:p>
            <w:pPr>
              <w:pStyle w:val="TableTextExample"/>
              <w:jc w:val="center"/>
            </w:pPr>
            <w:r/>
            <w:r>
              <w:t>[DD/MM/YY]</w:t>
            </w:r>
          </w:p>
        </w:tc>
      </w:tr>
      <w:tr>
        <w:trPr>
          <w:cantSplit w:val="true"/>
        </w:trPr>
        <w:tc>
          <w:tcPr>
            <w:tcW w:w="2916" w:type="dxa"/>
            <w:vAlign w:val="center"/>
          </w:tcPr>
          <w:p>
            <w:pPr>
              <w:pStyle w:val="TableTextExample"/>
              <w:jc w:val="left"/>
            </w:pPr>
            <w:r/>
            <w:r>
              <w:t>Management liability</w:t>
            </w:r>
          </w:p>
        </w:tc>
        <w:tc>
          <w:tcPr>
            <w:tcW w:w="2409" w:type="dxa"/>
            <w:vAlign w:val="center"/>
          </w:tcPr>
          <w:p>
            <w:pPr>
              <w:pStyle w:val="TableTextExample"/>
              <w:jc w:val="left"/>
            </w:pPr>
            <w:r/>
            <w:r>
              <w:t>[0]</w:t>
            </w:r>
          </w:p>
        </w:tc>
        <w:tc>
          <w:tcPr>
            <w:tcW w:w="1648" w:type="dxa"/>
            <w:vAlign w:val="center"/>
          </w:tcPr>
          <w:p>
            <w:pPr>
              <w:pStyle w:val="TableTextExample"/>
              <w:jc w:val="left"/>
            </w:pPr>
            <w:r/>
            <w:r>
              <w:t>[Insurer]</w:t>
            </w:r>
          </w:p>
        </w:tc>
        <w:tc>
          <w:tcPr>
            <w:tcW w:w="1394" w:type="dxa"/>
            <w:vAlign w:val="center"/>
          </w:tcPr>
          <w:p>
            <w:pPr>
              <w:pStyle w:val="TableTextExample"/>
              <w:jc w:val="left"/>
            </w:pPr>
            <w:r/>
            <w:r>
              <w:t>[Number]</w:t>
            </w:r>
          </w:p>
        </w:tc>
        <w:tc>
          <w:tcPr>
            <w:tcW w:w="1271" w:type="dxa"/>
            <w:vAlign w:val="center"/>
          </w:tcPr>
          <w:p>
            <w:pPr>
              <w:pStyle w:val="TableTextExample"/>
              <w:jc w:val="center"/>
            </w:pPr>
            <w:r/>
            <w:r>
              <w:t>[DD/MM/YY]</w:t>
            </w:r>
          </w:p>
        </w:tc>
      </w:tr>
      <w:tr>
        <w:trPr>
          <w:cantSplit w:val="true"/>
        </w:trPr>
        <w:tc>
          <w:tcPr>
            <w:tcW w:w="2916" w:type="dxa"/>
            <w:vAlign w:val="center"/>
          </w:tcPr>
          <w:p>
            <w:pPr>
              <w:pStyle w:val="TableText"/>
              <w:jc w:val="left"/>
            </w:pPr>
            <w:r/>
            <w:r>
              <w:t>[Insert cover]</w:t>
            </w:r>
          </w:p>
        </w:tc>
        <w:tc>
          <w:tcPr>
            <w:tcW w:w="2409" w:type="dxa"/>
            <w:vAlign w:val="center"/>
          </w:tcPr>
          <w:p>
            <w:pPr>
              <w:pStyle w:val="TableText"/>
              <w:jc w:val="left"/>
            </w:pPr>
            <w:r/>
            <w:r>
              <w:t>[0]</w:t>
            </w:r>
          </w:p>
        </w:tc>
        <w:tc>
          <w:tcPr>
            <w:tcW w:w="1648" w:type="dxa"/>
            <w:vAlign w:val="center"/>
          </w:tcPr>
          <w:p>
            <w:pPr>
              <w:pStyle w:val="TableText"/>
              <w:jc w:val="left"/>
            </w:pPr>
            <w:r/>
            <w:r>
              <w:t>[Insurer]</w:t>
            </w:r>
          </w:p>
        </w:tc>
        <w:tc>
          <w:tcPr>
            <w:tcW w:w="1394" w:type="dxa"/>
            <w:vAlign w:val="center"/>
          </w:tcPr>
          <w:p>
            <w:pPr>
              <w:pStyle w:val="TableText"/>
              <w:jc w:val="left"/>
            </w:pPr>
            <w:r/>
            <w:r>
              <w:t>[Number]</w:t>
            </w:r>
          </w:p>
        </w:tc>
        <w:tc>
          <w:tcPr>
            <w:tcW w:w="1271" w:type="dxa"/>
            <w:vAlign w:val="center"/>
          </w:tcPr>
          <w:p>
            <w:pPr>
              <w:pStyle w:val="TableTextCentre"/>
              <w:jc w:val="center"/>
            </w:pPr>
            <w:r/>
            <w:r>
              <w:t>[DD/MM/YY]</w:t>
            </w:r>
          </w:p>
        </w:tc>
      </w:tr>
    </w:tbl>
    <w:p>
      <w:pPr>
        <w:pStyle w:val="Note"/>
      </w:pPr>
      <w:r>
        <w:t>Example content shown in grey italic — delete before use. Check every limit, and the basis of the professional indemnity limit (any one claim, or in the aggregate) against the Client's contract requirements before issue. Where the Client requires a higher limit, a project-specific policy can usually be arranged and its cost is an additional, disclosed item. Professional indemnity is written on a claims-made basis; confirm the run-off period the Client requires after completion. Attach certificates of currency at Appendix B.</w:t>
      </w:r>
    </w:p>
    <w:p>
      <w:pPr>
        <w:pStyle w:val="Heading2"/>
      </w:pPr>
      <w:bookmarkStart w:id="9051" w:name="_Toc90051"/>
      <w:r>
        <w:t>11.2 Conflicts of interest</w:t>
      </w:r>
      <w:bookmarkEnd w:id="9051"/>
    </w:p>
    <w:p>
      <w:pPr>
        <w:pStyle w:val="Body"/>
      </w:pPr>
      <w:r>
        <w:t>We have carried out a conflict check against the Client, the site, the shortlisted contractors and the design consultants named in the tender documents. Our declaration is set out below; it is complete as at the date of issue and we will notify the Client in writing within [00] working days if the position changes during the appointment.</w:t>
      </w:r>
    </w:p>
    <w:p>
      <w:pPr>
        <w:pStyle w:val="Placeholder"/>
      </w:pPr>
      <w:r>
        <w:t>[Insert declaration — either: 'We declare no actual, potential or perceived conflict of interest in relation to this appointment', or a description of each interest, the party affected, why it does not prevent us from acting, and the specific measures proposed to manage it — for example separation of teams, an information barrier, or exclusion of named individuals. Disclose relationships with shortlisted contractors and with any party whose work we would be assessing.]</w:t>
      </w:r>
    </w:p>
    <w:p>
      <w:pPr>
        <w:pStyle w:val="Heading2"/>
      </w:pPr>
      <w:bookmarkStart w:id="9052" w:name="_Toc90052"/>
      <w:r>
        <w:t>11.3 Modern slavery and ethical sourcing</w:t>
      </w:r>
      <w:bookmarkEnd w:id="9052"/>
    </w:p>
    <w:p>
      <w:pPr>
        <w:pStyle w:val="Body"/>
      </w:pPr>
      <w:r>
        <w:t>We maintain a modern slavery and ethical sourcing policy covering our own operations and our supply chain, with supplier pre-qualification, a risk-based due diligence process, a grievance channel and annual reporting. We will comply with the Client's own supplier code of conduct and will provide our policy, our most recent statement where one is required in our jurisdiction, and our supply chain risk assessment on request. Where this appointment involves the procurement of goods with a known elevated risk — certain electrical, textile and stone products among them — we will include origin and labour condition requirements in the tender documentation.</w:t>
      </w:r>
    </w:p>
    <w:p>
      <w:pPr>
        <w:pStyle w:val="Heading2"/>
      </w:pPr>
      <w:bookmarkStart w:id="9053" w:name="_Toc90053"/>
      <w:r>
        <w:t>11.4 Data protection and confidentiality</w:t>
      </w:r>
      <w:bookmarkEnd w:id="9053"/>
    </w:p>
    <w:p>
      <w:pPr>
        <w:pStyle w:val="BodyBullet"/>
      </w:pPr>
      <w:r>
        <w:rPr>
          <w:color w:val="3480BC"/>
        </w:rPr>
        <w:t xml:space="preserve">—   </w:t>
      </w:r>
      <w:r>
        <w:t>Project information is held in access-controlled systems hosted in [insert hosting region], with role-based permissions and logged access.</w:t>
      </w:r>
    </w:p>
    <w:p>
      <w:pPr>
        <w:pStyle w:val="BodyBullet"/>
      </w:pPr>
      <w:r>
        <w:rPr>
          <w:color w:val="3480BC"/>
        </w:rPr>
        <w:t xml:space="preserve">—   </w:t>
      </w:r>
      <w:r>
        <w:t>Personal information is collected and handled only as necessary for the appointment and in accordance with [insert applicable jurisdiction's data protection legislation].</w:t>
      </w:r>
    </w:p>
    <w:p>
      <w:pPr>
        <w:pStyle w:val="BodyBullet"/>
      </w:pPr>
      <w:r>
        <w:rPr>
          <w:color w:val="3480BC"/>
        </w:rPr>
        <w:t xml:space="preserve">—   </w:t>
      </w:r>
      <w:r>
        <w:t>Our staff are bound by written confidentiality obligations that survive the end of their employment.</w:t>
      </w:r>
    </w:p>
    <w:p>
      <w:pPr>
        <w:pStyle w:val="BodyBullet"/>
      </w:pPr>
      <w:r>
        <w:rPr>
          <w:color w:val="3480BC"/>
        </w:rPr>
        <w:t xml:space="preserve">—   </w:t>
      </w:r>
      <w:r>
        <w:t>Any data breach affecting Client information is notified to the Client within [00] hours of detection, together with the containment action taken.</w:t>
      </w:r>
    </w:p>
    <w:p>
      <w:pPr>
        <w:pStyle w:val="BodyBullet"/>
      </w:pPr>
      <w:r>
        <w:rPr>
          <w:color w:val="3480BC"/>
        </w:rPr>
        <w:t xml:space="preserve">—   </w:t>
      </w:r>
      <w:r>
        <w:t>At closeout, project data is exported to the Client in an open, non-proprietary format, and our copies are retained only for the period required by our insurers and by law, then destroyed.</w:t>
      </w:r>
    </w:p>
    <w:p>
      <w:pPr>
        <w:pStyle w:val="BodyBullet"/>
      </w:pPr>
      <w:r>
        <w:rPr>
          <w:color w:val="3480BC"/>
        </w:rPr>
        <w:t xml:space="preserve">—   </w:t>
      </w:r>
      <w:r>
        <w:t>Sub-processors and cloud services used on the project are disclosed on request and are subject to equivalent obligations.</w:t>
      </w:r>
    </w:p>
    <w:p>
      <w:pPr>
        <w:pStyle w:val="Heading2"/>
      </w:pPr>
      <w:bookmarkStart w:id="9054" w:name="_Toc90054"/>
      <w:r>
        <w:t>11.5 Accreditations and management systems</w:t>
      </w:r>
      <w:bookmarkEnd w:id="9054"/>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2860"/>
        <w:gridCol w:w="2860"/>
        <w:gridCol w:w="1367"/>
        <w:gridCol w:w="1367"/>
        <w:gridCol w:w="1184"/>
      </w:tblGrid>
      <w:tr>
        <w:trPr>
          <w:tblHeader w:val="true"/>
          <w:cantSplit w:val="true"/>
        </w:trPr>
        <w:tc>
          <w:tcPr>
            <w:tcW w:w="2860" w:type="dxa"/>
            <w:shd w:val="clear" w:color="auto" w:fill="1D3245"/>
            <w:vAlign w:val="center"/>
          </w:tcPr>
          <w:p>
            <w:pPr>
              <w:pStyle w:val="TableHeader"/>
              <w:jc w:val="left"/>
            </w:pPr>
            <w:r/>
            <w:r>
              <w:t>Standard / accreditation</w:t>
            </w:r>
          </w:p>
        </w:tc>
        <w:tc>
          <w:tcPr>
            <w:tcW w:w="2860" w:type="dxa"/>
            <w:shd w:val="clear" w:color="auto" w:fill="1D3245"/>
            <w:vAlign w:val="center"/>
          </w:tcPr>
          <w:p>
            <w:pPr>
              <w:pStyle w:val="TableHeader"/>
              <w:jc w:val="left"/>
            </w:pPr>
            <w:r/>
            <w:r>
              <w:t>Scope of certification</w:t>
            </w:r>
          </w:p>
        </w:tc>
        <w:tc>
          <w:tcPr>
            <w:tcW w:w="1367" w:type="dxa"/>
            <w:shd w:val="clear" w:color="auto" w:fill="1D3245"/>
            <w:vAlign w:val="center"/>
          </w:tcPr>
          <w:p>
            <w:pPr>
              <w:pStyle w:val="TableHeader"/>
              <w:jc w:val="left"/>
            </w:pPr>
            <w:r/>
            <w:r>
              <w:t>Certificate no.</w:t>
            </w:r>
          </w:p>
        </w:tc>
        <w:tc>
          <w:tcPr>
            <w:tcW w:w="1367" w:type="dxa"/>
            <w:shd w:val="clear" w:color="auto" w:fill="1D3245"/>
            <w:vAlign w:val="center"/>
          </w:tcPr>
          <w:p>
            <w:pPr>
              <w:pStyle w:val="TableHeader"/>
              <w:jc w:val="left"/>
            </w:pPr>
            <w:r/>
            <w:r>
              <w:t>Certifying body</w:t>
            </w:r>
          </w:p>
        </w:tc>
        <w:tc>
          <w:tcPr>
            <w:tcW w:w="1184" w:type="dxa"/>
            <w:shd w:val="clear" w:color="auto" w:fill="1D3245"/>
            <w:vAlign w:val="center"/>
          </w:tcPr>
          <w:p>
            <w:pPr>
              <w:pStyle w:val="TableHeader"/>
              <w:jc w:val="center"/>
            </w:pPr>
            <w:r/>
            <w:r>
              <w:t>Expiry</w:t>
            </w:r>
          </w:p>
        </w:tc>
      </w:tr>
      <w:tr>
        <w:trPr>
          <w:cantSplit w:val="true"/>
        </w:trPr>
        <w:tc>
          <w:tcPr>
            <w:tcW w:w="2860" w:type="dxa"/>
            <w:vAlign w:val="center"/>
          </w:tcPr>
          <w:p>
            <w:pPr>
              <w:pStyle w:val="TableTextExample"/>
              <w:jc w:val="left"/>
            </w:pPr>
            <w:r/>
            <w:r>
              <w:t>ISO 9001 — quality management</w:t>
            </w:r>
          </w:p>
        </w:tc>
        <w:tc>
          <w:tcPr>
            <w:tcW w:w="2860" w:type="dxa"/>
            <w:vAlign w:val="center"/>
          </w:tcPr>
          <w:p>
            <w:pPr>
              <w:pStyle w:val="TableTextExample"/>
              <w:jc w:val="left"/>
            </w:pPr>
            <w:r/>
            <w:r>
              <w:t>Project management and project controls services</w:t>
            </w:r>
          </w:p>
        </w:tc>
        <w:tc>
          <w:tcPr>
            <w:tcW w:w="1367" w:type="dxa"/>
            <w:vAlign w:val="center"/>
          </w:tcPr>
          <w:p>
            <w:pPr>
              <w:pStyle w:val="TableTextExample"/>
              <w:jc w:val="left"/>
            </w:pPr>
            <w:r/>
            <w:r>
              <w:t>[Number]</w:t>
            </w:r>
          </w:p>
        </w:tc>
        <w:tc>
          <w:tcPr>
            <w:tcW w:w="1367" w:type="dxa"/>
            <w:vAlign w:val="center"/>
          </w:tcPr>
          <w:p>
            <w:pPr>
              <w:pStyle w:val="TableTextExample"/>
              <w:jc w:val="left"/>
            </w:pPr>
            <w:r/>
            <w:r>
              <w:t>[Body]</w:t>
            </w:r>
          </w:p>
        </w:tc>
        <w:tc>
          <w:tcPr>
            <w:tcW w:w="1184" w:type="dxa"/>
            <w:vAlign w:val="center"/>
          </w:tcPr>
          <w:p>
            <w:pPr>
              <w:pStyle w:val="TableTextExample"/>
              <w:jc w:val="center"/>
            </w:pPr>
            <w:r/>
            <w:r>
              <w:t>[DD/MM/YY]</w:t>
            </w:r>
          </w:p>
        </w:tc>
      </w:tr>
      <w:tr>
        <w:trPr>
          <w:cantSplit w:val="true"/>
        </w:trPr>
        <w:tc>
          <w:tcPr>
            <w:tcW w:w="2860" w:type="dxa"/>
            <w:vAlign w:val="center"/>
          </w:tcPr>
          <w:p>
            <w:pPr>
              <w:pStyle w:val="TableTextExample"/>
              <w:jc w:val="left"/>
            </w:pPr>
            <w:r/>
            <w:r>
              <w:t>ISO 45001 — occupational health and safety</w:t>
            </w:r>
          </w:p>
        </w:tc>
        <w:tc>
          <w:tcPr>
            <w:tcW w:w="2860" w:type="dxa"/>
            <w:vAlign w:val="center"/>
          </w:tcPr>
          <w:p>
            <w:pPr>
              <w:pStyle w:val="TableTextExample"/>
              <w:jc w:val="left"/>
            </w:pPr>
            <w:r/>
            <w:r>
              <w:t>All operations</w:t>
            </w:r>
          </w:p>
        </w:tc>
        <w:tc>
          <w:tcPr>
            <w:tcW w:w="1367" w:type="dxa"/>
            <w:vAlign w:val="center"/>
          </w:tcPr>
          <w:p>
            <w:pPr>
              <w:pStyle w:val="TableTextExample"/>
              <w:jc w:val="left"/>
            </w:pPr>
            <w:r/>
            <w:r>
              <w:t>[Number]</w:t>
            </w:r>
          </w:p>
        </w:tc>
        <w:tc>
          <w:tcPr>
            <w:tcW w:w="1367" w:type="dxa"/>
            <w:vAlign w:val="center"/>
          </w:tcPr>
          <w:p>
            <w:pPr>
              <w:pStyle w:val="TableTextExample"/>
              <w:jc w:val="left"/>
            </w:pPr>
            <w:r/>
            <w:r>
              <w:t>[Body]</w:t>
            </w:r>
          </w:p>
        </w:tc>
        <w:tc>
          <w:tcPr>
            <w:tcW w:w="1184" w:type="dxa"/>
            <w:vAlign w:val="center"/>
          </w:tcPr>
          <w:p>
            <w:pPr>
              <w:pStyle w:val="TableTextExample"/>
              <w:jc w:val="center"/>
            </w:pPr>
            <w:r/>
            <w:r>
              <w:t>[DD/MM/YY]</w:t>
            </w:r>
          </w:p>
        </w:tc>
      </w:tr>
      <w:tr>
        <w:trPr>
          <w:cantSplit w:val="true"/>
        </w:trPr>
        <w:tc>
          <w:tcPr>
            <w:tcW w:w="2860" w:type="dxa"/>
            <w:vAlign w:val="center"/>
          </w:tcPr>
          <w:p>
            <w:pPr>
              <w:pStyle w:val="TableTextExample"/>
              <w:jc w:val="left"/>
            </w:pPr>
            <w:r/>
            <w:r>
              <w:t>ISO 14001 — environmental management</w:t>
            </w:r>
          </w:p>
        </w:tc>
        <w:tc>
          <w:tcPr>
            <w:tcW w:w="2860" w:type="dxa"/>
            <w:vAlign w:val="center"/>
          </w:tcPr>
          <w:p>
            <w:pPr>
              <w:pStyle w:val="TableTextExample"/>
              <w:jc w:val="left"/>
            </w:pPr>
            <w:r/>
            <w:r>
              <w:t>All operations</w:t>
            </w:r>
          </w:p>
        </w:tc>
        <w:tc>
          <w:tcPr>
            <w:tcW w:w="1367" w:type="dxa"/>
            <w:vAlign w:val="center"/>
          </w:tcPr>
          <w:p>
            <w:pPr>
              <w:pStyle w:val="TableTextExample"/>
              <w:jc w:val="left"/>
            </w:pPr>
            <w:r/>
            <w:r>
              <w:t>[Number]</w:t>
            </w:r>
          </w:p>
        </w:tc>
        <w:tc>
          <w:tcPr>
            <w:tcW w:w="1367" w:type="dxa"/>
            <w:vAlign w:val="center"/>
          </w:tcPr>
          <w:p>
            <w:pPr>
              <w:pStyle w:val="TableTextExample"/>
              <w:jc w:val="left"/>
            </w:pPr>
            <w:r/>
            <w:r>
              <w:t>[Body]</w:t>
            </w:r>
          </w:p>
        </w:tc>
        <w:tc>
          <w:tcPr>
            <w:tcW w:w="1184" w:type="dxa"/>
            <w:vAlign w:val="center"/>
          </w:tcPr>
          <w:p>
            <w:pPr>
              <w:pStyle w:val="TableTextExample"/>
              <w:jc w:val="center"/>
            </w:pPr>
            <w:r/>
            <w:r>
              <w:t>[DD/MM/YY]</w:t>
            </w:r>
          </w:p>
        </w:tc>
      </w:tr>
      <w:tr>
        <w:trPr>
          <w:cantSplit w:val="true"/>
        </w:trPr>
        <w:tc>
          <w:tcPr>
            <w:tcW w:w="2860" w:type="dxa"/>
            <w:vAlign w:val="center"/>
          </w:tcPr>
          <w:p>
            <w:pPr>
              <w:pStyle w:val="TableTextExample"/>
              <w:jc w:val="left"/>
            </w:pPr>
            <w:r/>
            <w:r>
              <w:t>ISO 27001 — information security</w:t>
            </w:r>
          </w:p>
        </w:tc>
        <w:tc>
          <w:tcPr>
            <w:tcW w:w="2860" w:type="dxa"/>
            <w:vAlign w:val="center"/>
          </w:tcPr>
          <w:p>
            <w:pPr>
              <w:pStyle w:val="TableTextExample"/>
              <w:jc w:val="left"/>
            </w:pPr>
            <w:r/>
            <w:r>
              <w:t>Information systems supporting client delivery</w:t>
            </w:r>
          </w:p>
        </w:tc>
        <w:tc>
          <w:tcPr>
            <w:tcW w:w="1367" w:type="dxa"/>
            <w:vAlign w:val="center"/>
          </w:tcPr>
          <w:p>
            <w:pPr>
              <w:pStyle w:val="TableTextExample"/>
              <w:jc w:val="left"/>
            </w:pPr>
            <w:r/>
            <w:r>
              <w:t>[Number]</w:t>
            </w:r>
          </w:p>
        </w:tc>
        <w:tc>
          <w:tcPr>
            <w:tcW w:w="1367" w:type="dxa"/>
            <w:vAlign w:val="center"/>
          </w:tcPr>
          <w:p>
            <w:pPr>
              <w:pStyle w:val="TableTextExample"/>
              <w:jc w:val="left"/>
            </w:pPr>
            <w:r/>
            <w:r>
              <w:t>[Body]</w:t>
            </w:r>
          </w:p>
        </w:tc>
        <w:tc>
          <w:tcPr>
            <w:tcW w:w="1184" w:type="dxa"/>
            <w:vAlign w:val="center"/>
          </w:tcPr>
          <w:p>
            <w:pPr>
              <w:pStyle w:val="TableTextExample"/>
              <w:jc w:val="center"/>
            </w:pPr>
            <w:r/>
            <w:r>
              <w:t>[DD/MM/YY]</w:t>
            </w:r>
          </w:p>
        </w:tc>
      </w:tr>
      <w:tr>
        <w:trPr>
          <w:cantSplit w:val="true"/>
        </w:trPr>
        <w:tc>
          <w:tcPr>
            <w:tcW w:w="2860" w:type="dxa"/>
            <w:vAlign w:val="center"/>
          </w:tcPr>
          <w:p>
            <w:pPr>
              <w:pStyle w:val="TableTextExample"/>
              <w:jc w:val="left"/>
            </w:pPr>
            <w:r/>
            <w:r>
              <w:t>ISO 19650 — information management capability</w:t>
            </w:r>
          </w:p>
        </w:tc>
        <w:tc>
          <w:tcPr>
            <w:tcW w:w="2860" w:type="dxa"/>
            <w:vAlign w:val="center"/>
          </w:tcPr>
          <w:p>
            <w:pPr>
              <w:pStyle w:val="TableTextExample"/>
              <w:jc w:val="left"/>
            </w:pPr>
            <w:r/>
            <w:r>
              <w:t>[Insert whether certified, or aligned but not certified — do not overstate]</w:t>
            </w:r>
          </w:p>
        </w:tc>
        <w:tc>
          <w:tcPr>
            <w:tcW w:w="1367" w:type="dxa"/>
            <w:vAlign w:val="center"/>
          </w:tcPr>
          <w:p>
            <w:pPr>
              <w:pStyle w:val="TableTextExample"/>
              <w:jc w:val="left"/>
            </w:pPr>
            <w:r/>
            <w:r>
              <w:t>[Number]</w:t>
            </w:r>
          </w:p>
        </w:tc>
        <w:tc>
          <w:tcPr>
            <w:tcW w:w="1367" w:type="dxa"/>
            <w:vAlign w:val="center"/>
          </w:tcPr>
          <w:p>
            <w:pPr>
              <w:pStyle w:val="TableTextExample"/>
              <w:jc w:val="left"/>
            </w:pPr>
            <w:r/>
            <w:r>
              <w:t>[Body]</w:t>
            </w:r>
          </w:p>
        </w:tc>
        <w:tc>
          <w:tcPr>
            <w:tcW w:w="1184" w:type="dxa"/>
            <w:vAlign w:val="center"/>
          </w:tcPr>
          <w:p>
            <w:pPr>
              <w:pStyle w:val="TableTextExample"/>
              <w:jc w:val="center"/>
            </w:pPr>
            <w:r/>
            <w:r>
              <w:t>[DD/MM/YY]</w:t>
            </w:r>
          </w:p>
        </w:tc>
      </w:tr>
      <w:tr>
        <w:trPr>
          <w:cantSplit w:val="true"/>
        </w:trPr>
        <w:tc>
          <w:tcPr>
            <w:tcW w:w="2860" w:type="dxa"/>
            <w:vAlign w:val="center"/>
          </w:tcPr>
          <w:p>
            <w:pPr>
              <w:pStyle w:val="TableText"/>
              <w:jc w:val="left"/>
            </w:pPr>
            <w:r/>
            <w:r>
              <w:t>[Insert other accreditation the Client requires]</w:t>
            </w:r>
          </w:p>
        </w:tc>
        <w:tc>
          <w:tcPr>
            <w:tcW w:w="2860" w:type="dxa"/>
            <w:vAlign w:val="center"/>
          </w:tcPr>
          <w:p>
            <w:pPr>
              <w:pStyle w:val="TableText"/>
              <w:jc w:val="left"/>
            </w:pPr>
            <w:r/>
            <w:r>
              <w:t>[Insert scope]</w:t>
            </w:r>
          </w:p>
        </w:tc>
        <w:tc>
          <w:tcPr>
            <w:tcW w:w="1367" w:type="dxa"/>
            <w:vAlign w:val="center"/>
          </w:tcPr>
          <w:p>
            <w:pPr>
              <w:pStyle w:val="TableText"/>
              <w:jc w:val="left"/>
            </w:pPr>
            <w:r/>
            <w:r>
              <w:t>[Number]</w:t>
            </w:r>
          </w:p>
        </w:tc>
        <w:tc>
          <w:tcPr>
            <w:tcW w:w="1367" w:type="dxa"/>
            <w:vAlign w:val="center"/>
          </w:tcPr>
          <w:p>
            <w:pPr>
              <w:pStyle w:val="TableText"/>
              <w:jc w:val="left"/>
            </w:pPr>
            <w:r/>
            <w:r>
              <w:t>[Body]</w:t>
            </w:r>
          </w:p>
        </w:tc>
        <w:tc>
          <w:tcPr>
            <w:tcW w:w="1184" w:type="dxa"/>
            <w:vAlign w:val="center"/>
          </w:tcPr>
          <w:p>
            <w:pPr>
              <w:pStyle w:val="TableTextCentre"/>
              <w:jc w:val="center"/>
            </w:pPr>
            <w:r/>
            <w:r>
              <w:t>[DD/MM/YY]</w:t>
            </w:r>
          </w:p>
        </w:tc>
      </w:tr>
    </w:tbl>
    <w:p>
      <w:pPr>
        <w:pStyle w:val="Note"/>
      </w:pPr>
      <w:r>
        <w:t>Example content shown in grey italic — delete before use. State the scope of each certification, not just the standard number: a certification that covers a different business unit will be discovered at audit. Where a system is aligned to a standard but not certified, say so.</w:t>
      </w:r>
    </w:p>
    <w:p>
      <w:pPr>
        <w:pStyle w:val="Heading1"/>
      </w:pPr>
      <w:bookmarkStart w:id="9055" w:name="_Toc90055"/>
      <w:r>
        <w:t>12. Contractual Terms and Conditions</w:t>
      </w:r>
      <w:bookmarkEnd w:id="9055"/>
    </w:p>
    <w:p>
      <w:pPr>
        <w:pStyle w:val="BodyLead"/>
      </w:pPr>
      <w:r>
        <w:t>The commercial terms on which this offer is made. They are drafting positions, not a substitute for legal advice: have this section reviewed by your own legal adviser, and reconcile it against the Client's own conditions of engagement before issue. Where the Client has issued its own form of agreement, submit departures from it as a schedule of qualifications rather than replacing its clauses.</w:t>
      </w:r>
    </w:p>
    <w:p>
      <w:pPr>
        <w:pStyle w:val="Heading2"/>
      </w:pPr>
      <w:bookmarkStart w:id="9056" w:name="_Toc90056"/>
      <w:r>
        <w:t>12.1 Proposed form of agreement</w:t>
      </w:r>
      <w:bookmarkEnd w:id="9056"/>
    </w:p>
    <w:p>
      <w:pPr>
        <w:pStyle w:val="Body"/>
      </w:pPr>
      <w:r>
        <w:t>We propose that the appointment be documented as [insert intended form — for example a client-side consultancy agreement based on a recognised professional services form, the Client's own conditions of engagement, or a services contract under the NEC or FIDIC suite], incorporating this proposal as the scope and fee schedule. Where this proposal and the executed agreement differ, the agreement prevails. We ask that the following documents be incorporated in this order of precedence: the executed agreement; the scope of services in Section 3; the exclusions in Section 4; the fee proposal in Section 7; and the assumptions in Section 2.4.</w:t>
      </w:r>
    </w:p>
    <w:p>
      <w:pPr>
        <w:pStyle w:val="Heading2"/>
      </w:pPr>
      <w:bookmarkStart w:id="9057" w:name="_Toc90057"/>
      <w:r>
        <w:t>12.2 Limitation of liability</w:t>
      </w:r>
      <w:bookmarkEnd w:id="9057"/>
    </w:p>
    <w:p>
      <w:pPr>
        <w:pStyle w:val="BodyBullet"/>
      </w:pPr>
      <w:r>
        <w:rPr>
          <w:color w:val="3480BC"/>
        </w:rPr>
        <w:t xml:space="preserve">—   </w:t>
      </w:r>
      <w:r>
        <w:t>Our liability is limited to loss directly caused by our breach of the reasonable skill and care obligation, and is capped at [insert the greater of a multiple of the fee or a stated amount — commonly the professional indemnity limit or the fee, whichever the parties agree].</w:t>
      </w:r>
    </w:p>
    <w:p>
      <w:pPr>
        <w:pStyle w:val="BodyBullet"/>
      </w:pPr>
      <w:r>
        <w:rPr>
          <w:color w:val="3480BC"/>
        </w:rPr>
        <w:t xml:space="preserve">—   </w:t>
      </w:r>
      <w:r>
        <w:t>Neither party is liable for indirect or consequential loss, loss of profit, loss of revenue, loss of opportunity or loss of use.</w:t>
      </w:r>
    </w:p>
    <w:p>
      <w:pPr>
        <w:pStyle w:val="BodyBullet"/>
      </w:pPr>
      <w:r>
        <w:rPr>
          <w:color w:val="3480BC"/>
        </w:rPr>
        <w:t xml:space="preserve">—   </w:t>
      </w:r>
      <w:r>
        <w:t>Our liability is proportionate: we are not liable for the acts, omissions or insolvency of the Contractor, the designers or any other party we do not employ.</w:t>
      </w:r>
    </w:p>
    <w:p>
      <w:pPr>
        <w:pStyle w:val="BodyBullet"/>
      </w:pPr>
      <w:r>
        <w:rPr>
          <w:color w:val="3480BC"/>
        </w:rPr>
        <w:t xml:space="preserve">—   </w:t>
      </w:r>
      <w:r>
        <w:t>No claim may be brought later than [00] years after completion of our services or the expiry of the statutory limitation period in [insert governing law jurisdiction], whichever is shorter.</w:t>
      </w:r>
    </w:p>
    <w:p>
      <w:pPr>
        <w:pStyle w:val="BodyBullet"/>
      </w:pPr>
      <w:r>
        <w:rPr>
          <w:color w:val="3480BC"/>
        </w:rPr>
        <w:t xml:space="preserve">—   </w:t>
      </w:r>
      <w:r>
        <w:t>No personal liability attaches to any individual employee, director or officer.</w:t>
      </w:r>
    </w:p>
    <w:p>
      <w:pPr>
        <w:pStyle w:val="BodyBullet"/>
      </w:pPr>
      <w:r>
        <w:rPr>
          <w:color w:val="3480BC"/>
        </w:rPr>
        <w:t xml:space="preserve">—   </w:t>
      </w:r>
      <w:r>
        <w:t>Nothing in this section limits liability that cannot be limited at law.</w:t>
      </w:r>
    </w:p>
    <w:p>
      <w:pPr>
        <w:pStyle w:val="Heading2"/>
      </w:pPr>
      <w:bookmarkStart w:id="9058" w:name="_Toc90058"/>
      <w:r>
        <w:t>12.3 Intellectual property and licence to use deliverables</w:t>
      </w:r>
      <w:bookmarkEnd w:id="9058"/>
    </w:p>
    <w:p>
      <w:pPr>
        <w:pStyle w:val="Body"/>
      </w:pPr>
      <w:r>
        <w:t>Intellectual property in our reports, registers, templates, models and systems remains ours. On payment of the fees properly due, the Client is granted an irrevocable, non-exclusive, transferable licence to use, copy and modify the deliverables prepared for this project, for the purposes of the project and of the ownership, operation, maintenance and disposal of the asset. That licence does not extend to our underlying methods, tools or templates, or to the use of the deliverables on a different project. Where a deliverable incorporates third-party material, the licence is subject to that third party's terms. We may use anonymised project data for benchmarking, and may refer to the project in our statements of capability with the Client's consent.</w:t>
      </w:r>
    </w:p>
    <w:p>
      <w:pPr>
        <w:pStyle w:val="Heading2"/>
      </w:pPr>
      <w:bookmarkStart w:id="9059" w:name="_Toc90059"/>
      <w:r>
        <w:t>12.4 Suspension and termination</w:t>
      </w:r>
      <w:bookmarkEnd w:id="9059"/>
    </w:p>
    <w:p>
      <w:pPr>
        <w:pStyle w:val="BodyBullet"/>
      </w:pPr>
      <w:r>
        <w:rPr>
          <w:color w:val="3480BC"/>
        </w:rPr>
        <w:t xml:space="preserve">—   </w:t>
      </w:r>
      <w:r>
        <w:t>Either party may terminate for convenience on [00] days' written notice; we are paid for services performed and commitments properly incurred to the date of termination.</w:t>
      </w:r>
    </w:p>
    <w:p>
      <w:pPr>
        <w:pStyle w:val="BodyBullet"/>
      </w:pPr>
      <w:r>
        <w:rPr>
          <w:color w:val="3480BC"/>
        </w:rPr>
        <w:t xml:space="preserve">—   </w:t>
      </w:r>
      <w:r>
        <w:t>Either party may terminate for material breach not remedied within [00] days of written notice specifying the breach.</w:t>
      </w:r>
    </w:p>
    <w:p>
      <w:pPr>
        <w:pStyle w:val="BodyBullet"/>
      </w:pPr>
      <w:r>
        <w:rPr>
          <w:color w:val="3480BC"/>
        </w:rPr>
        <w:t xml:space="preserve">—   </w:t>
      </w:r>
      <w:r>
        <w:t>The Client may suspend the service on written notice. Where suspension exceeds [00] days, demobilisation and remobilisation costs are payable and the fee and programme are reviewed; where it exceeds [00] months, either party may terminate.</w:t>
      </w:r>
    </w:p>
    <w:p>
      <w:pPr>
        <w:pStyle w:val="BodyBullet"/>
      </w:pPr>
      <w:r>
        <w:rPr>
          <w:color w:val="3480BC"/>
        </w:rPr>
        <w:t xml:space="preserve">—   </w:t>
      </w:r>
      <w:r>
        <w:t>We may suspend the service after [00] days' written notice where an undisputed invoice remains unpaid, and we are not liable for delay caused by that suspension.</w:t>
      </w:r>
    </w:p>
    <w:p>
      <w:pPr>
        <w:pStyle w:val="BodyBullet"/>
      </w:pPr>
      <w:r>
        <w:rPr>
          <w:color w:val="3480BC"/>
        </w:rPr>
        <w:t xml:space="preserve">—   </w:t>
      </w:r>
      <w:r>
        <w:t>On termination we hand over all project records, registers and data in an open format within [00] working days, and we will provide reasonable transition assistance at the rates in Section 7.7.</w:t>
      </w:r>
    </w:p>
    <w:p>
      <w:pPr>
        <w:pStyle w:val="Heading2"/>
      </w:pPr>
      <w:bookmarkStart w:id="9060" w:name="_Toc90060"/>
      <w:r>
        <w:t>12.5 Dispute resolution</w:t>
      </w:r>
      <w:bookmarkEnd w:id="9060"/>
    </w:p>
    <w:p>
      <w:pPr>
        <w:pStyle w:val="Body"/>
      </w:pPr>
      <w:r>
        <w:t>Disputes are escalated in tiers, and each tier has a time limit so that a dispute cannot be used to defer a decision indefinitely: first, between the Project Manager and the Client's authorised representative within [00] working days; then between senior executives of each party within a further [00] working days; then to mediation by a mediator agreed between the parties or appointed by [insert appointing body]; and only then to [insert arbitration or the courts of the governing law jurisdiction]. Each party continues to perform its obligations, and the Client continues to pay undisputed amounts, while a dispute is being resolved.</w:t>
      </w:r>
    </w:p>
    <w:p>
      <w:pPr>
        <w:pStyle w:val="Heading2"/>
      </w:pPr>
      <w:bookmarkStart w:id="9061" w:name="_Toc90061"/>
      <w:r>
        <w:t>12.6 Governing law and jurisdiction</w:t>
      </w:r>
      <w:bookmarkEnd w:id="9061"/>
    </w:p>
    <w:p>
      <w:pPr>
        <w:pStyle w:val="Body"/>
      </w:pPr>
      <w:r>
        <w:t>This proposal and any resulting agreement are governed by the laws of [insert governing law jurisdiction], and the parties submit to the [exclusive / non-exclusive] jurisdiction of the courts of [insert jurisdiction]. Where the project is located in a different jurisdiction from the Client's place of incorporation, confirm which law applies to the appointment and which applies to the works, and make sure the two are compatible.</w:t>
      </w:r>
    </w:p>
    <w:tbl>
      <w:tblPr>
        <w:tblLook w:firstColumn="1" w:firstRow="1" w:lastColumn="0" w:lastRow="0" w:noHBand="0" w:noVBand="1" w:val="04A0"/>
        <w:tblLayout w:type="fixed"/>
        <w:tblW w:w="9638" w:type="dxa"/>
        <w:tblInd w:w="0" w:type="dxa"/>
        <w:tblCellMar>
          <w:top w:w="110" w:type="dxa"/>
          <w:left w:w="170" w:type="dxa"/>
          <w:bottom w:w="110" w:type="dxa"/>
          <w:right w:w="170" w:type="dxa"/>
        </w:tblCellMar>
      </w:tblPr>
      <w:tblGrid>
        <w:gridCol w:w="9638"/>
      </w:tblGrid>
      <w:tr>
        <w:trPr>
          <w:cantSplit/>
        </w:trPr>
        <w:tc>
          <w:tcPr>
            <w:tcW w:w="9638" w:type="dxa"/>
            <w:shd w:val="clear" w:color="auto" w:fill="FDF3DC"/>
            <w:tcBorders>
              <w:left w:val="single" w:sz="4" w:space="0" w:color="C98A0E"/>
            </w:tcBorders>
          </w:tcPr>
          <w:p>
            <w:pPr>
              <w:pStyle w:val="Body"/>
            </w:pPr>
            <w:r/>
            <w:r>
              <w:t>Before issue, replace every [insert governing law jurisdiction] placeholder in this document and confirm that the limitation period, the insurance basis, the tax treatment and the dispute forum in Section 12 are all consistent with that single jurisdiction. A proposal that mixes jurisdictions is unenforceable in the way its author intended.</w:t>
            </w:r>
          </w:p>
        </w:tc>
      </w:tr>
    </w:tbl>
    <w:p>
      <w:pPr>
        <w:spacing w:before="0" w:after="0" w:line="160" w:lineRule="exact"/>
      </w:pPr>
    </w:p>
    <w:p>
      <w:pPr>
        <w:pStyle w:val="Heading1"/>
      </w:pPr>
      <w:bookmarkStart w:id="9062" w:name="_Toc90062"/>
      <w:r>
        <w:t>13. Acceptance</w:t>
      </w:r>
      <w:bookmarkEnd w:id="9062"/>
    </w:p>
    <w:p>
      <w:pPr>
        <w:pStyle w:val="Body"/>
      </w:pPr>
      <w:r>
        <w:t>This proposal may be accepted by signing and returning this page before the validity expiry date shown on the cover and in the Status of this issue strip. Acceptance creates a binding agreement on the terms of this proposal, pending execution of the formal agreement referred to in Section 12.1.</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4819"/>
        <w:gridCol w:w="4819"/>
      </w:tblGrid>
      <w:tr>
        <w:trPr>
          <w:tblHeader w:val="true"/>
          <w:cantSplit w:val="true"/>
        </w:trPr>
        <w:tc>
          <w:tcPr>
            <w:tcW w:w="4819" w:type="dxa"/>
            <w:shd w:val="clear" w:color="auto" w:fill="1D3245"/>
            <w:vAlign w:val="center"/>
          </w:tcPr>
          <w:p>
            <w:pPr>
              <w:pStyle w:val="TableHeader"/>
              <w:jc w:val="left"/>
            </w:pPr>
            <w:r/>
            <w:r>
              <w:t>Accepted for and on behalf of the Client</w:t>
            </w:r>
          </w:p>
        </w:tc>
        <w:tc>
          <w:tcPr>
            <w:tcW w:w="4819" w:type="dxa"/>
            <w:shd w:val="clear" w:color="auto" w:fill="1D3245"/>
            <w:vAlign w:val="center"/>
          </w:tcPr>
          <w:p>
            <w:pPr>
              <w:pStyle w:val="TableHeader"/>
              <w:jc w:val="left"/>
            </w:pPr>
            <w:r/>
            <w:r>
              <w:t>Accepted for and on behalf of [insert firm name]</w:t>
            </w:r>
          </w:p>
        </w:tc>
      </w:tr>
      <w:tr>
        <w:trPr>
          <w:cantSplit w:val="true"/>
        </w:trPr>
        <w:tc>
          <w:tcPr>
            <w:tcW w:w="4819" w:type="dxa"/>
            <w:vAlign w:val="center"/>
          </w:tcPr>
          <w:p>
            <w:pPr>
              <w:pStyle w:val="TableText"/>
              <w:jc w:val="left"/>
            </w:pPr>
            <w:r/>
            <w:r>
              <w:t>Signature</w:t>
            </w:r>
          </w:p>
          <w:p>
            <w:pPr>
              <w:pStyle w:val="TableText"/>
              <w:jc w:val="left"/>
            </w:pPr>
          </w:p>
          <w:p>
            <w:pPr>
              <w:pStyle w:val="TableText"/>
              <w:jc w:val="left"/>
            </w:pPr>
          </w:p>
          <w:p>
            <w:pPr>
              <w:pStyle w:val="TableText"/>
              <w:jc w:val="left"/>
            </w:pPr>
          </w:p>
          <w:p>
            <w:pPr>
              <w:pStyle w:val="TableText"/>
              <w:jc w:val="left"/>
            </w:pPr>
            <w:r>
              <w:t>Name:  [Name]</w:t>
            </w:r>
          </w:p>
          <w:p>
            <w:pPr>
              <w:pStyle w:val="TableText"/>
              <w:jc w:val="left"/>
            </w:pPr>
            <w:r>
              <w:t>Role:  [Role]</w:t>
            </w:r>
          </w:p>
          <w:p>
            <w:pPr>
              <w:pStyle w:val="TableText"/>
              <w:jc w:val="left"/>
            </w:pPr>
            <w:r>
              <w:t>Authority:  [State the delegation or board approval relied on]</w:t>
            </w:r>
          </w:p>
          <w:p>
            <w:pPr>
              <w:pStyle w:val="TableText"/>
              <w:jc w:val="left"/>
            </w:pPr>
            <w:r>
              <w:t>Date:  [DD/MM/YYYY]</w:t>
            </w:r>
          </w:p>
        </w:tc>
        <w:tc>
          <w:tcPr>
            <w:tcW w:w="4819" w:type="dxa"/>
            <w:vAlign w:val="center"/>
          </w:tcPr>
          <w:p>
            <w:pPr>
              <w:pStyle w:val="TableText"/>
              <w:jc w:val="left"/>
            </w:pPr>
            <w:r/>
            <w:r>
              <w:t>Signature</w:t>
            </w:r>
          </w:p>
          <w:p>
            <w:pPr>
              <w:pStyle w:val="TableText"/>
              <w:jc w:val="left"/>
            </w:pPr>
          </w:p>
          <w:p>
            <w:pPr>
              <w:pStyle w:val="TableText"/>
              <w:jc w:val="left"/>
            </w:pPr>
          </w:p>
          <w:p>
            <w:pPr>
              <w:pStyle w:val="TableText"/>
              <w:jc w:val="left"/>
            </w:pPr>
          </w:p>
          <w:p>
            <w:pPr>
              <w:pStyle w:val="TableText"/>
              <w:jc w:val="left"/>
            </w:pPr>
            <w:r>
              <w:t>Name:  [Name]</w:t>
            </w:r>
          </w:p>
          <w:p>
            <w:pPr>
              <w:pStyle w:val="TableText"/>
              <w:jc w:val="left"/>
            </w:pPr>
            <w:r>
              <w:t>Role:  [Role]</w:t>
            </w:r>
          </w:p>
          <w:p>
            <w:pPr>
              <w:pStyle w:val="TableText"/>
              <w:jc w:val="left"/>
            </w:pPr>
            <w:r>
              <w:t>Authority:  [State the delegation relied on]</w:t>
            </w:r>
          </w:p>
          <w:p>
            <w:pPr>
              <w:pStyle w:val="TableText"/>
              <w:jc w:val="left"/>
            </w:pPr>
            <w:r>
              <w:t>Date:  [DD/MM/YYYY]</w:t>
            </w:r>
          </w:p>
        </w:tc>
      </w:tr>
    </w:tbl>
    <w:p>
      <w:pPr>
        <w:pStyle w:val="Note"/>
      </w:pPr>
      <w:r>
        <w:t>Confirm that the signatory holds the delegated authority for the value of this appointment. An acceptance signed without authority is the most common cause of a disputed mobilisation.</w:t>
      </w:r>
    </w:p>
    <w:p>
      <w:pPr>
        <w:pStyle w:val="Heading2"/>
      </w:pPr>
      <w:bookmarkStart w:id="9063" w:name="_Toc90063"/>
      <w:r>
        <w:t>13.1 Next steps</w:t>
      </w:r>
      <w:bookmarkEnd w:id="9063"/>
    </w:p>
    <w:p>
      <w:pPr>
        <w:pStyle w:val="BodyBullet"/>
      </w:pPr>
      <w:r>
        <w:rPr>
          <w:b/>
          <w:color w:val="1D3245"/>
        </w:rPr>
        <w:t xml:space="preserve">1.   </w:t>
      </w:r>
      <w:r>
        <w:t>Confirm receipt and tell us the evaluation timetable and the date by which you require clarifications.</w:t>
      </w:r>
    </w:p>
    <w:p>
      <w:pPr>
        <w:pStyle w:val="BodyBullet"/>
      </w:pPr>
      <w:r>
        <w:rPr>
          <w:b/>
          <w:color w:val="1D3245"/>
        </w:rPr>
        <w:t xml:space="preserve">2.   </w:t>
      </w:r>
      <w:r>
        <w:t>Raise any clarification in writing; we will respond within [00] working days, and we will re-issue the affected sections rather than answer by email alone.</w:t>
      </w:r>
    </w:p>
    <w:p>
      <w:pPr>
        <w:pStyle w:val="BodyBullet"/>
      </w:pPr>
      <w:r>
        <w:rPr>
          <w:b/>
          <w:color w:val="1D3245"/>
        </w:rPr>
        <w:t xml:space="preserve">3.   </w:t>
      </w:r>
      <w:r>
        <w:t>Confirm or correct the assumptions in Section 2.4 — this is the quickest way to remove price risk from both sides.</w:t>
      </w:r>
    </w:p>
    <w:p>
      <w:pPr>
        <w:pStyle w:val="BodyBullet"/>
      </w:pPr>
      <w:r>
        <w:rPr>
          <w:b/>
          <w:color w:val="1D3245"/>
        </w:rPr>
        <w:t xml:space="preserve">4.   </w:t>
      </w:r>
      <w:r>
        <w:t>Hold a proposal review meeting with the named team, at your offices or on site, so you meet the people who will do the work.</w:t>
      </w:r>
    </w:p>
    <w:p>
      <w:pPr>
        <w:pStyle w:val="BodyBullet"/>
      </w:pPr>
      <w:r>
        <w:rPr>
          <w:b/>
          <w:color w:val="1D3245"/>
        </w:rPr>
        <w:t xml:space="preserve">5.   </w:t>
      </w:r>
      <w:r>
        <w:t>Return the signed acceptance page, or issue your own form of agreement for our review.</w:t>
      </w:r>
    </w:p>
    <w:p>
      <w:pPr>
        <w:pStyle w:val="BodyBullet"/>
      </w:pPr>
      <w:r>
        <w:rPr>
          <w:b/>
          <w:color w:val="1D3245"/>
        </w:rPr>
        <w:t xml:space="preserve">6.   </w:t>
      </w:r>
      <w:r>
        <w:t>We mobilise within [00] working days of acceptance and issue the draft project execution plan within [00] working days of commencement.</w:t>
      </w:r>
    </w:p>
    <w:p>
      <w:pPr>
        <w:pStyle w:val="Heading1"/>
      </w:pPr>
      <w:bookmarkStart w:id="9064" w:name="_Toc90064"/>
      <w:r>
        <w:t>Appendices</w:t>
      </w:r>
      <w:bookmarkEnd w:id="9064"/>
    </w:p>
    <w:p>
      <w:pPr>
        <w:pStyle w:val="Body"/>
      </w:pPr>
      <w:r>
        <w:t>Attach the documents below. Delete any appendix that does not apply and renumber the remainder; an appendix listed but not attached is a compliance failure in most evaluation models.</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1218"/>
        <w:gridCol w:w="5428"/>
        <w:gridCol w:w="1218"/>
        <w:gridCol w:w="1774"/>
      </w:tblGrid>
      <w:tr>
        <w:trPr>
          <w:tblHeader w:val="true"/>
          <w:cantSplit w:val="true"/>
        </w:trPr>
        <w:tc>
          <w:tcPr>
            <w:tcW w:w="1218" w:type="dxa"/>
            <w:shd w:val="clear" w:color="auto" w:fill="1D3245"/>
            <w:vAlign w:val="center"/>
          </w:tcPr>
          <w:p>
            <w:pPr>
              <w:pStyle w:val="TableHeader"/>
              <w:jc w:val="center"/>
            </w:pPr>
            <w:r/>
            <w:r>
              <w:t>Appendix</w:t>
            </w:r>
          </w:p>
        </w:tc>
        <w:tc>
          <w:tcPr>
            <w:tcW w:w="5428" w:type="dxa"/>
            <w:shd w:val="clear" w:color="auto" w:fill="1D3245"/>
            <w:vAlign w:val="center"/>
          </w:tcPr>
          <w:p>
            <w:pPr>
              <w:pStyle w:val="TableHeader"/>
              <w:jc w:val="left"/>
            </w:pPr>
            <w:r/>
            <w:r>
              <w:t>Document</w:t>
            </w:r>
          </w:p>
        </w:tc>
        <w:tc>
          <w:tcPr>
            <w:tcW w:w="1218" w:type="dxa"/>
            <w:shd w:val="clear" w:color="auto" w:fill="1D3245"/>
            <w:vAlign w:val="center"/>
          </w:tcPr>
          <w:p>
            <w:pPr>
              <w:pStyle w:val="TableHeader"/>
              <w:jc w:val="center"/>
            </w:pPr>
            <w:r/>
            <w:r>
              <w:t>Attached</w:t>
            </w:r>
          </w:p>
        </w:tc>
        <w:tc>
          <w:tcPr>
            <w:tcW w:w="1774" w:type="dxa"/>
            <w:shd w:val="clear" w:color="auto" w:fill="1D3245"/>
            <w:vAlign w:val="center"/>
          </w:tcPr>
          <w:p>
            <w:pPr>
              <w:pStyle w:val="TableHeader"/>
              <w:jc w:val="left"/>
            </w:pPr>
            <w:r/>
            <w:r>
              <w:t>Reference / revision</w:t>
            </w:r>
          </w:p>
        </w:tc>
      </w:tr>
      <w:tr>
        <w:trPr>
          <w:cantSplit w:val="true"/>
        </w:trPr>
        <w:tc>
          <w:tcPr>
            <w:tcW w:w="1218" w:type="dxa"/>
            <w:vAlign w:val="center"/>
          </w:tcPr>
          <w:p>
            <w:pPr>
              <w:pStyle w:val="TableTextCentre"/>
              <w:jc w:val="center"/>
            </w:pPr>
            <w:r/>
            <w:r>
              <w:t>A</w:t>
            </w:r>
          </w:p>
        </w:tc>
        <w:tc>
          <w:tcPr>
            <w:tcW w:w="5428" w:type="dxa"/>
            <w:vAlign w:val="center"/>
          </w:tcPr>
          <w:p>
            <w:pPr>
              <w:pStyle w:val="TableText"/>
              <w:jc w:val="left"/>
            </w:pPr>
            <w:r/>
            <w:r>
              <w:t>Curriculum vitae for each named key person (two pages each, in a consistent format)</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B</w:t>
            </w:r>
          </w:p>
        </w:tc>
        <w:tc>
          <w:tcPr>
            <w:tcW w:w="5428" w:type="dxa"/>
            <w:vAlign w:val="center"/>
          </w:tcPr>
          <w:p>
            <w:pPr>
              <w:pStyle w:val="TableText"/>
              <w:jc w:val="left"/>
            </w:pPr>
            <w:r/>
            <w:r>
              <w:t>Certificates of currency for every insurance listed in Section 11.1</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C</w:t>
            </w:r>
          </w:p>
        </w:tc>
        <w:tc>
          <w:tcPr>
            <w:tcW w:w="5428" w:type="dxa"/>
            <w:vAlign w:val="center"/>
          </w:tcPr>
          <w:p>
            <w:pPr>
              <w:pStyle w:val="TableText"/>
              <w:jc w:val="left"/>
            </w:pPr>
            <w:r/>
            <w:r>
              <w:t>Sample deliverables — monthly project report, cost report, risk register, programme review commentary</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D</w:t>
            </w:r>
          </w:p>
        </w:tc>
        <w:tc>
          <w:tcPr>
            <w:tcW w:w="5428" w:type="dxa"/>
            <w:vAlign w:val="center"/>
          </w:tcPr>
          <w:p>
            <w:pPr>
              <w:pStyle w:val="TableText"/>
              <w:jc w:val="left"/>
            </w:pPr>
            <w:r/>
            <w:r>
              <w:t>Detailed rate card, by grade, for the full term including escalation</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E</w:t>
            </w:r>
          </w:p>
        </w:tc>
        <w:tc>
          <w:tcPr>
            <w:tcW w:w="5428" w:type="dxa"/>
            <w:vAlign w:val="center"/>
          </w:tcPr>
          <w:p>
            <w:pPr>
              <w:pStyle w:val="TableText"/>
              <w:jc w:val="left"/>
            </w:pPr>
            <w:r/>
            <w:r>
              <w:t>Referees — name, role, organisation, contact details and the project each can speak to</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F</w:t>
            </w:r>
          </w:p>
        </w:tc>
        <w:tc>
          <w:tcPr>
            <w:tcW w:w="5428" w:type="dxa"/>
            <w:vAlign w:val="center"/>
          </w:tcPr>
          <w:p>
            <w:pPr>
              <w:pStyle w:val="TableText"/>
              <w:jc w:val="left"/>
            </w:pPr>
            <w:r/>
            <w:r>
              <w:t>Quality, safety, environmental and information security certificates</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G</w:t>
            </w:r>
          </w:p>
        </w:tc>
        <w:tc>
          <w:tcPr>
            <w:tcW w:w="5428" w:type="dxa"/>
            <w:vAlign w:val="center"/>
          </w:tcPr>
          <w:p>
            <w:pPr>
              <w:pStyle w:val="TableText"/>
              <w:jc w:val="left"/>
            </w:pPr>
            <w:r/>
            <w:r>
              <w:t>Draft project execution plan contents page, or a comparable example</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r>
        <w:trPr>
          <w:cantSplit w:val="true"/>
        </w:trPr>
        <w:tc>
          <w:tcPr>
            <w:tcW w:w="1218" w:type="dxa"/>
            <w:vAlign w:val="center"/>
          </w:tcPr>
          <w:p>
            <w:pPr>
              <w:pStyle w:val="TableTextCentre"/>
              <w:jc w:val="center"/>
            </w:pPr>
            <w:r/>
            <w:r>
              <w:t>H</w:t>
            </w:r>
          </w:p>
        </w:tc>
        <w:tc>
          <w:tcPr>
            <w:tcW w:w="5428" w:type="dxa"/>
            <w:vAlign w:val="center"/>
          </w:tcPr>
          <w:p>
            <w:pPr>
              <w:pStyle w:val="TableText"/>
              <w:jc w:val="left"/>
            </w:pPr>
            <w:r/>
            <w:r>
              <w:t>[Insert any appendix the Client's request for proposal requires]</w:t>
            </w:r>
          </w:p>
        </w:tc>
        <w:tc>
          <w:tcPr>
            <w:tcW w:w="1218" w:type="dxa"/>
            <w:vAlign w:val="center"/>
          </w:tcPr>
          <w:p>
            <w:pPr>
              <w:pStyle w:val="TableTextCentre"/>
              <w:jc w:val="center"/>
            </w:pPr>
            <w:r/>
            <w:r>
              <w:t>[Yes / No]</w:t>
            </w:r>
          </w:p>
        </w:tc>
        <w:tc>
          <w:tcPr>
            <w:tcW w:w="1774" w:type="dxa"/>
            <w:vAlign w:val="center"/>
          </w:tcPr>
          <w:p>
            <w:pPr>
              <w:pStyle w:val="TableText"/>
              <w:jc w:val="left"/>
            </w:pPr>
            <w:r/>
            <w:r>
              <w:t>[Rev / date]</w:t>
            </w:r>
          </w:p>
        </w:tc>
      </w:tr>
    </w:tbl>
    <w:p>
      <w:pPr>
        <w:pStyle w:val="MicroLabel"/>
        <w:spacing w:after="120"/>
      </w:pPr>
      <w:r>
        <w:t>PREPARED BY</w:t>
      </w:r>
    </w:p>
    <w:tbl>
      <w:tblPr>
        <w:jc w:val="left"/>
        <w:tblLook w:firstColumn="1" w:firstRow="1" w:lastColumn="0" w:lastRow="0" w:noHBand="0" w:noVBand="1" w:val="04A0"/>
        <w:tblBorders>
          <w:top w:val="single" w:sz="4" w:space="0" w:color="D3DEE9"/>
          <w:left w:val="single" w:sz="4" w:space="0" w:color="D3DEE9"/>
          <w:bottom w:val="single" w:sz="4" w:space="0" w:color="D3DEE9"/>
          <w:right w:val="single" w:sz="4" w:space="0" w:color="D3DEE9"/>
          <w:insideH w:val="single" w:sz="4" w:space="0" w:color="D3DEE9"/>
          <w:insideV w:val="single" w:sz="4" w:space="0" w:color="D3DEE9"/>
        </w:tblBorders>
        <w:tblLayout w:type="fixed"/>
        <w:tblW w:w="9638" w:type="dxa"/>
        <w:tblInd w:w="0" w:type="dxa"/>
        <w:tblCellMar>
          <w:top w:w="45" w:type="dxa"/>
          <w:left w:w="100" w:type="dxa"/>
          <w:bottom w:w="45" w:type="dxa"/>
          <w:right w:w="100" w:type="dxa"/>
        </w:tblCellMar>
      </w:tblPr>
      <w:tblGrid>
        <w:gridCol w:w="3212"/>
        <w:gridCol w:w="3212"/>
        <w:gridCol w:w="3214"/>
      </w:tblGrid>
      <w:tr>
        <w:trPr>
          <w:tblHeader w:val="true"/>
          <w:cantSplit w:val="true"/>
        </w:trPr>
        <w:tc>
          <w:tcPr>
            <w:tcW w:w="3212" w:type="dxa"/>
            <w:shd w:val="clear" w:color="auto" w:fill="1D3245"/>
            <w:vAlign w:val="center"/>
          </w:tcPr>
          <w:p>
            <w:pPr>
              <w:pStyle w:val="TableHeader"/>
              <w:jc w:val="left"/>
            </w:pPr>
            <w:r/>
            <w:r>
              <w:t>Prepared by</w:t>
            </w:r>
          </w:p>
        </w:tc>
        <w:tc>
          <w:tcPr>
            <w:tcW w:w="3212" w:type="dxa"/>
            <w:shd w:val="clear" w:color="auto" w:fill="1D3245"/>
            <w:vAlign w:val="center"/>
          </w:tcPr>
          <w:p>
            <w:pPr>
              <w:pStyle w:val="TableHeader"/>
              <w:jc w:val="left"/>
            </w:pPr>
            <w:r/>
            <w:r>
              <w:t>Reviewed by</w:t>
            </w:r>
          </w:p>
        </w:tc>
        <w:tc>
          <w:tcPr>
            <w:tcW w:w="3214" w:type="dxa"/>
            <w:shd w:val="clear" w:color="auto" w:fill="1D3245"/>
            <w:vAlign w:val="center"/>
          </w:tcPr>
          <w:p>
            <w:pPr>
              <w:pStyle w:val="TableHeader"/>
              <w:jc w:val="left"/>
            </w:pPr>
            <w:r/>
            <w:r>
              <w:t>Approved for issue by</w:t>
            </w:r>
          </w:p>
        </w:tc>
      </w:tr>
      <w:tr>
        <w:trPr>
          <w:cantSplit w:val="true"/>
          <w:trHeight w:val="1077" w:hRule="atLeast"/>
        </w:trPr>
        <w:tc>
          <w:tcPr>
            <w:tcW w:w="3212" w:type="dxa"/>
            <w:vAlign w:val="center"/>
          </w:tcPr>
          <w:p>
            <w:pPr>
              <w:pStyle w:val="TableText"/>
              <w:jc w:val="left"/>
            </w:pPr>
            <w:r/>
            <w:r>
              <w:t>[Name]</w:t>
            </w:r>
          </w:p>
          <w:p>
            <w:pPr>
              <w:pStyle w:val="TableText"/>
              <w:jc w:val="left"/>
            </w:pPr>
            <w:r>
              <w:t>[Role]</w:t>
            </w:r>
          </w:p>
          <w:p>
            <w:pPr>
              <w:pStyle w:val="TableText"/>
              <w:jc w:val="left"/>
            </w:pPr>
            <w:r>
              <w:t>[Date]</w:t>
            </w:r>
          </w:p>
        </w:tc>
        <w:tc>
          <w:tcPr>
            <w:tcW w:w="3212" w:type="dxa"/>
            <w:vAlign w:val="center"/>
          </w:tcPr>
          <w:p>
            <w:pPr>
              <w:pStyle w:val="TableText"/>
              <w:jc w:val="left"/>
            </w:pPr>
            <w:r/>
            <w:r>
              <w:t>[Name]</w:t>
            </w:r>
          </w:p>
          <w:p>
            <w:pPr>
              <w:pStyle w:val="TableText"/>
              <w:jc w:val="left"/>
            </w:pPr>
            <w:r>
              <w:t>[Role]</w:t>
            </w:r>
          </w:p>
          <w:p>
            <w:pPr>
              <w:pStyle w:val="TableText"/>
              <w:jc w:val="left"/>
            </w:pPr>
            <w:r>
              <w:t>[Date]</w:t>
            </w:r>
          </w:p>
        </w:tc>
        <w:tc>
          <w:tcPr>
            <w:tcW w:w="3214" w:type="dxa"/>
            <w:vAlign w:val="center"/>
          </w:tcPr>
          <w:p>
            <w:pPr>
              <w:pStyle w:val="TableText"/>
              <w:jc w:val="left"/>
            </w:pPr>
            <w:r/>
            <w:r>
              <w:t>[Name]</w:t>
            </w:r>
          </w:p>
          <w:p>
            <w:pPr>
              <w:pStyle w:val="TableText"/>
              <w:jc w:val="left"/>
            </w:pPr>
            <w:r>
              <w:t>[Role]</w:t>
            </w:r>
          </w:p>
          <w:p>
            <w:pPr>
              <w:pStyle w:val="TableText"/>
              <w:jc w:val="left"/>
            </w:pPr>
            <w:r>
              <w:t>[Date]</w:t>
            </w:r>
          </w:p>
        </w:tc>
      </w:tr>
    </w:tbl>
    <w:p>
      <w:pPr>
        <w:pStyle w:val="Note"/>
      </w:pPr>
      <w:r>
        <w:t>This template is a framework only. It is not legal, safety or financial advice. Adapt it to the project, the applicable contract and the law of the relevant jurisdiction, and have the commercial and contractual sections reviewed by a suitably qualified adviser before issue. End of proposal.</w:t>
      </w:r>
    </w:p>
    <w:sectPr w:rsidR="00FC693F" w:rsidRPr="0006063C" w:rsidSect="00034616">
      <w:headerReference w:type="default" r:id="rId15"/>
      <w:footerReference w:type="default" r:id="rId16"/>
      <w:pgSz w:w="11906" w:h="16838"/>
      <w:pgMar w:top="1049" w:right="1134" w:bottom="850" w:left="1134" w:header="482"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Inter">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9638" w:val="right"/>
      </w:tabs>
    </w:pPr>
    <w:r>
      <w:rPr>
        <w:rFonts w:ascii="Inter" w:hAnsi="Inter"/>
        <w:color w:val="8E98A2"/>
        <w:sz w:val="15"/>
      </w:rPr>
      <w:t xml:space="preserve">Mastt template · </w:t>
    </w:r>
    <w:hyperlink r:id="rId1">
      <w:r>
        <w:rPr>
          <w:rFonts w:ascii="Inter" w:hAnsi="Inter" w:cs="Inter"/>
          <w:color w:val="3480BC"/>
          <w:sz w:val="15"/>
          <w:u w:val="single"/>
        </w:rPr>
        <w:t xml:space="preserve">mastt.com</w:t>
      </w:r>
    </w:hyperlink>
    <w:r>
      <w:rPr>
        <w:rFonts w:ascii="Inter" w:hAnsi="Inter"/>
        <w:color w:val="8E98A2"/>
        <w:sz w:val="15"/>
      </w:rPr>
      <w:t xml:space="preserve"> · © 2026 Mastt</w:t>
    </w:r>
    <w:r>
      <w:rPr>
        <w:rFonts w:ascii="Inter" w:hAnsi="Inter"/>
        <w:color w:val="8E98A2"/>
        <w:sz w:val="15"/>
      </w:rPr>
      <w:tab/>
    </w:r>
    <w:r>
      <w:rPr>
        <w:rFonts w:ascii="Inter" w:hAnsi="Inter" w:cs="Inter"/>
        <w:color w:val="8E98A2"/>
        <w:sz w:val="15"/>
      </w:rPr>
      <w:fldChar w:fldCharType="begin"/>
    </w:r>
    <w:r>
      <w:rPr>
        <w:rFonts w:ascii="Inter" w:hAnsi="Inter" w:cs="Inter"/>
        <w:color w:val="8E98A2"/>
        <w:sz w:val="15"/>
      </w:rPr>
      <w:instrText xml:space="preserve"> PAGE </w:instrText>
    </w:r>
    <w:r>
      <w:rPr>
        <w:rFonts w:ascii="Inter" w:hAnsi="Inter" w:cs="Inter"/>
        <w:color w:val="8E98A2"/>
        <w:sz w:val="15"/>
      </w:rPr>
      <w:fldChar w:fldCharType="separate"/>
    </w:r>
    <w:r>
      <w:rPr>
        <w:rFonts w:ascii="Inter" w:hAnsi="Inter" w:cs="Inter"/>
        <w:color w:val="8E98A2"/>
        <w:sz w:val="15"/>
      </w:rPr>
      <w:t>1</w:t>
    </w:r>
    <w:r>
      <w:rPr>
        <w:rFonts w:ascii="Inter" w:hAnsi="Inter" w:cs="Inter"/>
        <w:color w:val="8E98A2"/>
        <w:sz w:val="15"/>
      </w:rPr>
      <w:fldChar w:fldCharType="end"/>
    </w:r>
    <w:r>
      <w:rPr>
        <w:rFonts w:ascii="Inter" w:hAnsi="Inter"/>
        <w:color w:val="8E98A2"/>
        <w:sz w:val="15"/>
      </w:rPr>
      <w:t xml:space="preserve"> of </w:t>
    </w:r>
    <w:r>
      <w:rPr>
        <w:rFonts w:ascii="Inter" w:hAnsi="Inter" w:cs="Inter"/>
        <w:color w:val="8E98A2"/>
        <w:sz w:val="15"/>
      </w:rPr>
      <w:fldChar w:fldCharType="begin"/>
    </w:r>
    <w:r>
      <w:rPr>
        <w:rFonts w:ascii="Inter" w:hAnsi="Inter" w:cs="Inter"/>
        <w:color w:val="8E98A2"/>
        <w:sz w:val="15"/>
      </w:rPr>
      <w:instrText xml:space="preserve"> NUMPAGES </w:instrText>
    </w:r>
    <w:r>
      <w:rPr>
        <w:rFonts w:ascii="Inter" w:hAnsi="Inter" w:cs="Inter"/>
        <w:color w:val="8E98A2"/>
        <w:sz w:val="15"/>
      </w:rPr>
      <w:fldChar w:fldCharType="separate"/>
    </w:r>
    <w:r>
      <w:rPr>
        <w:rFonts w:ascii="Inter" w:hAnsi="Inter" w:cs="Inter"/>
        <w:color w:val="8E98A2"/>
        <w:sz w:val="15"/>
      </w:rPr>
      <w:t>1</w:t>
    </w:r>
    <w:r>
      <w:rPr>
        <w:rFonts w:ascii="Inter" w:hAnsi="Inter" w:cs="Inter"/>
        <w:color w:val="8E98A2"/>
        <w:sz w:val="15"/>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14570" w:val="right"/>
      </w:tabs>
    </w:pPr>
    <w:r>
      <w:rPr>
        <w:rFonts w:ascii="Inter" w:hAnsi="Inter"/>
        <w:color w:val="8E98A2"/>
        <w:sz w:val="15"/>
      </w:rPr>
      <w:t xml:space="preserve">Mastt template · </w:t>
    </w:r>
    <w:hyperlink r:id="rId1">
      <w:r>
        <w:rPr>
          <w:rFonts w:ascii="Inter" w:hAnsi="Inter" w:cs="Inter"/>
          <w:color w:val="3480BC"/>
          <w:sz w:val="15"/>
          <w:u w:val="single"/>
        </w:rPr>
        <w:t xml:space="preserve">mastt.com</w:t>
      </w:r>
    </w:hyperlink>
    <w:r>
      <w:rPr>
        <w:rFonts w:ascii="Inter" w:hAnsi="Inter"/>
        <w:color w:val="8E98A2"/>
        <w:sz w:val="15"/>
      </w:rPr>
      <w:t xml:space="preserve"> · © 2026 Mastt</w:t>
    </w:r>
    <w:r>
      <w:rPr>
        <w:rFonts w:ascii="Inter" w:hAnsi="Inter"/>
        <w:color w:val="8E98A2"/>
        <w:sz w:val="15"/>
      </w:rPr>
      <w:tab/>
    </w:r>
    <w:r>
      <w:rPr>
        <w:rFonts w:ascii="Inter" w:hAnsi="Inter" w:cs="Inter"/>
        <w:color w:val="8E98A2"/>
        <w:sz w:val="15"/>
      </w:rPr>
      <w:fldChar w:fldCharType="begin"/>
    </w:r>
    <w:r>
      <w:rPr>
        <w:rFonts w:ascii="Inter" w:hAnsi="Inter" w:cs="Inter"/>
        <w:color w:val="8E98A2"/>
        <w:sz w:val="15"/>
      </w:rPr>
      <w:instrText xml:space="preserve"> PAGE </w:instrText>
    </w:r>
    <w:r>
      <w:rPr>
        <w:rFonts w:ascii="Inter" w:hAnsi="Inter" w:cs="Inter"/>
        <w:color w:val="8E98A2"/>
        <w:sz w:val="15"/>
      </w:rPr>
      <w:fldChar w:fldCharType="separate"/>
    </w:r>
    <w:r>
      <w:rPr>
        <w:rFonts w:ascii="Inter" w:hAnsi="Inter" w:cs="Inter"/>
        <w:color w:val="8E98A2"/>
        <w:sz w:val="15"/>
      </w:rPr>
      <w:t>1</w:t>
    </w:r>
    <w:r>
      <w:rPr>
        <w:rFonts w:ascii="Inter" w:hAnsi="Inter" w:cs="Inter"/>
        <w:color w:val="8E98A2"/>
        <w:sz w:val="15"/>
      </w:rPr>
      <w:fldChar w:fldCharType="end"/>
    </w:r>
    <w:r>
      <w:rPr>
        <w:rFonts w:ascii="Inter" w:hAnsi="Inter"/>
        <w:color w:val="8E98A2"/>
        <w:sz w:val="15"/>
      </w:rPr>
      <w:t xml:space="preserve"> of </w:t>
    </w:r>
    <w:r>
      <w:rPr>
        <w:rFonts w:ascii="Inter" w:hAnsi="Inter" w:cs="Inter"/>
        <w:color w:val="8E98A2"/>
        <w:sz w:val="15"/>
      </w:rPr>
      <w:fldChar w:fldCharType="begin"/>
    </w:r>
    <w:r>
      <w:rPr>
        <w:rFonts w:ascii="Inter" w:hAnsi="Inter" w:cs="Inter"/>
        <w:color w:val="8E98A2"/>
        <w:sz w:val="15"/>
      </w:rPr>
      <w:instrText xml:space="preserve"> NUMPAGES </w:instrText>
    </w:r>
    <w:r>
      <w:rPr>
        <w:rFonts w:ascii="Inter" w:hAnsi="Inter" w:cs="Inter"/>
        <w:color w:val="8E98A2"/>
        <w:sz w:val="15"/>
      </w:rPr>
      <w:fldChar w:fldCharType="separate"/>
    </w:r>
    <w:r>
      <w:rPr>
        <w:rFonts w:ascii="Inter" w:hAnsi="Inter" w:cs="Inter"/>
        <w:color w:val="8E98A2"/>
        <w:sz w:val="15"/>
      </w:rPr>
      <w:t>1</w:t>
    </w:r>
    <w:r>
      <w:rPr>
        <w:rFonts w:ascii="Inter" w:hAnsi="Inter" w:cs="Inter"/>
        <w:color w:val="8E98A2"/>
        <w:sz w:val="15"/>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9638" w:val="right"/>
      </w:tabs>
    </w:pPr>
    <w:r>
      <w:rPr>
        <w:rFonts w:ascii="Inter" w:hAnsi="Inter"/>
        <w:color w:val="8E98A2"/>
        <w:sz w:val="15"/>
      </w:rPr>
      <w:t xml:space="preserve">Mastt template · </w:t>
    </w:r>
    <w:hyperlink r:id="rId1">
      <w:r>
        <w:rPr>
          <w:rFonts w:ascii="Inter" w:hAnsi="Inter" w:cs="Inter"/>
          <w:color w:val="3480BC"/>
          <w:sz w:val="15"/>
          <w:u w:val="single"/>
        </w:rPr>
        <w:t xml:space="preserve">mastt.com</w:t>
      </w:r>
    </w:hyperlink>
    <w:r>
      <w:rPr>
        <w:rFonts w:ascii="Inter" w:hAnsi="Inter"/>
        <w:color w:val="8E98A2"/>
        <w:sz w:val="15"/>
      </w:rPr>
      <w:t xml:space="preserve"> · © 2026 Mastt</w:t>
    </w:r>
    <w:r>
      <w:rPr>
        <w:rFonts w:ascii="Inter" w:hAnsi="Inter"/>
        <w:color w:val="8E98A2"/>
        <w:sz w:val="15"/>
      </w:rPr>
      <w:tab/>
    </w:r>
    <w:r>
      <w:rPr>
        <w:rFonts w:ascii="Inter" w:hAnsi="Inter" w:cs="Inter"/>
        <w:color w:val="8E98A2"/>
        <w:sz w:val="15"/>
      </w:rPr>
      <w:fldChar w:fldCharType="begin"/>
    </w:r>
    <w:r>
      <w:rPr>
        <w:rFonts w:ascii="Inter" w:hAnsi="Inter" w:cs="Inter"/>
        <w:color w:val="8E98A2"/>
        <w:sz w:val="15"/>
      </w:rPr>
      <w:instrText xml:space="preserve"> PAGE </w:instrText>
    </w:r>
    <w:r>
      <w:rPr>
        <w:rFonts w:ascii="Inter" w:hAnsi="Inter" w:cs="Inter"/>
        <w:color w:val="8E98A2"/>
        <w:sz w:val="15"/>
      </w:rPr>
      <w:fldChar w:fldCharType="separate"/>
    </w:r>
    <w:r>
      <w:rPr>
        <w:rFonts w:ascii="Inter" w:hAnsi="Inter" w:cs="Inter"/>
        <w:color w:val="8E98A2"/>
        <w:sz w:val="15"/>
      </w:rPr>
      <w:t>1</w:t>
    </w:r>
    <w:r>
      <w:rPr>
        <w:rFonts w:ascii="Inter" w:hAnsi="Inter" w:cs="Inter"/>
        <w:color w:val="8E98A2"/>
        <w:sz w:val="15"/>
      </w:rPr>
      <w:fldChar w:fldCharType="end"/>
    </w:r>
    <w:r>
      <w:rPr>
        <w:rFonts w:ascii="Inter" w:hAnsi="Inter"/>
        <w:color w:val="8E98A2"/>
        <w:sz w:val="15"/>
      </w:rPr>
      <w:t xml:space="preserve"> of </w:t>
    </w:r>
    <w:r>
      <w:rPr>
        <w:rFonts w:ascii="Inter" w:hAnsi="Inter" w:cs="Inter"/>
        <w:color w:val="8E98A2"/>
        <w:sz w:val="15"/>
      </w:rPr>
      <w:fldChar w:fldCharType="begin"/>
    </w:r>
    <w:r>
      <w:rPr>
        <w:rFonts w:ascii="Inter" w:hAnsi="Inter" w:cs="Inter"/>
        <w:color w:val="8E98A2"/>
        <w:sz w:val="15"/>
      </w:rPr>
      <w:instrText xml:space="preserve"> NUMPAGES </w:instrText>
    </w:r>
    <w:r>
      <w:rPr>
        <w:rFonts w:ascii="Inter" w:hAnsi="Inter" w:cs="Inter"/>
        <w:color w:val="8E98A2"/>
        <w:sz w:val="15"/>
      </w:rPr>
      <w:fldChar w:fldCharType="separate"/>
    </w:r>
    <w:r>
      <w:rPr>
        <w:rFonts w:ascii="Inter" w:hAnsi="Inter" w:cs="Inter"/>
        <w:color w:val="8E98A2"/>
        <w:sz w:val="15"/>
      </w:rPr>
      <w:t>1</w:t>
    </w:r>
    <w:r>
      <w:rPr>
        <w:rFonts w:ascii="Inter" w:hAnsi="Inter" w:cs="Inter"/>
        <w:color w:val="8E98A2"/>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9638"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xmlns:r="http://schemas.openxmlformats.org/officeDocument/2006/relationships"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6"/>
      </w:rPr>
      <w:t xml:space="preserve">  [Project name]</w:t>
    </w:r>
    <w:r>
      <w:rPr>
        <w:rFonts w:ascii="Inter" w:hAnsi="Inter"/>
        <w:color w:val="8E98A2"/>
        <w:sz w:val="16"/>
      </w:rPr>
      <w:tab/>
      <w:t>Project Management Proposal · [Proposal reference]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14570"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xmlns:r="http://schemas.openxmlformats.org/officeDocument/2006/relationships"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6"/>
      </w:rPr>
      <w:t xml:space="preserve">  [Project name]</w:t>
    </w:r>
    <w:r>
      <w:rPr>
        <w:rFonts w:ascii="Inter" w:hAnsi="Inter"/>
        <w:color w:val="8E98A2"/>
        <w:sz w:val="16"/>
      </w:rPr>
      <w:tab/>
      <w:t>Project Management Proposal · [Proposal reference]</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9638"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xmlns:r="http://schemas.openxmlformats.org/officeDocument/2006/relationships"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6"/>
      </w:rPr>
      <w:t xml:space="preserve">  [Project name]</w:t>
    </w:r>
    <w:r>
      <w:rPr>
        <w:rFonts w:ascii="Inter" w:hAnsi="Inter"/>
        <w:color w:val="8E98A2"/>
        <w:sz w:val="16"/>
      </w:rPr>
      <w:tab/>
      <w:t>Project Management Proposal · [Proposal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after="120" w:line="262" w:lineRule="auto"/>
    </w:pPr>
    <w:rPr>
      <w:rFonts w:ascii="Inter" w:hAnsi="Inter" w:cs="Inter" w:eastAsia="Inter"/>
      <w:color w:val="0C1628"/>
      <w:sz w:val="19"/>
    </w:rPr>
  </w:style>
  <w:style w:type="paragraph" w:styleId="Header">
    <w:name w:val="header"/>
    <w:basedOn w:val="Normal"/>
    <w:link w:val="HeaderChar"/>
    <w:uiPriority w:val="99"/>
    <w:unhideWhenUsed/>
    <w:rsid w:val="00E618BF"/>
    <w:pPr>
      <w:keepNext w:val="0"/>
      <w:keepLines w:val="0"/>
      <w:widowControl/>
      <w:spacing w:after="60" w:line="240" w:lineRule="auto" w:before="0"/>
    </w:pPr>
    <w:rPr>
      <w:rFonts w:ascii="Inter" w:hAnsi="Inter" w:cs="Inter" w:eastAsia="Inter"/>
      <w:color w:val="1D3245"/>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keepLines w:val="0"/>
      <w:widowControl/>
      <w:spacing w:after="0" w:line="240" w:lineRule="auto" w:before="60"/>
    </w:pPr>
    <w:rPr>
      <w:rFonts w:ascii="Inter" w:hAnsi="Inter" w:cs="Inter" w:eastAsia="Inter"/>
      <w:color w:val="8E98A2"/>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00" w:after="140" w:line="252" w:lineRule="auto"/>
      <w:outlineLvl w:val="0"/>
    </w:pPr>
    <w:rPr>
      <w:rFonts w:asciiTheme="majorHAnsi" w:eastAsiaTheme="majorEastAsia" w:hAnsiTheme="majorHAnsi" w:cstheme="majorBidi" w:ascii="Inter" w:hAnsi="Inter" w:cs="Inter" w:eastAsia="Inter"/>
      <w:b/>
      <w:bCs/>
      <w:color w:val="1D3245"/>
      <w:sz w:val="30"/>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64" w:lineRule="auto"/>
      <w:outlineLvl w:val="1"/>
    </w:pPr>
    <w:rPr>
      <w:rFonts w:asciiTheme="majorHAnsi" w:eastAsiaTheme="majorEastAsia" w:hAnsiTheme="majorHAnsi" w:cstheme="majorBidi" w:ascii="Inter" w:hAnsi="Inter" w:cs="Inter" w:eastAsia="Inter"/>
      <w:b/>
      <w:bCs/>
      <w:color w:val="0D3C61"/>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60" w:line="264" w:lineRule="auto"/>
      <w:outlineLvl w:val="2"/>
    </w:pPr>
    <w:rPr>
      <w:rFonts w:asciiTheme="majorHAnsi" w:eastAsiaTheme="majorEastAsia" w:hAnsiTheme="majorHAnsi" w:cstheme="majorBidi" w:ascii="Inter" w:hAnsi="Inter" w:cs="Inter" w:eastAsia="Inter"/>
      <w:b/>
      <w:bCs/>
      <w:caps w:val="1"/>
      <w:color w:val="1D3245"/>
      <w:spacing w:val="6"/>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widowControl/>
      <w:spacing w:after="80" w:line="240" w:lineRule="auto" w:before="0"/>
      <w:contextualSpacing/>
    </w:pPr>
    <w:rPr>
      <w:rFonts w:asciiTheme="majorHAnsi" w:eastAsiaTheme="majorEastAsia" w:hAnsiTheme="majorHAnsi" w:cstheme="majorBidi" w:ascii="Inter" w:hAnsi="Inter" w:cs="Inter" w:eastAsia="Inter"/>
      <w:b/>
      <w:color w:val="1D3245"/>
      <w:spacing w:val="5"/>
      <w:spacing w:val="-8"/>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keepLines w:val="0"/>
      <w:widowControl/>
      <w:numPr>
        <w:ilvl w:val="1"/>
      </w:numPr>
      <w:spacing w:before="0" w:after="360" w:line="288" w:lineRule="auto"/>
    </w:pPr>
    <w:rPr>
      <w:rFonts w:asciiTheme="majorHAnsi" w:eastAsiaTheme="majorEastAsia" w:hAnsiTheme="majorHAnsi" w:cstheme="majorBidi" w:ascii="Inter" w:hAnsi="Inter" w:cs="Inter" w:eastAsia="Inter"/>
      <w:b w:val="0"/>
      <w:i/>
      <w:iCs/>
      <w:color w:val="8E98A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keepLines w:val="0"/>
      <w:widowControl/>
      <w:spacing w:line="264" w:lineRule="auto" w:before="80" w:after="240"/>
      <w:jc w:val="center"/>
    </w:pPr>
    <w:rPr>
      <w:rFonts w:ascii="Inter" w:hAnsi="Inter" w:cs="Inter" w:eastAsia="Inter"/>
      <w:b/>
      <w:bCs/>
      <w:i/>
      <w:color w:val="8E98A2"/>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
    <w:qFormat/>
    <w:pPr>
      <w:keepNext w:val="0"/>
      <w:keepLines w:val="0"/>
      <w:widowControl/>
      <w:spacing w:after="140" w:line="264" w:lineRule="auto"/>
    </w:pPr>
    <w:rPr>
      <w:rFonts w:ascii="Inter" w:hAnsi="Inter" w:cs="Inter" w:eastAsia="Inter"/>
      <w:color w:val="0C1628"/>
      <w:sz w:val="19"/>
    </w:rPr>
  </w:style>
  <w:style w:type="paragraph" w:customStyle="1" w:styleId="BodyLead">
    <w:name w:val="Body Lead"/>
    <w:basedOn w:val="Body"/>
    <w:pPr>
      <w:keepNext w:val="0"/>
      <w:keepLines w:val="0"/>
      <w:widowControl/>
      <w:spacing w:after="180" w:line="268" w:lineRule="auto"/>
    </w:pPr>
    <w:rPr>
      <w:rFonts w:ascii="Inter" w:hAnsi="Inter" w:cs="Inter" w:eastAsia="Inter"/>
      <w:color w:val="1D3245"/>
      <w:sz w:val="21"/>
    </w:rPr>
  </w:style>
  <w:style w:type="paragraph" w:customStyle="1" w:styleId="Placeholder">
    <w:name w:val="Placeholder"/>
    <w:basedOn w:val="Body"/>
    <w:qFormat/>
    <w:pPr>
      <w:keepNext w:val="0"/>
      <w:keepLines w:val="0"/>
      <w:widowControl/>
      <w:spacing w:after="160" w:line="264" w:lineRule="auto"/>
    </w:pPr>
    <w:rPr>
      <w:rFonts w:ascii="Inter" w:hAnsi="Inter" w:cs="Inter" w:eastAsia="Inter"/>
      <w:i/>
      <w:color w:val="8E98A2"/>
      <w:sz w:val="19"/>
    </w:rPr>
  </w:style>
  <w:style w:type="paragraph" w:customStyle="1" w:styleId="Note">
    <w:name w:val="Note"/>
    <w:basedOn w:val="Body"/>
    <w:pPr>
      <w:keepNext w:val="0"/>
      <w:keepLines w:val="0"/>
      <w:widowControl/>
      <w:spacing w:before="60" w:after="160" w:line="256" w:lineRule="auto"/>
    </w:pPr>
    <w:rPr>
      <w:rFonts w:ascii="Inter" w:hAnsi="Inter" w:cs="Inter" w:eastAsia="Inter"/>
      <w:i/>
      <w:color w:val="8E98A2"/>
      <w:sz w:val="16"/>
    </w:rPr>
  </w:style>
  <w:style w:type="paragraph" w:customStyle="1" w:styleId="BodyBullet">
    <w:name w:val="Body Bullet"/>
    <w:basedOn w:val="Body"/>
    <w:pPr>
      <w:keepNext w:val="0"/>
      <w:keepLines w:val="0"/>
      <w:widowControl/>
      <w:spacing w:after="60" w:line="262" w:lineRule="auto"/>
      <w:ind w:left="312" w:hanging="312"/>
    </w:pPr>
  </w:style>
  <w:style w:type="paragraph" w:customStyle="1" w:styleId="TableHeader">
    <w:name w:val="Table Header"/>
    <w:basedOn w:val="Normal"/>
    <w:qFormat/>
    <w:pPr>
      <w:keepNext w:val="0"/>
      <w:keepLines w:val="0"/>
      <w:widowControl/>
      <w:spacing w:before="40" w:after="40" w:line="252" w:lineRule="auto"/>
    </w:pPr>
    <w:rPr>
      <w:rFonts w:ascii="Inter" w:hAnsi="Inter" w:cs="Inter" w:eastAsia="Inter"/>
      <w:b/>
      <w:color w:val="FFFFFF"/>
      <w:sz w:val="17"/>
    </w:rPr>
  </w:style>
  <w:style w:type="paragraph" w:customStyle="1" w:styleId="TableText">
    <w:name w:val="Table Text"/>
    <w:basedOn w:val="Normal"/>
    <w:qFormat/>
    <w:pPr>
      <w:keepNext w:val="0"/>
      <w:keepLines w:val="0"/>
      <w:widowControl/>
      <w:spacing w:before="40" w:after="40" w:line="259" w:lineRule="auto"/>
    </w:pPr>
    <w:rPr>
      <w:rFonts w:ascii="Inter" w:hAnsi="Inter" w:cs="Inter" w:eastAsia="Inter"/>
      <w:color w:val="0C1628"/>
      <w:sz w:val="17"/>
    </w:rPr>
  </w:style>
  <w:style w:type="paragraph" w:customStyle="1" w:styleId="TableTextBold">
    <w:name w:val="Table Text Bold"/>
    <w:basedOn w:val="TableText"/>
    <w:rPr>
      <w:rFonts w:ascii="Inter" w:hAnsi="Inter" w:cs="Inter" w:eastAsia="Inter"/>
      <w:b/>
      <w:color w:val="1D3245"/>
      <w:sz w:val="17"/>
    </w:rPr>
  </w:style>
  <w:style w:type="paragraph" w:customStyle="1" w:styleId="TableTextExample">
    <w:name w:val="Table Text Example"/>
    <w:basedOn w:val="TableText"/>
    <w:rPr>
      <w:rFonts w:ascii="Inter" w:hAnsi="Inter" w:cs="Inter" w:eastAsia="Inter"/>
      <w:i/>
      <w:color w:val="8E98A2"/>
      <w:sz w:val="17"/>
    </w:rPr>
  </w:style>
  <w:style w:type="paragraph" w:customStyle="1" w:styleId="TableTextCentre">
    <w:name w:val="Table Text Centre"/>
    <w:basedOn w:val="TableText"/>
    <w:pPr>
      <w:keepNext w:val="0"/>
      <w:keepLines w:val="0"/>
      <w:widowControl/>
      <w:jc w:val="center"/>
    </w:pPr>
  </w:style>
  <w:style w:type="paragraph" w:customStyle="1" w:styleId="TableTextRight">
    <w:name w:val="Table Text Right"/>
    <w:basedOn w:val="TableText"/>
    <w:pPr>
      <w:keepNext w:val="0"/>
      <w:keepLines w:val="0"/>
      <w:widowControl/>
      <w:jc w:val="right"/>
    </w:pPr>
  </w:style>
  <w:style w:type="paragraph" w:customStyle="1" w:styleId="RAGStatus">
    <w:name w:val="RAG Status"/>
    <w:basedOn w:val="TableText"/>
    <w:pPr>
      <w:keepNext w:val="0"/>
      <w:keepLines w:val="0"/>
      <w:widowControl/>
      <w:jc w:val="center"/>
    </w:pPr>
    <w:rPr>
      <w:rFonts w:ascii="Inter" w:hAnsi="Inter" w:cs="Inter" w:eastAsia="Inter"/>
      <w:b/>
      <w:color w:val="FFFFFF"/>
      <w:sz w:val="17"/>
    </w:rPr>
  </w:style>
  <w:style w:type="paragraph" w:customStyle="1" w:styleId="MicroLabel">
    <w:name w:val="Micro Label"/>
    <w:basedOn w:val="Normal"/>
    <w:qFormat/>
    <w:pPr>
      <w:keepNext/>
      <w:keepLines w:val="0"/>
      <w:widowControl/>
      <w:spacing w:before="0" w:after="20" w:line="240" w:lineRule="auto"/>
    </w:pPr>
    <w:rPr>
      <w:rFonts w:ascii="Inter" w:hAnsi="Inter" w:cs="Inter" w:eastAsia="Inter"/>
      <w:b/>
      <w:caps w:val="1"/>
      <w:color w:val="8E98A2"/>
      <w:spacing w:val="12"/>
      <w:sz w:val="15"/>
    </w:rPr>
  </w:style>
  <w:style w:type="paragraph" w:customStyle="1" w:styleId="MicroLabelWhite">
    <w:name w:val="Micro Label White"/>
    <w:basedOn w:val="MicroLabel"/>
    <w:rPr>
      <w:rFonts w:ascii="Inter" w:hAnsi="Inter" w:cs="Inter" w:eastAsia="Inter"/>
      <w:b/>
      <w:caps w:val="1"/>
      <w:color w:val="B9C6D4"/>
      <w:spacing w:val="12"/>
      <w:sz w:val="15"/>
    </w:rPr>
  </w:style>
  <w:style w:type="paragraph" w:customStyle="1" w:styleId="CoverField">
    <w:name w:val="Cover Field"/>
    <w:basedOn w:val="Normal"/>
    <w:pPr>
      <w:keepNext w:val="0"/>
      <w:keepLines w:val="0"/>
      <w:widowControl/>
      <w:spacing w:before="60" w:after="60" w:line="252" w:lineRule="auto"/>
    </w:pPr>
    <w:rPr>
      <w:rFonts w:ascii="Inter" w:hAnsi="Inter" w:cs="Inter" w:eastAsia="Inter"/>
      <w:color w:val="0C1628"/>
      <w:sz w:val="20"/>
    </w:rPr>
  </w:style>
  <w:style w:type="paragraph" w:customStyle="1" w:styleId="CoverFieldPlaceholder">
    <w:name w:val="Cover Field Placeholder"/>
    <w:basedOn w:val="CoverField"/>
    <w:rPr>
      <w:rFonts w:ascii="Inter" w:hAnsi="Inter" w:cs="Inter" w:eastAsia="Inter"/>
      <w:i/>
      <w:color w:val="8E98A2"/>
      <w:sz w:val="20"/>
    </w:rPr>
  </w:style>
  <w:style w:type="paragraph" w:customStyle="1" w:styleId="TOC1">
    <w:name w:val="TOC 1"/>
    <w:basedOn w:val="Normal"/>
    <w:pPr>
      <w:keepNext w:val="0"/>
      <w:keepLines w:val="0"/>
      <w:widowControl/>
      <w:spacing w:before="140" w:after="20" w:line="252" w:lineRule="auto"/>
      <w:ind w:left="0"/>
    </w:pPr>
    <w:rPr>
      <w:rFonts w:ascii="Inter" w:hAnsi="Inter" w:cs="Inter" w:eastAsia="Inter"/>
      <w:b/>
      <w:color w:val="1D3245"/>
      <w:sz w:val="20"/>
    </w:rPr>
  </w:style>
  <w:style w:type="paragraph" w:customStyle="1" w:styleId="TOC2">
    <w:name w:val="TOC 2"/>
    <w:basedOn w:val="Normal"/>
    <w:pPr>
      <w:keepNext w:val="0"/>
      <w:keepLines w:val="0"/>
      <w:widowControl/>
      <w:spacing w:before="20" w:after="20" w:line="252" w:lineRule="auto"/>
      <w:ind w:left="283"/>
    </w:pPr>
    <w:rPr>
      <w:rFonts w:ascii="Inter" w:hAnsi="Inter" w:cs="Inter" w:eastAsia="Inter"/>
      <w:b w:val="0"/>
      <w:color w:val="0C1628"/>
      <w:sz w:val="18"/>
    </w:rPr>
  </w:style>
  <w:style w:type="paragraph" w:customStyle="1" w:styleId="TOC3">
    <w:name w:val="TOC 3"/>
    <w:basedOn w:val="Normal"/>
    <w:pPr>
      <w:keepNext w:val="0"/>
      <w:keepLines w:val="0"/>
      <w:widowControl/>
      <w:spacing w:before="0" w:after="20" w:line="252" w:lineRule="auto"/>
      <w:ind w:left="567"/>
    </w:pPr>
    <w:rPr>
      <w:rFonts w:ascii="Inter" w:hAnsi="Inter" w:cs="Inter" w:eastAsia="Inter"/>
      <w:b w:val="0"/>
      <w:color w:val="8E98A2"/>
      <w:sz w:val="17"/>
    </w:rPr>
  </w:style>
  <w:style w:type="character" w:customStyle="1" w:styleId="Hyperlink">
    <w:name w:val="Hyperlink"/>
    <w:rPr>
      <w:color w:val="3480BC"/>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mastt.com/"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Proposal</dc:title>
  <dc:subject>Client-side project management and project controls service proposal — global template</dc:subject>
  <dc:creator>Mastt</dc:creator>
  <cp:keywords>Mastt; proposal; project management; project controls; fee proposal; scope of services; template</cp:keywords>
  <dc:description>Mastt global template - https://www.mastt.com/  © 2026 Mastt. Framework only; not legal, safety or financial advice.</dc:description>
  <cp:lastModifiedBy>Mastt</cp:lastModifiedBy>
  <cp:revision>1</cp:revision>
  <dcterms:created xsi:type="dcterms:W3CDTF">2013-12-23T23:15:00Z</dcterms:created>
  <dcterms:modified xsi:type="dcterms:W3CDTF">2013-12-23T23:15:00Z</dcterms:modified>
  <cp:category>Template</cp:category>
</cp:coreProperties>
</file>