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330"/>
              <w:jc w:val="left"/>
            </w:pPr>
            <w:r>
              <w:rPr>
                <w:rFonts w:ascii="Inter" w:cs="Inter" w:eastAsia="Inter" w:hAnsi="Inter"/>
                <w:b/>
                <w:bCs/>
                <w:i w:val="false"/>
                <w:iCs w:val="false"/>
                <w:caps w:val="false"/>
                <w:color w:val="FFFFFF"/>
                <w:sz w:val="30"/>
                <w:szCs w:val="30"/>
              </w:rPr>
              <w:t xml:space="preserve">Construction Proposal</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The price, and the three sections that define it - exclusions, allowances and qualifications</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2"/>
              <w:bottom w:type="dxa" w:w="34"/>
              <w:right w:type="dxa" w:w="92"/>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8"/>
                <w:szCs w:val="18"/>
              </w:rPr>
              <w:t xml:space="preserve">EXAMPLE CONTENT - every figure below is a worked example. Replace all of them, delete this banner, and have the document reviewed by your own counsel and insurance broker before you issue it.</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2912"/>
        <w:gridCol w:w="1941"/>
        <w:gridCol w:w="2912"/>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1   THIS PROPOSAL</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Proposal to</w:t>
            </w:r>
          </w:p>
        </w:tc>
        <w:tc>
          <w:tcPr>
            <w:tcW w:type="dxa" w:w="7765"/>
            <w:gridSpan w:val="3"/>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[Owner's legal entity name]</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[Project name]</w:t>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Proposal number</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[YYYY-nnn]</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 address</w:t>
            </w:r>
          </w:p>
        </w:tc>
        <w:tc>
          <w:tcPr>
            <w:tcW w:type="dxa" w:w="7765"/>
            <w:gridSpan w:val="3"/>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[Street, city, state, ZIP]</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[Month DD, YYYY]</w:t>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Valid until</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[Month DD, YYYY] - see Section 8</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Prepared by</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[Name, title]</w:t>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Contractor</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[Legal entity name, license number]</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Basis of this proposal</w:t>
            </w:r>
          </w:p>
        </w:tc>
        <w:tc>
          <w:tcPr>
            <w:tcW w:type="dxa" w:w="7765"/>
            <w:gridSpan w:val="3"/>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[Drawings and specifications, at revision, and dated addenda]</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88"/>
        <w:gridCol w:w="9318"/>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2   THE PROJECT AS WE UNDERSTAND IT</w:t>
            </w:r>
          </w:p>
        </w:tc>
      </w:tr>
      <w:tr>
        <w:trPr>
          <w:cantSplit/>
        </w:trPr>
        <w:tc>
          <w:tcPr>
            <w:tcW w:type="dxa" w:w="9706"/>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Three short paragraphs, in the owner's words. This section is read; the rest is checked.</w:t>
            </w:r>
          </w:p>
        </w:tc>
      </w:tr>
      <w:tr>
        <w:trPr>
          <w:cantSplit/>
        </w:trPr>
        <w:tc>
          <w:tcPr>
            <w:tcW w:type="dxa" w:w="3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1</w:t>
            </w:r>
          </w:p>
        </w:tc>
        <w:tc>
          <w:tcPr>
            <w:tcW w:type="dxa" w:w="93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State the owner's objective in the owner's own words, taken from the bid documents or the walk-through - not your description of the work.</w:t>
            </w:r>
          </w:p>
        </w:tc>
      </w:tr>
      <w:tr>
        <w:trPr>
          <w:cantSplit/>
        </w:trPr>
        <w:tc>
          <w:tcPr>
            <w:tcW w:type="dxa" w:w="38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w:t>
            </w:r>
          </w:p>
        </w:tc>
        <w:tc>
          <w:tcPr>
            <w:tcW w:type="dxa" w:w="93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Name the one constraint that shapes the price: an occupied building, a fixed opening date, restricted hours, limited laydown, a long-lead item.</w:t>
            </w:r>
          </w:p>
        </w:tc>
      </w:tr>
      <w:tr>
        <w:trPr>
          <w:cantSplit/>
        </w:trPr>
        <w:tc>
          <w:tcPr>
            <w:tcW w:type="dxa" w:w="3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3</w:t>
            </w:r>
          </w:p>
        </w:tc>
        <w:tc>
          <w:tcPr>
            <w:tcW w:type="dxa" w:w="93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Say what you verified yourself and what you took from the documents. That line decides who owns a surprise.</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4271"/>
        <w:gridCol w:w="3494"/>
      </w:tblGrid>
      <w:tr>
        <w:trPr>
          <w:cantSplit/>
          <w:tblHeader/>
        </w:trPr>
        <w:tc>
          <w:tcPr>
            <w:tcW w:type="dxa" w:w="9706"/>
            <w:gridSpan w:val="3"/>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3   SCOPE OF WORK, AND WHAT IS EXCLUDED FROM EACH LINE</w:t>
            </w:r>
          </w:p>
        </w:tc>
      </w:tr>
      <w:tr>
        <w:trPr>
          <w:cantSplit/>
          <w:tblHeader/>
        </w:trPr>
        <w:tc>
          <w:tcPr>
            <w:tcW w:type="dxa" w:w="194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Division</w:t>
            </w:r>
          </w:p>
        </w:tc>
        <w:tc>
          <w:tcPr>
            <w:tcW w:type="dxa" w:w="427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Included</w:t>
            </w:r>
          </w:p>
        </w:tc>
        <w:tc>
          <w:tcPr>
            <w:tcW w:type="dxa" w:w="349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Not included in this line</w:t>
            </w:r>
          </w:p>
        </w:tc>
      </w:tr>
      <w:tr>
        <w:trPr>
          <w:cantSplit/>
        </w:trPr>
        <w:tc>
          <w:tcPr>
            <w:tcW w:type="dxa" w:w="9706"/>
            <w:gridSpan w:val="3"/>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Every line carries its own exclusions on purpose. A single exclusions list at the back of a proposal is read once; an exclusion beside the work it qualifies is read when it matters. Anything not written in the Included column is not in the price.</w:t>
            </w:r>
          </w:p>
        </w:tc>
      </w:tr>
      <w:tr>
        <w:trPr>
          <w:cantSplit/>
        </w:trPr>
        <w:tc>
          <w:tcPr>
            <w:tcW w:type="dxa" w:w="194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01  General conditions</w:t>
            </w:r>
          </w:p>
        </w:tc>
        <w:tc>
          <w:tcPr>
            <w:tcW w:type="dxa" w:w="427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Project management, site supervision, temporary facilities, dumpsters, daily cleanup, as-built markups</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Owner-furnished storage; security guard service</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02  Sitework and demolition</w:t>
            </w:r>
          </w:p>
        </w:tc>
        <w:tc>
          <w:tcPr>
            <w:tcW w:type="dxa" w:w="427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Selective interior demolition, protection of adjacent finishes, haul-off and legal disposal</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Hazardous material abatement of any kind; unforeseen below-slab conditions</w:t>
            </w:r>
          </w:p>
        </w:tc>
      </w:tr>
      <w:tr>
        <w:trPr>
          <w:cantSplit/>
        </w:trPr>
        <w:tc>
          <w:tcPr>
            <w:tcW w:type="dxa" w:w="194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03  Concrete</w:t>
            </w:r>
          </w:p>
        </w:tc>
        <w:tc>
          <w:tcPr>
            <w:tcW w:type="dxa" w:w="427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Slab patching at new penetrations, housekeeping pads, grout at door frames</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Structural slab replacement; concrete testing beyond the specified minimum</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06  Carpentry and millwork</w:t>
            </w:r>
          </w:p>
        </w:tc>
        <w:tc>
          <w:tcPr>
            <w:tcW w:type="dxa" w:w="427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Rough framing, blocking, finish carpentry, plastic-laminate casework per the drawings</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Stone or solid-surface tops; furniture; owner-supplied fixtures</w:t>
            </w:r>
          </w:p>
        </w:tc>
      </w:tr>
      <w:tr>
        <w:trPr>
          <w:cantSplit/>
        </w:trPr>
        <w:tc>
          <w:tcPr>
            <w:tcW w:type="dxa" w:w="194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09  Finishes</w:t>
            </w:r>
          </w:p>
        </w:tc>
        <w:tc>
          <w:tcPr>
            <w:tcW w:type="dxa" w:w="427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Gypsum board, taping to Level 4, paint, resilient flooring, acoustical ceilings</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Wall covering; specialty coatings; floor prep beyond 1/8 inch in 10 feet</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21-23  Fire protection, plumbing, HVAC</w:t>
            </w:r>
          </w:p>
        </w:tc>
        <w:tc>
          <w:tcPr>
            <w:tcW w:type="dxa" w:w="427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Modification of existing systems within the work area, testing, balancing, and commissioning support</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Replacement of existing rooftop units; upgrade of the incoming service</w:t>
            </w:r>
          </w:p>
        </w:tc>
      </w:tr>
      <w:tr>
        <w:trPr>
          <w:cantSplit/>
        </w:trPr>
        <w:tc>
          <w:tcPr>
            <w:tcW w:type="dxa" w:w="194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26  Electrical</w:t>
            </w:r>
          </w:p>
        </w:tc>
        <w:tc>
          <w:tcPr>
            <w:tcW w:type="dxa" w:w="427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Power and lighting within the work area, devices, fire-alarm device relocation, testing</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Generator or UPS work; low-voltage cabling by the owner's vendor</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27-28  Technology and security</w:t>
            </w:r>
          </w:p>
        </w:tc>
        <w:tc>
          <w:tcPr>
            <w:tcW w:type="dxa" w:w="427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Rough-in, backboxes and conduit only</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All cabling, devices, programming and commissioning - by the owner's vendor</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6018"/>
        <w:gridCol w:w="3688"/>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4   PRICE</w:t>
            </w:r>
          </w:p>
        </w:tc>
      </w:tr>
      <w:tr>
        <w:trPr>
          <w:cantSplit/>
          <w:tblHeader/>
        </w:trPr>
        <w:tc>
          <w:tcPr>
            <w:tcW w:type="dxa" w:w="601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Division</w:t>
            </w:r>
          </w:p>
        </w:tc>
        <w:tc>
          <w:tcPr>
            <w:tcW w:type="dxa" w:w="368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Value</w:t>
            </w:r>
          </w:p>
        </w:tc>
      </w:tr>
      <w:tr>
        <w:trPr>
          <w:cantSplit/>
        </w:trPr>
        <w:tc>
          <w:tcPr>
            <w:tcW w:type="dxa" w:w="9706"/>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This is the schedule of values the pay applications will be measured against, so it is stated here rather than after award. The base price excludes the allowances in Section 5 and every alternate in Section 7.</w:t>
            </w:r>
          </w:p>
        </w:tc>
      </w:tr>
      <w:tr>
        <w:trPr>
          <w:cantSplit/>
        </w:trPr>
        <w:tc>
          <w:tcPr>
            <w:tcW w:type="dxa" w:w="60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01  General conditions</w:t>
            </w:r>
          </w:p>
        </w:tc>
        <w:tc>
          <w:tcPr>
            <w:tcW w:type="dxa" w:w="36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$96,000</w:t>
            </w:r>
          </w:p>
        </w:tc>
      </w:tr>
      <w:tr>
        <w:trPr>
          <w:cantSplit/>
        </w:trPr>
        <w:tc>
          <w:tcPr>
            <w:tcW w:type="dxa" w:w="60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02  Sitework and demolition</w:t>
            </w:r>
          </w:p>
        </w:tc>
        <w:tc>
          <w:tcPr>
            <w:tcW w:type="dxa" w:w="368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$58,000</w:t>
            </w:r>
          </w:p>
        </w:tc>
      </w:tr>
      <w:tr>
        <w:trPr>
          <w:cantSplit/>
        </w:trPr>
        <w:tc>
          <w:tcPr>
            <w:tcW w:type="dxa" w:w="60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03  Concrete</w:t>
            </w:r>
          </w:p>
        </w:tc>
        <w:tc>
          <w:tcPr>
            <w:tcW w:type="dxa" w:w="36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$24,000</w:t>
            </w:r>
          </w:p>
        </w:tc>
      </w:tr>
      <w:tr>
        <w:trPr>
          <w:cantSplit/>
        </w:trPr>
        <w:tc>
          <w:tcPr>
            <w:tcW w:type="dxa" w:w="60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06  Carpentry and millwork</w:t>
            </w:r>
          </w:p>
        </w:tc>
        <w:tc>
          <w:tcPr>
            <w:tcW w:type="dxa" w:w="368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$142,000</w:t>
            </w:r>
          </w:p>
        </w:tc>
      </w:tr>
      <w:tr>
        <w:trPr>
          <w:cantSplit/>
        </w:trPr>
        <w:tc>
          <w:tcPr>
            <w:tcW w:type="dxa" w:w="60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09  Finishes</w:t>
            </w:r>
          </w:p>
        </w:tc>
        <w:tc>
          <w:tcPr>
            <w:tcW w:type="dxa" w:w="36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$168,000</w:t>
            </w:r>
          </w:p>
        </w:tc>
      </w:tr>
      <w:tr>
        <w:trPr>
          <w:cantSplit/>
        </w:trPr>
        <w:tc>
          <w:tcPr>
            <w:tcW w:type="dxa" w:w="60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21-23  Fire protection, plumbing, HVAC</w:t>
            </w:r>
          </w:p>
        </w:tc>
        <w:tc>
          <w:tcPr>
            <w:tcW w:type="dxa" w:w="368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$214,000</w:t>
            </w:r>
          </w:p>
        </w:tc>
      </w:tr>
      <w:tr>
        <w:trPr>
          <w:cantSplit/>
        </w:trPr>
        <w:tc>
          <w:tcPr>
            <w:tcW w:type="dxa" w:w="60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26  Electrical</w:t>
            </w:r>
          </w:p>
        </w:tc>
        <w:tc>
          <w:tcPr>
            <w:tcW w:type="dxa" w:w="36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$132,000</w:t>
            </w:r>
          </w:p>
        </w:tc>
      </w:tr>
      <w:tr>
        <w:trPr>
          <w:cantSplit/>
        </w:trPr>
        <w:tc>
          <w:tcPr>
            <w:tcW w:type="dxa" w:w="60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27-28  Technology rough-in</w:t>
            </w:r>
          </w:p>
        </w:tc>
        <w:tc>
          <w:tcPr>
            <w:tcW w:type="dxa" w:w="368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$26,000</w:t>
            </w:r>
          </w:p>
        </w:tc>
      </w:tr>
      <w:tr>
        <w:trPr>
          <w:cantSplit/>
        </w:trPr>
        <w:tc>
          <w:tcPr>
            <w:tcW w:type="dxa" w:w="60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BASE PRICE - stipulated sum, excluding allowances and alternates</w:t>
            </w:r>
          </w:p>
        </w:tc>
        <w:tc>
          <w:tcPr>
            <w:tcW w:type="dxa" w:w="368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$860,000</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4.1   PAYMENT AND CHANGE ORDERS</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Basis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Stipulated sum, per the schedule of values in Section 4</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Pay applications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Monthly, for work in place through the last day of the month, submitted by the fifth working day</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Payment terms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Net 30 days from certification, per the contract</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Retainage</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5% held on each pay application, reduced at substantial completion per the contract</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Lien waivers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Conditional waivers with each application; unconditional on receipt of payment</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Stored materials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Included when stored on site and insured, or off site with a bill of sale and insurance certificate</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Change orders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Priced before the work proceeds. Cost plus 10% overhead and 5% fee on the contractor's own work; 5% on subcontracted work</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718"/>
        <w:gridCol w:w="1165"/>
        <w:gridCol w:w="2912"/>
        <w:gridCol w:w="2911"/>
      </w:tblGrid>
      <w:tr>
        <w:trPr>
          <w:cantSplit/>
          <w:tblHeader/>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5   ALLOWANCES</w:t>
            </w:r>
          </w:p>
        </w:tc>
      </w:tr>
      <w:tr>
        <w:trPr>
          <w:cantSplit/>
          <w:tblHeader/>
        </w:trPr>
        <w:tc>
          <w:tcPr>
            <w:tcW w:type="dxa" w:w="271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Allowance</w:t>
            </w:r>
          </w:p>
        </w:tc>
        <w:tc>
          <w:tcPr>
            <w:tcW w:type="dxa" w:w="1165"/>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Amount</w:t>
            </w:r>
          </w:p>
        </w:tc>
        <w:tc>
          <w:tcPr>
            <w:tcW w:type="dxa" w:w="291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it covers</w:t>
            </w:r>
          </w:p>
        </w:tc>
        <w:tc>
          <w:tcPr>
            <w:tcW w:type="dxa" w:w="291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How it is reconciled</w:t>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An allowance is a placeholder for work that cannot be priced yet. It is not a budget and it is not a cap: it is reconciled against actual cost, and the difference is a change either way. Say that to the owner at the presentation, not afterwards.</w:t>
            </w:r>
          </w:p>
        </w:tc>
      </w:tr>
      <w:tr>
        <w:trPr>
          <w:cantSplit/>
        </w:trPr>
        <w:tc>
          <w:tcPr>
            <w:tcW w:type="dxa" w:w="27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Unforeseen conditions behind existing walls</w:t>
            </w:r>
          </w:p>
        </w:tc>
        <w:tc>
          <w:tcPr>
            <w:tcW w:type="dxa" w:w="116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$18,000</w:t>
            </w:r>
          </w:p>
        </w:tc>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Framing, blocking and patching of conditions not visible at the walk-through</w:t>
            </w:r>
          </w:p>
        </w:tc>
        <w:tc>
          <w:tcPr>
            <w:tcW w:type="dxa" w:w="291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Cost plus the fee in Section 4.1, against approved change orders</w:t>
            </w:r>
          </w:p>
        </w:tc>
      </w:tr>
      <w:tr>
        <w:trPr>
          <w:cantSplit/>
        </w:trPr>
        <w:tc>
          <w:tcPr>
            <w:tcW w:type="dxa" w:w="27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Door hardware</w:t>
            </w:r>
          </w:p>
        </w:tc>
        <w:tc>
          <w:tcPr>
            <w:tcW w:type="dxa" w:w="116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$12,500</w:t>
            </w:r>
          </w:p>
        </w:tc>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Hardware sets per the schedule, supplier to be selected by the owner</w:t>
            </w:r>
          </w:p>
        </w:tc>
        <w:tc>
          <w:tcPr>
            <w:tcW w:type="dxa" w:w="291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Actual invoiced cost, reconciled at closeout</w:t>
            </w:r>
          </w:p>
        </w:tc>
      </w:tr>
      <w:tr>
        <w:trPr>
          <w:cantSplit/>
        </w:trPr>
        <w:tc>
          <w:tcPr>
            <w:tcW w:type="dxa" w:w="271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Owner-selected light fixtures</w:t>
            </w:r>
          </w:p>
        </w:tc>
        <w:tc>
          <w:tcPr>
            <w:tcW w:type="dxa" w:w="116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$22,000</w:t>
            </w:r>
          </w:p>
        </w:tc>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Decorative fixtures in the lobby and conference rooms</w:t>
            </w:r>
          </w:p>
        </w:tc>
        <w:tc>
          <w:tcPr>
            <w:tcW w:type="dxa" w:w="291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Actual invoiced cost, reconciled at closeout</w:t>
            </w:r>
          </w:p>
        </w:tc>
      </w:tr>
      <w:tr>
        <w:trPr>
          <w:cantSplit/>
        </w:trPr>
        <w:tc>
          <w:tcPr>
            <w:tcW w:type="dxa" w:w="271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TOTAL ALLOWANCES - included in the contract sum, not in the base price above</w:t>
            </w:r>
          </w:p>
        </w:tc>
        <w:tc>
          <w:tcPr>
            <w:tcW w:type="dxa" w:w="116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$52,500</w:t>
            </w:r>
          </w:p>
        </w:tc>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c>
          <w:tcPr>
            <w:tcW w:type="dxa" w:w="291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2912"/>
        <w:gridCol w:w="1941"/>
        <w:gridCol w:w="2912"/>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5.1   CONTRACT SUM</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Base price</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$860,000</w:t>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Allowances</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$52,500</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CONTRACT SUM offered - base price plus allowances, before any alternate</w:t>
            </w:r>
          </w:p>
        </w:tc>
        <w:tc>
          <w:tcPr>
            <w:tcW w:type="dxa" w:w="7765"/>
            <w:gridSpan w:val="3"/>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$912,500</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6   QUALIFICATIONS AND ASSUMPTIONS</w:t>
            </w:r>
          </w:p>
        </w:tc>
      </w:tr>
      <w:tr>
        <w:trPr>
          <w:cantSplit/>
        </w:trPr>
        <w:tc>
          <w:tcPr>
            <w:tcW w:type="dxa" w:w="9706"/>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Each of these is a condition of the price. If one of them is not true on your project, the price changes - so read them before you sign, not after.</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The documents this price is based on</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Priced from the drawings and specifications listed in Section 1, at the revisions stated, including the addenda listed. Any later revision is a change.</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Working hours assumed</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Monday to Friday, 7:00 a.m. to 3:30 p.m. Premium time is not included and will be a change order if the owner requires it.</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Access assumed</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Continuous access to the work area, one freight elevator during working hours, and laydown space as shown on the logistics plan.</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Existing conditions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Priced on the conditions visible at the walk-through. Concealed conditions are addressed through the allowance in Section 5 or by change order.</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Permits and fees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Building permit fee is by the owner. Trade permits are included. Impact and utility connection fees are by the owner.</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Testing and inspection</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Special inspections are by the owner's agency. Contractor testing required by the specifications is included.</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Materials and tariffs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Priced at current supplier quotations. A change in tariff, duty or a supplier-declared surcharge after the date of this proposal is a change in the contract sum.</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Hazardous materials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No abatement of any kind is included. If suspect material is encountered, work in that area stops and the owner is notified the same day.</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882"/>
        <w:gridCol w:w="1165"/>
        <w:gridCol w:w="1262"/>
        <w:gridCol w:w="3397"/>
      </w:tblGrid>
      <w:tr>
        <w:trPr>
          <w:cantSplit/>
          <w:tblHeader/>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7   ALTERNATES - PRICED SEPARATELY, ACCEPT OR DECLINE EACH</w:t>
            </w:r>
          </w:p>
        </w:tc>
      </w:tr>
      <w:tr>
        <w:trPr>
          <w:cantSplit/>
          <w:tblHeader/>
        </w:trPr>
        <w:tc>
          <w:tcPr>
            <w:tcW w:type="dxa" w:w="388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Alternate</w:t>
            </w:r>
          </w:p>
        </w:tc>
        <w:tc>
          <w:tcPr>
            <w:tcW w:type="dxa" w:w="1165"/>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Add / deduct</w:t>
            </w:r>
          </w:p>
        </w:tc>
        <w:tc>
          <w:tcPr>
            <w:tcW w:type="dxa" w:w="126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Amount</w:t>
            </w:r>
          </w:p>
        </w:tc>
        <w:tc>
          <w:tcPr>
            <w:tcW w:type="dxa" w:w="3397"/>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changes</w:t>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Kept out of the base price on purpose, so the owner can take one without repricing the job. An accepted alternate becomes a change order at the amount shown.</w:t>
            </w:r>
          </w:p>
        </w:tc>
      </w:tr>
      <w:tr>
        <w:trPr>
          <w:cantSplit/>
        </w:trPr>
        <w:tc>
          <w:tcPr>
            <w:tcW w:type="dxa" w:w="388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A1  Upgrade lobby flooring to porcelain tile</w:t>
            </w:r>
          </w:p>
        </w:tc>
        <w:tc>
          <w:tcPr>
            <w:tcW w:type="dxa" w:w="116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Add</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$34,500</w:t>
            </w:r>
          </w:p>
        </w:tc>
        <w:tc>
          <w:tcPr>
            <w:tcW w:type="dxa" w:w="339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Replaces the resilient flooring in the base scope; adds four working days</w:t>
            </w:r>
          </w:p>
        </w:tc>
      </w:tr>
      <w:tr>
        <w:trPr>
          <w:cantSplit/>
        </w:trPr>
        <w:tc>
          <w:tcPr>
            <w:tcW w:type="dxa" w:w="388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A2  Second coat of paint throughout</w:t>
            </w:r>
          </w:p>
        </w:tc>
        <w:tc>
          <w:tcPr>
            <w:tcW w:type="dxa" w:w="116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Add</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$9,800</w:t>
            </w:r>
          </w:p>
        </w:tc>
        <w:tc>
          <w:tcPr>
            <w:tcW w:type="dxa" w:w="339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No schedule effect</w:t>
            </w:r>
          </w:p>
        </w:tc>
      </w:tr>
      <w:tr>
        <w:trPr>
          <w:cantSplit/>
        </w:trPr>
        <w:tc>
          <w:tcPr>
            <w:tcW w:type="dxa" w:w="388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A3  Retain and refinish existing ceiling grid</w:t>
            </w:r>
          </w:p>
        </w:tc>
        <w:tc>
          <w:tcPr>
            <w:tcW w:type="dxa" w:w="116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Deduct</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$15,200</w:t>
            </w:r>
          </w:p>
        </w:tc>
        <w:tc>
          <w:tcPr>
            <w:tcW w:type="dxa" w:w="339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8"/>
                <w:szCs w:val="18"/>
              </w:rPr>
              <w:t xml:space="preserve">Removes new grid from the base scope; grid condition is the owner's risk</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8   SCHEDULE, AND HOW LONG THIS PRICE HOLDS</w:t>
            </w:r>
          </w:p>
        </w:tc>
      </w:tr>
      <w:tr>
        <w:trPr>
          <w:cantSplit/>
        </w:trPr>
        <w:tc>
          <w:tcPr>
            <w:tcW w:type="dxa" w:w="9706"/>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This proposal expires on the date in Section 1. Supplier quotations behind it expire too, which is what the date is for - if the owner signs later, the price is repriced.</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Notice to proceed assumed</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 DD, YYYY]</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Mobilization</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Within five working days of notice to proceed</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Duration</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[nn] working days from mobilization</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Substantial completion</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 DD, YYYY], subject to the assumptions in Section 6</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Punch list and closeout</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Fifteen working days after substantial completion</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Liquidated damages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None offered in this proposal. If the contract imposes them, the price will be revisited</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9   INSURANCE, BONDING AND LICENSE</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General liability</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$2,000,000 per occurrence / $4,000,000 aggregate</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Automobile liability</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$1,000,000 combined single limit</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Workers compensation</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Statutory, with employer's liability at $1,000,000</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Umbrella / excess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$5,000,000</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Additional insured</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Owner named on the general liability policy, primary and non-contributory</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Bonding</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Performance and payment bonds available at [n.n]% of the contract sum if required, not included in the price above</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License</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[State] contractor license [number], current and in good standing</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10   WARRANTY</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Contractor warranty</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One year from substantial completion on labor and installation</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Manufacturer warranties</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Assigned to the owner at closeout, with the certificates</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What the warranty excludes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Damage from misuse, alteration by others, deferred maintenance, and normal wear</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Response time</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Two working days to attend, and a written remedy plan within five</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11   ACCEPTANCE</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val="false"/>
                <w:iCs w:val="false"/>
                <w:caps w:val="false"/>
                <w:color w:val="1D3245"/>
                <w:sz w:val="18"/>
                <w:szCs w:val="18"/>
              </w:rPr>
              <w:t xml:space="preserve">Signing below accepts this proposal as the basis of the work and authorizes the contractor to proceed on the terms stated in it, including its exclusions, qualifications and allowances. It is not a contract in itself: the parties will execute the contract form named in the bid documents, and where that form and this proposal differ, the executed contract governs.</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613"/>
        <w:gridCol w:w="1893"/>
        <w:gridCol w:w="240"/>
        <w:gridCol w:w="1613"/>
        <w:gridCol w:w="1893"/>
        <w:gridCol w:w="240"/>
        <w:gridCol w:w="1018"/>
        <w:gridCol w:w="1196"/>
      </w:tblGrid>
      <w:tr>
        <w:trPr>
          <w:cantSplit/>
        </w:trPr>
        <w:tc>
          <w:tcPr>
            <w:tcW w:type="dxa" w:w="1613"/>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Owner</w:t>
            </w:r>
          </w:p>
        </w:tc>
        <w:tc>
          <w:tcPr>
            <w:tcW w:type="dxa" w:w="1893"/>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1613"/>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Contractor</w:t>
            </w:r>
          </w:p>
        </w:tc>
        <w:tc>
          <w:tcPr>
            <w:tcW w:type="dxa" w:w="1893"/>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1018"/>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w:t>
            </w:r>
          </w:p>
        </w:tc>
        <w:tc>
          <w:tcPr>
            <w:tcW w:type="dxa" w:w="1196"/>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HOW TO USE THIS PROPOSAL</w:t>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300"/>
        <w:gridCol w:w="6406"/>
      </w:tblGrid>
      <w:tr>
        <w:trPr>
          <w:cantSplit/>
        </w:trPr>
        <w:tc>
          <w:tcPr>
            <w:tcW w:type="dxa" w:w="330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9"/>
                <w:szCs w:val="19"/>
              </w:rPr>
              <w:t xml:space="preserve">What this file assumes</w:t>
            </w:r>
          </w:p>
        </w:tc>
        <w:tc>
          <w:tcPr>
            <w:tcW w:type="dxa" w:w="6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9"/>
                <w:szCs w:val="19"/>
              </w:rPr>
              <w:t xml:space="preserve">One contractor proposing a stipulated sum to one owner on a commercial interior or light-construction project in the United States. Not a design-build proposal, not a cost-plus or GMP proposal, and not a public-works bid, which will have its own mandatory forms.</w:t>
            </w:r>
          </w:p>
        </w:tc>
      </w:tr>
      <w:tr>
        <w:trPr>
          <w:cantSplit/>
        </w:trPr>
        <w:tc>
          <w:tcPr>
            <w:tcW w:type="dxa" w:w="330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9"/>
                <w:szCs w:val="19"/>
              </w:rPr>
              <w:t xml:space="preserve">Fill in the exclusions before the price</w:t>
            </w:r>
          </w:p>
        </w:tc>
        <w:tc>
          <w:tcPr>
            <w:tcW w:type="dxa" w:w="6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9"/>
                <w:szCs w:val="19"/>
              </w:rPr>
              <w:t xml:space="preserve">The exclusions and qualifications sections are the ones that decide who pays for a surprise. A proposal with a detailed price and a thin exclusions list transfers risk you have not priced.</w:t>
            </w:r>
          </w:p>
        </w:tc>
      </w:tr>
      <w:tr>
        <w:trPr>
          <w:cantSplit/>
        </w:trPr>
        <w:tc>
          <w:tcPr>
            <w:tcW w:type="dxa" w:w="330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9"/>
                <w:szCs w:val="19"/>
              </w:rPr>
              <w:t xml:space="preserve">An allowance is not a budget</w:t>
            </w:r>
          </w:p>
        </w:tc>
        <w:tc>
          <w:tcPr>
            <w:tcW w:type="dxa" w:w="6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9"/>
                <w:szCs w:val="19"/>
              </w:rPr>
              <w:t xml:space="preserve">It is a placeholder for work that cannot be priced yet, and it is reconciled against actual cost. Say so in front of the owner at the time you present it, not after.</w:t>
            </w:r>
          </w:p>
        </w:tc>
      </w:tr>
      <w:tr>
        <w:trPr>
          <w:cantSplit/>
        </w:trPr>
        <w:tc>
          <w:tcPr>
            <w:tcW w:type="dxa" w:w="330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9"/>
                <w:szCs w:val="19"/>
              </w:rPr>
              <w:t xml:space="preserve">Alternates are priced separately on purpose</w:t>
            </w:r>
          </w:p>
        </w:tc>
        <w:tc>
          <w:tcPr>
            <w:tcW w:type="dxa" w:w="6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9"/>
                <w:szCs w:val="19"/>
              </w:rPr>
              <w:t xml:space="preserve">Folding an alternate into the base price hides it. Kept separate, the owner can accept or decline it without repricing the job.</w:t>
            </w:r>
          </w:p>
        </w:tc>
      </w:tr>
      <w:tr>
        <w:trPr>
          <w:cantSplit/>
        </w:trPr>
        <w:tc>
          <w:tcPr>
            <w:tcW w:type="dxa" w:w="330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9"/>
                <w:szCs w:val="19"/>
              </w:rPr>
              <w:t xml:space="preserve">The validity date is not a formality</w:t>
            </w:r>
          </w:p>
        </w:tc>
        <w:tc>
          <w:tcPr>
            <w:tcW w:type="dxa" w:w="6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9"/>
                <w:szCs w:val="19"/>
              </w:rPr>
              <w:t xml:space="preserve">Supplier quotations expire. If the owner signs after the date in Section 1, reprice - and say that at the presentation rather than in the small print.</w:t>
            </w:r>
          </w:p>
        </w:tc>
      </w:tr>
      <w:tr>
        <w:trPr>
          <w:cantSplit/>
        </w:trPr>
        <w:tc>
          <w:tcPr>
            <w:tcW w:type="dxa" w:w="330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9"/>
                <w:szCs w:val="19"/>
              </w:rPr>
              <w:t xml:space="preserve">Nothing here is legal advice</w:t>
            </w:r>
          </w:p>
        </w:tc>
        <w:tc>
          <w:tcPr>
            <w:tcW w:type="dxa" w:w="6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9"/>
                <w:szCs w:val="19"/>
              </w:rPr>
              <w:t xml:space="preserve">The insurance limits, the change order markups, the retainage percentage and the warranty period are examples. Yours come from your contract, your carrier and your state.</w:t>
            </w:r>
          </w:p>
        </w:tc>
      </w:tr>
    </w:tbl>
    <w:p>
      <w:pPr>
        <w:keepNext w:val="false"/>
        <w:spacing w:after="0" w:before="0" w:line="250"/>
        <w:jc w:val="left"/>
      </w:pPr>
      <w:r>
        <w:rPr>
          <w:rFonts w:ascii="Inter" w:cs="Inter" w:eastAsia="Inter" w:hAnsi="Inter"/>
          <w:b w:val="false"/>
          <w:bCs w:val="false"/>
          <w:i w:val="false"/>
          <w:iCs w:val="false"/>
          <w:caps w:val="false"/>
          <w:color w:val="1D3245"/>
          <w:sz w:val="18"/>
          <w:szCs w:val="1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8"/>
                <w:szCs w:val="18"/>
              </w:rPr>
              <w:t xml:space="preserve">IMPORTANT   What this proposal is, and what it is not. It is an offer to perform the work described, on the terms described, until the date in Section 1. It is not a contract, and signing it does not replace the contract form the bid documents require. Read the exclusions in Section 3, the allowances in Section 5 and the qualifications in Section 6 together before signing: those three sections define the price as much as the number does, and a signature accepts them too. Every figure in this template is an example. Replace all of them, and have the final document reviewed by your own counsel and your insurance broker before you issue it.</w:t>
            </w:r>
          </w:p>
        </w:tc>
      </w:tr>
    </w:tbl>
    <w:p>
      <w:pPr>
        <w:keepNext w:val="false"/>
        <w:spacing w:after="0" w:before="0" w:line="250"/>
        <w:jc w:val="left"/>
      </w:pPr>
      <w:r>
        <w:rPr>
          <w:rFonts w:ascii="Inter" w:cs="Inter" w:eastAsia="Inter" w:hAnsi="Inter"/>
          <w:b w:val="false"/>
          <w:bCs w:val="false"/>
          <w:i w:val="false"/>
          <w:iCs w:val="false"/>
          <w:caps w:val="false"/>
          <w:color w:val="1D3245"/>
          <w:sz w:val="18"/>
          <w:szCs w:val="1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8"/>
                <w:szCs w:val="18"/>
              </w:rPr>
              <w:t xml:space="preserve">Built for teams delivering capital projects, programs and portfolios</w:t>
            </w:r>
          </w:p>
        </w:tc>
      </w:tr>
    </w:tbl>
    <w:p/>
    <w:sectPr>
      <w:headerReference w:type="default" r:id="rId7"/>
      <w:footerReference w:type="default" r:id="rId8"/>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vs7cp0nlezszjec3ez369">
      <w:r>
        <w:rPr>
          <w:rFonts w:ascii="Inter" w:cs="Inter" w:eastAsia="Inter" w:hAnsi="Inter"/>
          <w:color w:val="3480BC"/>
          <w:sz w:val="19"/>
          <w:szCs w:val="19"/>
          <w:u w:val="single"/>
        </w:rPr>
        <w:t xml:space="preserve">Visit mastt.com</w:t>
      </w:r>
    </w:hyperlink>
    <w:r>
      <w:rPr>
        <w:rFonts w:ascii="Inter" w:cs="Inter" w:eastAsia="Inter" w:hAnsi="Inter"/>
        <w:color w:val="8E98A2"/>
        <w:sz w:val="19"/>
        <w:szCs w:val="19"/>
      </w:rPr>
      <w:t xml:space="preserve">	Page </w:t>
    </w:r>
    <w:r>
      <w:rPr>
        <w:rFonts w:ascii="Inter" w:cs="Inter" w:eastAsia="Inter" w:hAnsi="Inter"/>
        <w:color w:val="8E98A2"/>
        <w:sz w:val="19"/>
        <w:szCs w:val="19"/>
      </w:rPr>
      <w:fldChar w:fldCharType="begin"/>
      <w:instrText xml:space="preserve">PAGE</w:instrText>
      <w:fldChar w:fldCharType="separate"/>
      <w:fldChar w:fldCharType="end"/>
    </w:r>
    <w:r>
      <w:rPr>
        <w:rFonts w:ascii="Inter" w:cs="Inter" w:eastAsia="Inter" w:hAnsi="Inter"/>
        <w:color w:val="8E98A2"/>
        <w:sz w:val="19"/>
        <w:szCs w:val="19"/>
      </w:rPr>
      <w:t xml:space="preserve"> of </w:t>
    </w:r>
    <w:r>
      <w:rPr>
        <w:rFonts w:ascii="Inter" w:cs="Inter" w:eastAsia="Inter" w:hAnsi="Inter"/>
        <w:color w:val="8E98A2"/>
        <w:sz w:val="19"/>
        <w:szCs w:val="19"/>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ibjxcnrertkxgq3k8_ve9">
      <w:r>
        <w:drawing>
          <wp:inline distT="0" distB="0" distL="0" distR="0">
            <wp:extent cx="990600" cy="295275"/>
            <wp:effectExtent t="0" r="0" b="0" l="0"/>
            <wp:docPr id="1" name="" descr="" title="">
              <a:hlinkClick xmlns:a="http://schemas.openxmlformats.org/drawingml/2006/main" r:id="rIdibjxcnrertkxgq3k8_ve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ibjxcnrertkxgq3k8_ve9"/>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Construction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vs7cp0nlezszjec3ez369"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ibjxcnrertkxgq3k8_ve9"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2026-08-26T03:34:38.249Z</dcterms:created>
  <dcterms:modified xsi:type="dcterms:W3CDTF">2026-08-26T03:34:38.250Z</dcterms:modified>
</cp:coreProperties>
</file>

<file path=docProps/custom.xml><?xml version="1.0" encoding="utf-8"?>
<Properties xmlns="http://schemas.openxmlformats.org/officeDocument/2006/custom-properties" xmlns:vt="http://schemas.openxmlformats.org/officeDocument/2006/docPropsVTypes"/>
</file>