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0"/>
      </w:tblGrid>
      <w:tr>
        <w:trPr>
          <w:cantSplit/>
        </w:trPr>
        <w:tc>
          <w:tcPr>
            <w:tcW w:type="dxa" w:w="10040"/>
            <w:tcBorders>
              <w:top w:val="none" w:color="auto" w:sz="0"/>
              <w:left w:val="none" w:color="auto" w:sz="0"/>
              <w:bottom w:val="none" w:color="auto" w:sz="0"/>
              <w:right w:val="none" w:color="auto" w:sz="0"/>
            </w:tcBorders>
            <w:shd w:fill="1D3245" w:color="auto" w:val="clear"/>
            <w:tcMar>
              <w:top w:type="dxa" w:w="34"/>
              <w:left w:type="dxa" w:w="92"/>
              <w:bottom w:type="dxa" w:w="34"/>
              <w:right w:type="dxa" w:w="92"/>
            </w:tcMar>
          </w:tcPr>
          <w:p>
            <w:pPr>
              <w:keepNext w:val="false"/>
              <w:spacing w:after="0" w:before="0" w:line="330"/>
              <w:jc w:val="left"/>
            </w:pPr>
            <w:r>
              <w:rPr>
                <w:rFonts w:ascii="Inter" w:cs="Inter" w:eastAsia="Inter" w:hAnsi="Inter"/>
                <w:b/>
                <w:bCs/>
                <w:i w:val="false"/>
                <w:iCs w:val="false"/>
                <w:caps w:val="false"/>
                <w:color w:val="FFFFFF"/>
                <w:sz w:val="30"/>
                <w:szCs w:val="30"/>
              </w:rPr>
              <w:t xml:space="preserve">Lien Waiver Form</w:t>
            </w:r>
          </w:p>
        </w:tc>
      </w:tr>
      <w:tr>
        <w:trPr>
          <w:cantSplit/>
        </w:trPr>
        <w:tc>
          <w:tcPr>
            <w:tcW w:type="dxa" w:w="10040"/>
            <w:tcBorders>
              <w:top w:val="none" w:color="auto" w:sz="0"/>
              <w:left w:val="none" w:color="auto" w:sz="0"/>
              <w:bottom w:val="none" w:color="auto" w:sz="0"/>
              <w:right w:val="none" w:color="auto" w:sz="0"/>
            </w:tcBorders>
            <w:shd w:fill="1D3245" w:color="auto" w:val="clear"/>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val="false"/>
                <w:iCs w:val="false"/>
                <w:caps w:val="false"/>
                <w:color w:val="9FB3C8"/>
                <w:sz w:val="19"/>
                <w:szCs w:val="19"/>
              </w:rPr>
              <w:t xml:space="preserve">Four waivers to print and issue. US construction projects, owner side.</w:t>
            </w:r>
          </w:p>
        </w:tc>
      </w:tr>
      <w:tr>
        <w:trPr>
          <w:cantSplit/>
        </w:trPr>
        <w:tc>
          <w:tcPr>
            <w:tcW w:type="dxa" w:w="10040"/>
            <w:tcBorders>
              <w:top w:val="none" w:color="auto" w:sz="0"/>
              <w:left w:val="none" w:color="auto" w:sz="0"/>
              <w:bottom w:val="none" w:color="auto" w:sz="0"/>
              <w:right w:val="none" w:color="auto" w:sz="0"/>
            </w:tcBorders>
            <w:shd w:fill="3480BC" w:color="auto" w:val="clear"/>
            <w:tcMar>
              <w:top w:type="dxa" w:w="34"/>
              <w:left w:type="dxa" w:w="92"/>
              <w:bottom w:type="dxa" w:w="34"/>
              <w:right w:type="dxa" w:w="92"/>
            </w:tcMar>
          </w:tcPr>
          <w:p>
            <w:pPr>
              <w:keepNext w:val="false"/>
              <w:spacing w:after="0" w:before="0" w:line="30"/>
              <w:jc w:val="left"/>
            </w:pPr>
            <w:r>
              <w:rPr>
                <w:rFonts w:ascii="Inter" w:cs="Inter" w:eastAsia="Inter" w:hAnsi="Inter"/>
                <w:b w:val="false"/>
                <w:bCs w:val="false"/>
                <w:i w:val="false"/>
                <w:iCs w:val="false"/>
                <w:caps w:val="false"/>
                <w:color w:val="1D3245"/>
                <w:sz w:val="2"/>
                <w:szCs w:val="2"/>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0"/>
          <w:szCs w:val="10"/>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0"/>
      </w:tblGrid>
      <w:tr>
        <w:trPr>
          <w:cantSplit/>
        </w:trPr>
        <w:tc>
          <w:tcPr>
            <w:tcW w:type="dxa" w:w="10040"/>
            <w:tcBorders>
              <w:top w:val="single" w:color="FFB547" w:sz="4"/>
              <w:left w:val="single" w:color="FFB547" w:sz="4"/>
              <w:bottom w:val="single" w:color="FFB547" w:sz="4"/>
              <w:right w:val="single" w:color="FFB547" w:sz="4"/>
            </w:tcBorders>
            <w:shd w:fill="FFF4E0" w:color="auto" w:val="clear"/>
            <w:tcMar>
              <w:top w:type="dxa" w:w="34"/>
              <w:left w:type="dxa" w:w="92"/>
              <w:bottom w:type="dxa" w:w="34"/>
              <w:right w:type="dxa" w:w="92"/>
            </w:tcMar>
          </w:tcPr>
          <w:p>
            <w:pPr>
              <w:keepNext w:val="false"/>
              <w:spacing w:after="0" w:before="0" w:line="235"/>
              <w:jc w:val="left"/>
            </w:pPr>
            <w:r>
              <w:rPr>
                <w:rFonts w:ascii="Inter" w:cs="Inter" w:eastAsia="Inter" w:hAnsi="Inter"/>
                <w:b/>
                <w:bCs/>
                <w:i w:val="false"/>
                <w:iCs w:val="false"/>
                <w:caps w:val="false"/>
                <w:color w:val="EC6917"/>
                <w:sz w:val="19"/>
                <w:szCs w:val="19"/>
              </w:rPr>
              <w:t xml:space="preserve">BEFORE YOU USE THESE. Twelve states PRESCRIBE the wording of a lien waiver by statute - Arizona, California, Florida, Georgia, Massachusetts, Michigan, Mississippi, Missouri, Nevada, Texas, Utah, Wyoming. In those, use the state's own form: one that does not substantially comply may release nothing, and in some of them requiring the wrong form breaches the statute by itself. The other thirty-eight states and the District of Columbia do not prescribe a form, and there these four are yours to issue.</w:t>
            </w:r>
          </w:p>
        </w:tc>
      </w:tr>
    </w:tbl>
    <w:p>
      <w:pPr>
        <w:keepNext w:val="false"/>
        <w:spacing w:after="0" w:before="0" w:line="250"/>
        <w:jc w:val="left"/>
      </w:pPr>
      <w:r>
        <w:rPr>
          <w:rFonts w:ascii="Inter" w:cs="Inter" w:eastAsia="Inter" w:hAnsi="Inter"/>
          <w:b w:val="false"/>
          <w:bCs w:val="false"/>
          <w:i w:val="false"/>
          <w:iCs w:val="false"/>
          <w:caps w:val="false"/>
          <w:color w:val="1D3245"/>
          <w:sz w:val="10"/>
          <w:szCs w:val="10"/>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0"/>
      </w:tblGrid>
      <w:tr>
        <w:trPr>
          <w:cantSplit/>
        </w:trPr>
        <w:tc>
          <w:tcPr>
            <w:tcW w:type="dxa" w:w="10040"/>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1"/>
                <w:szCs w:val="21"/>
              </w:rPr>
              <w:t xml:space="preserve">FORM 1   CONDITIONAL WAIVER AND RELEASE ON PROGRESS PAYMENT</w:t>
            </w:r>
          </w:p>
        </w:tc>
      </w:tr>
    </w:tbl>
    <w:p>
      <w:pPr>
        <w:keepNext w:val="false"/>
        <w:spacing w:after="0" w:before="0" w:line="250"/>
        <w:ind w:left="86"/>
        <w:jc w:val="left"/>
      </w:pPr>
      <w:r>
        <w:rPr>
          <w:rFonts w:ascii="Inter" w:cs="Inter" w:eastAsia="Inter" w:hAnsi="Inter"/>
          <w:b/>
          <w:bCs/>
          <w:i w:val="false"/>
          <w:iCs w:val="false"/>
          <w:caps w:val="false"/>
          <w:color w:val="0D3C61"/>
          <w:sz w:val="17"/>
          <w:szCs w:val="17"/>
        </w:rPr>
        <w:t xml:space="preserve">Require it: Before you release a progress payment.</w:t>
      </w:r>
    </w:p>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2610"/>
        <w:gridCol w:w="7430"/>
      </w:tblGrid>
      <w:tr>
        <w:trPr>
          <w:cantSplit/>
        </w:trPr>
        <w:tc>
          <w:tcPr>
            <w:tcW w:type="dxa" w:w="2610"/>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Project</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[Project name and street address, city, state, ZIP]</w:t>
            </w:r>
          </w:p>
        </w:tc>
      </w:tr>
      <w:tr>
        <w:trPr>
          <w:cantSplit/>
        </w:trPr>
        <w:tc>
          <w:tcPr>
            <w:tcW w:type="dxa" w:w="2610"/>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Owner</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[Owner's legal entity name]</w:t>
            </w:r>
          </w:p>
        </w:tc>
      </w:tr>
      <w:tr>
        <w:trPr>
          <w:cantSplit/>
        </w:trPr>
        <w:tc>
          <w:tcPr>
            <w:tcW w:type="dxa" w:w="2610"/>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Claimant</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[Claimant's legal entity name, exactly as it appears on its notice]</w:t>
            </w:r>
          </w:p>
        </w:tc>
      </w:tr>
      <w:tr>
        <w:trPr>
          <w:cantSplit/>
        </w:trPr>
        <w:tc>
          <w:tcPr>
            <w:tcW w:type="dxa" w:w="2610"/>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Claimant's role</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[General contractor / subcontractor / supplier / equipment lessor]</w:t>
            </w:r>
          </w:p>
        </w:tc>
      </w:tr>
      <w:tr>
        <w:trPr>
          <w:cantSplit/>
        </w:trPr>
        <w:tc>
          <w:tcPr>
            <w:tcW w:type="dxa" w:w="2610"/>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Through date</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[Month DD, YYYY - the last day of work covered by this release]</w:t>
            </w:r>
          </w:p>
        </w:tc>
      </w:tr>
      <w:tr>
        <w:trPr>
          <w:cantSplit/>
        </w:trPr>
        <w:tc>
          <w:tcPr>
            <w:tcW w:type="dxa" w:w="2610"/>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Amount of this payment</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$[0.00]</w:t>
            </w:r>
          </w:p>
        </w:tc>
      </w:tr>
    </w:tbl>
    <w:p>
      <w:pPr>
        <w:keepNext w:val="false"/>
        <w:spacing w:after="0" w:before="0" w:line="250"/>
        <w:jc w:val="left"/>
      </w:pPr>
      <w:r>
        <w:rPr>
          <w:rFonts w:ascii="Inter" w:cs="Inter" w:eastAsia="Inter" w:hAnsi="Inter"/>
          <w:b w:val="false"/>
          <w:bCs w:val="false"/>
          <w:i w:val="false"/>
          <w:iCs w:val="false"/>
          <w:caps w:val="false"/>
          <w:color w:val="1D3245"/>
          <w:sz w:val="10"/>
          <w:szCs w:val="10"/>
        </w:rPr>
        <w:t xml:space="preserve"/>
      </w:r>
    </w:p>
    <w:p>
      <w:pPr>
        <w:keepNext w:val="false"/>
        <w:spacing w:after="100" w:before="0" w:line="250"/>
        <w:jc w:val="left"/>
      </w:pPr>
      <w:r>
        <w:rPr>
          <w:rFonts w:ascii="Inter" w:cs="Inter" w:eastAsia="Inter" w:hAnsi="Inter"/>
          <w:b w:val="false"/>
          <w:bCs w:val="false"/>
          <w:i w:val="false"/>
          <w:iCs w:val="false"/>
          <w:caps w:val="false"/>
          <w:color w:val="1D3245"/>
          <w:sz w:val="19"/>
          <w:szCs w:val="19"/>
        </w:rPr>
        <w:t xml:space="preserve">Upon receipt by the claimant of a check from the owner, in the amount stated above, payable to the claimant and when the check has been properly endorsed and has been paid by the bank on which it is drawn, this document becomes effective to release any mechanic's lien, stop payment notice or payment bond right the claimant has on the project to the extent of the amount stated above, for labor, services, equipment or material furnished to the project up to and including the Through date stated above.</w:t>
      </w:r>
    </w:p>
    <w:p>
      <w:pPr>
        <w:keepNext w:val="false"/>
        <w:spacing w:after="60" w:before="0" w:line="240"/>
        <w:jc w:val="left"/>
      </w:pPr>
      <w:r>
        <w:rPr>
          <w:rFonts w:ascii="Inter" w:cs="Inter" w:eastAsia="Inter" w:hAnsi="Inter"/>
          <w:b w:val="false"/>
          <w:bCs w:val="false"/>
          <w:i/>
          <w:iCs/>
          <w:caps w:val="false"/>
          <w:color w:val="8E98A2"/>
          <w:sz w:val="17"/>
          <w:szCs w:val="17"/>
        </w:rPr>
        <w:t xml:space="preserve">This release covers a progress payment only. It does not cover any retainage, any items furnished after the through date, or anything listed as excluded below. Before any recipient relies on this document, that recipient should verify evidence of payment to the claimant.</w:t>
      </w:r>
    </w:p>
    <w:p>
      <w:pPr>
        <w:keepNext w:val="false"/>
        <w:spacing w:after="120" w:before="0" w:line="240"/>
        <w:jc w:val="left"/>
      </w:pPr>
      <w:r>
        <w:rPr>
          <w:rFonts w:ascii="Inter" w:cs="Inter" w:eastAsia="Inter" w:hAnsi="Inter"/>
          <w:b/>
          <w:bCs/>
          <w:i w:val="false"/>
          <w:iCs w:val="false"/>
          <w:caps w:val="false"/>
          <w:color w:val="0D3C61"/>
          <w:sz w:val="17"/>
          <w:szCs w:val="17"/>
        </w:rPr>
        <w:t xml:space="preserve">HOW THIS FORM BECOMES EFFECTIVE. Nothing is released when this document is signed. It takes effect only when the payment named above has actually been paid by the bank it is drawn on. Keep the evidence with this form - the endorsed check, the cleared-funds advice or a written acknowledgment of payment from the claimant. California requires that evidence before a conditional release binds, and it is the right practice everywhere.</w:t>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0"/>
      </w:tblGrid>
      <w:tr>
        <w:trPr>
          <w:cantSplit/>
          <w:tblHeader/>
        </w:trPr>
        <w:tc>
          <w:tcPr>
            <w:tcW w:type="dxa" w:w="10040"/>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EXCLUDED FROM THIS RELEASE</w:t>
            </w:r>
          </w:p>
        </w:tc>
      </w:tr>
      <w:tr>
        <w:trPr>
          <w:cantSplit/>
        </w:trPr>
        <w:tc>
          <w:tcPr>
            <w:tcW w:type="dxa" w:w="10040"/>
            <w:gridSpan w:val="1"/>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List any disputed claim, pending change order, unbilled work, claim for delay or extra cost, or retainage that this release does NOT cover. Anything not listed here is released. A claimant should complete this block; an owner should read it before treating the release as clean, because an exclusion is notice of a live claim.</w:t>
            </w:r>
          </w:p>
        </w:tc>
      </w:tr>
      <w:tr>
        <w:trPr>
          <w:cantSplit/>
        </w:trPr>
        <w:tc>
          <w:tcPr>
            <w:tcW w:type="dxa" w:w="10040"/>
            <w:tcBorders>
              <w:top w:val="single" w:color="E0E0E0" w:sz="4"/>
              <w:left w:val="single" w:color="E0E0E0" w:sz="4"/>
              <w:bottom w:val="single" w:color="E0E0E0" w:sz="4"/>
              <w:right w:val="single" w:color="E0E0E0" w:sz="4"/>
            </w:tcBorders>
            <w:shd w:fill="E3F0FA" w:color="auto" w:val="clear"/>
            <w:tcMar>
              <w:top w:type="dxa" w:w="190"/>
              <w:left w:type="dxa" w:w="92"/>
              <w:bottom w:type="dxa" w:w="190"/>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
            </w:r>
          </w:p>
        </w:tc>
      </w:tr>
      <w:tr>
        <w:trPr>
          <w:cantSplit/>
        </w:trPr>
        <w:tc>
          <w:tcPr>
            <w:tcW w:type="dxa" w:w="10040"/>
            <w:tcBorders>
              <w:top w:val="single" w:color="E0E0E0" w:sz="4"/>
              <w:left w:val="single" w:color="E0E0E0" w:sz="4"/>
              <w:bottom w:val="single" w:color="E0E0E0" w:sz="4"/>
              <w:right w:val="single" w:color="E0E0E0" w:sz="4"/>
            </w:tcBorders>
            <w:shd w:fill="E3F0FA" w:color="auto" w:val="clear"/>
            <w:tcMar>
              <w:top w:type="dxa" w:w="190"/>
              <w:left w:type="dxa" w:w="92"/>
              <w:bottom w:type="dxa" w:w="190"/>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
            </w:r>
          </w:p>
        </w:tc>
      </w:tr>
      <w:tr>
        <w:trPr>
          <w:cantSplit/>
        </w:trPr>
        <w:tc>
          <w:tcPr>
            <w:tcW w:type="dxa" w:w="10040"/>
            <w:tcBorders>
              <w:top w:val="single" w:color="E0E0E0" w:sz="4"/>
              <w:left w:val="single" w:color="E0E0E0" w:sz="4"/>
              <w:bottom w:val="single" w:color="E0E0E0" w:sz="4"/>
              <w:right w:val="single" w:color="E0E0E0" w:sz="4"/>
            </w:tcBorders>
            <w:shd w:fill="E3F0FA" w:color="auto" w:val="clear"/>
            <w:tcMar>
              <w:top w:type="dxa" w:w="190"/>
              <w:left w:type="dxa" w:w="92"/>
              <w:bottom w:type="dxa" w:w="190"/>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2479"/>
        <w:gridCol w:w="2911"/>
        <w:gridCol w:w="240"/>
        <w:gridCol w:w="2029"/>
        <w:gridCol w:w="2381"/>
      </w:tblGrid>
      <w:tr>
        <w:trPr>
          <w:cantSplit/>
        </w:trPr>
        <w:tc>
          <w:tcPr>
            <w:tcW w:type="dxa" w:w="2479"/>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Claimant's signature</w:t>
            </w:r>
          </w:p>
        </w:tc>
        <w:tc>
          <w:tcPr>
            <w:tcW w:type="dxa" w:w="2911"/>
            <w:tcBorders>
              <w:top w:val="none" w:color="auto" w:sz="0"/>
              <w:left w:val="none" w:color="auto" w:sz="0"/>
              <w:bottom w:val="single" w:color="BDBDBD" w:sz="6"/>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40"/>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029"/>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Date</w:t>
            </w:r>
          </w:p>
        </w:tc>
        <w:tc>
          <w:tcPr>
            <w:tcW w:type="dxa" w:w="2381"/>
            <w:tcBorders>
              <w:top w:val="none" w:color="auto" w:sz="0"/>
              <w:left w:val="none" w:color="auto" w:sz="0"/>
              <w:bottom w:val="single" w:color="BDBDBD" w:sz="6"/>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0"/>
          <w:szCs w:val="10"/>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2479"/>
        <w:gridCol w:w="2911"/>
        <w:gridCol w:w="240"/>
        <w:gridCol w:w="2029"/>
        <w:gridCol w:w="2381"/>
      </w:tblGrid>
      <w:tr>
        <w:trPr>
          <w:cantSplit/>
        </w:trPr>
        <w:tc>
          <w:tcPr>
            <w:tcW w:type="dxa" w:w="2479"/>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Print name and title</w:t>
            </w:r>
          </w:p>
        </w:tc>
        <w:tc>
          <w:tcPr>
            <w:tcW w:type="dxa" w:w="2911"/>
            <w:tcBorders>
              <w:top w:val="none" w:color="auto" w:sz="0"/>
              <w:left w:val="none" w:color="auto" w:sz="0"/>
              <w:bottom w:val="single" w:color="BDBDBD" w:sz="6"/>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40"/>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029"/>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Company</w:t>
            </w:r>
          </w:p>
        </w:tc>
        <w:tc>
          <w:tcPr>
            <w:tcW w:type="dxa" w:w="2381"/>
            <w:tcBorders>
              <w:top w:val="none" w:color="auto" w:sz="0"/>
              <w:left w:val="none" w:color="auto" w:sz="0"/>
              <w:bottom w:val="single" w:color="BDBDBD" w:sz="6"/>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r>
    </w:tbl>
    <w:p>
      <w:pPr>
        <w:keepNext w:val="false"/>
        <w:pageBreakBefor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0"/>
      </w:tblGrid>
      <w:tr>
        <w:trPr>
          <w:cantSplit/>
        </w:trPr>
        <w:tc>
          <w:tcPr>
            <w:tcW w:type="dxa" w:w="10040"/>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1"/>
                <w:szCs w:val="21"/>
              </w:rPr>
              <w:t xml:space="preserve">FORM 2   UNCONDITIONAL WAIVER AND RELEASE ON PROGRESS PAYMENT</w:t>
            </w:r>
          </w:p>
        </w:tc>
      </w:tr>
    </w:tbl>
    <w:p>
      <w:pPr>
        <w:keepNext w:val="false"/>
        <w:spacing w:after="0" w:before="0" w:line="250"/>
        <w:ind w:left="86"/>
        <w:jc w:val="left"/>
      </w:pPr>
      <w:r>
        <w:rPr>
          <w:rFonts w:ascii="Inter" w:cs="Inter" w:eastAsia="Inter" w:hAnsi="Inter"/>
          <w:b/>
          <w:bCs/>
          <w:i w:val="false"/>
          <w:iCs w:val="false"/>
          <w:caps w:val="false"/>
          <w:color w:val="0D3C61"/>
          <w:sz w:val="17"/>
          <w:szCs w:val="17"/>
        </w:rPr>
        <w:t xml:space="preserve">Require it: After the progress payment has cleared.</w:t>
      </w:r>
    </w:p>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0"/>
      </w:tblGrid>
      <w:tr>
        <w:trPr>
          <w:cantSplit/>
        </w:trPr>
        <w:tc>
          <w:tcPr>
            <w:tcW w:type="dxa" w:w="10040"/>
            <w:tcBorders>
              <w:top w:val="single" w:color="FFB547" w:sz="4"/>
              <w:left w:val="single" w:color="FFB547" w:sz="4"/>
              <w:bottom w:val="single" w:color="FFB547" w:sz="4"/>
              <w:right w:val="single" w:color="FFB547" w:sz="4"/>
            </w:tcBorders>
            <w:shd w:fill="FFF4E0" w:color="auto" w:val="clear"/>
            <w:tcMar>
              <w:top w:type="dxa" w:w="34"/>
              <w:left w:type="dxa" w:w="92"/>
              <w:bottom w:type="dxa" w:w="34"/>
              <w:right w:type="dxa" w:w="92"/>
            </w:tcMar>
          </w:tcPr>
          <w:p>
            <w:pPr>
              <w:keepNext w:val="false"/>
              <w:spacing w:after="0" w:before="0" w:line="235"/>
              <w:jc w:val="left"/>
            </w:pPr>
            <w:r>
              <w:rPr>
                <w:rFonts w:ascii="Inter" w:cs="Inter" w:eastAsia="Inter" w:hAnsi="Inter"/>
                <w:b/>
                <w:bCs/>
                <w:i w:val="false"/>
                <w:iCs w:val="false"/>
                <w:caps w:val="false"/>
                <w:color w:val="EC6917"/>
                <w:sz w:val="20"/>
                <w:szCs w:val="20"/>
              </w:rPr>
              <w:t xml:space="preserve">THIS DOCUMENT WAIVES RIGHTS UNCONDITIONALLY AND STATES THAT YOU HAVE BEEN PAID FOR GIVING UP THOSE RIGHTS. DO NOT SIGN IT UNTIL YOU HAVE BEEN PAID THE AMOUNT STATED ABOVE AND THE PAYMENT HAS CLEARED. IF YOU HAVE NOT BEEN PAID, USE THE CONDITIONAL FORM INSTEAD.</w:t>
            </w:r>
          </w:p>
        </w:tc>
      </w:tr>
    </w:tbl>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2610"/>
        <w:gridCol w:w="7430"/>
      </w:tblGrid>
      <w:tr>
        <w:trPr>
          <w:cantSplit/>
        </w:trPr>
        <w:tc>
          <w:tcPr>
            <w:tcW w:type="dxa" w:w="2610"/>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Project</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[Project name and street address, city, state, ZIP]</w:t>
            </w:r>
          </w:p>
        </w:tc>
      </w:tr>
      <w:tr>
        <w:trPr>
          <w:cantSplit/>
        </w:trPr>
        <w:tc>
          <w:tcPr>
            <w:tcW w:type="dxa" w:w="2610"/>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Owner</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[Owner's legal entity name]</w:t>
            </w:r>
          </w:p>
        </w:tc>
      </w:tr>
      <w:tr>
        <w:trPr>
          <w:cantSplit/>
        </w:trPr>
        <w:tc>
          <w:tcPr>
            <w:tcW w:type="dxa" w:w="2610"/>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Claimant</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[Claimant's legal entity name, exactly as it appears on its notice]</w:t>
            </w:r>
          </w:p>
        </w:tc>
      </w:tr>
      <w:tr>
        <w:trPr>
          <w:cantSplit/>
        </w:trPr>
        <w:tc>
          <w:tcPr>
            <w:tcW w:type="dxa" w:w="2610"/>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Claimant's role</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[General contractor / subcontractor / supplier / equipment lessor]</w:t>
            </w:r>
          </w:p>
        </w:tc>
      </w:tr>
      <w:tr>
        <w:trPr>
          <w:cantSplit/>
        </w:trPr>
        <w:tc>
          <w:tcPr>
            <w:tcW w:type="dxa" w:w="2610"/>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Through date</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[Month DD, YYYY - the last day of work covered by this release]</w:t>
            </w:r>
          </w:p>
        </w:tc>
      </w:tr>
      <w:tr>
        <w:trPr>
          <w:cantSplit/>
        </w:trPr>
        <w:tc>
          <w:tcPr>
            <w:tcW w:type="dxa" w:w="2610"/>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Amount of this payment</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$[0.00]</w:t>
            </w:r>
          </w:p>
        </w:tc>
      </w:tr>
    </w:tbl>
    <w:p>
      <w:pPr>
        <w:keepNext w:val="false"/>
        <w:spacing w:after="0" w:before="0" w:line="250"/>
        <w:jc w:val="left"/>
      </w:pPr>
      <w:r>
        <w:rPr>
          <w:rFonts w:ascii="Inter" w:cs="Inter" w:eastAsia="Inter" w:hAnsi="Inter"/>
          <w:b w:val="false"/>
          <w:bCs w:val="false"/>
          <w:i w:val="false"/>
          <w:iCs w:val="false"/>
          <w:caps w:val="false"/>
          <w:color w:val="1D3245"/>
          <w:sz w:val="10"/>
          <w:szCs w:val="10"/>
        </w:rPr>
        <w:t xml:space="preserve"/>
      </w:r>
    </w:p>
    <w:p>
      <w:pPr>
        <w:keepNext w:val="false"/>
        <w:spacing w:after="100" w:before="0" w:line="250"/>
        <w:jc w:val="left"/>
      </w:pPr>
      <w:r>
        <w:rPr>
          <w:rFonts w:ascii="Inter" w:cs="Inter" w:eastAsia="Inter" w:hAnsi="Inter"/>
          <w:b w:val="false"/>
          <w:bCs w:val="false"/>
          <w:i w:val="false"/>
          <w:iCs w:val="false"/>
          <w:caps w:val="false"/>
          <w:color w:val="1D3245"/>
          <w:sz w:val="19"/>
          <w:szCs w:val="19"/>
        </w:rPr>
        <w:t xml:space="preserve">The claimant has been paid and has received a progress payment in the amount stated above for labor, services, equipment or material furnished to the project, and does hereby release any mechanic's lien, stop payment notice or payment bond right the claimant has on the project to the extent of the amount stated above, for labor, services, equipment or material furnished to the project up to and including the Through date stated above.</w:t>
      </w:r>
    </w:p>
    <w:p>
      <w:pPr>
        <w:keepNext w:val="false"/>
        <w:spacing w:after="120" w:before="0" w:line="240"/>
        <w:jc w:val="left"/>
      </w:pPr>
      <w:r>
        <w:rPr>
          <w:rFonts w:ascii="Inter" w:cs="Inter" w:eastAsia="Inter" w:hAnsi="Inter"/>
          <w:b w:val="false"/>
          <w:bCs w:val="false"/>
          <w:i/>
          <w:iCs/>
          <w:caps w:val="false"/>
          <w:color w:val="8E98A2"/>
          <w:sz w:val="17"/>
          <w:szCs w:val="17"/>
        </w:rPr>
        <w:t xml:space="preserve">This release covers a progress payment only. It does not cover any retainage, any items furnished after the through date, or anything listed as excluded below.</w:t>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0"/>
      </w:tblGrid>
      <w:tr>
        <w:trPr>
          <w:cantSplit/>
          <w:tblHeader/>
        </w:trPr>
        <w:tc>
          <w:tcPr>
            <w:tcW w:type="dxa" w:w="10040"/>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EXCLUDED FROM THIS RELEASE</w:t>
            </w:r>
          </w:p>
        </w:tc>
      </w:tr>
      <w:tr>
        <w:trPr>
          <w:cantSplit/>
        </w:trPr>
        <w:tc>
          <w:tcPr>
            <w:tcW w:type="dxa" w:w="10040"/>
            <w:gridSpan w:val="1"/>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List any disputed claim, pending change order, unbilled work, claim for delay or extra cost, or retainage that this release does NOT cover. Anything not listed here is released. A claimant should complete this block; an owner should read it before treating the release as clean, because an exclusion is notice of a live claim.</w:t>
            </w:r>
          </w:p>
        </w:tc>
      </w:tr>
      <w:tr>
        <w:trPr>
          <w:cantSplit/>
        </w:trPr>
        <w:tc>
          <w:tcPr>
            <w:tcW w:type="dxa" w:w="10040"/>
            <w:tcBorders>
              <w:top w:val="single" w:color="E0E0E0" w:sz="4"/>
              <w:left w:val="single" w:color="E0E0E0" w:sz="4"/>
              <w:bottom w:val="single" w:color="E0E0E0" w:sz="4"/>
              <w:right w:val="single" w:color="E0E0E0" w:sz="4"/>
            </w:tcBorders>
            <w:shd w:fill="E3F0FA" w:color="auto" w:val="clear"/>
            <w:tcMar>
              <w:top w:type="dxa" w:w="190"/>
              <w:left w:type="dxa" w:w="92"/>
              <w:bottom w:type="dxa" w:w="190"/>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
            </w:r>
          </w:p>
        </w:tc>
      </w:tr>
      <w:tr>
        <w:trPr>
          <w:cantSplit/>
        </w:trPr>
        <w:tc>
          <w:tcPr>
            <w:tcW w:type="dxa" w:w="10040"/>
            <w:tcBorders>
              <w:top w:val="single" w:color="E0E0E0" w:sz="4"/>
              <w:left w:val="single" w:color="E0E0E0" w:sz="4"/>
              <w:bottom w:val="single" w:color="E0E0E0" w:sz="4"/>
              <w:right w:val="single" w:color="E0E0E0" w:sz="4"/>
            </w:tcBorders>
            <w:shd w:fill="E3F0FA" w:color="auto" w:val="clear"/>
            <w:tcMar>
              <w:top w:type="dxa" w:w="190"/>
              <w:left w:type="dxa" w:w="92"/>
              <w:bottom w:type="dxa" w:w="190"/>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
            </w:r>
          </w:p>
        </w:tc>
      </w:tr>
      <w:tr>
        <w:trPr>
          <w:cantSplit/>
        </w:trPr>
        <w:tc>
          <w:tcPr>
            <w:tcW w:type="dxa" w:w="10040"/>
            <w:tcBorders>
              <w:top w:val="single" w:color="E0E0E0" w:sz="4"/>
              <w:left w:val="single" w:color="E0E0E0" w:sz="4"/>
              <w:bottom w:val="single" w:color="E0E0E0" w:sz="4"/>
              <w:right w:val="single" w:color="E0E0E0" w:sz="4"/>
            </w:tcBorders>
            <w:shd w:fill="E3F0FA" w:color="auto" w:val="clear"/>
            <w:tcMar>
              <w:top w:type="dxa" w:w="190"/>
              <w:left w:type="dxa" w:w="92"/>
              <w:bottom w:type="dxa" w:w="190"/>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
            </w:r>
          </w:p>
        </w:tc>
      </w:tr>
      <w:tr>
        <w:trPr>
          <w:cantSplit/>
        </w:trPr>
        <w:tc>
          <w:tcPr>
            <w:tcW w:type="dxa" w:w="10040"/>
            <w:tcBorders>
              <w:top w:val="single" w:color="E0E0E0" w:sz="4"/>
              <w:left w:val="single" w:color="E0E0E0" w:sz="4"/>
              <w:bottom w:val="single" w:color="E0E0E0" w:sz="4"/>
              <w:right w:val="single" w:color="E0E0E0" w:sz="4"/>
            </w:tcBorders>
            <w:shd w:fill="E3F0FA" w:color="auto" w:val="clear"/>
            <w:tcMar>
              <w:top w:type="dxa" w:w="190"/>
              <w:left w:type="dxa" w:w="92"/>
              <w:bottom w:type="dxa" w:w="190"/>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2479"/>
        <w:gridCol w:w="2911"/>
        <w:gridCol w:w="240"/>
        <w:gridCol w:w="2029"/>
        <w:gridCol w:w="2381"/>
      </w:tblGrid>
      <w:tr>
        <w:trPr>
          <w:cantSplit/>
        </w:trPr>
        <w:tc>
          <w:tcPr>
            <w:tcW w:type="dxa" w:w="2479"/>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Claimant's signature</w:t>
            </w:r>
          </w:p>
        </w:tc>
        <w:tc>
          <w:tcPr>
            <w:tcW w:type="dxa" w:w="2911"/>
            <w:tcBorders>
              <w:top w:val="none" w:color="auto" w:sz="0"/>
              <w:left w:val="none" w:color="auto" w:sz="0"/>
              <w:bottom w:val="single" w:color="BDBDBD" w:sz="6"/>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40"/>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029"/>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Date</w:t>
            </w:r>
          </w:p>
        </w:tc>
        <w:tc>
          <w:tcPr>
            <w:tcW w:type="dxa" w:w="2381"/>
            <w:tcBorders>
              <w:top w:val="none" w:color="auto" w:sz="0"/>
              <w:left w:val="none" w:color="auto" w:sz="0"/>
              <w:bottom w:val="single" w:color="BDBDBD" w:sz="6"/>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0"/>
          <w:szCs w:val="10"/>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2479"/>
        <w:gridCol w:w="2911"/>
        <w:gridCol w:w="240"/>
        <w:gridCol w:w="2029"/>
        <w:gridCol w:w="2381"/>
      </w:tblGrid>
      <w:tr>
        <w:trPr>
          <w:cantSplit/>
        </w:trPr>
        <w:tc>
          <w:tcPr>
            <w:tcW w:type="dxa" w:w="2479"/>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Print name and title</w:t>
            </w:r>
          </w:p>
        </w:tc>
        <w:tc>
          <w:tcPr>
            <w:tcW w:type="dxa" w:w="2911"/>
            <w:tcBorders>
              <w:top w:val="none" w:color="auto" w:sz="0"/>
              <w:left w:val="none" w:color="auto" w:sz="0"/>
              <w:bottom w:val="single" w:color="BDBDBD" w:sz="6"/>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40"/>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029"/>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Company</w:t>
            </w:r>
          </w:p>
        </w:tc>
        <w:tc>
          <w:tcPr>
            <w:tcW w:type="dxa" w:w="2381"/>
            <w:tcBorders>
              <w:top w:val="none" w:color="auto" w:sz="0"/>
              <w:left w:val="none" w:color="auto" w:sz="0"/>
              <w:bottom w:val="single" w:color="BDBDBD" w:sz="6"/>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r>
    </w:tbl>
    <w:p>
      <w:pPr>
        <w:keepNext w:val="false"/>
        <w:pageBreakBefor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0"/>
      </w:tblGrid>
      <w:tr>
        <w:trPr>
          <w:cantSplit/>
        </w:trPr>
        <w:tc>
          <w:tcPr>
            <w:tcW w:type="dxa" w:w="10040"/>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1"/>
                <w:szCs w:val="21"/>
              </w:rPr>
              <w:t xml:space="preserve">FORM 3   CONDITIONAL WAIVER AND RELEASE ON FINAL PAYMENT</w:t>
            </w:r>
          </w:p>
        </w:tc>
      </w:tr>
    </w:tbl>
    <w:p>
      <w:pPr>
        <w:keepNext w:val="false"/>
        <w:spacing w:after="0" w:before="0" w:line="250"/>
        <w:ind w:left="86"/>
        <w:jc w:val="left"/>
      </w:pPr>
      <w:r>
        <w:rPr>
          <w:rFonts w:ascii="Inter" w:cs="Inter" w:eastAsia="Inter" w:hAnsi="Inter"/>
          <w:b/>
          <w:bCs/>
          <w:i w:val="false"/>
          <w:iCs w:val="false"/>
          <w:caps w:val="false"/>
          <w:color w:val="0D3C61"/>
          <w:sz w:val="17"/>
          <w:szCs w:val="17"/>
        </w:rPr>
        <w:t xml:space="preserve">Require it: Before you release final payment, including retainage.</w:t>
      </w:r>
    </w:p>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2610"/>
        <w:gridCol w:w="7430"/>
      </w:tblGrid>
      <w:tr>
        <w:trPr>
          <w:cantSplit/>
        </w:trPr>
        <w:tc>
          <w:tcPr>
            <w:tcW w:type="dxa" w:w="2610"/>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Project</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[Project name and street address, city, state, ZIP]</w:t>
            </w:r>
          </w:p>
        </w:tc>
      </w:tr>
      <w:tr>
        <w:trPr>
          <w:cantSplit/>
        </w:trPr>
        <w:tc>
          <w:tcPr>
            <w:tcW w:type="dxa" w:w="2610"/>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Owner</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[Owner's legal entity name]</w:t>
            </w:r>
          </w:p>
        </w:tc>
      </w:tr>
      <w:tr>
        <w:trPr>
          <w:cantSplit/>
        </w:trPr>
        <w:tc>
          <w:tcPr>
            <w:tcW w:type="dxa" w:w="2610"/>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Claimant</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[Claimant's legal entity name, exactly as it appears on its notice]</w:t>
            </w:r>
          </w:p>
        </w:tc>
      </w:tr>
      <w:tr>
        <w:trPr>
          <w:cantSplit/>
        </w:trPr>
        <w:tc>
          <w:tcPr>
            <w:tcW w:type="dxa" w:w="2610"/>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Claimant's role</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[General contractor / subcontractor / supplier / equipment lessor]</w:t>
            </w:r>
          </w:p>
        </w:tc>
      </w:tr>
      <w:tr>
        <w:trPr>
          <w:cantSplit/>
        </w:trPr>
        <w:tc>
          <w:tcPr>
            <w:tcW w:type="dxa" w:w="2610"/>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Date of last work</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[Month DD, YYYY - the last day the claimant furnished anything]</w:t>
            </w:r>
          </w:p>
        </w:tc>
      </w:tr>
      <w:tr>
        <w:trPr>
          <w:cantSplit/>
        </w:trPr>
        <w:tc>
          <w:tcPr>
            <w:tcW w:type="dxa" w:w="2610"/>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Amount of final payment,</w:t>
            </w:r>
          </w:p>
          <w:p>
            <w:pPr>
              <w:keepNext w:val="false"/>
              <w:spacing w:after="0" w:before="60" w:line="232"/>
              <w:jc w:val="left"/>
            </w:pPr>
            <w:r>
              <w:rPr>
                <w:rFonts w:ascii="Inter" w:cs="Inter" w:eastAsia="Inter" w:hAnsi="Inter"/>
                <w:b/>
                <w:bCs/>
                <w:i w:val="false"/>
                <w:iCs w:val="false"/>
                <w:caps w:val="false"/>
                <w:color w:val="0D3C61"/>
                <w:sz w:val="18"/>
                <w:szCs w:val="18"/>
              </w:rPr>
              <w:t xml:space="preserve">including all retainage</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$[0.00]</w:t>
            </w:r>
          </w:p>
        </w:tc>
      </w:tr>
    </w:tbl>
    <w:p>
      <w:pPr>
        <w:keepNext w:val="false"/>
        <w:spacing w:after="0" w:before="0" w:line="250"/>
        <w:jc w:val="left"/>
      </w:pPr>
      <w:r>
        <w:rPr>
          <w:rFonts w:ascii="Inter" w:cs="Inter" w:eastAsia="Inter" w:hAnsi="Inter"/>
          <w:b w:val="false"/>
          <w:bCs w:val="false"/>
          <w:i w:val="false"/>
          <w:iCs w:val="false"/>
          <w:caps w:val="false"/>
          <w:color w:val="1D3245"/>
          <w:sz w:val="10"/>
          <w:szCs w:val="10"/>
        </w:rPr>
        <w:t xml:space="preserve"/>
      </w:r>
    </w:p>
    <w:p>
      <w:pPr>
        <w:keepNext w:val="false"/>
        <w:spacing w:after="100" w:before="0" w:line="250"/>
        <w:jc w:val="left"/>
      </w:pPr>
      <w:r>
        <w:rPr>
          <w:rFonts w:ascii="Inter" w:cs="Inter" w:eastAsia="Inter" w:hAnsi="Inter"/>
          <w:b w:val="false"/>
          <w:bCs w:val="false"/>
          <w:i w:val="false"/>
          <w:iCs w:val="false"/>
          <w:caps w:val="false"/>
          <w:color w:val="1D3245"/>
          <w:sz w:val="19"/>
          <w:szCs w:val="19"/>
        </w:rPr>
        <w:t xml:space="preserve">Upon receipt by the claimant of a check from the owner, in the amount stated above, payable to the claimant and when the check has been properly endorsed and has been paid by the bank on which it is drawn, this document becomes effective to release the claimant's mechanic's lien, stop payment notice and payment bond rights on the project in full, for all labor, services, equipment and material furnished to the project.</w:t>
      </w:r>
    </w:p>
    <w:p>
      <w:pPr>
        <w:keepNext w:val="false"/>
        <w:spacing w:after="60" w:before="0" w:line="240"/>
        <w:jc w:val="left"/>
      </w:pPr>
      <w:r>
        <w:rPr>
          <w:rFonts w:ascii="Inter" w:cs="Inter" w:eastAsia="Inter" w:hAnsi="Inter"/>
          <w:b w:val="false"/>
          <w:bCs w:val="false"/>
          <w:i/>
          <w:iCs/>
          <w:caps w:val="false"/>
          <w:color w:val="8E98A2"/>
          <w:sz w:val="17"/>
          <w:szCs w:val="17"/>
        </w:rPr>
        <w:t xml:space="preserve">The amount stated above is the claimant's entire remaining entitlement on this project, including all retainage and all approved change orders, except for anything listed as excluded below. Before any recipient relies on this document, that recipient should verify evidence of payment to the claimant.</w:t>
      </w:r>
    </w:p>
    <w:p>
      <w:pPr>
        <w:keepNext w:val="false"/>
        <w:spacing w:after="120" w:before="0" w:line="240"/>
        <w:jc w:val="left"/>
      </w:pPr>
      <w:r>
        <w:rPr>
          <w:rFonts w:ascii="Inter" w:cs="Inter" w:eastAsia="Inter" w:hAnsi="Inter"/>
          <w:b/>
          <w:bCs/>
          <w:i w:val="false"/>
          <w:iCs w:val="false"/>
          <w:caps w:val="false"/>
          <w:color w:val="0D3C61"/>
          <w:sz w:val="17"/>
          <w:szCs w:val="17"/>
        </w:rPr>
        <w:t xml:space="preserve">HOW THIS FORM BECOMES EFFECTIVE. Nothing is released when this document is signed. It takes effect only when the payment named above has actually been paid by the bank it is drawn on. Keep the evidence with this form - the endorsed check, the cleared-funds advice or a written acknowledgment of payment from the claimant. California requires that evidence before a conditional release binds, and it is the right practice everywhere.</w:t>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0"/>
      </w:tblGrid>
      <w:tr>
        <w:trPr>
          <w:cantSplit/>
          <w:tblHeader/>
        </w:trPr>
        <w:tc>
          <w:tcPr>
            <w:tcW w:type="dxa" w:w="10040"/>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EXCLUDED FROM THIS RELEASE</w:t>
            </w:r>
          </w:p>
        </w:tc>
      </w:tr>
      <w:tr>
        <w:trPr>
          <w:cantSplit/>
        </w:trPr>
        <w:tc>
          <w:tcPr>
            <w:tcW w:type="dxa" w:w="10040"/>
            <w:gridSpan w:val="1"/>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List any disputed claim, pending change order, unbilled work, claim for delay or extra cost, or retainage that this release does NOT cover. Anything not listed here is released. A claimant should complete this block; an owner should read it before treating the release as clean, because an exclusion is notice of a live claim.</w:t>
            </w:r>
          </w:p>
        </w:tc>
      </w:tr>
      <w:tr>
        <w:trPr>
          <w:cantSplit/>
        </w:trPr>
        <w:tc>
          <w:tcPr>
            <w:tcW w:type="dxa" w:w="10040"/>
            <w:tcBorders>
              <w:top w:val="single" w:color="E0E0E0" w:sz="4"/>
              <w:left w:val="single" w:color="E0E0E0" w:sz="4"/>
              <w:bottom w:val="single" w:color="E0E0E0" w:sz="4"/>
              <w:right w:val="single" w:color="E0E0E0" w:sz="4"/>
            </w:tcBorders>
            <w:shd w:fill="E3F0FA" w:color="auto" w:val="clear"/>
            <w:tcMar>
              <w:top w:type="dxa" w:w="190"/>
              <w:left w:type="dxa" w:w="92"/>
              <w:bottom w:type="dxa" w:w="190"/>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
            </w:r>
          </w:p>
        </w:tc>
      </w:tr>
      <w:tr>
        <w:trPr>
          <w:cantSplit/>
        </w:trPr>
        <w:tc>
          <w:tcPr>
            <w:tcW w:type="dxa" w:w="10040"/>
            <w:tcBorders>
              <w:top w:val="single" w:color="E0E0E0" w:sz="4"/>
              <w:left w:val="single" w:color="E0E0E0" w:sz="4"/>
              <w:bottom w:val="single" w:color="E0E0E0" w:sz="4"/>
              <w:right w:val="single" w:color="E0E0E0" w:sz="4"/>
            </w:tcBorders>
            <w:shd w:fill="E3F0FA" w:color="auto" w:val="clear"/>
            <w:tcMar>
              <w:top w:type="dxa" w:w="190"/>
              <w:left w:type="dxa" w:w="92"/>
              <w:bottom w:type="dxa" w:w="190"/>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
            </w:r>
          </w:p>
        </w:tc>
      </w:tr>
      <w:tr>
        <w:trPr>
          <w:cantSplit/>
        </w:trPr>
        <w:tc>
          <w:tcPr>
            <w:tcW w:type="dxa" w:w="10040"/>
            <w:tcBorders>
              <w:top w:val="single" w:color="E0E0E0" w:sz="4"/>
              <w:left w:val="single" w:color="E0E0E0" w:sz="4"/>
              <w:bottom w:val="single" w:color="E0E0E0" w:sz="4"/>
              <w:right w:val="single" w:color="E0E0E0" w:sz="4"/>
            </w:tcBorders>
            <w:shd w:fill="E3F0FA" w:color="auto" w:val="clear"/>
            <w:tcMar>
              <w:top w:type="dxa" w:w="190"/>
              <w:left w:type="dxa" w:w="92"/>
              <w:bottom w:type="dxa" w:w="190"/>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2479"/>
        <w:gridCol w:w="2911"/>
        <w:gridCol w:w="240"/>
        <w:gridCol w:w="2029"/>
        <w:gridCol w:w="2381"/>
      </w:tblGrid>
      <w:tr>
        <w:trPr>
          <w:cantSplit/>
        </w:trPr>
        <w:tc>
          <w:tcPr>
            <w:tcW w:type="dxa" w:w="2479"/>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Claimant's signature</w:t>
            </w:r>
          </w:p>
        </w:tc>
        <w:tc>
          <w:tcPr>
            <w:tcW w:type="dxa" w:w="2911"/>
            <w:tcBorders>
              <w:top w:val="none" w:color="auto" w:sz="0"/>
              <w:left w:val="none" w:color="auto" w:sz="0"/>
              <w:bottom w:val="single" w:color="BDBDBD" w:sz="6"/>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40"/>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029"/>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Date</w:t>
            </w:r>
          </w:p>
        </w:tc>
        <w:tc>
          <w:tcPr>
            <w:tcW w:type="dxa" w:w="2381"/>
            <w:tcBorders>
              <w:top w:val="none" w:color="auto" w:sz="0"/>
              <w:left w:val="none" w:color="auto" w:sz="0"/>
              <w:bottom w:val="single" w:color="BDBDBD" w:sz="6"/>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0"/>
          <w:szCs w:val="10"/>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2479"/>
        <w:gridCol w:w="2911"/>
        <w:gridCol w:w="240"/>
        <w:gridCol w:w="2029"/>
        <w:gridCol w:w="2381"/>
      </w:tblGrid>
      <w:tr>
        <w:trPr>
          <w:cantSplit/>
        </w:trPr>
        <w:tc>
          <w:tcPr>
            <w:tcW w:type="dxa" w:w="2479"/>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Print name and title</w:t>
            </w:r>
          </w:p>
        </w:tc>
        <w:tc>
          <w:tcPr>
            <w:tcW w:type="dxa" w:w="2911"/>
            <w:tcBorders>
              <w:top w:val="none" w:color="auto" w:sz="0"/>
              <w:left w:val="none" w:color="auto" w:sz="0"/>
              <w:bottom w:val="single" w:color="BDBDBD" w:sz="6"/>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40"/>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029"/>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Company</w:t>
            </w:r>
          </w:p>
        </w:tc>
        <w:tc>
          <w:tcPr>
            <w:tcW w:type="dxa" w:w="2381"/>
            <w:tcBorders>
              <w:top w:val="none" w:color="auto" w:sz="0"/>
              <w:left w:val="none" w:color="auto" w:sz="0"/>
              <w:bottom w:val="single" w:color="BDBDBD" w:sz="6"/>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0"/>
      </w:tblGrid>
      <w:tr>
        <w:trPr>
          <w:cantSplit/>
          <w:tblHeader/>
        </w:trPr>
        <w:tc>
          <w:tcPr>
            <w:tcW w:type="dxa" w:w="10040"/>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NOTARY ACKNOWLEDGMENT - COMPLETE ONLY WHERE THE STATE OR THE CONTRACT REQUIRES IT</w:t>
            </w:r>
          </w:p>
        </w:tc>
      </w:tr>
      <w:tr>
        <w:trPr>
          <w:cantSplit/>
        </w:trPr>
        <w:tc>
          <w:tcPr>
            <w:tcW w:type="dxa" w:w="10040"/>
            <w:gridSpan w:val="1"/>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Some states require a lien waiver to be notarized and most do not, and a contract or a lender's draw package can require it regardless. Use the notarial wording your state prescribes - it is not the same in every state.</w:t>
            </w:r>
          </w:p>
        </w:tc>
      </w:tr>
      <w:tr>
        <w:trPr>
          <w:cantSplit/>
        </w:trPr>
        <w:tc>
          <w:tcPr>
            <w:tcW w:type="dxa" w:w="10040"/>
            <w:tcBorders>
              <w:top w:val="single" w:color="E0E0E0" w:sz="4"/>
              <w:left w:val="single" w:color="E0E0E0" w:sz="4"/>
              <w:bottom w:val="single" w:color="E0E0E0" w:sz="4"/>
              <w:right w:val="single" w:color="E0E0E0" w:sz="4"/>
            </w:tcBorders>
            <w:tcMar>
              <w:top w:type="dxa" w:w="210"/>
              <w:left w:type="dxa" w:w="92"/>
              <w:bottom w:type="dxa" w:w="210"/>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
            </w:r>
          </w:p>
        </w:tc>
      </w:tr>
    </w:tbl>
    <w:p>
      <w:pPr>
        <w:keepNext w:val="false"/>
        <w:pageBreakBefor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0"/>
      </w:tblGrid>
      <w:tr>
        <w:trPr>
          <w:cantSplit/>
        </w:trPr>
        <w:tc>
          <w:tcPr>
            <w:tcW w:type="dxa" w:w="10040"/>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1"/>
                <w:szCs w:val="21"/>
              </w:rPr>
              <w:t xml:space="preserve">FORM 4   UNCONDITIONAL WAIVER AND RELEASE ON FINAL PAYMENT</w:t>
            </w:r>
          </w:p>
        </w:tc>
      </w:tr>
    </w:tbl>
    <w:p>
      <w:pPr>
        <w:keepNext w:val="false"/>
        <w:spacing w:after="0" w:before="0" w:line="250"/>
        <w:ind w:left="86"/>
        <w:jc w:val="left"/>
      </w:pPr>
      <w:r>
        <w:rPr>
          <w:rFonts w:ascii="Inter" w:cs="Inter" w:eastAsia="Inter" w:hAnsi="Inter"/>
          <w:b/>
          <w:bCs/>
          <w:i w:val="false"/>
          <w:iCs w:val="false"/>
          <w:caps w:val="false"/>
          <w:color w:val="0D3C61"/>
          <w:sz w:val="17"/>
          <w:szCs w:val="17"/>
        </w:rPr>
        <w:t xml:space="preserve">Require it: After final payment has cleared in full.</w:t>
      </w:r>
    </w:p>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0"/>
      </w:tblGrid>
      <w:tr>
        <w:trPr>
          <w:cantSplit/>
        </w:trPr>
        <w:tc>
          <w:tcPr>
            <w:tcW w:type="dxa" w:w="10040"/>
            <w:tcBorders>
              <w:top w:val="single" w:color="FFB547" w:sz="4"/>
              <w:left w:val="single" w:color="FFB547" w:sz="4"/>
              <w:bottom w:val="single" w:color="FFB547" w:sz="4"/>
              <w:right w:val="single" w:color="FFB547" w:sz="4"/>
            </w:tcBorders>
            <w:shd w:fill="FFF4E0" w:color="auto" w:val="clear"/>
            <w:tcMar>
              <w:top w:type="dxa" w:w="34"/>
              <w:left w:type="dxa" w:w="92"/>
              <w:bottom w:type="dxa" w:w="34"/>
              <w:right w:type="dxa" w:w="92"/>
            </w:tcMar>
          </w:tcPr>
          <w:p>
            <w:pPr>
              <w:keepNext w:val="false"/>
              <w:spacing w:after="0" w:before="0" w:line="235"/>
              <w:jc w:val="left"/>
            </w:pPr>
            <w:r>
              <w:rPr>
                <w:rFonts w:ascii="Inter" w:cs="Inter" w:eastAsia="Inter" w:hAnsi="Inter"/>
                <w:b/>
                <w:bCs/>
                <w:i w:val="false"/>
                <w:iCs w:val="false"/>
                <w:caps w:val="false"/>
                <w:color w:val="EC6917"/>
                <w:sz w:val="20"/>
                <w:szCs w:val="20"/>
              </w:rPr>
              <w:t xml:space="preserve">THIS DOCUMENT WAIVES ALL OF THE CLAIMANT'S RIGHTS UNCONDITIONALLY AND STATES THAT THE CLAIMANT HAS BEEN PAID IN FULL. DO NOT SIGN IT UNTIL FINAL PAYMENT, INCLUDING ALL RETAINAGE, HAS BEEN RECEIVED AND HAS CLEARED. IF ANY AMOUNT REMAINS UNPAID, USE THE CONDITIONAL FORM INSTEAD.</w:t>
            </w:r>
          </w:p>
        </w:tc>
      </w:tr>
    </w:tbl>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2610"/>
        <w:gridCol w:w="7430"/>
      </w:tblGrid>
      <w:tr>
        <w:trPr>
          <w:cantSplit/>
        </w:trPr>
        <w:tc>
          <w:tcPr>
            <w:tcW w:type="dxa" w:w="2610"/>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Project</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[Project name and street address, city, state, ZIP]</w:t>
            </w:r>
          </w:p>
        </w:tc>
      </w:tr>
      <w:tr>
        <w:trPr>
          <w:cantSplit/>
        </w:trPr>
        <w:tc>
          <w:tcPr>
            <w:tcW w:type="dxa" w:w="2610"/>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Owner</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[Owner's legal entity name]</w:t>
            </w:r>
          </w:p>
        </w:tc>
      </w:tr>
      <w:tr>
        <w:trPr>
          <w:cantSplit/>
        </w:trPr>
        <w:tc>
          <w:tcPr>
            <w:tcW w:type="dxa" w:w="2610"/>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Claimant</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[Claimant's legal entity name, exactly as it appears on its notice]</w:t>
            </w:r>
          </w:p>
        </w:tc>
      </w:tr>
      <w:tr>
        <w:trPr>
          <w:cantSplit/>
        </w:trPr>
        <w:tc>
          <w:tcPr>
            <w:tcW w:type="dxa" w:w="2610"/>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Claimant's role</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[General contractor / subcontractor / supplier / equipment lessor]</w:t>
            </w:r>
          </w:p>
        </w:tc>
      </w:tr>
      <w:tr>
        <w:trPr>
          <w:cantSplit/>
        </w:trPr>
        <w:tc>
          <w:tcPr>
            <w:tcW w:type="dxa" w:w="2610"/>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Date of last work</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[Month DD, YYYY - the last day the claimant furnished anything]</w:t>
            </w:r>
          </w:p>
        </w:tc>
      </w:tr>
      <w:tr>
        <w:trPr>
          <w:cantSplit/>
        </w:trPr>
        <w:tc>
          <w:tcPr>
            <w:tcW w:type="dxa" w:w="2610"/>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Amount of final payment,</w:t>
            </w:r>
          </w:p>
          <w:p>
            <w:pPr>
              <w:keepNext w:val="false"/>
              <w:spacing w:after="0" w:before="60" w:line="232"/>
              <w:jc w:val="left"/>
            </w:pPr>
            <w:r>
              <w:rPr>
                <w:rFonts w:ascii="Inter" w:cs="Inter" w:eastAsia="Inter" w:hAnsi="Inter"/>
                <w:b/>
                <w:bCs/>
                <w:i w:val="false"/>
                <w:iCs w:val="false"/>
                <w:caps w:val="false"/>
                <w:color w:val="0D3C61"/>
                <w:sz w:val="18"/>
                <w:szCs w:val="18"/>
              </w:rPr>
              <w:t xml:space="preserve">including all retainage</w:t>
            </w:r>
          </w:p>
        </w:tc>
        <w:tc>
          <w:tcPr>
            <w:tcW w:type="dxa" w:w="7430"/>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$[0.00]</w:t>
            </w:r>
          </w:p>
        </w:tc>
      </w:tr>
    </w:tbl>
    <w:p>
      <w:pPr>
        <w:keepNext w:val="false"/>
        <w:spacing w:after="0" w:before="0" w:line="250"/>
        <w:jc w:val="left"/>
      </w:pPr>
      <w:r>
        <w:rPr>
          <w:rFonts w:ascii="Inter" w:cs="Inter" w:eastAsia="Inter" w:hAnsi="Inter"/>
          <w:b w:val="false"/>
          <w:bCs w:val="false"/>
          <w:i w:val="false"/>
          <w:iCs w:val="false"/>
          <w:caps w:val="false"/>
          <w:color w:val="1D3245"/>
          <w:sz w:val="10"/>
          <w:szCs w:val="10"/>
        </w:rPr>
        <w:t xml:space="preserve"/>
      </w:r>
    </w:p>
    <w:p>
      <w:pPr>
        <w:keepNext w:val="false"/>
        <w:spacing w:after="100" w:before="0" w:line="250"/>
        <w:jc w:val="left"/>
      </w:pPr>
      <w:r>
        <w:rPr>
          <w:rFonts w:ascii="Inter" w:cs="Inter" w:eastAsia="Inter" w:hAnsi="Inter"/>
          <w:b w:val="false"/>
          <w:bCs w:val="false"/>
          <w:i w:val="false"/>
          <w:iCs w:val="false"/>
          <w:caps w:val="false"/>
          <w:color w:val="1D3245"/>
          <w:sz w:val="19"/>
          <w:szCs w:val="19"/>
        </w:rPr>
        <w:t xml:space="preserve">The claimant has been paid in full for all labor, services, equipment and material furnished to the project, including all retainage and all approved change orders, and does hereby release the claimant's mechanic's lien, stop payment notice and payment bond rights on the project in full.</w:t>
      </w:r>
    </w:p>
    <w:p>
      <w:pPr>
        <w:keepNext w:val="false"/>
        <w:spacing w:after="120" w:before="0" w:line="240"/>
        <w:jc w:val="left"/>
      </w:pPr>
      <w:r>
        <w:rPr>
          <w:rFonts w:ascii="Inter" w:cs="Inter" w:eastAsia="Inter" w:hAnsi="Inter"/>
          <w:b w:val="false"/>
          <w:bCs w:val="false"/>
          <w:i/>
          <w:iCs/>
          <w:caps w:val="false"/>
          <w:color w:val="8E98A2"/>
          <w:sz w:val="17"/>
          <w:szCs w:val="17"/>
        </w:rPr>
        <w:t xml:space="preserve">This release is final and covers the whole of the claimant's work on the project, except for anything listed as excluded below.</w:t>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0"/>
      </w:tblGrid>
      <w:tr>
        <w:trPr>
          <w:cantSplit/>
          <w:tblHeader/>
        </w:trPr>
        <w:tc>
          <w:tcPr>
            <w:tcW w:type="dxa" w:w="10040"/>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EXCLUDED FROM THIS RELEASE</w:t>
            </w:r>
          </w:p>
        </w:tc>
      </w:tr>
      <w:tr>
        <w:trPr>
          <w:cantSplit/>
        </w:trPr>
        <w:tc>
          <w:tcPr>
            <w:tcW w:type="dxa" w:w="10040"/>
            <w:gridSpan w:val="1"/>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List any disputed claim, pending change order, unbilled work, claim for delay or extra cost, or retainage that this release does NOT cover. Anything not listed here is released. A claimant should complete this block; an owner should read it before treating the release as clean, because an exclusion is notice of a live claim.</w:t>
            </w:r>
          </w:p>
        </w:tc>
      </w:tr>
      <w:tr>
        <w:trPr>
          <w:cantSplit/>
        </w:trPr>
        <w:tc>
          <w:tcPr>
            <w:tcW w:type="dxa" w:w="10040"/>
            <w:tcBorders>
              <w:top w:val="single" w:color="E0E0E0" w:sz="4"/>
              <w:left w:val="single" w:color="E0E0E0" w:sz="4"/>
              <w:bottom w:val="single" w:color="E0E0E0" w:sz="4"/>
              <w:right w:val="single" w:color="E0E0E0" w:sz="4"/>
            </w:tcBorders>
            <w:shd w:fill="E3F0FA" w:color="auto" w:val="clear"/>
            <w:tcMar>
              <w:top w:type="dxa" w:w="190"/>
              <w:left w:type="dxa" w:w="92"/>
              <w:bottom w:type="dxa" w:w="190"/>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
            </w:r>
          </w:p>
        </w:tc>
      </w:tr>
      <w:tr>
        <w:trPr>
          <w:cantSplit/>
        </w:trPr>
        <w:tc>
          <w:tcPr>
            <w:tcW w:type="dxa" w:w="10040"/>
            <w:tcBorders>
              <w:top w:val="single" w:color="E0E0E0" w:sz="4"/>
              <w:left w:val="single" w:color="E0E0E0" w:sz="4"/>
              <w:bottom w:val="single" w:color="E0E0E0" w:sz="4"/>
              <w:right w:val="single" w:color="E0E0E0" w:sz="4"/>
            </w:tcBorders>
            <w:shd w:fill="E3F0FA" w:color="auto" w:val="clear"/>
            <w:tcMar>
              <w:top w:type="dxa" w:w="190"/>
              <w:left w:type="dxa" w:w="92"/>
              <w:bottom w:type="dxa" w:w="190"/>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
            </w:r>
          </w:p>
        </w:tc>
      </w:tr>
      <w:tr>
        <w:trPr>
          <w:cantSplit/>
        </w:trPr>
        <w:tc>
          <w:tcPr>
            <w:tcW w:type="dxa" w:w="10040"/>
            <w:tcBorders>
              <w:top w:val="single" w:color="E0E0E0" w:sz="4"/>
              <w:left w:val="single" w:color="E0E0E0" w:sz="4"/>
              <w:bottom w:val="single" w:color="E0E0E0" w:sz="4"/>
              <w:right w:val="single" w:color="E0E0E0" w:sz="4"/>
            </w:tcBorders>
            <w:shd w:fill="E3F0FA" w:color="auto" w:val="clear"/>
            <w:tcMar>
              <w:top w:type="dxa" w:w="190"/>
              <w:left w:type="dxa" w:w="92"/>
              <w:bottom w:type="dxa" w:w="190"/>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2479"/>
        <w:gridCol w:w="2911"/>
        <w:gridCol w:w="240"/>
        <w:gridCol w:w="2029"/>
        <w:gridCol w:w="2381"/>
      </w:tblGrid>
      <w:tr>
        <w:trPr>
          <w:cantSplit/>
        </w:trPr>
        <w:tc>
          <w:tcPr>
            <w:tcW w:type="dxa" w:w="2479"/>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Claimant's signature</w:t>
            </w:r>
          </w:p>
        </w:tc>
        <w:tc>
          <w:tcPr>
            <w:tcW w:type="dxa" w:w="2911"/>
            <w:tcBorders>
              <w:top w:val="none" w:color="auto" w:sz="0"/>
              <w:left w:val="none" w:color="auto" w:sz="0"/>
              <w:bottom w:val="single" w:color="BDBDBD" w:sz="6"/>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40"/>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029"/>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Date</w:t>
            </w:r>
          </w:p>
        </w:tc>
        <w:tc>
          <w:tcPr>
            <w:tcW w:type="dxa" w:w="2381"/>
            <w:tcBorders>
              <w:top w:val="none" w:color="auto" w:sz="0"/>
              <w:left w:val="none" w:color="auto" w:sz="0"/>
              <w:bottom w:val="single" w:color="BDBDBD" w:sz="6"/>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0"/>
          <w:szCs w:val="10"/>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2479"/>
        <w:gridCol w:w="2911"/>
        <w:gridCol w:w="240"/>
        <w:gridCol w:w="2029"/>
        <w:gridCol w:w="2381"/>
      </w:tblGrid>
      <w:tr>
        <w:trPr>
          <w:cantSplit/>
        </w:trPr>
        <w:tc>
          <w:tcPr>
            <w:tcW w:type="dxa" w:w="2479"/>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Print name and title</w:t>
            </w:r>
          </w:p>
        </w:tc>
        <w:tc>
          <w:tcPr>
            <w:tcW w:type="dxa" w:w="2911"/>
            <w:tcBorders>
              <w:top w:val="none" w:color="auto" w:sz="0"/>
              <w:left w:val="none" w:color="auto" w:sz="0"/>
              <w:bottom w:val="single" w:color="BDBDBD" w:sz="6"/>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40"/>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029"/>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Company</w:t>
            </w:r>
          </w:p>
        </w:tc>
        <w:tc>
          <w:tcPr>
            <w:tcW w:type="dxa" w:w="2381"/>
            <w:tcBorders>
              <w:top w:val="none" w:color="auto" w:sz="0"/>
              <w:left w:val="none" w:color="auto" w:sz="0"/>
              <w:bottom w:val="single" w:color="BDBDBD" w:sz="6"/>
              <w:right w:val="none" w:color="auto" w:sz="0"/>
            </w:tcBorders>
            <w:tcMar>
              <w:top w:type="dxa" w:w="34"/>
              <w:left w:type="dxa" w:w="92"/>
              <w:bottom w:type="dxa" w:w="34"/>
              <w:right w:type="dxa" w:w="92"/>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0"/>
      </w:tblGrid>
      <w:tr>
        <w:trPr>
          <w:cantSplit/>
          <w:tblHeader/>
        </w:trPr>
        <w:tc>
          <w:tcPr>
            <w:tcW w:type="dxa" w:w="10040"/>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NOTARY ACKNOWLEDGMENT - COMPLETE ONLY WHERE THE STATE OR THE CONTRACT REQUIRES IT</w:t>
            </w:r>
          </w:p>
        </w:tc>
      </w:tr>
      <w:tr>
        <w:trPr>
          <w:cantSplit/>
        </w:trPr>
        <w:tc>
          <w:tcPr>
            <w:tcW w:type="dxa" w:w="10040"/>
            <w:gridSpan w:val="1"/>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Some states require a lien waiver to be notarized and most do not, and a contract or a lender's draw package can require it regardless. Use the notarial wording your state prescribes - it is not the same in every state.</w:t>
            </w:r>
          </w:p>
        </w:tc>
      </w:tr>
      <w:tr>
        <w:trPr>
          <w:cantSplit/>
        </w:trPr>
        <w:tc>
          <w:tcPr>
            <w:tcW w:type="dxa" w:w="10040"/>
            <w:tcBorders>
              <w:top w:val="single" w:color="E0E0E0" w:sz="4"/>
              <w:left w:val="single" w:color="E0E0E0" w:sz="4"/>
              <w:bottom w:val="single" w:color="E0E0E0" w:sz="4"/>
              <w:right w:val="single" w:color="E0E0E0" w:sz="4"/>
            </w:tcBorders>
            <w:tcMar>
              <w:top w:type="dxa" w:w="210"/>
              <w:left w:type="dxa" w:w="92"/>
              <w:bottom w:type="dxa" w:w="210"/>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
            </w:r>
          </w:p>
        </w:tc>
      </w:tr>
    </w:tbl>
    <w:p>
      <w:pPr>
        <w:keepNext w:val="false"/>
        <w:pageBreakBefor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0"/>
      </w:tblGrid>
      <w:tr>
        <w:trPr>
          <w:cantSplit/>
        </w:trPr>
        <w:tc>
          <w:tcPr>
            <w:tcW w:type="dxa" w:w="10040"/>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1   WHICH WAIVER TO REQUIRE, AND WHEN</w:t>
            </w:r>
          </w:p>
        </w:tc>
      </w:tr>
    </w:tbl>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502"/>
        <w:gridCol w:w="3012"/>
        <w:gridCol w:w="6526"/>
      </w:tblGrid>
      <w:tr>
        <w:trPr>
          <w:cantSplit/>
        </w:trPr>
        <w:tc>
          <w:tcPr>
            <w:tcW w:type="dxa" w:w="50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1</w:t>
            </w:r>
          </w:p>
        </w:tc>
        <w:tc>
          <w:tcPr>
            <w:tcW w:type="dxa" w:w="30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Log every party who can lien you</w:t>
            </w:r>
          </w:p>
        </w:tc>
        <w:tc>
          <w:tcPr>
            <w:tcW w:type="dxa" w:w="652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Not your contract list - your notice list. Preliminary notices, notices to owner and notices of furnishing arrive from parties you have no contract with, and each one is a party that can lien the property. Anyone who sent you a notice belongs in the log.</w:t>
            </w:r>
          </w:p>
        </w:tc>
      </w:tr>
      <w:tr>
        <w:trPr>
          <w:cantSplit/>
        </w:trPr>
        <w:tc>
          <w:tcPr>
            <w:tcW w:type="dxa" w:w="50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2</w:t>
            </w:r>
          </w:p>
        </w:tc>
        <w:tc>
          <w:tcPr>
            <w:tcW w:type="dxa" w:w="30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Payment application arrives</w:t>
            </w:r>
          </w:p>
        </w:tc>
        <w:tc>
          <w:tcPr>
            <w:tcW w:type="dxa" w:w="652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Note the period it covers and the amount claimed. The waiver you are about to require has to match both, and this is the only moment you have them side by side.</w:t>
            </w:r>
          </w:p>
        </w:tc>
      </w:tr>
      <w:tr>
        <w:trPr>
          <w:cantSplit/>
        </w:trPr>
        <w:tc>
          <w:tcPr>
            <w:tcW w:type="dxa" w:w="50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3</w:t>
            </w:r>
          </w:p>
        </w:tc>
        <w:tc>
          <w:tcPr>
            <w:tcW w:type="dxa" w:w="30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Require a CONDITIONAL progress waiver from each claimant</w:t>
            </w:r>
          </w:p>
        </w:tc>
        <w:tc>
          <w:tcPr>
            <w:tcW w:type="dxa" w:w="652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Conditional, because you have not paid yet. A claimant can sign this safely and most will without argument, which is the point - it does not slow the pay cycle down.</w:t>
            </w:r>
          </w:p>
        </w:tc>
      </w:tr>
      <w:tr>
        <w:trPr>
          <w:cantSplit/>
        </w:trPr>
        <w:tc>
          <w:tcPr>
            <w:tcW w:type="dxa" w:w="50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4</w:t>
            </w:r>
          </w:p>
        </w:tc>
        <w:tc>
          <w:tcPr>
            <w:tcW w:type="dxa" w:w="30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Release funds</w:t>
            </w:r>
          </w:p>
        </w:tc>
        <w:tc>
          <w:tcPr>
            <w:tcW w:type="dxa" w:w="652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Check the through-date and the amount against the payment application before the money moves. A conditional waiver becomes effective when the payment clears, and not before.</w:t>
            </w:r>
          </w:p>
        </w:tc>
      </w:tr>
      <w:tr>
        <w:trPr>
          <w:cantSplit/>
        </w:trPr>
        <w:tc>
          <w:tcPr>
            <w:tcW w:type="dxa" w:w="50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5</w:t>
            </w:r>
          </w:p>
        </w:tc>
        <w:tc>
          <w:tcPr>
            <w:tcW w:type="dxa" w:w="30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Require an UNCONDITIONAL progress waiver once funds have cleared</w:t>
            </w:r>
          </w:p>
        </w:tc>
        <w:tc>
          <w:tcPr>
            <w:tcW w:type="dxa" w:w="652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Cleared, not sent. This is the waiver that actually releases the claim, and it is the one you keep for the file.</w:t>
            </w:r>
          </w:p>
        </w:tc>
      </w:tr>
      <w:tr>
        <w:trPr>
          <w:cantSplit/>
        </w:trPr>
        <w:tc>
          <w:tcPr>
            <w:tcW w:type="dxa" w:w="50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6</w:t>
            </w:r>
          </w:p>
        </w:tc>
        <w:tc>
          <w:tcPr>
            <w:tcW w:type="dxa" w:w="30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At final payment, run the same two steps again</w:t>
            </w:r>
          </w:p>
        </w:tc>
        <w:tc>
          <w:tcPr>
            <w:tcW w:type="dxa" w:w="652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Conditional final waiver before you pay, unconditional final waiver after the funds clear. Retainage is part of final payment - see the trap list.</w:t>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0"/>
      </w:tblGrid>
      <w:tr>
        <w:trPr>
          <w:cantSplit/>
        </w:trPr>
        <w:tc>
          <w:tcPr>
            <w:tcW w:type="dxa" w:w="10040"/>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2   THE FOUR FORMS, AND WHAT THE WRONG ONE COSTS YOU</w:t>
            </w:r>
          </w:p>
        </w:tc>
      </w:tr>
    </w:tbl>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
        <w:gridCol w:w="1707"/>
        <w:gridCol w:w="2108"/>
        <w:gridCol w:w="5221"/>
      </w:tblGrid>
      <w:tr>
        <w:trPr>
          <w:cantSplit/>
          <w:tblHeader/>
        </w:trPr>
        <w:tc>
          <w:tcPr>
            <w:tcW w:type="dxa" w:w="1004"/>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Form</w:t>
            </w:r>
          </w:p>
        </w:tc>
        <w:tc>
          <w:tcPr>
            <w:tcW w:type="dxa" w:w="1707"/>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Type</w:t>
            </w:r>
          </w:p>
        </w:tc>
        <w:tc>
          <w:tcPr>
            <w:tcW w:type="dxa" w:w="2108"/>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Require it</w:t>
            </w:r>
          </w:p>
        </w:tc>
        <w:tc>
          <w:tcPr>
            <w:tcW w:type="dxa" w:w="5221"/>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What it does</w:t>
            </w:r>
          </w:p>
        </w:tc>
      </w:tr>
      <w:tr>
        <w:trPr>
          <w:cantSplit/>
        </w:trPr>
        <w:tc>
          <w:tcPr>
            <w:tcW w:type="dxa" w:w="10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Form 1</w:t>
            </w:r>
          </w:p>
        </w:tc>
        <w:tc>
          <w:tcPr>
            <w:tcW w:type="dxa" w:w="1707"/>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Conditional</w:t>
            </w:r>
          </w:p>
          <w:p>
            <w:pPr>
              <w:keepNext w:val="false"/>
              <w:spacing w:after="0" w:before="60" w:line="232"/>
              <w:jc w:val="left"/>
            </w:pPr>
            <w:r>
              <w:rPr>
                <w:rFonts w:ascii="Inter" w:cs="Inter" w:eastAsia="Inter" w:hAnsi="Inter"/>
                <w:b w:val="false"/>
                <w:bCs w:val="false"/>
                <w:i w:val="false"/>
                <w:iCs w:val="false"/>
                <w:caps w:val="false"/>
                <w:color w:val="1D3245"/>
                <w:sz w:val="17"/>
                <w:szCs w:val="17"/>
              </w:rPr>
              <w:t xml:space="preserve">Progress payment</w:t>
            </w:r>
          </w:p>
        </w:tc>
        <w:tc>
          <w:tcPr>
            <w:tcW w:type="dxa" w:w="21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Before you release a progress payment.</w:t>
            </w:r>
          </w:p>
        </w:tc>
        <w:tc>
          <w:tcPr>
            <w:tcW w:type="dxa" w:w="5221"/>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Releases nothing until the payment clears. If the check is stopped or bounces, the claim survives. This is the safe one to ask for and the safe one to sign.</w:t>
            </w:r>
          </w:p>
        </w:tc>
      </w:tr>
      <w:tr>
        <w:trPr>
          <w:cantSplit/>
        </w:trPr>
        <w:tc>
          <w:tcPr>
            <w:tcW w:type="dxa" w:w="10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Form 2</w:t>
            </w:r>
          </w:p>
        </w:tc>
        <w:tc>
          <w:tcPr>
            <w:tcW w:type="dxa" w:w="1707"/>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Unconditional</w:t>
            </w:r>
          </w:p>
          <w:p>
            <w:pPr>
              <w:keepNext w:val="false"/>
              <w:spacing w:after="0" w:before="60" w:line="232"/>
              <w:jc w:val="left"/>
            </w:pPr>
            <w:r>
              <w:rPr>
                <w:rFonts w:ascii="Inter" w:cs="Inter" w:eastAsia="Inter" w:hAnsi="Inter"/>
                <w:b w:val="false"/>
                <w:bCs w:val="false"/>
                <w:i w:val="false"/>
                <w:iCs w:val="false"/>
                <w:caps w:val="false"/>
                <w:color w:val="1D3245"/>
                <w:sz w:val="17"/>
                <w:szCs w:val="17"/>
              </w:rPr>
              <w:t xml:space="preserve">Progress payment</w:t>
            </w:r>
          </w:p>
        </w:tc>
        <w:tc>
          <w:tcPr>
            <w:tcW w:type="dxa" w:w="21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After the progress payment has cleared.</w:t>
            </w:r>
          </w:p>
        </w:tc>
        <w:tc>
          <w:tcPr>
            <w:tcW w:type="dxa" w:w="522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Effective the moment it is signed, paid or not. Take this one before funds clear and you have asked a claimant to release a claim for nothing - which is what the Texas statutory warning is about, and what a subcontractor's attorney will refuse.</w:t>
            </w:r>
          </w:p>
        </w:tc>
      </w:tr>
      <w:tr>
        <w:trPr>
          <w:cantSplit/>
        </w:trPr>
        <w:tc>
          <w:tcPr>
            <w:tcW w:type="dxa" w:w="10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Form 3</w:t>
            </w:r>
          </w:p>
        </w:tc>
        <w:tc>
          <w:tcPr>
            <w:tcW w:type="dxa" w:w="1707"/>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Conditional</w:t>
            </w:r>
          </w:p>
          <w:p>
            <w:pPr>
              <w:keepNext w:val="false"/>
              <w:spacing w:after="0" w:before="60" w:line="232"/>
              <w:jc w:val="left"/>
            </w:pPr>
            <w:r>
              <w:rPr>
                <w:rFonts w:ascii="Inter" w:cs="Inter" w:eastAsia="Inter" w:hAnsi="Inter"/>
                <w:b w:val="false"/>
                <w:bCs w:val="false"/>
                <w:i w:val="false"/>
                <w:iCs w:val="false"/>
                <w:caps w:val="false"/>
                <w:color w:val="1D3245"/>
                <w:sz w:val="17"/>
                <w:szCs w:val="17"/>
              </w:rPr>
              <w:t xml:space="preserve">Final payment</w:t>
            </w:r>
          </w:p>
        </w:tc>
        <w:tc>
          <w:tcPr>
            <w:tcW w:type="dxa" w:w="21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Before you release final payment, including retainage.</w:t>
            </w:r>
          </w:p>
        </w:tc>
        <w:tc>
          <w:tcPr>
            <w:tcW w:type="dxa" w:w="5221"/>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Releases everything on the project once final payment clears. Check that the amount stated includes retainage and every approved change order, or the release is narrower than you think.</w:t>
            </w:r>
          </w:p>
        </w:tc>
      </w:tr>
      <w:tr>
        <w:trPr>
          <w:cantSplit/>
        </w:trPr>
        <w:tc>
          <w:tcPr>
            <w:tcW w:type="dxa" w:w="10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Form 4</w:t>
            </w:r>
          </w:p>
        </w:tc>
        <w:tc>
          <w:tcPr>
            <w:tcW w:type="dxa" w:w="1707"/>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Unconditional</w:t>
            </w:r>
          </w:p>
          <w:p>
            <w:pPr>
              <w:keepNext w:val="false"/>
              <w:spacing w:after="0" w:before="60" w:line="232"/>
              <w:jc w:val="left"/>
            </w:pPr>
            <w:r>
              <w:rPr>
                <w:rFonts w:ascii="Inter" w:cs="Inter" w:eastAsia="Inter" w:hAnsi="Inter"/>
                <w:b w:val="false"/>
                <w:bCs w:val="false"/>
                <w:i w:val="false"/>
                <w:iCs w:val="false"/>
                <w:caps w:val="false"/>
                <w:color w:val="1D3245"/>
                <w:sz w:val="17"/>
                <w:szCs w:val="17"/>
              </w:rPr>
              <w:t xml:space="preserve">Final payment</w:t>
            </w:r>
          </w:p>
        </w:tc>
        <w:tc>
          <w:tcPr>
            <w:tcW w:type="dxa" w:w="21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After final payment has cleared in full.</w:t>
            </w:r>
          </w:p>
        </w:tc>
        <w:tc>
          <w:tcPr>
            <w:tcW w:type="dxa" w:w="522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The end of the claimant's lien rights on this project. This is the one your title company and your lender want, and the one you must not obtain while any money is still owed.</w:t>
            </w:r>
          </w:p>
        </w:tc>
      </w:tr>
      <w:tr>
        <w:trPr>
          <w:cantSplit/>
        </w:trPr>
        <w:tc>
          <w:tcPr>
            <w:tcW w:type="dxa" w:w="10040"/>
            <w:gridSpan w:val="4"/>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Conditional before the money clears, unconditional after. There is no situation in which taking the unconditional form early is to the owner's advantage - it only creates a release a claimant can argue was given for nothing.</w:t>
            </w:r>
          </w:p>
        </w:tc>
      </w:tr>
    </w:tbl>
    <w:p>
      <w:pPr>
        <w:keepNext w:val="false"/>
        <w:pageBreakBefor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0"/>
      </w:tblGrid>
      <w:tr>
        <w:trPr>
          <w:cantSplit/>
        </w:trPr>
        <w:tc>
          <w:tcPr>
            <w:tcW w:type="dxa" w:w="10040"/>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3   SEVEN WAYS AN OWNER PAYS TWICE</w:t>
            </w:r>
          </w:p>
        </w:tc>
      </w:tr>
    </w:tbl>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3414"/>
        <w:gridCol w:w="6626"/>
      </w:tblGrid>
      <w:tr>
        <w:trPr>
          <w:cantSplit/>
        </w:trPr>
        <w:tc>
          <w:tcPr>
            <w:tcW w:type="dxa" w:w="10040"/>
            <w:gridSpan w:val="2"/>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Every one of these is a mechanism, not a caution. They are ordered by how often they actually happen on an owner-side project.</w:t>
            </w:r>
          </w:p>
        </w:tc>
      </w:tr>
      <w:tr>
        <w:trPr>
          <w:cantSplit/>
        </w:trPr>
        <w:tc>
          <w:tcPr>
            <w:tcW w:type="dxa" w:w="341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You collected the general contractor's waiver, paid, and a subcontractor liened you anyway</w:t>
            </w:r>
          </w:p>
        </w:tc>
        <w:tc>
          <w:tcPr>
            <w:tcW w:type="dxa" w:w="662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Lien rights belong to each claimant individually. A GC's release releases the GC. The sub you have no contract with, whose preliminary notice is in your file, still has its rights - and the property is what secures them. Drive the collection list off the notices you received, not off the parties you contracted with. This is the single most common way an owner pays twice.</w:t>
            </w:r>
          </w:p>
        </w:tc>
      </w:tr>
      <w:tr>
        <w:trPr>
          <w:cantSplit/>
        </w:trPr>
        <w:tc>
          <w:tcPr>
            <w:tcW w:type="dxa" w:w="341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You accepted an unconditional waiver against a payment that had not cleared</w:t>
            </w:r>
          </w:p>
        </w:tc>
        <w:tc>
          <w:tcPr>
            <w:tcW w:type="dxa" w:w="662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An unconditional waiver is effective on signature. If the payment is stopped, reversed or never arrives, the claimant has released and received nothing - and you are the party that asked for it. Conditional before the funds clear, unconditional after. There is no version of this where taking the unconditional form early helps you.</w:t>
            </w:r>
          </w:p>
        </w:tc>
      </w:tr>
      <w:tr>
        <w:trPr>
          <w:cantSplit/>
        </w:trPr>
        <w:tc>
          <w:tcPr>
            <w:tcW w:type="dxa" w:w="341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The through-date on the waiver is earlier than the period you paid for</w:t>
            </w:r>
          </w:p>
        </w:tc>
        <w:tc>
          <w:tcPr>
            <w:tcW w:type="dxa" w:w="662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A waiver releases claims only through the date or up to the amount written on it. Pay an application covering work to July 31 against a waiver stating June 30 and you have paid for a month you hold no release for. Check the two figures against each other every cycle - it takes ten seconds and it is the most common defect in a completed waiver.</w:t>
            </w:r>
          </w:p>
        </w:tc>
      </w:tr>
      <w:tr>
        <w:trPr>
          <w:cantSplit/>
        </w:trPr>
        <w:tc>
          <w:tcPr>
            <w:tcW w:type="dxa" w:w="341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You took a final unconditional waiver while retainage was still outstanding</w:t>
            </w:r>
          </w:p>
        </w:tc>
        <w:tc>
          <w:tcPr>
            <w:tcW w:type="dxa" w:w="662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This one harms the claimant, and that is why it costs you. Asked to release all rights while you still hold five percent of their money, a competent subcontractor refuses and its attorney gets involved - so your closeout stalls and your title company waits. Final means final: release the retainage, let it clear, then ask.</w:t>
            </w:r>
          </w:p>
        </w:tc>
      </w:tr>
      <w:tr>
        <w:trPr>
          <w:cantSplit/>
        </w:trPr>
        <w:tc>
          <w:tcPr>
            <w:tcW w:type="dxa" w:w="341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The waiver was written into the subcontract before the work started</w:t>
            </w:r>
          </w:p>
        </w:tc>
        <w:tc>
          <w:tcPr>
            <w:tcW w:type="dxa" w:w="662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A waiver signed in advance of furnishing labor or materials is void by statute in Georgia and unenforceable in many other states. A clause that purports to release liens before anyone has earned anything releases nothing, and relying on it means you have no waiver file at all.</w:t>
            </w:r>
          </w:p>
        </w:tc>
      </w:tr>
      <w:tr>
        <w:trPr>
          <w:cantSplit/>
        </w:trPr>
        <w:tc>
          <w:tcPr>
            <w:tcW w:type="dxa" w:w="341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The waivers track the base contract and nobody collected one for the change orders</w:t>
            </w:r>
          </w:p>
        </w:tc>
        <w:tc>
          <w:tcPr>
            <w:tcW w:type="dxa" w:w="662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Change orders are often billed on their own applications and approved on their own cycle, and the waiver amounts quietly follow the base contract. Six months in, the release you hold covers the original scope and the two hundred thousand dollars of approved changes sit unreleased. Reconcile the amount on each waiver against the revised contract sum, not the original one - the through-date check will not catch this, because the dates are right.</w:t>
            </w:r>
          </w:p>
        </w:tc>
      </w:tr>
      <w:tr>
        <w:trPr>
          <w:cantSplit/>
        </w:trPr>
        <w:tc>
          <w:tcPr>
            <w:tcW w:type="dxa" w:w="341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You used your own company's form in a state that prescribes one</w:t>
            </w:r>
          </w:p>
        </w:tc>
        <w:tc>
          <w:tcPr>
            <w:tcW w:type="dxa" w:w="662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In Florida, requiring a form other than the statutory one is prohibited outright. In Texas the prescribed warning must be in bold type at 10 point or larger. In Georgia the notice language is what makes the form valid - omit it and the form is unenforceable. A document that does not substantially comply with the statute is not a waiver, and you will find that out at closeout.</w:t>
            </w:r>
          </w:p>
        </w:tc>
      </w:tr>
      <w:tr>
        <w:trPr>
          <w:cantSplit/>
        </w:trPr>
        <w:tc>
          <w:tcPr>
            <w:tcW w:type="dxa" w:w="10040"/>
            <w:gridSpan w:val="2"/>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Two controls prevent most of the list. Build the collection list from the preliminary notices you received rather than the contracts you signed, because that is the only list that contains the parties who can lien you and cannot invoice you. And reconcile every waiver against the payment application it belongs to - the through date against the period, and the amount against the revised contract sum. Both take a minute per claimant per cycle.</w:t>
            </w:r>
          </w:p>
        </w:tc>
      </w:tr>
    </w:tbl>
    <w:p>
      <w:pPr>
        <w:keepNext w:val="false"/>
        <w:pageBreakBefor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0"/>
      </w:tblGrid>
      <w:tr>
        <w:trPr>
          <w:cantSplit/>
        </w:trPr>
        <w:tc>
          <w:tcPr>
            <w:tcW w:type="dxa" w:w="10040"/>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4   THE WAIVER LOG</w:t>
            </w:r>
          </w:p>
        </w:tc>
      </w:tr>
    </w:tbl>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602"/>
        <w:gridCol w:w="2108"/>
        <w:gridCol w:w="1406"/>
        <w:gridCol w:w="1908"/>
        <w:gridCol w:w="1004"/>
        <w:gridCol w:w="1104"/>
        <w:gridCol w:w="1908"/>
      </w:tblGrid>
      <w:tr>
        <w:trPr>
          <w:cantSplit/>
          <w:tblHeader/>
        </w:trPr>
        <w:tc>
          <w:tcPr>
            <w:tcW w:type="dxa" w:w="602"/>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Tier</w:t>
            </w:r>
          </w:p>
        </w:tc>
        <w:tc>
          <w:tcPr>
            <w:tcW w:type="dxa" w:w="2108"/>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Claimant</w:t>
            </w:r>
          </w:p>
        </w:tc>
        <w:tc>
          <w:tcPr>
            <w:tcW w:type="dxa" w:w="1406"/>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Notice on file</w:t>
            </w:r>
          </w:p>
        </w:tc>
        <w:tc>
          <w:tcPr>
            <w:tcW w:type="dxa" w:w="1908"/>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Waiver due</w:t>
            </w:r>
          </w:p>
        </w:tc>
        <w:tc>
          <w:tcPr>
            <w:tcW w:type="dxa" w:w="1004"/>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Through</w:t>
            </w:r>
          </w:p>
        </w:tc>
        <w:tc>
          <w:tcPr>
            <w:tcW w:type="dxa" w:w="1104"/>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right"/>
            </w:pPr>
            <w:r>
              <w:rPr>
                <w:rFonts w:ascii="Inter" w:cs="Inter" w:eastAsia="Inter" w:hAnsi="Inter"/>
                <w:b/>
                <w:bCs/>
                <w:i w:val="false"/>
                <w:iCs w:val="false"/>
                <w:caps w:val="false"/>
                <w:color w:val="0D3C61"/>
                <w:sz w:val="17"/>
                <w:szCs w:val="17"/>
              </w:rPr>
              <w:t xml:space="preserve">Amount</w:t>
            </w:r>
          </w:p>
        </w:tc>
        <w:tc>
          <w:tcPr>
            <w:tcW w:type="dxa" w:w="1908"/>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Status</w:t>
            </w:r>
          </w:p>
        </w:tc>
      </w:tr>
      <w:tr>
        <w:trPr>
          <w:cantSplit/>
        </w:trPr>
        <w:tc>
          <w:tcPr>
            <w:tcW w:type="dxa" w:w="10040"/>
            <w:gridSpan w:val="7"/>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Tier 1 is your direct contract. Tier 2 and below reach you through preliminary notices, and those are the parties that lien owners who thought they were covered.</w:t>
            </w:r>
          </w:p>
        </w:tc>
      </w:tr>
      <w:tr>
        <w:trPr>
          <w:cantSplit/>
        </w:trPr>
        <w:tc>
          <w:tcPr>
            <w:tcW w:type="dxa" w:w="60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1</w:t>
            </w:r>
          </w:p>
        </w:tc>
        <w:tc>
          <w:tcPr>
            <w:tcW w:type="dxa" w:w="21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Kestrel Building Co.</w:t>
            </w:r>
          </w:p>
          <w:p>
            <w:pPr>
              <w:keepNext w:val="false"/>
              <w:spacing w:after="0" w:before="60" w:line="232"/>
              <w:jc w:val="left"/>
            </w:pPr>
            <w:r>
              <w:rPr>
                <w:rFonts w:ascii="Inter" w:cs="Inter" w:eastAsia="Inter" w:hAnsi="Inter"/>
                <w:b w:val="false"/>
                <w:bCs w:val="false"/>
                <w:i w:val="false"/>
                <w:iCs w:val="false"/>
                <w:caps w:val="false"/>
                <w:color w:val="1D3245"/>
                <w:sz w:val="17"/>
                <w:szCs w:val="17"/>
              </w:rPr>
              <w:t xml:space="preserve">General contractor</w:t>
            </w:r>
          </w:p>
        </w:tc>
        <w:tc>
          <w:tcPr>
            <w:tcW w:type="dxa" w:w="140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Contract</w:t>
            </w:r>
          </w:p>
        </w:tc>
        <w:tc>
          <w:tcPr>
            <w:tcW w:type="dxa" w:w="19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Uncond. progress</w:t>
            </w:r>
          </w:p>
        </w:tc>
        <w:tc>
          <w:tcPr>
            <w:tcW w:type="dxa" w:w="10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07/31/26</w:t>
            </w:r>
          </w:p>
        </w:tc>
        <w:tc>
          <w:tcPr>
            <w:tcW w:type="dxa" w:w="11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412,900</w:t>
            </w:r>
          </w:p>
        </w:tc>
        <w:tc>
          <w:tcPr>
            <w:tcW w:type="dxa" w:w="19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OK</w:t>
            </w:r>
          </w:p>
        </w:tc>
      </w:tr>
      <w:tr>
        <w:trPr>
          <w:cantSplit/>
        </w:trPr>
        <w:tc>
          <w:tcPr>
            <w:tcW w:type="dxa" w:w="60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2</w:t>
            </w:r>
          </w:p>
        </w:tc>
        <w:tc>
          <w:tcPr>
            <w:tcW w:type="dxa" w:w="21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Ridgeline Concrete LLC</w:t>
            </w:r>
          </w:p>
        </w:tc>
        <w:tc>
          <w:tcPr>
            <w:tcW w:type="dxa" w:w="140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Prelim 04/02/26</w:t>
            </w:r>
          </w:p>
        </w:tc>
        <w:tc>
          <w:tcPr>
            <w:tcW w:type="dxa" w:w="19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Uncond. progress</w:t>
            </w:r>
          </w:p>
        </w:tc>
        <w:tc>
          <w:tcPr>
            <w:tcW w:type="dxa" w:w="10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07/31/26</w:t>
            </w:r>
          </w:p>
        </w:tc>
        <w:tc>
          <w:tcPr>
            <w:tcW w:type="dxa" w:w="11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96,400</w:t>
            </w:r>
          </w:p>
        </w:tc>
        <w:tc>
          <w:tcPr>
            <w:tcW w:type="dxa" w:w="19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OK</w:t>
            </w:r>
          </w:p>
        </w:tc>
      </w:tr>
      <w:tr>
        <w:trPr>
          <w:cantSplit/>
        </w:trPr>
        <w:tc>
          <w:tcPr>
            <w:tcW w:type="dxa" w:w="60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2</w:t>
            </w:r>
          </w:p>
        </w:tc>
        <w:tc>
          <w:tcPr>
            <w:tcW w:type="dxa" w:w="21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Vance Mechanical Inc.</w:t>
            </w:r>
          </w:p>
        </w:tc>
        <w:tc>
          <w:tcPr>
            <w:tcW w:type="dxa" w:w="140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Prelim 04/14/26</w:t>
            </w:r>
          </w:p>
        </w:tc>
        <w:tc>
          <w:tcPr>
            <w:tcW w:type="dxa" w:w="19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Uncond. progress</w:t>
            </w:r>
          </w:p>
        </w:tc>
        <w:tc>
          <w:tcPr>
            <w:tcW w:type="dxa" w:w="10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06/30/26</w:t>
            </w:r>
          </w:p>
        </w:tc>
        <w:tc>
          <w:tcPr>
            <w:tcW w:type="dxa" w:w="11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78,200</w:t>
            </w:r>
          </w:p>
        </w:tc>
        <w:tc>
          <w:tcPr>
            <w:tcW w:type="dxa" w:w="19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SHORT - one month</w:t>
            </w:r>
          </w:p>
        </w:tc>
      </w:tr>
      <w:tr>
        <w:trPr>
          <w:cantSplit/>
        </w:trPr>
        <w:tc>
          <w:tcPr>
            <w:tcW w:type="dxa" w:w="60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2</w:t>
            </w:r>
          </w:p>
        </w:tc>
        <w:tc>
          <w:tcPr>
            <w:tcW w:type="dxa" w:w="21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Arbor Glass and Glazing</w:t>
            </w:r>
          </w:p>
        </w:tc>
        <w:tc>
          <w:tcPr>
            <w:tcW w:type="dxa" w:w="140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Prelim 05/09/26</w:t>
            </w:r>
          </w:p>
        </w:tc>
        <w:tc>
          <w:tcPr>
            <w:tcW w:type="dxa" w:w="19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Uncond. progress</w:t>
            </w:r>
          </w:p>
        </w:tc>
        <w:tc>
          <w:tcPr>
            <w:tcW w:type="dxa" w:w="10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07/31/26</w:t>
            </w:r>
          </w:p>
        </w:tc>
        <w:tc>
          <w:tcPr>
            <w:tcW w:type="dxa" w:w="11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51,750</w:t>
            </w:r>
          </w:p>
        </w:tc>
        <w:tc>
          <w:tcPr>
            <w:tcW w:type="dxa" w:w="19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OK</w:t>
            </w:r>
          </w:p>
        </w:tc>
      </w:tr>
      <w:tr>
        <w:trPr>
          <w:cantSplit/>
        </w:trPr>
        <w:tc>
          <w:tcPr>
            <w:tcW w:type="dxa" w:w="60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3</w:t>
            </w:r>
          </w:p>
        </w:tc>
        <w:tc>
          <w:tcPr>
            <w:tcW w:type="dxa" w:w="21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Fulton Rebar Supply</w:t>
            </w:r>
          </w:p>
        </w:tc>
        <w:tc>
          <w:tcPr>
            <w:tcW w:type="dxa" w:w="140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Prelim 05/21/26</w:t>
            </w:r>
          </w:p>
        </w:tc>
        <w:tc>
          <w:tcPr>
            <w:tcW w:type="dxa" w:w="19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Uncond. progress</w:t>
            </w:r>
          </w:p>
        </w:tc>
        <w:tc>
          <w:tcPr>
            <w:tcW w:type="dxa" w:w="10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07/31/26</w:t>
            </w:r>
          </w:p>
        </w:tc>
        <w:tc>
          <w:tcPr>
            <w:tcW w:type="dxa" w:w="11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18,300</w:t>
            </w:r>
          </w:p>
        </w:tc>
        <w:tc>
          <w:tcPr>
            <w:tcW w:type="dxa" w:w="19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MISSING</w:t>
            </w:r>
          </w:p>
        </w:tc>
      </w:tr>
      <w:tr>
        <w:trPr>
          <w:cantSplit/>
        </w:trPr>
        <w:tc>
          <w:tcPr>
            <w:tcW w:type="dxa" w:w="60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3</w:t>
            </w:r>
          </w:p>
        </w:tc>
        <w:tc>
          <w:tcPr>
            <w:tcW w:type="dxa" w:w="21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Delmar Crane Rental</w:t>
            </w:r>
          </w:p>
        </w:tc>
        <w:tc>
          <w:tcPr>
            <w:tcW w:type="dxa" w:w="140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Prelim 06/03/26</w:t>
            </w:r>
          </w:p>
        </w:tc>
        <w:tc>
          <w:tcPr>
            <w:tcW w:type="dxa" w:w="19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Cond. progress</w:t>
            </w:r>
          </w:p>
        </w:tc>
        <w:tc>
          <w:tcPr>
            <w:tcW w:type="dxa" w:w="10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07/31/26</w:t>
            </w:r>
          </w:p>
        </w:tc>
        <w:tc>
          <w:tcPr>
            <w:tcW w:type="dxa" w:w="11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9,600</w:t>
            </w:r>
          </w:p>
        </w:tc>
        <w:tc>
          <w:tcPr>
            <w:tcW w:type="dxa" w:w="19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COND. ONLY</w:t>
            </w:r>
          </w:p>
        </w:tc>
      </w:tr>
      <w:tr>
        <w:trPr>
          <w:cantSplit/>
        </w:trPr>
        <w:tc>
          <w:tcPr>
            <w:tcW w:type="dxa" w:w="60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2</w:t>
            </w:r>
          </w:p>
        </w:tc>
        <w:tc>
          <w:tcPr>
            <w:tcW w:type="dxa" w:w="21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Copperline Electric</w:t>
            </w:r>
          </w:p>
        </w:tc>
        <w:tc>
          <w:tcPr>
            <w:tcW w:type="dxa" w:w="140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Prelim 04/28/26</w:t>
            </w:r>
          </w:p>
        </w:tc>
        <w:tc>
          <w:tcPr>
            <w:tcW w:type="dxa" w:w="19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Uncond. final</w:t>
            </w:r>
          </w:p>
        </w:tc>
        <w:tc>
          <w:tcPr>
            <w:tcW w:type="dxa" w:w="10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Final</w:t>
            </w:r>
          </w:p>
        </w:tc>
        <w:tc>
          <w:tcPr>
            <w:tcW w:type="dxa" w:w="11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134,500</w:t>
            </w:r>
          </w:p>
        </w:tc>
        <w:tc>
          <w:tcPr>
            <w:tcW w:type="dxa" w:w="19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HOLD - retainage</w:t>
            </w:r>
          </w:p>
        </w:tc>
      </w:tr>
      <w:tr>
        <w:trPr>
          <w:cantSplit/>
        </w:trPr>
        <w:tc>
          <w:tcPr>
            <w:tcW w:type="dxa" w:w="60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21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40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0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1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
            </w:r>
          </w:p>
        </w:tc>
      </w:tr>
      <w:tr>
        <w:trPr>
          <w:cantSplit/>
        </w:trPr>
        <w:tc>
          <w:tcPr>
            <w:tcW w:type="dxa" w:w="60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21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40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0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1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
            </w:r>
          </w:p>
        </w:tc>
      </w:tr>
      <w:tr>
        <w:trPr>
          <w:cantSplit/>
        </w:trPr>
        <w:tc>
          <w:tcPr>
            <w:tcW w:type="dxa" w:w="60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21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40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0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1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
            </w:r>
          </w:p>
        </w:tc>
      </w:tr>
      <w:tr>
        <w:trPr>
          <w:cantSplit/>
        </w:trPr>
        <w:tc>
          <w:tcPr>
            <w:tcW w:type="dxa" w:w="60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21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40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0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1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
            </w:r>
          </w:p>
        </w:tc>
      </w:tr>
      <w:tr>
        <w:trPr>
          <w:cantSplit/>
        </w:trPr>
        <w:tc>
          <w:tcPr>
            <w:tcW w:type="dxa" w:w="60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21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40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0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1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
            </w:r>
          </w:p>
        </w:tc>
      </w:tr>
      <w:tr>
        <w:trPr>
          <w:cantSplit/>
        </w:trPr>
        <w:tc>
          <w:tcPr>
            <w:tcW w:type="dxa" w:w="60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21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40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0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1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
            </w:r>
          </w:p>
        </w:tc>
      </w:tr>
      <w:tr>
        <w:trPr>
          <w:cantSplit/>
        </w:trPr>
        <w:tc>
          <w:tcPr>
            <w:tcW w:type="dxa" w:w="60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21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40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0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1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
            </w:r>
          </w:p>
        </w:tc>
      </w:tr>
      <w:tr>
        <w:trPr>
          <w:cantSplit/>
        </w:trPr>
        <w:tc>
          <w:tcPr>
            <w:tcW w:type="dxa" w:w="60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21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40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0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1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
            </w:r>
          </w:p>
        </w:tc>
      </w:tr>
      <w:tr>
        <w:trPr>
          <w:cantSplit/>
        </w:trPr>
        <w:tc>
          <w:tcPr>
            <w:tcW w:type="dxa" w:w="60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21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40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0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1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
            </w:r>
          </w:p>
        </w:tc>
      </w:tr>
      <w:tr>
        <w:trPr>
          <w:cantSplit/>
        </w:trPr>
        <w:tc>
          <w:tcPr>
            <w:tcW w:type="dxa" w:w="60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21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40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0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1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
            </w:r>
          </w:p>
        </w:tc>
      </w:tr>
      <w:tr>
        <w:trPr>
          <w:cantSplit/>
        </w:trPr>
        <w:tc>
          <w:tcPr>
            <w:tcW w:type="dxa" w:w="60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21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40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0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1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
            </w:r>
          </w:p>
        </w:tc>
      </w:tr>
      <w:tr>
        <w:trPr>
          <w:cantSplit/>
        </w:trPr>
        <w:tc>
          <w:tcPr>
            <w:tcW w:type="dxa" w:w="60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21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40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0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10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
            </w:r>
          </w:p>
        </w:tc>
      </w:tr>
      <w:tr>
        <w:trPr>
          <w:cantSplit/>
        </w:trPr>
        <w:tc>
          <w:tcPr>
            <w:tcW w:type="dxa" w:w="60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21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40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0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
            </w:r>
          </w:p>
        </w:tc>
        <w:tc>
          <w:tcPr>
            <w:tcW w:type="dxa" w:w="110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
            </w:r>
          </w:p>
        </w:tc>
        <w:tc>
          <w:tcPr>
            <w:tcW w:type="dxa" w:w="190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
            </w:r>
          </w:p>
        </w:tc>
      </w:tr>
      <w:tr>
        <w:trPr>
          <w:cantSplit/>
        </w:trPr>
        <w:tc>
          <w:tcPr>
            <w:tcW w:type="dxa" w:w="10040"/>
            <w:gridSpan w:val="7"/>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Four rows above are the traps from the previous section, on purpose. SHORT - Vance Mechanical's waiver runs to 06/30 against a payment covering work to 07/31, so one month is unreleased. MISSING - Fulton Rebar sent a preliminary notice and has no contract with the owner, which is exactly the party that gets missed and exactly the party that can still lien the property. COND. ONLY - Delmar's funds have not cleared, so the conditional waiver on file is the correct one and the unconditional is not yet due. HOLD - Copperline's final waiver is correctly NOT requested, because retainage has not been released. Replace these rows with your own.</w:t>
            </w:r>
          </w:p>
        </w:tc>
      </w:tr>
    </w:tbl>
    <w:p>
      <w:pPr>
        <w:keepNext w:val="false"/>
        <w:pageBreakBefor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406"/>
        <w:gridCol w:w="2209"/>
        <w:gridCol w:w="6425"/>
      </w:tblGrid>
      <w:tr>
        <w:trPr>
          <w:cantSplit/>
          <w:tblHeader/>
        </w:trPr>
        <w:tc>
          <w:tcPr>
            <w:tcW w:type="dxa" w:w="10040"/>
            <w:gridSpan w:val="3"/>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5   FOUR OF THE TWELVE STATES, AND WHY THE GATE IS NOT A FORMALITY</w:t>
            </w:r>
          </w:p>
        </w:tc>
      </w:tr>
      <w:tr>
        <w:trPr>
          <w:cantSplit/>
          <w:tblHeader/>
        </w:trPr>
        <w:tc>
          <w:tcPr>
            <w:tcW w:type="dxa" w:w="1406"/>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State</w:t>
            </w:r>
          </w:p>
        </w:tc>
        <w:tc>
          <w:tcPr>
            <w:tcW w:type="dxa" w:w="2209"/>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Statute</w:t>
            </w:r>
          </w:p>
        </w:tc>
        <w:tc>
          <w:tcPr>
            <w:tcW w:type="dxa" w:w="6425"/>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What the statute actually changes</w:t>
            </w:r>
          </w:p>
        </w:tc>
      </w:tr>
      <w:tr>
        <w:trPr>
          <w:cantSplit/>
        </w:trPr>
        <w:tc>
          <w:tcPr>
            <w:tcW w:type="dxa" w:w="10040"/>
            <w:gridSpan w:val="3"/>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Read off each state's own statute or licensing board on August 26, 2026. Verify the current text before you rely on it - these are amended.</w:t>
            </w:r>
          </w:p>
        </w:tc>
      </w:tr>
      <w:tr>
        <w:trPr>
          <w:cantSplit/>
        </w:trPr>
        <w:tc>
          <w:tcPr>
            <w:tcW w:type="dxa" w:w="140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California</w:t>
            </w:r>
          </w:p>
        </w:tc>
        <w:tc>
          <w:tcPr>
            <w:tcW w:type="dxa" w:w="2209"/>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Civ. Code 8132, 8134, 8136, 8138</w:t>
            </w:r>
          </w:p>
        </w:tc>
        <w:tc>
          <w:tcPr>
            <w:tcW w:type="dxa" w:w="6425"/>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Four separate statutory forms - conditional and unconditional, progress and final. A conditional release binds only once payment is evidenced, by the claimant's endorsement on a paid check or a written acknowledgment.</w:t>
            </w:r>
          </w:p>
        </w:tc>
      </w:tr>
      <w:tr>
        <w:trPr>
          <w:cantSplit/>
        </w:trPr>
        <w:tc>
          <w:tcPr>
            <w:tcW w:type="dxa" w:w="140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Texas</w:t>
            </w:r>
          </w:p>
        </w:tc>
        <w:tc>
          <w:tcPr>
            <w:tcW w:type="dxa" w:w="2209"/>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Prop. Code 53.284</w:t>
            </w:r>
          </w:p>
        </w:tc>
        <w:tc>
          <w:tcPr>
            <w:tcW w:type="dxa" w:w="6425"/>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Four statutory forms. Both unconditional forms must carry a prescribed warning IN BOLD TYPE at 10 point or larger, and that warning tells the signer it is prohibited to require this document from someone who has not been paid.</w:t>
            </w:r>
          </w:p>
        </w:tc>
      </w:tr>
      <w:tr>
        <w:trPr>
          <w:cantSplit/>
        </w:trPr>
        <w:tc>
          <w:tcPr>
            <w:tcW w:type="dxa" w:w="140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Florida</w:t>
            </w:r>
          </w:p>
        </w:tc>
        <w:tc>
          <w:tcPr>
            <w:tcW w:type="dxa" w:w="2209"/>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Fla. Stat. 713.20</w:t>
            </w:r>
          </w:p>
        </w:tc>
        <w:tc>
          <w:tcPr>
            <w:tcW w:type="dxa" w:w="6425"/>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Two statutory forms - progress and final. Subsection (6) is the one that matters to an owner: a person MAY NOT REQUIRE a lienor to furnish a waiver different from the statutory form. Your company template is not an option here.</w:t>
            </w:r>
          </w:p>
        </w:tc>
      </w:tr>
      <w:tr>
        <w:trPr>
          <w:cantSplit/>
        </w:trPr>
        <w:tc>
          <w:tcPr>
            <w:tcW w:type="dxa" w:w="140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Georgia</w:t>
            </w:r>
          </w:p>
        </w:tc>
        <w:tc>
          <w:tcPr>
            <w:tcW w:type="dxa" w:w="2209"/>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OCGA 44-14-366</w:t>
            </w:r>
          </w:p>
        </w:tc>
        <w:tc>
          <w:tcPr>
            <w:tcW w:type="dxa" w:w="6425"/>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A waiver signed in advance of furnishing labor or materials is VOID. The statutory form must be at least 12 point, and it becomes effective 90 days after signature even if the claimant was never paid, unless an affidavit of nonpayment is filed first.</w:t>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3012"/>
        <w:gridCol w:w="7028"/>
      </w:tblGrid>
      <w:tr>
        <w:trPr>
          <w:cantSplit/>
          <w:tblHeader/>
        </w:trPr>
        <w:tc>
          <w:tcPr>
            <w:tcW w:type="dxa" w:w="10040"/>
            <w:gridSpan w:val="2"/>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6   WHAT "SUBSTANTIALLY COMPLY" IS ACTUALLY TESTING</w:t>
            </w:r>
          </w:p>
        </w:tc>
      </w:tr>
      <w:tr>
        <w:trPr>
          <w:cantSplit/>
        </w:trPr>
        <w:tc>
          <w:tcPr>
            <w:tcW w:type="dxa" w:w="10040"/>
            <w:gridSpan w:val="2"/>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Drawn from the four statutes above. A prescribing statute does not just supply words - it constrains the typography and the timing too, which is why retyping a form from a template library is not the same as using the state's.</w:t>
            </w:r>
          </w:p>
        </w:tc>
      </w:tr>
      <w:tr>
        <w:trPr>
          <w:cantSplit/>
        </w:trPr>
        <w:tc>
          <w:tcPr>
            <w:tcW w:type="dxa" w:w="30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The exact wording, not the gist</w:t>
            </w:r>
          </w:p>
        </w:tc>
        <w:tc>
          <w:tcPr>
            <w:tcW w:type="dxa" w:w="702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Courts read 'substantially comply' strictly. A form that says the same thing in different words is the commonest way a waiver turns out to release nothing.</w:t>
            </w:r>
          </w:p>
        </w:tc>
      </w:tr>
      <w:tr>
        <w:trPr>
          <w:cantSplit/>
        </w:trPr>
        <w:tc>
          <w:tcPr>
            <w:tcW w:type="dxa" w:w="30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A minimum type size</w:t>
            </w:r>
          </w:p>
        </w:tc>
        <w:tc>
          <w:tcPr>
            <w:tcW w:type="dxa" w:w="702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Georgia requires at least 12 point. Texas requires its unconditional warning in bold type at 10 point or larger. A statute can invalidate a form over its formatting alone.</w:t>
            </w:r>
          </w:p>
        </w:tc>
      </w:tr>
      <w:tr>
        <w:trPr>
          <w:cantSplit/>
        </w:trPr>
        <w:tc>
          <w:tcPr>
            <w:tcW w:type="dxa" w:w="30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A specific notice, verbatim</w:t>
            </w:r>
          </w:p>
        </w:tc>
        <w:tc>
          <w:tcPr>
            <w:tcW w:type="dxa" w:w="702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Georgia says outright that failure to include the notice language renders the form unenforceable and invalid. Texas prescribes the warning that appears at the top of both unconditional forms.</w:t>
            </w:r>
          </w:p>
        </w:tc>
      </w:tr>
      <w:tr>
        <w:trPr>
          <w:cantSplit/>
        </w:trPr>
        <w:tc>
          <w:tcPr>
            <w:tcW w:type="dxa" w:w="30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When it starts to bite, which is not always on payment</w:t>
            </w:r>
          </w:p>
        </w:tc>
        <w:tc>
          <w:tcPr>
            <w:tcW w:type="dxa" w:w="702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California needs evidence of payment before a conditional release binds. Georgia's becomes effective 90 days after signature even if the claimant was never paid, unless an affidavit of nonpayment is filed first - the opposite default.</w:t>
            </w:r>
          </w:p>
        </w:tc>
      </w:tr>
      <w:tr>
        <w:trPr>
          <w:cantSplit/>
        </w:trPr>
        <w:tc>
          <w:tcPr>
            <w:tcW w:type="dxa" w:w="30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Who may ask for what</w:t>
            </w:r>
          </w:p>
        </w:tc>
        <w:tc>
          <w:tcPr>
            <w:tcW w:type="dxa" w:w="702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Florida prohibits requiring a lienor to furnish any waiver other than the statutory form, and the Texas warning tells the signer it is prohibited to require an unconditional release from someone who has not been paid. In those states the constraint is on the OWNER, not the signer.</w:t>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3012"/>
        <w:gridCol w:w="7028"/>
      </w:tblGrid>
      <w:tr>
        <w:trPr>
          <w:cantSplit/>
          <w:tblHeader/>
        </w:trPr>
        <w:tc>
          <w:tcPr>
            <w:tcW w:type="dxa" w:w="10040"/>
            <w:gridSpan w:val="2"/>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7   WHO SIGNS, AND WHO WILL AUDIT THIS FILE</w:t>
            </w:r>
          </w:p>
        </w:tc>
      </w:tr>
      <w:tr>
        <w:trPr>
          <w:cantSplit/>
        </w:trPr>
        <w:tc>
          <w:tcPr>
            <w:tcW w:type="dxa" w:w="30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The claimant signs it, never you</w:t>
            </w:r>
          </w:p>
        </w:tc>
        <w:tc>
          <w:tcPr>
            <w:tcW w:type="dxa" w:w="7028"/>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A general contractor, subcontractor, sub-subcontractor, material supplier or equipment lessor - anyone with lien rights against the property. The owner's job is to decide which of the four forms is required and from whom, and to check it before funds are released. A general contractor paying its own subs runs the identical process one tier down.</w:t>
            </w:r>
          </w:p>
        </w:tc>
      </w:tr>
      <w:tr>
        <w:trPr>
          <w:cantSplit/>
        </w:trPr>
        <w:tc>
          <w:tcPr>
            <w:tcW w:type="dxa" w:w="30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Your lender and title company will audit this file</w:t>
            </w:r>
          </w:p>
        </w:tc>
        <w:tc>
          <w:tcPr>
            <w:tcW w:type="dxa" w:w="7028"/>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On a financed project the waiver file is a draw condition, and at closeout the title company wants it complete before it will insure. Build the log from the first payment application rather than assembling it under pressure at the end, when the missing signature belongs to a supplier who left the job in March.</w:t>
            </w:r>
          </w:p>
        </w:tc>
      </w:tr>
    </w:tbl>
    <w:p>
      <w:pPr>
        <w:keepNext w:val="false"/>
        <w:pageBreakBefor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0"/>
      </w:tblGrid>
      <w:tr>
        <w:trPr>
          <w:cantSplit/>
        </w:trPr>
        <w:tc>
          <w:tcPr>
            <w:tcW w:type="dxa" w:w="10040"/>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8   NOTES</w:t>
            </w:r>
          </w:p>
        </w:tc>
      </w:tr>
    </w:tbl>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3213"/>
        <w:gridCol w:w="6827"/>
      </w:tblGrid>
      <w:tr>
        <w:trPr>
          <w:cantSplit/>
        </w:trPr>
        <w:tc>
          <w:tcPr>
            <w:tcW w:type="dxa" w:w="3213"/>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Get the current statutory form from the state, not from a template library</w:t>
            </w:r>
          </w:p>
        </w:tc>
        <w:tc>
          <w:tcPr>
            <w:tcW w:type="dxa" w:w="6827"/>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Statutes are amended and forms are revised. Where a state prescribes the form, the only safe source is the state itself - its licensing board, its lien statute, or counsel admitted there. A form that was correct two years ago may not substantially comply today.</w:t>
            </w:r>
          </w:p>
        </w:tc>
      </w:tr>
      <w:tr>
        <w:trPr>
          <w:cantSplit/>
        </w:trPr>
        <w:tc>
          <w:tcPr>
            <w:tcW w:type="dxa" w:w="3213"/>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Notarization varies and the contract can add it</w:t>
            </w:r>
          </w:p>
        </w:tc>
        <w:tc>
          <w:tcPr>
            <w:tcW w:type="dxa" w:w="6827"/>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Some states require a lien waiver to be notarized and most do not, and a construction contract or a lender's draw package can require it whatever the statute says. The two final forms in this document carry a notary block for that reason; leave it blank where it is not required.</w:t>
            </w:r>
          </w:p>
        </w:tc>
      </w:tr>
      <w:tr>
        <w:trPr>
          <w:cantSplit/>
        </w:trPr>
        <w:tc>
          <w:tcPr>
            <w:tcW w:type="dxa" w:w="3213"/>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The claimant's name has to match its notice exactly</w:t>
            </w:r>
          </w:p>
        </w:tc>
        <w:tc>
          <w:tcPr>
            <w:tcW w:type="dxa" w:w="6827"/>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A release signed by 'Vance Mechanical' does not obviously release a lien claimed by 'Vance Mechanical Inc.' Copy the legal entity name from the preliminary notice or the contract, including the entity suffix, and have the signer state the capacity they sign in.</w:t>
            </w:r>
          </w:p>
        </w:tc>
      </w:tr>
      <w:tr>
        <w:trPr>
          <w:cantSplit/>
        </w:trPr>
        <w:tc>
          <w:tcPr>
            <w:tcW w:type="dxa" w:w="3213"/>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A joint check is the answer when a lower tier will not sign</w:t>
            </w:r>
          </w:p>
        </w:tc>
        <w:tc>
          <w:tcPr>
            <w:tcW w:type="dxa" w:w="6827"/>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Where a subcontractor two tiers down will not provide a waiver, paying by check made jointly to it and the party above it puts the money and the release in the same transaction. It is administratively annoying and it is far cheaper than a lien.</w:t>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0"/>
      </w:tblGrid>
      <w:tr>
        <w:trPr>
          <w:cantSplit/>
        </w:trPr>
        <w:tc>
          <w:tcPr>
            <w:tcW w:type="dxa" w:w="10040"/>
            <w:gridSpan w:val="1"/>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9   WHAT THIS DOCUMENT IS NOT</w:t>
            </w:r>
          </w:p>
        </w:tc>
      </w:tr>
    </w:tbl>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3213"/>
        <w:gridCol w:w="6827"/>
      </w:tblGrid>
      <w:tr>
        <w:trPr>
          <w:cantSplit/>
        </w:trPr>
        <w:tc>
          <w:tcPr>
            <w:tcW w:type="dxa" w:w="3213"/>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A lien waiver is not a payment application and not a certificate</w:t>
            </w:r>
          </w:p>
        </w:tc>
        <w:tc>
          <w:tcPr>
            <w:tcW w:type="dxa" w:w="6827"/>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The claim for money is the payment application; the release of lien rights is this document. They travel together and they are not the same instrument. Mastt publishes a Construction Billing Invoice Template and an Invoice Verification Checklist for the payment side.</w:t>
            </w:r>
          </w:p>
        </w:tc>
      </w:tr>
      <w:tr>
        <w:trPr>
          <w:cantSplit/>
        </w:trPr>
        <w:tc>
          <w:tcPr>
            <w:tcW w:type="dxa" w:w="3213"/>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It is not a release of claims</w:t>
            </w:r>
          </w:p>
        </w:tc>
        <w:tc>
          <w:tcPr>
            <w:tcW w:type="dxa" w:w="6827"/>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This document releases lien, stop payment notice and payment bond rights. It does not settle a delay claim, a change order dispute or a warranty obligation, and it should not be used to try - a general release of claims is a different document with different consequences.</w:t>
            </w:r>
          </w:p>
        </w:tc>
      </w:tr>
      <w:tr>
        <w:trPr>
          <w:cantSplit/>
        </w:trPr>
        <w:tc>
          <w:tcPr>
            <w:tcW w:type="dxa" w:w="3213"/>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It is not a substitute for a title search at closeout</w:t>
            </w:r>
          </w:p>
        </w:tc>
        <w:tc>
          <w:tcPr>
            <w:tcW w:type="dxa" w:w="6827"/>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A complete waiver file makes a lien unlikely; it does not prove none was recorded. Where financing or a sale depends on clear title, the title company's search is what establishes that, and the waiver file is the evidence you hand them.</w:t>
            </w:r>
          </w:p>
        </w:tc>
      </w:tr>
      <w:tr>
        <w:trPr>
          <w:cantSplit/>
        </w:trPr>
        <w:tc>
          <w:tcPr>
            <w:tcW w:type="dxa" w:w="3213"/>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Public projects usually work differently</w:t>
            </w:r>
          </w:p>
        </w:tc>
        <w:tc>
          <w:tcPr>
            <w:tcW w:type="dxa" w:w="6827"/>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There is generally no mechanic's lien against public property. The equivalent security is a payment bond, and bond claim procedures and deadlines are their own statutory scheme. Adapt these forms with counsel before using them on public work.</w:t>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10040"/>
      </w:tblGrid>
      <w:tr>
        <w:trPr>
          <w:cantSplit/>
        </w:trPr>
        <w:tc>
          <w:tcPr>
            <w:tcW w:type="dxa" w:w="10040"/>
            <w:tcBorders>
              <w:top w:val="single" w:color="FFB547" w:sz="4"/>
              <w:left w:val="single" w:color="FFB547" w:sz="4"/>
              <w:bottom w:val="single" w:color="FFB547" w:sz="4"/>
              <w:right w:val="single" w:color="FFB547" w:sz="4"/>
            </w:tcBorders>
            <w:shd w:fill="FFF4E0" w:color="auto" w:val="clear"/>
            <w:tcMar>
              <w:top w:type="dxa" w:w="34"/>
              <w:left w:type="dxa" w:w="92"/>
              <w:bottom w:type="dxa" w:w="34"/>
              <w:right w:type="dxa" w:w="92"/>
            </w:tcMar>
          </w:tcPr>
          <w:p>
            <w:pPr>
              <w:keepNext w:val="false"/>
              <w:spacing w:after="0" w:before="0" w:line="235"/>
              <w:jc w:val="left"/>
            </w:pPr>
            <w:r>
              <w:rPr>
                <w:rFonts w:ascii="Inter" w:cs="Inter" w:eastAsia="Inter" w:hAnsi="Inter"/>
                <w:b/>
                <w:bCs/>
                <w:i w:val="false"/>
                <w:iCs w:val="false"/>
                <w:caps w:val="false"/>
                <w:color w:val="EC6917"/>
                <w:sz w:val="17"/>
                <w:szCs w:val="17"/>
              </w:rPr>
              <w:t xml:space="preserve">IMPORTANT   This is a template, not legal advice, and it is not a statutory form. Lien rights are created and limited by state statute; the requirements differ in every state and they are amended. Twelve states prescribe the wording of a lien waiver and in those states a form that does not substantially comply with the statute may release nothing, and requiring the wrong form may itself breach the statute. The project, parties, dates and figures in the worked example are invented. Before you issue, accept or sign any lien waiver, have the form and the process reviewed by an attorney licensed in the state where the project is located, and obtain any prescribed form from the state itself. Nothing in this document creates an attorney-client relationship or waives, extends or preserves any right or deadline.</w:t>
            </w:r>
          </w:p>
        </w:tc>
      </w:tr>
    </w:tbl>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p>
      <w:pPr>
        <w:keepNext w:val="false"/>
        <w:spacing w:after="0" w:before="0" w:line="250"/>
        <w:ind w:left="86"/>
        <w:jc w:val="left"/>
      </w:pPr>
      <w:r>
        <w:rPr>
          <w:rFonts w:ascii="Inter" w:cs="Inter" w:eastAsia="Inter" w:hAnsi="Inter"/>
          <w:b w:val="false"/>
          <w:bCs w:val="false"/>
          <w:i w:val="false"/>
          <w:iCs w:val="false"/>
          <w:caps w:val="false"/>
          <w:color w:val="8E98A2"/>
          <w:sz w:val="18"/>
          <w:szCs w:val="18"/>
        </w:rPr>
        <w:t xml:space="preserve">Built for teams delivering capital projects, programs and portfolios</w:t>
      </w:r>
    </w:p>
    <w:sectPr>
      <w:headerReference w:type="default" r:id="rId7"/>
      <w:footerReference w:type="default" r:id="rId8"/>
      <w:pgSz w:w="12240" w:h="15840" w:orient="portrait"/>
      <w:pgMar w:top="1500" w:right="1100" w:bottom="1200" w:left="1100" w:header="560" w:footer="4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0E0" w:sz="6"/>
      </w:pBdr>
      <w:tabs>
        <w:tab w:val="right" w:pos="9026"/>
      </w:tabs>
      <w:spacing w:before="60"/>
    </w:pPr>
    <w:hyperlink w:history="1" r:id="rIdhrnrlgz5_mtbibxlr9hym">
      <w:r>
        <w:rPr>
          <w:rFonts w:ascii="Inter" w:cs="Inter" w:eastAsia="Inter" w:hAnsi="Inter"/>
          <w:color w:val="3480BC"/>
          <w:sz w:val="19"/>
          <w:szCs w:val="19"/>
          <w:u w:val="single"/>
        </w:rPr>
        <w:t xml:space="preserve">Visit mastt.com</w:t>
      </w:r>
    </w:hyperlink>
    <w:r>
      <w:rPr>
        <w:rFonts w:ascii="Inter" w:cs="Inter" w:eastAsia="Inter" w:hAnsi="Inter"/>
        <w:color w:val="8E98A2"/>
        <w:sz w:val="19"/>
        <w:szCs w:val="19"/>
      </w:rPr>
      <w:t xml:space="preserve">	Page </w:t>
    </w:r>
    <w:r>
      <w:rPr>
        <w:rFonts w:ascii="Inter" w:cs="Inter" w:eastAsia="Inter" w:hAnsi="Inter"/>
        <w:color w:val="8E98A2"/>
        <w:sz w:val="19"/>
        <w:szCs w:val="19"/>
      </w:rPr>
      <w:fldChar w:fldCharType="begin"/>
      <w:instrText xml:space="preserve">PAGE</w:instrText>
      <w:fldChar w:fldCharType="separate"/>
      <w:fldChar w:fldCharType="end"/>
    </w:r>
    <w:r>
      <w:rPr>
        <w:rFonts w:ascii="Inter" w:cs="Inter" w:eastAsia="Inter" w:hAnsi="Inter"/>
        <w:color w:val="8E98A2"/>
        <w:sz w:val="19"/>
        <w:szCs w:val="19"/>
      </w:rPr>
      <w:t xml:space="preserve"> of </w:t>
    </w:r>
    <w:r>
      <w:rPr>
        <w:rFonts w:ascii="Inter" w:cs="Inter" w:eastAsia="Inter" w:hAnsi="Inter"/>
        <w:color w:val="8E98A2"/>
        <w:sz w:val="19"/>
        <w:szCs w:val="19"/>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3480BC" w:sz="10"/>
      </w:pBdr>
      <w:tabs>
        <w:tab w:val="right" w:pos="9026"/>
      </w:tabs>
      <w:spacing w:after="120" w:before="40" w:line="520" w:lineRule="atLeast"/>
    </w:pPr>
    <w:hyperlink w:history="1" r:id="rIdndnyejntjepwsoxewbgoe">
      <w:r>
        <w:drawing>
          <wp:inline distT="0" distB="0" distL="0" distR="0">
            <wp:extent cx="990600" cy="295275"/>
            <wp:effectExtent t="0" r="0" b="0" l="0"/>
            <wp:docPr id="1" name="" descr="" title="">
              <a:hlinkClick xmlns:a="http://schemas.openxmlformats.org/drawingml/2006/main" r:id="rIdndnyejntjepwsoxewbgo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descr="">
                      <a:hlinkClick r:id="rIdndnyejntjepwsoxewbgoe"/>
                    </pic:cNvPr>
                    <pic:cNvPicPr>
                      <a:picLocks noChangeAspect="1" noChangeArrowheads="1"/>
                    </pic:cNvPicPr>
                  </pic:nvPicPr>
                  <pic:blipFill>
                    <a:blip r:embed="rId0" cstate="none"/>
                    <a:srcRect/>
                    <a:stretch>
                      <a:fillRect/>
                    </a:stretch>
                  </pic:blipFill>
                  <pic:spPr bwMode="auto">
                    <a:xfrm>
                      <a:off x="0" y="0"/>
                      <a:ext cx="990600" cy="295275"/>
                    </a:xfrm>
                    <a:prstGeom prst="rect">
                      <a:avLst/>
                    </a:prstGeom>
                  </pic:spPr>
                </pic:pic>
              </a:graphicData>
            </a:graphic>
          </wp:inline>
        </w:drawing>
      </w:r>
    </w:hyperlink>
    <w:r>
      <w:rPr>
        <w:rFonts w:ascii="Inter" w:cs="Inter" w:eastAsia="Inter" w:hAnsi="Inter"/>
        <w:b/>
        <w:bCs/>
        <w:color w:val="1D3245"/>
        <w:sz w:val="17"/>
        <w:szCs w:val="17"/>
      </w:rPr>
      <w:t xml:space="preserve">	LIEN WAIVER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00"/>
      </w:pPr>
      <w:rPr>
        <w:rFonts w:ascii="Inter" w:cs="Inter" w:eastAsia="Inter" w:hAnsi="Inter"/>
        <w:color w:val="3480BC"/>
      </w:rPr>
    </w:lvl>
    <w:lvl w:ilvl="1" w15:tentative="1">
      <w:start w:val="1"/>
      <w:numFmt w:val="bullet"/>
      <w:lvlText w:val="–"/>
      <w:lvlJc w:val="left"/>
      <w:pPr>
        <w:ind w:left="760" w:hanging="200"/>
      </w:pPr>
      <w:rPr>
        <w:rFonts w:ascii="Inter" w:cs="Inter" w:eastAsia="Inter" w:hAnsi="Inter"/>
        <w:color w:val="8E98A2"/>
      </w:rPr>
    </w:lvl>
  </w:abstractNum>
  <w:abstractNum w:abstractNumId="3" w15:restartNumberingAfterBreak="0">
    <w:multiLevelType w:val="hybridMultilevel"/>
    <w:lvl w:ilvl="0" w15:tentative="1">
      <w:start w:val="1"/>
      <w:numFmt w:val="decimal"/>
      <w:lvlText w:val="%1."/>
      <w:lvlJc w:val="left"/>
      <w:pPr>
        <w:ind w:left="460" w:hanging="340"/>
      </w:pPr>
      <w:rPr>
        <w:rFonts w:ascii="Inter" w:cs="Inter" w:eastAsia="Inter" w:hAnsi="Inter"/>
        <w:b/>
        <w:bCs/>
        <w:color w:val="0D3C61"/>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1D3245"/>
        <w:sz w:val="20"/>
        <w:szCs w:val="20"/>
      </w:rPr>
    </w:rPrDefault>
    <w:pPrDefault>
      <w:pPr>
        <w:spacing w:after="120" w:line="25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80"/>
      <w:outlineLvl w:val="0"/>
    </w:pPr>
    <w:rPr>
      <w:rFonts w:ascii="Inter" w:cs="Inter" w:eastAsia="Inter" w:hAnsi="Inter"/>
      <w:b/>
      <w:bCs/>
      <w:color w:val="1D3245"/>
      <w:sz w:val="26"/>
      <w:szCs w:val="26"/>
    </w:rPr>
  </w:style>
  <w:style w:type="paragraph" w:styleId="Heading2">
    <w:name w:val="Heading 2"/>
    <w:basedOn w:val="Normal"/>
    <w:next w:val="Normal"/>
    <w:qFormat/>
    <w:pPr>
      <w:spacing w:after="100" w:before="240"/>
      <w:outlineLvl w:val="1"/>
    </w:pPr>
    <w:rPr>
      <w:rFonts w:ascii="Inter" w:cs="Inter" w:eastAsia="Inter" w:hAnsi="Inter"/>
      <w:b/>
      <w:bCs/>
      <w:color w:val="0D3C61"/>
      <w:sz w:val="22"/>
      <w:szCs w:val="22"/>
    </w:rPr>
  </w:style>
  <w:style w:type="paragraph" w:styleId="Heading3">
    <w:name w:val="Heading 3"/>
    <w:basedOn w:val="Normal"/>
    <w:next w:val="Normal"/>
    <w:qFormat/>
    <w:pPr>
      <w:spacing w:after="80" w:before="200"/>
      <w:outlineLvl w:val="2"/>
    </w:pPr>
    <w:rPr>
      <w:rFonts w:ascii="Inter" w:cs="Inter" w:eastAsia="Inter" w:hAnsi="Inter"/>
      <w:b/>
      <w:bCs/>
      <w:color w:val="215383"/>
      <w:sz w:val="19"/>
      <w:szCs w:val="19"/>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rnrlgz5_mtbibxlr9hym" Type="http://schemas.openxmlformats.org/officeDocument/2006/relationships/hyperlink" Target="https://www.mastt.com/" TargetMode="External"/></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ndnyejntjepwsoxewbgoe" Type="http://schemas.openxmlformats.org/officeDocument/2006/relationships/hyperlink" Target="https://www.mastt.com/" TargetMode="External"/><Relationship Id="rId0" Type="http://schemas.openxmlformats.org/officeDocument/2006/relationships/image" Target="media/1557be316619c2b10f6199fe144e31650db9fee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2026-08-26T06:47:56.371Z</dcterms:created>
  <dcterms:modified xsi:type="dcterms:W3CDTF">2026-08-26T06:47:56.372Z</dcterms:modified>
</cp:coreProperties>
</file>

<file path=docProps/custom.xml><?xml version="1.0" encoding="utf-8"?>
<Properties xmlns="http://schemas.openxmlformats.org/officeDocument/2006/custom-properties" xmlns:vt="http://schemas.openxmlformats.org/officeDocument/2006/docPropsVTypes"/>
</file>