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330"/>
              <w:jc w:val="left"/>
            </w:pPr>
            <w:r>
              <w:rPr>
                <w:rFonts w:ascii="Inter" w:cs="Inter" w:eastAsia="Inter" w:hAnsi="Inter"/>
                <w:b/>
                <w:bCs/>
                <w:i w:val="false"/>
                <w:iCs w:val="false"/>
                <w:caps w:val="false"/>
                <w:color w:val="FFFFFF"/>
                <w:sz w:val="30"/>
                <w:szCs w:val="30"/>
              </w:rPr>
              <w:t xml:space="preserve">PROJECT REPORT</w:t>
            </w:r>
          </w:p>
        </w:tc>
      </w:tr>
      <w:tr>
        <w:trPr>
          <w:cantSplit/>
        </w:trPr>
        <w:tc>
          <w:tcPr>
            <w:tcW w:type="dxa" w:w="9706"/>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val="false"/>
                <w:iCs w:val="false"/>
                <w:caps w:val="false"/>
                <w:color w:val="9FB3C8"/>
                <w:sz w:val="19"/>
                <w:szCs w:val="19"/>
              </w:rPr>
              <w:t xml:space="preserve">Northbank Ambulatory Care Center  ·  monthly report to the owner and the capital projects committee</w:t>
            </w:r>
          </w:p>
        </w:tc>
      </w:tr>
      <w:tr>
        <w:trPr>
          <w:cantSplit/>
        </w:trPr>
        <w:tc>
          <w:tcPr>
            <w:tcW w:type="dxa" w:w="9706"/>
            <w:tcBorders>
              <w:top w:val="none" w:color="auto" w:sz="0"/>
              <w:left w:val="none" w:color="auto" w:sz="0"/>
              <w:bottom w:val="none" w:color="auto" w:sz="0"/>
              <w:right w:val="none" w:color="auto" w:sz="0"/>
            </w:tcBorders>
            <w:shd w:fill="3480BC" w:color="auto" w:val="clear"/>
            <w:tcMar>
              <w:top w:type="dxa" w:w="34"/>
              <w:left w:type="dxa" w:w="92"/>
              <w:bottom w:type="dxa" w:w="34"/>
              <w:right w:type="dxa" w:w="92"/>
            </w:tcMar>
          </w:tcPr>
          <w:p>
            <w:pPr>
              <w:keepNext w:val="false"/>
              <w:spacing w:after="0" w:before="0" w:line="30"/>
              <w:jc w:val="left"/>
            </w:pPr>
            <w:r>
              <w:rPr>
                <w:rFonts w:ascii="Inter" w:cs="Inter" w:eastAsia="Inter" w:hAnsi="Inter"/>
                <w:b w:val="false"/>
                <w:bCs w:val="false"/>
                <w:i w:val="false"/>
                <w:iCs w:val="false"/>
                <w:caps w:val="false"/>
                <w:color w:val="1D3245"/>
                <w:sz w:val="2"/>
                <w:szCs w:val="2"/>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20"/>
          <w:szCs w:val="2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 · PROJECT INFORMATION</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941"/>
        <w:gridCol w:w="2912"/>
        <w:gridCol w:w="1941"/>
        <w:gridCol w:w="2912"/>
      </w:tblGrid>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Northbank Ambulatory Care Center</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 number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NB2-2026-014</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Client</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Northbank Health Authority</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Contractor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Halbrook Construction</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Report</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Report 14</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Reporting period</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Month 14 of 26, ending the last day of the month</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Prepared by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R. Delacroix, Senior Project Manager</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Approved by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A. Whitfield, Project Director</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Distribution</w:t>
            </w:r>
          </w:p>
        </w:tc>
        <w:tc>
          <w:tcPr>
            <w:tcW w:type="dxa" w:w="7765"/>
            <w:gridSpan w:val="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M. Okafor (Director of Capital Projects) · Capital Projects Committee · Facilities Management · Halbrook Construction</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262"/>
        <w:gridCol w:w="874"/>
        <w:gridCol w:w="2329"/>
        <w:gridCol w:w="2329"/>
        <w:gridCol w:w="2912"/>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2 · PROJECT STATUS</w:t>
            </w:r>
          </w:p>
        </w:tc>
      </w:tr>
      <w:tr>
        <w:trPr>
          <w:cantSplit/>
          <w:tblHeader/>
        </w:trPr>
        <w:tc>
          <w:tcPr>
            <w:tcW w:type="dxa" w:w="126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Dimension</w:t>
            </w:r>
          </w:p>
        </w:tc>
        <w:tc>
          <w:tcPr>
            <w:tcW w:type="dxa" w:w="87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Rating</w:t>
            </w:r>
          </w:p>
        </w:tc>
        <w:tc>
          <w:tcPr>
            <w:tcW w:type="dxa" w:w="232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the rating measures</w:t>
            </w:r>
          </w:p>
        </w:tc>
        <w:tc>
          <w:tcPr>
            <w:tcW w:type="dxa" w:w="232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Threshold used</w:t>
            </w:r>
          </w:p>
        </w:tc>
        <w:tc>
          <w:tcPr>
            <w:tcW w:type="dxa" w:w="291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Position this period</w:t>
            </w:r>
          </w:p>
        </w:tc>
      </w:tr>
      <w:tr>
        <w:trPr>
          <w:cantSplit/>
        </w:trPr>
        <w:tc>
          <w:tcPr>
            <w:tcW w:type="dxa" w:w="9706"/>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Each row states the test and the threshold that produced its color. Agree these thresholds with whoever receives the report before the first report is issued.</w:t>
            </w:r>
          </w:p>
        </w:tc>
      </w:tr>
      <w:tr>
        <w:trPr>
          <w:cantSplit/>
        </w:trPr>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Cost</w:t>
            </w:r>
          </w:p>
        </w:tc>
        <w:tc>
          <w:tcPr>
            <w:tcW w:type="dxa" w:w="874"/>
            <w:tcBorders>
              <w:top w:val="single" w:color="E0E0E0" w:sz="4"/>
              <w:left w:val="single" w:color="E0E0E0" w:sz="4"/>
              <w:bottom w:val="single" w:color="E0E0E0" w:sz="4"/>
              <w:right w:val="single" w:color="E0E0E0" w:sz="4"/>
            </w:tcBorders>
            <w:shd w:fill="E8F5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Green</w:t>
            </w:r>
          </w:p>
        </w:tc>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 final cost against approved budget</w:t>
            </w:r>
          </w:p>
        </w:tc>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Green below 1% over · Amber 1% to 3% · Red above 3%</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 is 2.0% under the approved budget.</w:t>
            </w:r>
          </w:p>
        </w:tc>
      </w:tr>
      <w:tr>
        <w:trPr>
          <w:cantSplit/>
        </w:trPr>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Schedule</w:t>
            </w:r>
          </w:p>
        </w:tc>
        <w:tc>
          <w:tcPr>
            <w:tcW w:type="dxa" w:w="874"/>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Amber</w:t>
            </w:r>
          </w:p>
        </w:tc>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Float remaining on the critical path to substantial completion</w:t>
            </w:r>
          </w:p>
        </w:tc>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Green above 15 days · Amber 1 to 15 days · Red none or negative</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switchgear delay consumed 12 of the 20 days of float on the commissioning sequence. Eight days remain and the substantial completion date holds.</w:t>
            </w:r>
          </w:p>
        </w:tc>
      </w:tr>
      <w:tr>
        <w:trPr>
          <w:cantSplit/>
        </w:trPr>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Change</w:t>
            </w:r>
          </w:p>
        </w:tc>
        <w:tc>
          <w:tcPr>
            <w:tcW w:type="dxa" w:w="874"/>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Amber</w:t>
            </w:r>
          </w:p>
        </w:tc>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Approved changes as a share of the original contract sum</w:t>
            </w:r>
          </w:p>
        </w:tc>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Green below 2% · Amber 2% to 5% · Red above 5%</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Approved changes are 2.5% of the contract sum, and a further 0.9% is claimed and undecided.</w:t>
            </w:r>
          </w:p>
        </w:tc>
      </w:tr>
      <w:tr>
        <w:trPr>
          <w:cantSplit/>
        </w:trPr>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Risk</w:t>
            </w:r>
          </w:p>
        </w:tc>
        <w:tc>
          <w:tcPr>
            <w:tcW w:type="dxa" w:w="874"/>
            <w:tcBorders>
              <w:top w:val="single" w:color="E0E0E0" w:sz="4"/>
              <w:left w:val="single" w:color="E0E0E0" w:sz="4"/>
              <w:bottom w:val="single" w:color="E0E0E0" w:sz="4"/>
              <w:right w:val="single" w:color="E0E0E0" w:sz="4"/>
            </w:tcBorders>
            <w:shd w:fill="E8F5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Green</w:t>
            </w:r>
          </w:p>
        </w:tc>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Critical or high risks with no mitigation in progress</w:t>
            </w:r>
          </w:p>
        </w:tc>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Green none · Amber one or two · Red three or more</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Every critical and high risk has a mitigation in progress and an owner.</w:t>
            </w:r>
          </w:p>
        </w:tc>
      </w:tr>
      <w:tr>
        <w:trPr>
          <w:cantSplit/>
        </w:trPr>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Safety</w:t>
            </w:r>
          </w:p>
        </w:tc>
        <w:tc>
          <w:tcPr>
            <w:tcW w:type="dxa" w:w="874"/>
            <w:tcBorders>
              <w:top w:val="single" w:color="E0E0E0" w:sz="4"/>
              <w:left w:val="single" w:color="E0E0E0" w:sz="4"/>
              <w:bottom w:val="single" w:color="E0E0E0" w:sz="4"/>
              <w:right w:val="single" w:color="E0E0E0" w:sz="4"/>
            </w:tcBorders>
            <w:shd w:fill="E8F5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Green</w:t>
            </w:r>
          </w:p>
        </w:tc>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Recordable incidents this period, and open corrective actions past their date</w:t>
            </w:r>
          </w:p>
        </w:tc>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Green none · Amber any open past its date · Red any recordable incident</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 recordable incidents this period. All corrective actions closed within their dates.</w:t>
            </w:r>
          </w:p>
        </w:tc>
      </w:tr>
      <w:tr>
        <w:trPr>
          <w:cantSplit/>
        </w:trPr>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Quality</w:t>
            </w:r>
          </w:p>
        </w:tc>
        <w:tc>
          <w:tcPr>
            <w:tcW w:type="dxa" w:w="874"/>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Amber</w:t>
            </w:r>
          </w:p>
        </w:tc>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Non-conformances open at the end of the period</w:t>
            </w:r>
          </w:p>
        </w:tc>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Green none · Amber one to three · Red more than three</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Two are open on the level 3 slab surface finish, both with rectification proposals received and under review.</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3 · EXECUTIVE SUMMARY</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p>
      <w:pPr>
        <w:keepNext w:val="false"/>
        <w:spacing w:after="140" w:before="0" w:line="250"/>
        <w:jc w:val="left"/>
      </w:pPr>
      <w:r>
        <w:rPr>
          <w:rFonts w:ascii="Inter" w:cs="Inter" w:eastAsia="Inter" w:hAnsi="Inter"/>
          <w:b w:val="false"/>
          <w:bCs w:val="false"/>
          <w:i w:val="false"/>
          <w:iCs w:val="false"/>
          <w:caps w:val="false"/>
          <w:color w:val="1D3245"/>
          <w:sz w:val="19"/>
          <w:szCs w:val="19"/>
        </w:rPr>
        <w:t xml:space="preserve">The project is 58% complete by value at month 14 of 26 and remains inside the approved budget, with a forecast final cost of $57.42M against $58.6M approved. Cost, risk and safety are green. Schedule, change and quality are amber and the reasons for each are set out below.</w:t>
      </w:r>
    </w:p>
    <w:p>
      <w:pPr>
        <w:keepNext w:val="false"/>
        <w:spacing w:after="140" w:before="0" w:line="250"/>
        <w:jc w:val="left"/>
      </w:pPr>
      <w:r>
        <w:rPr>
          <w:rFonts w:ascii="Inter" w:cs="Inter" w:eastAsia="Inter" w:hAnsi="Inter"/>
          <w:b w:val="false"/>
          <w:bCs w:val="false"/>
          <w:i w:val="false"/>
          <w:iCs w:val="false"/>
          <w:caps w:val="false"/>
          <w:color w:val="1D3245"/>
          <w:sz w:val="19"/>
          <w:szCs w:val="19"/>
        </w:rPr>
        <w:t xml:space="preserve">The material development this period is the authority's decision on the switchgear relocation, which released the level 2 riser and let the electrical rough-in restart on the 18th. The consequence is that 12 of the 20 days of float on the commissioning sequence are now consumed: the substantial completion and occupancy dates both hold, with eight days left in hand. It also carries a $71,200 approved change order, already in the cost position.</w:t>
      </w:r>
    </w:p>
    <w:p>
      <w:pPr>
        <w:keepNext w:val="false"/>
        <w:spacing w:after="0" w:before="0" w:line="250"/>
        <w:jc w:val="left"/>
      </w:pPr>
      <w:r>
        <w:rPr>
          <w:rFonts w:ascii="Inter" w:cs="Inter" w:eastAsia="Inter" w:hAnsi="Inter"/>
          <w:b w:val="false"/>
          <w:bCs w:val="false"/>
          <w:i w:val="false"/>
          <w:iCs w:val="false"/>
          <w:caps w:val="false"/>
          <w:color w:val="1D3245"/>
          <w:sz w:val="19"/>
          <w:szCs w:val="19"/>
        </w:rPr>
        <w:t xml:space="preserve">Two decisions are requested this period, both set out in section 9: the second-cycle appropriation confirmation, which the funding office has to issue by the end of next month for the switchgear and medical gas packages to be committed on time, and the client's election on the nurse call upgrade, which has been instructed and is still unpriced.</w:t>
      </w:r>
    </w:p>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135"/>
        <w:gridCol w:w="2912"/>
        <w:gridCol w:w="1068"/>
        <w:gridCol w:w="3591"/>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4 · GOALS AND OBJECTIVES</w:t>
            </w:r>
          </w:p>
        </w:tc>
      </w:tr>
      <w:tr>
        <w:trPr>
          <w:cantSplit/>
          <w:tblHeader/>
        </w:trPr>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Objective</w:t>
            </w:r>
          </w:p>
        </w:tc>
        <w:tc>
          <w:tcPr>
            <w:tcW w:type="dxa" w:w="291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success is</w:t>
            </w:r>
          </w:p>
        </w:tc>
        <w:tc>
          <w:tcPr>
            <w:tcW w:type="dxa" w:w="106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Status</w:t>
            </w:r>
          </w:p>
        </w:tc>
        <w:tc>
          <w:tcPr>
            <w:tcW w:type="dxa" w:w="359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Position this period</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Occupancy by the contract date</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Certificate of occupancy issued in month 24 so the clinical fit-out contract can start.</w:t>
            </w:r>
          </w:p>
        </w:tc>
        <w:tc>
          <w:tcPr>
            <w:tcW w:type="dxa" w:w="1068"/>
            <w:tcBorders>
              <w:top w:val="single" w:color="E0E0E0" w:sz="4"/>
              <w:left w:val="single" w:color="E0E0E0" w:sz="4"/>
              <w:bottom w:val="single" w:color="E0E0E0" w:sz="4"/>
              <w:right w:val="single" w:color="E0E0E0" w:sz="4"/>
            </w:tcBorders>
            <w:shd w:fill="E8F5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On track</w:t>
            </w:r>
          </w:p>
        </w:tc>
        <w:tc>
          <w:tcPr>
            <w:tcW w:type="dxa" w:w="359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Twelve of the twenty days of commissioning float are consumed. The substantial completion and occupancy dates both hold.</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Delivery inside the approved budget</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Final cost at or below $58.6M including all changes and risk.</w:t>
            </w:r>
          </w:p>
        </w:tc>
        <w:tc>
          <w:tcPr>
            <w:tcW w:type="dxa" w:w="1068"/>
            <w:tcBorders>
              <w:top w:val="single" w:color="E0E0E0" w:sz="4"/>
              <w:left w:val="single" w:color="E0E0E0" w:sz="4"/>
              <w:bottom w:val="single" w:color="E0E0E0" w:sz="4"/>
              <w:right w:val="single" w:color="E0E0E0" w:sz="4"/>
            </w:tcBorders>
            <w:shd w:fill="E8F5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On track</w:t>
            </w:r>
          </w:p>
        </w:tc>
        <w:tc>
          <w:tcPr>
            <w:tcW w:type="dxa" w:w="359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 $57.42M, which is 2.0% under.</w:t>
            </w:r>
          </w:p>
        </w:tc>
      </w:tr>
      <w:tr>
        <w:trPr>
          <w:cantSplit/>
        </w:trPr>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No disruption to clinical operations</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 unplanned interruption to the emergency department or the main parking structure.</w:t>
            </w:r>
          </w:p>
        </w:tc>
        <w:tc>
          <w:tcPr>
            <w:tcW w:type="dxa" w:w="1068"/>
            <w:tcBorders>
              <w:top w:val="single" w:color="E0E0E0" w:sz="4"/>
              <w:left w:val="single" w:color="E0E0E0" w:sz="4"/>
              <w:bottom w:val="single" w:color="E0E0E0" w:sz="4"/>
              <w:right w:val="single" w:color="E0E0E0" w:sz="4"/>
            </w:tcBorders>
            <w:shd w:fill="E8F5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On track</w:t>
            </w:r>
          </w:p>
        </w:tc>
        <w:tc>
          <w:tcPr>
            <w:tcW w:type="dxa" w:w="359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Fourteen of sixteen planned shutdowns delivered inside their windows. The two that moved were rescheduled with six weeks' notice.</w:t>
            </w:r>
          </w:p>
        </w:tc>
      </w:tr>
      <w:tr>
        <w:trPr>
          <w:cantSplit/>
        </w:trPr>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 facility the operator can run from day one</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Operations and maintenance set, training and as-builts handed over with the works.</w:t>
            </w:r>
          </w:p>
        </w:tc>
        <w:tc>
          <w:tcPr>
            <w:tcW w:type="dxa" w:w="1068"/>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At risk</w:t>
            </w:r>
          </w:p>
        </w:tc>
        <w:tc>
          <w:tcPr>
            <w:tcW w:type="dxa" w:w="359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Commissioning agent has not yet been appointed by the Authority. Required by the end of month 18 - see section 9.</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85"/>
        <w:gridCol w:w="9221"/>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5 · PROGRESS THIS PERIOD</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Level 3 slab poured and stripped. Two non-conformances raised on surface finish, both with rectification proposals received.</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2</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Electrical rough-in restarted on the 18th following the switchgear relocation decision, and is now complete to level 2.</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3</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Curtain wall units for the east elevation delivered and stored on site, with title transferred and insurance certificates on file.</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4</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Medical gas rough-in commenced at level 1, three days ahead of the schedule.</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5</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Shutdown 9 of 16 completed inside its window, with the emergency department entrance unaffected.</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85"/>
        <w:gridCol w:w="9221"/>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STARTS OR CONTINUES NEXT PERIOD</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Level 4 formwork and pour, subject to the level 3 non-conformances being closed.</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2</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East elevation curtain wall installation, six weeks.</w:t>
            </w:r>
          </w:p>
        </w:tc>
      </w:tr>
      <w:tr>
        <w:trPr>
          <w:cantSplit/>
        </w:trPr>
        <w:tc>
          <w:tcPr>
            <w:tcW w:type="dxa" w:w="48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3</w:t>
            </w:r>
          </w:p>
        </w:tc>
        <w:tc>
          <w:tcPr>
            <w:tcW w:type="dxa" w:w="92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Mechanical plant delivery to the level 5 plant room, requiring shutdown 10.</w:t>
            </w:r>
          </w:p>
        </w:tc>
      </w:tr>
      <w:tr>
        <w:trPr>
          <w:cantSplit/>
        </w:trPr>
        <w:tc>
          <w:tcPr>
            <w:tcW w:type="dxa" w:w="48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4</w:t>
            </w:r>
          </w:p>
        </w:tc>
        <w:tc>
          <w:tcPr>
            <w:tcW w:type="dxa" w:w="92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Early release of the switchgear and medical gas trade packages, subject to the appropriation confirmation in section 9.</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882"/>
        <w:gridCol w:w="1359"/>
        <w:gridCol w:w="1650"/>
        <w:gridCol w:w="1262"/>
        <w:gridCol w:w="1553"/>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6 · SCHEDULE AND MILESTONES</w:t>
            </w:r>
          </w:p>
        </w:tc>
      </w:tr>
      <w:tr>
        <w:trPr>
          <w:cantSplit/>
          <w:tblHeader/>
        </w:trPr>
        <w:tc>
          <w:tcPr>
            <w:tcW w:type="dxa" w:w="38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Milestone</w:t>
            </w:r>
          </w:p>
        </w:tc>
        <w:tc>
          <w:tcPr>
            <w:tcW w:type="dxa" w:w="13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Baseline</w:t>
            </w:r>
          </w:p>
        </w:tc>
        <w:tc>
          <w:tcPr>
            <w:tcW w:type="dxa" w:w="165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Forecast or actual</w:t>
            </w:r>
          </w:p>
        </w:tc>
        <w:tc>
          <w:tcPr>
            <w:tcW w:type="dxa" w:w="126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Basis</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7"/>
                <w:szCs w:val="17"/>
              </w:rPr>
              <w:t xml:space="preserve">Variance (days)</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Notice to proceed</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End month 12</w:t>
            </w:r>
          </w:p>
        </w:tc>
        <w:tc>
          <w:tcPr>
            <w:tcW w:type="dxa" w:w="165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End month 12</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Actual</w:t>
            </w:r>
          </w:p>
        </w:tc>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0</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Structure complete to level 4</w:t>
            </w:r>
          </w:p>
        </w:tc>
        <w:tc>
          <w:tcPr>
            <w:tcW w:type="dxa" w:w="13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16</w:t>
            </w:r>
          </w:p>
        </w:tc>
        <w:tc>
          <w:tcPr>
            <w:tcW w:type="dxa" w:w="165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16</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0</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Building watertight</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19</w:t>
            </w:r>
          </w:p>
        </w:tc>
        <w:tc>
          <w:tcPr>
            <w:tcW w:type="dxa" w:w="165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19</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0</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Mechanical and electrical rough-in complete</w:t>
            </w:r>
          </w:p>
        </w:tc>
        <w:tc>
          <w:tcPr>
            <w:tcW w:type="dxa" w:w="13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20</w:t>
            </w:r>
          </w:p>
        </w:tc>
        <w:tc>
          <w:tcPr>
            <w:tcW w:type="dxa" w:w="165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21</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+12</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Commissioning start</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23</w:t>
            </w:r>
          </w:p>
        </w:tc>
        <w:tc>
          <w:tcPr>
            <w:tcW w:type="dxa" w:w="165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23</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+12</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Substantial completion</w:t>
            </w:r>
          </w:p>
        </w:tc>
        <w:tc>
          <w:tcPr>
            <w:tcW w:type="dxa" w:w="13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24</w:t>
            </w:r>
          </w:p>
        </w:tc>
        <w:tc>
          <w:tcPr>
            <w:tcW w:type="dxa" w:w="165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24</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0</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Certificate of occupancy</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24</w:t>
            </w:r>
          </w:p>
        </w:tc>
        <w:tc>
          <w:tcPr>
            <w:tcW w:type="dxa" w:w="165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24</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0</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Handover and O&amp;M set delivered</w:t>
            </w:r>
          </w:p>
        </w:tc>
        <w:tc>
          <w:tcPr>
            <w:tcW w:type="dxa" w:w="13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26</w:t>
            </w:r>
          </w:p>
        </w:tc>
        <w:tc>
          <w:tcPr>
            <w:tcW w:type="dxa" w:w="165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Month 26</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w:t>
            </w:r>
          </w:p>
        </w:tc>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0</w:t>
            </w:r>
          </w:p>
        </w:tc>
      </w:tr>
      <w:tr>
        <w:trPr>
          <w:cantSplit/>
        </w:trPr>
        <w:tc>
          <w:tcPr>
            <w:tcW w:type="dxa" w:w="9706"/>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Float on the critical path to substantial completion: 20 days at the start of the period, 12 consumed, 8 remaining. A variance inside the float does not move substantial completion; it spends the protection.</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882"/>
        <w:gridCol w:w="1747"/>
        <w:gridCol w:w="4077"/>
      </w:tblGrid>
      <w:tr>
        <w:trPr>
          <w:cantSplit/>
          <w:tblHeader/>
        </w:trPr>
        <w:tc>
          <w:tcPr>
            <w:tcW w:type="dxa" w:w="9706"/>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7 · COST, CONTINGENCY AND CHANGE</w:t>
            </w:r>
          </w:p>
        </w:tc>
      </w:tr>
      <w:tr>
        <w:trPr>
          <w:cantSplit/>
          <w:tblHeader/>
        </w:trPr>
        <w:tc>
          <w:tcPr>
            <w:tcW w:type="dxa" w:w="38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Cost position</w:t>
            </w:r>
          </w:p>
        </w:tc>
        <w:tc>
          <w:tcPr>
            <w:tcW w:type="dxa" w:w="17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7"/>
                <w:szCs w:val="17"/>
              </w:rPr>
              <w:t xml:space="preserve">Amount</w:t>
            </w:r>
          </w:p>
        </w:tc>
        <w:tc>
          <w:tcPr>
            <w:tcW w:type="dxa" w:w="407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Basis</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Approved budget</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$58,600,000</w:t>
            </w:r>
          </w:p>
        </w:tc>
        <w:tc>
          <w:tcPr>
            <w:tcW w:type="dxa" w:w="40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As approved by the committee, including contingency</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Original contract sum</w:t>
            </w:r>
          </w:p>
        </w:tc>
        <w:tc>
          <w:tcPr>
            <w:tcW w:type="dxa" w:w="17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$52,400,000</w:t>
            </w:r>
          </w:p>
        </w:tc>
        <w:tc>
          <w:tcPr>
            <w:tcW w:type="dxa" w:w="40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Halbrook Construction, as awarded</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Approved change orders to date</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$1,284,000</w:t>
            </w:r>
          </w:p>
        </w:tc>
        <w:tc>
          <w:tcPr>
            <w:tcW w:type="dxa" w:w="40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Executed change orders only</w:t>
            </w:r>
          </w:p>
        </w:tc>
      </w:tr>
      <w:tr>
        <w:trPr>
          <w:cantSplit/>
        </w:trPr>
        <w:tc>
          <w:tcPr>
            <w:tcW w:type="dxa" w:w="38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CURRENT CONTRACT SUM</w:t>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$53,684,000</w:t>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Original plus approved changes</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Committed</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$49,180,000</w:t>
            </w:r>
          </w:p>
        </w:tc>
        <w:tc>
          <w:tcPr>
            <w:tcW w:type="dxa" w:w="40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Contracts and purchase orders placed</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Expenditure to date</w:t>
            </w:r>
          </w:p>
        </w:tc>
        <w:tc>
          <w:tcPr>
            <w:tcW w:type="dxa" w:w="17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$34,910,000</w:t>
            </w:r>
          </w:p>
        </w:tc>
        <w:tc>
          <w:tcPr>
            <w:tcW w:type="dxa" w:w="40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Certified and paid</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Uncommitted balance</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$8,240,000</w:t>
            </w:r>
          </w:p>
        </w:tc>
        <w:tc>
          <w:tcPr>
            <w:tcW w:type="dxa" w:w="40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Forecast final cost less committed</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Risk allowance carried</w:t>
            </w:r>
          </w:p>
        </w:tc>
        <w:tc>
          <w:tcPr>
            <w:tcW w:type="dxa" w:w="17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$640,000</w:t>
            </w:r>
          </w:p>
        </w:tc>
        <w:tc>
          <w:tcPr>
            <w:tcW w:type="dxa" w:w="40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Quantified, in the forecast</w:t>
            </w:r>
          </w:p>
        </w:tc>
      </w:tr>
      <w:tr>
        <w:trPr>
          <w:cantSplit/>
        </w:trPr>
        <w:tc>
          <w:tcPr>
            <w:tcW w:type="dxa" w:w="38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FORECAST FINAL COST</w:t>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$57,420,000</w:t>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Including changes, risk and remaining works</w:t>
            </w:r>
          </w:p>
        </w:tc>
      </w:tr>
      <w:tr>
        <w:trPr>
          <w:cantSplit/>
        </w:trPr>
        <w:tc>
          <w:tcPr>
            <w:tcW w:type="dxa" w:w="388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VARIANCE TO APPROVED BUDGET</w:t>
            </w:r>
          </w:p>
        </w:tc>
        <w:tc>
          <w:tcPr>
            <w:tcW w:type="dxa" w:w="174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($1,180,000)</w:t>
            </w:r>
          </w:p>
        </w:tc>
        <w:tc>
          <w:tcPr>
            <w:tcW w:type="dxa" w:w="407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Negative is under budget</w:t>
            </w:r>
          </w:p>
        </w:tc>
      </w:tr>
      <w:tr>
        <w:trPr>
          <w:cantSplit/>
        </w:trPr>
        <w:tc>
          <w:tcPr>
            <w:tcW w:type="dxa" w:w="9706"/>
            <w:gridSpan w:val="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Forecast final cost is 2.0% under the approved budget. Every figure here derives from one set of inputs.</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882"/>
        <w:gridCol w:w="1747"/>
        <w:gridCol w:w="4077"/>
      </w:tblGrid>
      <w:tr>
        <w:trPr>
          <w:cantSplit/>
          <w:tblHeader/>
        </w:trPr>
        <w:tc>
          <w:tcPr>
            <w:tcW w:type="dxa" w:w="38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Contingency</w:t>
            </w:r>
          </w:p>
        </w:tc>
        <w:tc>
          <w:tcPr>
            <w:tcW w:type="dxa" w:w="17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7"/>
                <w:szCs w:val="17"/>
              </w:rPr>
              <w:t xml:space="preserve">Amount</w:t>
            </w:r>
          </w:p>
        </w:tc>
        <w:tc>
          <w:tcPr>
            <w:tcW w:type="dxa" w:w="407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Basis</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Contingency at award</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$2,900,000</w:t>
            </w:r>
          </w:p>
        </w:tc>
        <w:tc>
          <w:tcPr>
            <w:tcW w:type="dxa" w:w="40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As approved</w:t>
            </w:r>
          </w:p>
        </w:tc>
      </w:tr>
      <w:tr>
        <w:trPr>
          <w:cantSplit/>
        </w:trPr>
        <w:tc>
          <w:tcPr>
            <w:tcW w:type="dxa" w:w="38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Drawn to date</w:t>
            </w:r>
          </w:p>
        </w:tc>
        <w:tc>
          <w:tcPr>
            <w:tcW w:type="dxa" w:w="17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$1,284,000</w:t>
            </w:r>
          </w:p>
        </w:tc>
        <w:tc>
          <w:tcPr>
            <w:tcW w:type="dxa" w:w="407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Equal to approved change orders</w:t>
            </w:r>
          </w:p>
        </w:tc>
      </w:tr>
      <w:tr>
        <w:trPr>
          <w:cantSplit/>
        </w:trPr>
        <w:tc>
          <w:tcPr>
            <w:tcW w:type="dxa" w:w="38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Remaining</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$1,616,000</w:t>
            </w:r>
          </w:p>
        </w:tc>
        <w:tc>
          <w:tcPr>
            <w:tcW w:type="dxa" w:w="407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Against 12 months of construction remaining</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874"/>
        <w:gridCol w:w="2524"/>
        <w:gridCol w:w="1553"/>
        <w:gridCol w:w="1359"/>
        <w:gridCol w:w="1844"/>
        <w:gridCol w:w="1552"/>
      </w:tblGrid>
      <w:tr>
        <w:trPr>
          <w:cantSplit/>
          <w:tblHeader/>
        </w:trPr>
        <w:tc>
          <w:tcPr>
            <w:tcW w:type="dxa" w:w="9706"/>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CHANGE ORDERS RAISED THIS PERIOD</w:t>
            </w:r>
          </w:p>
        </w:tc>
      </w:tr>
      <w:tr>
        <w:trPr>
          <w:cantSplit/>
          <w:tblHeader/>
        </w:trPr>
        <w:tc>
          <w:tcPr>
            <w:tcW w:type="dxa" w:w="87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Ref</w:t>
            </w:r>
          </w:p>
        </w:tc>
        <w:tc>
          <w:tcPr>
            <w:tcW w:type="dxa" w:w="252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Change</w:t>
            </w:r>
          </w:p>
        </w:tc>
        <w:tc>
          <w:tcPr>
            <w:tcW w:type="dxa" w:w="155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Cause</w:t>
            </w:r>
          </w:p>
        </w:tc>
        <w:tc>
          <w:tcPr>
            <w:tcW w:type="dxa" w:w="135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7"/>
                <w:szCs w:val="17"/>
              </w:rPr>
              <w:t xml:space="preserve">Amount</w:t>
            </w:r>
          </w:p>
        </w:tc>
        <w:tc>
          <w:tcPr>
            <w:tcW w:type="dxa" w:w="184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Status</w:t>
            </w:r>
          </w:p>
        </w:tc>
        <w:tc>
          <w:tcPr>
            <w:tcW w:type="dxa" w:w="155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Time effect</w:t>
            </w:r>
          </w:p>
        </w:tc>
      </w:tr>
      <w:tr>
        <w:trPr>
          <w:cantSplit/>
        </w:trPr>
        <w:tc>
          <w:tcPr>
            <w:tcW w:type="dxa" w:w="9706"/>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This register is THIS PERIOD only; the cost table's change figures are cumulative.</w:t>
            </w:r>
          </w:p>
        </w:tc>
      </w:tr>
      <w:tr>
        <w:trPr>
          <w:cantSplit/>
        </w:trPr>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CO-001</w:t>
            </w:r>
          </w:p>
        </w:tc>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Switchgear relocation to level 2 riser</w:t>
            </w:r>
          </w:p>
        </w:tc>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Authority requirement</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$71,200</w:t>
            </w:r>
          </w:p>
        </w:tc>
        <w:tc>
          <w:tcPr>
            <w:tcW w:type="dxa" w:w="184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Approved</w:t>
            </w:r>
          </w:p>
        </w:tc>
        <w:tc>
          <w:tcPr>
            <w:tcW w:type="dxa" w:w="155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8 days</w:t>
            </w:r>
          </w:p>
        </w:tc>
      </w:tr>
      <w:tr>
        <w:trPr>
          <w:cantSplit/>
        </w:trPr>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CO-002</w:t>
            </w:r>
          </w:p>
        </w:tc>
        <w:tc>
          <w:tcPr>
            <w:tcW w:type="dxa" w:w="252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Rock in the south lift pit excavation</w:t>
            </w:r>
          </w:p>
        </w:tc>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Existing conditions</w:t>
            </w:r>
          </w:p>
        </w:tc>
        <w:tc>
          <w:tcPr>
            <w:tcW w:type="dxa" w:w="13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$41,600</w:t>
            </w:r>
          </w:p>
        </w:tc>
        <w:tc>
          <w:tcPr>
            <w:tcW w:type="dxa" w:w="184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Approved</w:t>
            </w:r>
          </w:p>
        </w:tc>
        <w:tc>
          <w:tcPr>
            <w:tcW w:type="dxa" w:w="155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6 days</w:t>
            </w:r>
          </w:p>
        </w:tc>
      </w:tr>
      <w:tr>
        <w:trPr>
          <w:cantSplit/>
        </w:trPr>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CO-003</w:t>
            </w:r>
          </w:p>
        </w:tc>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Nurse call system upgrade</w:t>
            </w:r>
          </w:p>
        </w:tc>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Owner request</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Not yet priced</w:t>
            </w:r>
          </w:p>
        </w:tc>
        <w:tc>
          <w:tcPr>
            <w:tcW w:type="dxa" w:w="184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Instructed, price to follow</w:t>
            </w:r>
          </w:p>
        </w:tc>
        <w:tc>
          <w:tcPr>
            <w:tcW w:type="dxa" w:w="155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Not yet assessed</w:t>
            </w:r>
          </w:p>
        </w:tc>
      </w:tr>
      <w:tr>
        <w:trPr>
          <w:cantSplit/>
        </w:trPr>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CO-004</w:t>
            </w:r>
          </w:p>
        </w:tc>
        <w:tc>
          <w:tcPr>
            <w:tcW w:type="dxa" w:w="252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Acceleration to recover the shutdown window</w:t>
            </w:r>
          </w:p>
        </w:tc>
        <w:tc>
          <w:tcPr>
            <w:tcW w:type="dxa" w:w="155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Contractor proposal</w:t>
            </w:r>
          </w:p>
        </w:tc>
        <w:tc>
          <w:tcPr>
            <w:tcW w:type="dxa" w:w="135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$96,400</w:t>
            </w:r>
          </w:p>
        </w:tc>
        <w:tc>
          <w:tcPr>
            <w:tcW w:type="dxa" w:w="184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Priced, awaiting decision</w:t>
            </w:r>
          </w:p>
        </w:tc>
        <w:tc>
          <w:tcPr>
            <w:tcW w:type="dxa" w:w="155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Recovers 14 days</w:t>
            </w:r>
          </w:p>
        </w:tc>
      </w:tr>
      <w:tr>
        <w:trPr>
          <w:cantSplit/>
        </w:trPr>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CO-005</w:t>
            </w:r>
          </w:p>
        </w:tc>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Delete the external canopy glazing</w:t>
            </w:r>
          </w:p>
        </w:tc>
        <w:tc>
          <w:tcPr>
            <w:tcW w:type="dxa" w:w="155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Owner request</w:t>
            </w:r>
          </w:p>
        </w:tc>
        <w:tc>
          <w:tcPr>
            <w:tcW w:type="dxa" w:w="135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7"/>
                <w:szCs w:val="17"/>
              </w:rPr>
              <w:t xml:space="preserve">($37,500)</w:t>
            </w:r>
          </w:p>
        </w:tc>
        <w:tc>
          <w:tcPr>
            <w:tcW w:type="dxa" w:w="184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Approved</w:t>
            </w:r>
          </w:p>
        </w:tc>
        <w:tc>
          <w:tcPr>
            <w:tcW w:type="dxa" w:w="155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0 days</w:t>
            </w:r>
          </w:p>
        </w:tc>
      </w:tr>
      <w:tr>
        <w:trPr>
          <w:cantSplit/>
        </w:trPr>
        <w:tc>
          <w:tcPr>
            <w:tcW w:type="dxa" w:w="9706"/>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Approved this period $75,300. Approved to date $1,284,000, 2.5% of the original contract sum. Claimed and undecided $496,000, a further 0.9%, carried as exposure: an instruction with no agreed price does not move the contract sum.</w:t>
            </w:r>
          </w:p>
        </w:tc>
      </w:tr>
    </w:tbl>
    <w:p>
      <w:pPr>
        <w:keepNext w:val="false"/>
        <w:pageBreakBefore/>
        <w:spacing w:after="0" w:before="0" w:line="250"/>
        <w:jc w:val="left"/>
      </w:pPr>
      <w:r>
        <w:rPr>
          <w:rFonts w:ascii="Inter" w:cs="Inter" w:eastAsia="Inter" w:hAnsi="Inter"/>
          <w:b w:val="false"/>
          <w:bCs w:val="false"/>
          <w:i w:val="false"/>
          <w:iCs w:val="false"/>
          <w:caps w:val="false"/>
          <w:color w:val="1D3245"/>
          <w:sz w:val="2"/>
          <w:szCs w:val="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582"/>
        <w:gridCol w:w="2912"/>
        <w:gridCol w:w="971"/>
        <w:gridCol w:w="1165"/>
        <w:gridCol w:w="2718"/>
        <w:gridCol w:w="1358"/>
      </w:tblGrid>
      <w:tr>
        <w:trPr>
          <w:cantSplit/>
          <w:tblHeader/>
        </w:trPr>
        <w:tc>
          <w:tcPr>
            <w:tcW w:type="dxa" w:w="9706"/>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8 · RISK, SAFETY AND QUALITY</w:t>
            </w:r>
          </w:p>
        </w:tc>
      </w:tr>
      <w:tr>
        <w:trPr>
          <w:cantSplit/>
          <w:tblHeader/>
        </w:trPr>
        <w:tc>
          <w:tcPr>
            <w:tcW w:type="dxa" w:w="58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Ref</w:t>
            </w:r>
          </w:p>
        </w:tc>
        <w:tc>
          <w:tcPr>
            <w:tcW w:type="dxa" w:w="291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Risk or issue</w:t>
            </w:r>
          </w:p>
        </w:tc>
        <w:tc>
          <w:tcPr>
            <w:tcW w:type="dxa" w:w="9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Rating</w:t>
            </w:r>
          </w:p>
        </w:tc>
        <w:tc>
          <w:tcPr>
            <w:tcW w:type="dxa" w:w="116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Owner</w:t>
            </w:r>
          </w:p>
        </w:tc>
        <w:tc>
          <w:tcPr>
            <w:tcW w:type="dxa" w:w="271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Mitigation and where it stands</w:t>
            </w:r>
          </w:p>
        </w:tc>
        <w:tc>
          <w:tcPr>
            <w:tcW w:type="dxa" w:w="135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6"/>
                <w:szCs w:val="16"/>
              </w:rPr>
              <w:t xml:space="preserve">Status</w:t>
            </w:r>
          </w:p>
        </w:tc>
      </w:tr>
      <w:tr>
        <w:trPr>
          <w:cantSplit/>
        </w:trPr>
        <w:tc>
          <w:tcPr>
            <w:tcW w:type="dxa" w:w="9706"/>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 risk with no owner is not being managed, whatever its rating says.</w:t>
            </w:r>
          </w:p>
        </w:tc>
      </w:tr>
      <w:tr>
        <w:trPr>
          <w:cantSplit/>
        </w:trPr>
        <w:tc>
          <w:tcPr>
            <w:tcW w:type="dxa" w:w="5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R-04</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Second-cycle appropriation not confirmed before the switchgear and medical gas packages must be committed</w:t>
            </w:r>
          </w:p>
        </w:tc>
        <w:tc>
          <w:tcPr>
            <w:tcW w:type="dxa" w:w="971"/>
            <w:tcBorders>
              <w:top w:val="single" w:color="E0E0E0" w:sz="4"/>
              <w:left w:val="single" w:color="E0E0E0" w:sz="4"/>
              <w:bottom w:val="single" w:color="E0E0E0" w:sz="4"/>
              <w:right w:val="single" w:color="E0E0E0" w:sz="4"/>
            </w:tcBorders>
            <w:shd w:fill="FDEBE9"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Critical</w:t>
            </w:r>
          </w:p>
        </w:tc>
        <w:tc>
          <w:tcPr>
            <w:tcW w:type="dxa" w:w="11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M. Okafor</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Funding office briefed in month 13. Written confirmation requested by the end of month 15.</w:t>
            </w:r>
          </w:p>
        </w:tc>
        <w:tc>
          <w:tcPr>
            <w:tcW w:type="dxa" w:w="135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Decision requested - section 9</w:t>
            </w:r>
          </w:p>
        </w:tc>
      </w:tr>
      <w:tr>
        <w:trPr>
          <w:cantSplit/>
        </w:trPr>
        <w:tc>
          <w:tcPr>
            <w:tcW w:type="dxa" w:w="5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R-07</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Long-lead switchgear delivery slips beyond the level 5 plant room date</w:t>
            </w:r>
          </w:p>
        </w:tc>
        <w:tc>
          <w:tcPr>
            <w:tcW w:type="dxa" w:w="971"/>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High</w:t>
            </w:r>
          </w:p>
        </w:tc>
        <w:tc>
          <w:tcPr>
            <w:tcW w:type="dxa" w:w="11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T. Nakamura</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Early release recommended and priced. Order to be placed within 10 days of appropriation.</w:t>
            </w:r>
          </w:p>
        </w:tc>
        <w:tc>
          <w:tcPr>
            <w:tcW w:type="dxa" w:w="135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Mitigation in progress</w:t>
            </w:r>
          </w:p>
        </w:tc>
      </w:tr>
      <w:tr>
        <w:trPr>
          <w:cantSplit/>
        </w:trPr>
        <w:tc>
          <w:tcPr>
            <w:tcW w:type="dxa" w:w="5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R-11</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Commissioning agent not appointed in time to plan the commissioning sequence</w:t>
            </w:r>
          </w:p>
        </w:tc>
        <w:tc>
          <w:tcPr>
            <w:tcW w:type="dxa" w:w="971"/>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High</w:t>
            </w:r>
          </w:p>
        </w:tc>
        <w:tc>
          <w:tcPr>
            <w:tcW w:type="dxa" w:w="11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A. Whitfield</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Scope and fee proposal issued to the Authority in month 13.</w:t>
            </w:r>
          </w:p>
        </w:tc>
        <w:tc>
          <w:tcPr>
            <w:tcW w:type="dxa" w:w="135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Decision requested - section 9</w:t>
            </w:r>
          </w:p>
        </w:tc>
      </w:tr>
      <w:tr>
        <w:trPr>
          <w:cantSplit/>
        </w:trPr>
        <w:tc>
          <w:tcPr>
            <w:tcW w:type="dxa" w:w="5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I-02</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Two non-conformances open on the level 3 slab surface finish</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Medium</w:t>
            </w:r>
          </w:p>
        </w:tc>
        <w:tc>
          <w:tcPr>
            <w:tcW w:type="dxa" w:w="116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R. Delacroix</w:t>
            </w:r>
          </w:p>
        </w:tc>
        <w:tc>
          <w:tcPr>
            <w:tcW w:type="dxa" w:w="271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Rectification proposals received from the contractor and under review with the engineer.</w:t>
            </w:r>
          </w:p>
        </w:tc>
        <w:tc>
          <w:tcPr>
            <w:tcW w:type="dxa" w:w="135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Under review</w:t>
            </w:r>
          </w:p>
        </w:tc>
      </w:tr>
      <w:tr>
        <w:trPr>
          <w:cantSplit/>
        </w:trPr>
        <w:tc>
          <w:tcPr>
            <w:tcW w:type="dxa" w:w="5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6"/>
                <w:szCs w:val="16"/>
              </w:rPr>
              <w:t xml:space="preserve">I-05</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Nurse call upgrade instructed and unpriced</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Medium</w:t>
            </w:r>
          </w:p>
        </w:tc>
        <w:tc>
          <w:tcPr>
            <w:tcW w:type="dxa" w:w="116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R. Delacroix</w:t>
            </w:r>
          </w:p>
        </w:tc>
        <w:tc>
          <w:tcPr>
            <w:tcW w:type="dxa" w:w="271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Contractor asked for a price within 10 days. Carried as exposure until agreed.</w:t>
            </w:r>
          </w:p>
        </w:tc>
        <w:tc>
          <w:tcPr>
            <w:tcW w:type="dxa" w:w="135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6"/>
                <w:szCs w:val="16"/>
              </w:rPr>
              <w:t xml:space="preserve">Open</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271"/>
        <w:gridCol w:w="5435"/>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SAFETY THIS PERIOD</w:t>
            </w:r>
          </w:p>
        </w:tc>
      </w:tr>
      <w:tr>
        <w:trPr>
          <w:cantSplit/>
        </w:trPr>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Recordable incidents this period</w:t>
            </w:r>
          </w:p>
        </w:tc>
        <w:tc>
          <w:tcPr>
            <w:tcW w:type="dxa" w:w="54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None</w:t>
            </w:r>
          </w:p>
        </w:tc>
      </w:tr>
      <w:tr>
        <w:trPr>
          <w:cantSplit/>
        </w:trPr>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Recordable incidents to date</w:t>
            </w:r>
          </w:p>
        </w:tc>
        <w:tc>
          <w:tcPr>
            <w:tcW w:type="dxa" w:w="54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One, in month 6, closed</w:t>
            </w:r>
          </w:p>
        </w:tc>
      </w:tr>
      <w:tr>
        <w:trPr>
          <w:cantSplit/>
        </w:trPr>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Lost time injuries</w:t>
            </w:r>
          </w:p>
        </w:tc>
        <w:tc>
          <w:tcPr>
            <w:tcW w:type="dxa" w:w="54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None</w:t>
            </w:r>
          </w:p>
        </w:tc>
      </w:tr>
      <w:tr>
        <w:trPr>
          <w:cantSplit/>
        </w:trPr>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Near misses reported this period</w:t>
            </w:r>
          </w:p>
        </w:tc>
        <w:tc>
          <w:tcPr>
            <w:tcW w:type="dxa" w:w="54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Four, all closed</w:t>
            </w:r>
          </w:p>
        </w:tc>
      </w:tr>
      <w:tr>
        <w:trPr>
          <w:cantSplit/>
        </w:trPr>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Corrective actions open past their date</w:t>
            </w:r>
          </w:p>
        </w:tc>
        <w:tc>
          <w:tcPr>
            <w:tcW w:type="dxa" w:w="54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None</w:t>
            </w:r>
          </w:p>
        </w:tc>
      </w:tr>
      <w:tr>
        <w:trPr>
          <w:cantSplit/>
        </w:trPr>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Site inspections completed this period</w:t>
            </w:r>
          </w:p>
        </w:tc>
        <w:tc>
          <w:tcPr>
            <w:tcW w:type="dxa" w:w="54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Four of four</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4271"/>
        <w:gridCol w:w="5435"/>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QUALITY THIS PERIOD</w:t>
            </w:r>
          </w:p>
        </w:tc>
      </w:tr>
      <w:tr>
        <w:trPr>
          <w:cantSplit/>
        </w:trPr>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Inspections and tests completed this period</w:t>
            </w:r>
          </w:p>
        </w:tc>
        <w:tc>
          <w:tcPr>
            <w:tcW w:type="dxa" w:w="54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Nineteen of nineteen, all passed</w:t>
            </w:r>
          </w:p>
        </w:tc>
      </w:tr>
      <w:tr>
        <w:trPr>
          <w:cantSplit/>
        </w:trPr>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Non-conformances raised this period</w:t>
            </w:r>
          </w:p>
        </w:tc>
        <w:tc>
          <w:tcPr>
            <w:tcW w:type="dxa" w:w="54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Two, on the level 3 slab surface finish</w:t>
            </w:r>
          </w:p>
        </w:tc>
      </w:tr>
      <w:tr>
        <w:trPr>
          <w:cantSplit/>
        </w:trPr>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Non-conformances open</w:t>
            </w:r>
          </w:p>
        </w:tc>
        <w:tc>
          <w:tcPr>
            <w:tcW w:type="dxa" w:w="54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Two, rectification proposals under review</w:t>
            </w:r>
          </w:p>
        </w:tc>
      </w:tr>
      <w:tr>
        <w:trPr>
          <w:cantSplit/>
        </w:trPr>
        <w:tc>
          <w:tcPr>
            <w:tcW w:type="dxa" w:w="42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Non-conformances closed this period</w:t>
            </w:r>
          </w:p>
        </w:tc>
        <w:tc>
          <w:tcPr>
            <w:tcW w:type="dxa" w:w="54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One, from month 13</w:t>
            </w:r>
          </w:p>
        </w:tc>
      </w:tr>
      <w:tr>
        <w:trPr>
          <w:cantSplit/>
        </w:trPr>
        <w:tc>
          <w:tcPr>
            <w:tcW w:type="dxa" w:w="42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Work claimed with an open non-conformance against it</w:t>
            </w:r>
          </w:p>
        </w:tc>
        <w:tc>
          <w:tcPr>
            <w:tcW w:type="dxa" w:w="54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None certified</w:t>
            </w:r>
          </w:p>
        </w:tc>
      </w:tr>
    </w:tbl>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679"/>
        <w:gridCol w:w="2621"/>
        <w:gridCol w:w="1747"/>
        <w:gridCol w:w="1262"/>
        <w:gridCol w:w="3397"/>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9 · DECISIONS REQUIRED</w:t>
            </w:r>
          </w:p>
        </w:tc>
      </w:tr>
      <w:tr>
        <w:trPr>
          <w:cantSplit/>
          <w:tblHeader/>
        </w:trPr>
        <w:tc>
          <w:tcPr>
            <w:tcW w:type="dxa" w:w="67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Ref</w:t>
            </w:r>
          </w:p>
        </w:tc>
        <w:tc>
          <w:tcPr>
            <w:tcW w:type="dxa" w:w="262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Decision required</w:t>
            </w:r>
          </w:p>
        </w:tc>
        <w:tc>
          <w:tcPr>
            <w:tcW w:type="dxa" w:w="174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Who decides</w:t>
            </w:r>
          </w:p>
        </w:tc>
        <w:tc>
          <w:tcPr>
            <w:tcW w:type="dxa" w:w="126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Needed by</w:t>
            </w:r>
          </w:p>
        </w:tc>
        <w:tc>
          <w:tcPr>
            <w:tcW w:type="dxa" w:w="339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If the date passes</w:t>
            </w:r>
          </w:p>
        </w:tc>
      </w:tr>
      <w:tr>
        <w:trPr>
          <w:cantSplit/>
        </w:trPr>
        <w:tc>
          <w:tcPr>
            <w:tcW w:type="dxa" w:w="9706"/>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 next step with no name and no date against it belongs to nobody, and nothing in the last column happens by itself.</w:t>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D-01</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Confirm the second-cycle appropriation in writing</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State Health Funding Office, via M. Okafor</w:t>
            </w:r>
          </w:p>
        </w:tc>
        <w:tc>
          <w:tcPr>
            <w:tcW w:type="dxa" w:w="126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End of month 15</w:t>
            </w:r>
          </w:p>
        </w:tc>
        <w:tc>
          <w:tcPr>
            <w:tcW w:type="dxa" w:w="339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switchgear and medical gas packages cannot be committed. Each week of delay past the date moves the level 5 plant room date by a week.</w:t>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D-02</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Appoint the commissioning agent</w:t>
            </w:r>
          </w:p>
        </w:tc>
        <w:tc>
          <w:tcPr>
            <w:tcW w:type="dxa" w:w="17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Northbank Health Authority</w:t>
            </w:r>
          </w:p>
        </w:tc>
        <w:tc>
          <w:tcPr>
            <w:tcW w:type="dxa" w:w="126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End of month 18</w:t>
            </w:r>
          </w:p>
        </w:tc>
        <w:tc>
          <w:tcPr>
            <w:tcW w:type="dxa" w:w="339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commissioning sequence cannot be planned against the shutdown calendar, and the commissioning start in month 23 becomes at risk.</w:t>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D-03</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Elect on the nurse call upgrade, or instruct it withdrawn</w:t>
            </w:r>
          </w:p>
        </w:tc>
        <w:tc>
          <w:tcPr>
            <w:tcW w:type="dxa" w:w="174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Northbank Health Authority</w:t>
            </w:r>
          </w:p>
        </w:tc>
        <w:tc>
          <w:tcPr>
            <w:tcW w:type="dxa" w:w="126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End of month 15</w:t>
            </w:r>
          </w:p>
        </w:tc>
        <w:tc>
          <w:tcPr>
            <w:tcW w:type="dxa" w:w="339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Work has been instructed and remains unpriced. The exposure stays open and the contractor's eventual price is harder to challenge the longer it runs.</w:t>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D-04</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Accept or decline the acceleration proposal, CO-004, at $96,400</w:t>
            </w:r>
          </w:p>
        </w:tc>
        <w:tc>
          <w:tcPr>
            <w:tcW w:type="dxa" w:w="174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Capital Projects Committee</w:t>
            </w:r>
          </w:p>
        </w:tc>
        <w:tc>
          <w:tcPr>
            <w:tcW w:type="dxa" w:w="126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End of month 15</w:t>
            </w:r>
          </w:p>
        </w:tc>
        <w:tc>
          <w:tcPr>
            <w:tcW w:type="dxa" w:w="339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The 14 days it recovers are lost. Float on the commissioning sequence stays at eight days, and any further slip on the level 4 pour puts the substantial completion date at risk.</w:t>
            </w:r>
          </w:p>
        </w:tc>
      </w:tr>
    </w:tbl>
    <w:p>
      <w:pPr>
        <w:keepNext w:val="false"/>
        <w:spacing w:after="0" w:before="0" w:line="250"/>
        <w:jc w:val="left"/>
      </w:pPr>
      <w:r>
        <w:rPr>
          <w:rFonts w:ascii="Inter" w:cs="Inter" w:eastAsia="Inter" w:hAnsi="Inter"/>
          <w:b w:val="false"/>
          <w:bCs w:val="false"/>
          <w:i w:val="false"/>
          <w:iCs w:val="false"/>
          <w:caps w:val="false"/>
          <w:color w:val="1D3245"/>
          <w:sz w:val="20"/>
          <w:szCs w:val="2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10 · LOOK AHEAD</w:t>
            </w:r>
          </w:p>
        </w:tc>
      </w:tr>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Next period</w:t>
            </w:r>
          </w:p>
        </w:tc>
        <w:tc>
          <w:tcPr>
            <w:tcW w:type="dxa" w:w="71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Level 4 pour, east elevation curtain wall, shutdown 10 for the mechanical plant delivery, and the two level 3 non-conformances closed.</w:t>
            </w:r>
          </w:p>
        </w:tc>
      </w:tr>
      <w:tr>
        <w:trPr>
          <w:cantSplit/>
        </w:trPr>
        <w:tc>
          <w:tcPr>
            <w:tcW w:type="dxa" w:w="252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Next three periods</w:t>
            </w:r>
          </w:p>
        </w:tc>
        <w:tc>
          <w:tcPr>
            <w:tcW w:type="dxa" w:w="718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Building watertight in month 19, mechanical and electrical rough-in complete in month 21, and the commissioning plan agreed with the operator.</w:t>
            </w:r>
          </w:p>
        </w:tc>
      </w:tr>
      <w:tr>
        <w:trPr>
          <w:cantSplit/>
        </w:trPr>
        <w:tc>
          <w:tcPr>
            <w:tcW w:type="dxa" w:w="252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What would change this report</w:t>
            </w:r>
          </w:p>
        </w:tc>
        <w:tc>
          <w:tcPr>
            <w:tcW w:type="dxa" w:w="718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Confirmation of the appropriation, a price on the nurse call upgrade, and the appointment of the commissioning agent. All three are in section 9.</w:t>
            </w:r>
          </w:p>
        </w:tc>
      </w:tr>
    </w:tbl>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REPORT SIGN-OFF</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p>
      <w:pPr>
        <w:keepNext w:val="false"/>
        <w:spacing w:after="0" w:before="0" w:line="248"/>
        <w:jc w:val="left"/>
      </w:pPr>
      <w:r>
        <w:rPr>
          <w:rFonts w:ascii="Inter" w:cs="Inter" w:eastAsia="Inter" w:hAnsi="Inter"/>
          <w:b w:val="false"/>
          <w:bCs w:val="false"/>
          <w:i w:val="false"/>
          <w:iCs w:val="false"/>
          <w:caps w:val="false"/>
          <w:color w:val="1D3245"/>
          <w:sz w:val="19"/>
          <w:szCs w:val="19"/>
        </w:rPr>
        <w:t xml:space="preserve">This report covers the period stated in section 1 and is issued to the distribution list in that section. The figures in it are current as at the last day of the period. A report does not approve a payment, grant an extension of time, accept work or vary the contract.</w:t>
      </w:r>
    </w:p>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443"/>
        <w:gridCol w:w="1694"/>
        <w:gridCol w:w="240"/>
        <w:gridCol w:w="1443"/>
        <w:gridCol w:w="1694"/>
        <w:gridCol w:w="240"/>
        <w:gridCol w:w="1358"/>
        <w:gridCol w:w="1594"/>
      </w:tblGrid>
      <w:tr>
        <w:trPr>
          <w:cantSplit/>
        </w:trPr>
        <w:tc>
          <w:tcPr>
            <w:tcW w:type="dxa" w:w="144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Prepared by</w:t>
            </w:r>
          </w:p>
        </w:tc>
        <w:tc>
          <w:tcPr>
            <w:tcW w:type="dxa" w:w="1694"/>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44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Approved by</w:t>
            </w:r>
          </w:p>
        </w:tc>
        <w:tc>
          <w:tcPr>
            <w:tcW w:type="dxa" w:w="1694"/>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358"/>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Date</w:t>
            </w:r>
          </w:p>
        </w:tc>
        <w:tc>
          <w:tcPr>
            <w:tcW w:type="dxa" w:w="1594"/>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106"/>
        <w:gridCol w:w="6600"/>
      </w:tblGrid>
      <w:tr>
        <w:trPr>
          <w:cantSplit/>
          <w:tblHeader/>
        </w:trPr>
        <w:tc>
          <w:tcPr>
            <w:tcW w:type="dxa" w:w="9706"/>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HOW TO USE THIS REPORT</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Replace the content, keep the structure</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Every number and every sentence in this report is invented. The structure is what transfers: identity, summary, derived status, progress, schedule, cost, change, risk, decisions.</w:t>
            </w:r>
          </w:p>
        </w:tc>
      </w:tr>
      <w:tr>
        <w:trPr>
          <w:cantSplit/>
        </w:trPr>
        <w:tc>
          <w:tcPr>
            <w:tcW w:type="dxa" w:w="31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Set your own thresholds before the first report</w:t>
            </w:r>
          </w:p>
        </w:tc>
        <w:tc>
          <w:tcPr>
            <w:tcW w:type="dxa" w:w="66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2 prints the test behind each rating. Agree those tests with whoever receives the report, once, and then the color is not a matter of opinion.</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Write the summary last and put the decisions first</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reader who gets no further than page one should know where the project is, what changed, and what they have to decide.</w:t>
            </w:r>
          </w:p>
        </w:tc>
      </w:tr>
      <w:tr>
        <w:trPr>
          <w:cantSplit/>
        </w:trPr>
        <w:tc>
          <w:tcPr>
            <w:tcW w:type="dxa" w:w="31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Report the exception, not the diary</w:t>
            </w:r>
          </w:p>
        </w:tc>
        <w:tc>
          <w:tcPr>
            <w:tcW w:type="dxa" w:w="66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progress section says what moved and what starts next. A list of everything that happened is a log, and it belongs on the daily report.</w:t>
            </w:r>
          </w:p>
        </w:tc>
      </w:tr>
      <w:tr>
        <w:trPr>
          <w:cantSplit/>
        </w:trPr>
        <w:tc>
          <w:tcPr>
            <w:tcW w:type="dxa" w:w="31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Keep the numbers in one place</w:t>
            </w:r>
          </w:p>
        </w:tc>
        <w:tc>
          <w:tcPr>
            <w:tcW w:type="dxa" w:w="66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Every figure here derives from one set of inputs. If your report is assembled from three spreadsheets, the totals will disagree in front of the committee.</w:t>
            </w:r>
          </w:p>
        </w:tc>
      </w:tr>
      <w:tr>
        <w:trPr>
          <w:cantSplit/>
        </w:trPr>
        <w:tc>
          <w:tcPr>
            <w:tcW w:type="dxa" w:w="31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For the weekly version, use the one-page report</w:t>
            </w:r>
          </w:p>
        </w:tc>
        <w:tc>
          <w:tcPr>
            <w:tcW w:type="dxa" w:w="66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This is the full periodic report. Mastt publishes a one-page project report for the weekly cycle, and the two are not meant to be the same document.</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4"/>
              <w:left w:type="dxa" w:w="92"/>
              <w:bottom w:type="dxa" w:w="34"/>
              <w:right w:type="dxa" w:w="92"/>
            </w:tcMar>
          </w:tcPr>
          <w:p>
            <w:pPr>
              <w:keepNext w:val="false"/>
              <w:spacing w:after="0" w:before="0" w:line="235"/>
              <w:jc w:val="left"/>
            </w:pPr>
            <w:r>
              <w:rPr>
                <w:rFonts w:ascii="Inter" w:cs="Inter" w:eastAsia="Inter" w:hAnsi="Inter"/>
                <w:b/>
                <w:bCs/>
                <w:i w:val="false"/>
                <w:iCs w:val="false"/>
                <w:caps w:val="false"/>
                <w:color w:val="EC6917"/>
                <w:sz w:val="18"/>
                <w:szCs w:val="18"/>
              </w:rPr>
              <w:t xml:space="preserve">IMPORTANT   This is a template and a worked example, not advice and not a certification. The project, the people and every figure in it are invented and illustrative. Nothing in a report is a contractual act, and where this one touches an approval, an extension of time or an acceptance of work, the contract governs and the report does not. The status thresholds shipped here are a starting position and every one of them may be wrong for your project. Replace the content with your own, agree the thresholds with whoever receives the report, and have anything that may become a claim reviewed before you issue it.</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p>
      <w:pPr>
        <w:keepNext w:val="false"/>
        <w:spacing w:after="0" w:before="0" w:line="250"/>
        <w:ind w:left="86"/>
        <w:jc w:val="left"/>
      </w:pPr>
      <w:r>
        <w:rPr>
          <w:rFonts w:ascii="Inter" w:cs="Inter" w:eastAsia="Inter" w:hAnsi="Inter"/>
          <w:b w:val="false"/>
          <w:bCs w:val="false"/>
          <w:i w:val="false"/>
          <w:iCs w:val="false"/>
          <w:caps w:val="false"/>
          <w:color w:val="8E98A2"/>
          <w:sz w:val="18"/>
          <w:szCs w:val="18"/>
        </w:rPr>
        <w:t xml:space="preserve">Built for teams delivering capital projects, programs and portfolios</w:t>
      </w:r>
    </w:p>
    <w:sectPr>
      <w:headerReference w:type="default" r:id="rId7"/>
      <w:footerReference w:type="default" r:id="rId8"/>
      <w:pgSz w:w="11906" w:h="16838" w:orient="portrait"/>
      <w:pgMar w:top="1500" w:right="1100" w:bottom="1200" w:left="1100" w:header="560" w:footer="4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pBdr>
      <w:tabs>
        <w:tab w:val="right" w:pos="9026"/>
      </w:tabs>
      <w:spacing w:before="60"/>
    </w:pPr>
    <w:hyperlink w:history="1" r:id="rIdplt7j4uvjehwgafoxb4m8">
      <w:r>
        <w:rPr>
          <w:rFonts w:ascii="Inter" w:cs="Inter" w:eastAsia="Inter" w:hAnsi="Inter"/>
          <w:color w:val="3480BC"/>
          <w:sz w:val="19"/>
          <w:szCs w:val="19"/>
          <w:u w:val="single"/>
        </w:rPr>
        <w:t xml:space="preserve">Visit mastt.com</w:t>
      </w:r>
    </w:hyperlink>
    <w:r>
      <w:rPr>
        <w:rFonts w:ascii="Inter" w:cs="Inter" w:eastAsia="Inter" w:hAnsi="Inter"/>
        <w:color w:val="8E98A2"/>
        <w:sz w:val="19"/>
        <w:szCs w:val="19"/>
      </w:rPr>
      <w:t xml:space="preserve">	Page </w:t>
    </w:r>
    <w:r>
      <w:rPr>
        <w:rFonts w:ascii="Inter" w:cs="Inter" w:eastAsia="Inter" w:hAnsi="Inter"/>
        <w:color w:val="8E98A2"/>
        <w:sz w:val="19"/>
        <w:szCs w:val="19"/>
      </w:rPr>
      <w:fldChar w:fldCharType="begin"/>
      <w:instrText xml:space="preserve">PAGE</w:instrText>
      <w:fldChar w:fldCharType="separate"/>
      <w:fldChar w:fldCharType="end"/>
    </w:r>
    <w:r>
      <w:rPr>
        <w:rFonts w:ascii="Inter" w:cs="Inter" w:eastAsia="Inter" w:hAnsi="Inter"/>
        <w:color w:val="8E98A2"/>
        <w:sz w:val="19"/>
        <w:szCs w:val="19"/>
      </w:rPr>
      <w:t xml:space="preserve"> of </w:t>
    </w:r>
    <w:r>
      <w:rPr>
        <w:rFonts w:ascii="Inter" w:cs="Inter" w:eastAsia="Inter" w:hAnsi="Inter"/>
        <w:color w:val="8E98A2"/>
        <w:sz w:val="19"/>
        <w:szCs w:val="19"/>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480BC" w:sz="10"/>
      </w:pBdr>
      <w:tabs>
        <w:tab w:val="right" w:pos="9026"/>
      </w:tabs>
      <w:spacing w:after="120" w:before="40" w:line="520" w:lineRule="atLeast"/>
    </w:pPr>
    <w:hyperlink w:history="1" r:id="rIdhykae2nx_sovixw7ct7at">
      <w:r>
        <w:drawing>
          <wp:inline distT="0" distB="0" distL="0" distR="0">
            <wp:extent cx="990600" cy="295275"/>
            <wp:effectExtent t="0" r="0" b="0" l="0"/>
            <wp:docPr id="1" name="" descr="" title="">
              <a:hlinkClick xmlns:a="http://schemas.openxmlformats.org/drawingml/2006/main" r:id="rIdhykae2nx_sovixw7ct7a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a:hlinkClick r:id="rIdhykae2nx_sovixw7ct7at"/>
                    </pic:cNvPr>
                    <pic:cNvPicPr>
                      <a:picLocks noChangeAspect="1" noChangeArrowheads="1"/>
                    </pic:cNvPicPr>
                  </pic:nvPicPr>
                  <pic:blipFill>
                    <a:blip r:embed="rId0" cstate="none"/>
                    <a:srcRect/>
                    <a:stretch>
                      <a:fillRect/>
                    </a:stretch>
                  </pic:blipFill>
                  <pic:spPr bwMode="auto">
                    <a:xfrm>
                      <a:off x="0" y="0"/>
                      <a:ext cx="990600" cy="295275"/>
                    </a:xfrm>
                    <a:prstGeom prst="rect">
                      <a:avLst/>
                    </a:prstGeom>
                  </pic:spPr>
                </pic:pic>
              </a:graphicData>
            </a:graphic>
          </wp:inline>
        </w:drawing>
      </w:r>
    </w:hyperlink>
    <w:r>
      <w:rPr>
        <w:rFonts w:ascii="Inter" w:cs="Inter" w:eastAsia="Inter" w:hAnsi="Inter"/>
        <w:b/>
        <w:bCs/>
        <w:color w:val="1D3245"/>
        <w:sz w:val="17"/>
        <w:szCs w:val="17"/>
      </w:rPr>
      <w:t xml:space="preserve">	Project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rPr>
        <w:rFonts w:ascii="Inter" w:cs="Inter" w:eastAsia="Inter" w:hAnsi="Inter"/>
        <w:color w:val="3480BC"/>
      </w:rPr>
    </w:lvl>
    <w:lvl w:ilvl="1" w15:tentative="1">
      <w:start w:val="1"/>
      <w:numFmt w:val="bullet"/>
      <w:lvlText w:val="–"/>
      <w:lvlJc w:val="left"/>
      <w:pPr>
        <w:ind w:left="760" w:hanging="200"/>
      </w:pPr>
      <w:rPr>
        <w:rFonts w:ascii="Inter" w:cs="Inter" w:eastAsia="Inter" w:hAnsi="Inter"/>
        <w:color w:val="8E98A2"/>
      </w:rPr>
    </w:lvl>
  </w:abstractNum>
  <w:abstractNum w:abstractNumId="3" w15:restartNumberingAfterBreak="0">
    <w:multiLevelType w:val="hybridMultilevel"/>
    <w:lvl w:ilvl="0" w15:tentative="1">
      <w:start w:val="1"/>
      <w:numFmt w:val="decimal"/>
      <w:lvlText w:val="%1."/>
      <w:lvlJc w:val="left"/>
      <w:pPr>
        <w:ind w:left="460" w:hanging="340"/>
      </w:pPr>
      <w:rPr>
        <w:rFonts w:ascii="Inter" w:cs="Inter" w:eastAsia="Inter" w:hAnsi="Inter"/>
        <w:b/>
        <w:bCs/>
        <w:color w:val="0D3C6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D3245"/>
        <w:sz w:val="20"/>
        <w:szCs w:val="20"/>
      </w:rPr>
    </w:rPrDefault>
    <w:pPrDefault>
      <w:pPr>
        <w:spacing w:after="12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Inter" w:cs="Inter" w:eastAsia="Inter" w:hAnsi="Inter"/>
      <w:b/>
      <w:bCs/>
      <w:color w:val="1D3245"/>
      <w:sz w:val="26"/>
      <w:szCs w:val="26"/>
    </w:rPr>
  </w:style>
  <w:style w:type="paragraph" w:styleId="Heading2">
    <w:name w:val="Heading 2"/>
    <w:basedOn w:val="Normal"/>
    <w:next w:val="Normal"/>
    <w:qFormat/>
    <w:pPr>
      <w:spacing w:after="100" w:before="240"/>
      <w:outlineLvl w:val="1"/>
    </w:pPr>
    <w:rPr>
      <w:rFonts w:ascii="Inter" w:cs="Inter" w:eastAsia="Inter" w:hAnsi="Inter"/>
      <w:b/>
      <w:bCs/>
      <w:color w:val="0D3C61"/>
      <w:sz w:val="22"/>
      <w:szCs w:val="22"/>
    </w:rPr>
  </w:style>
  <w:style w:type="paragraph" w:styleId="Heading3">
    <w:name w:val="Heading 3"/>
    <w:basedOn w:val="Normal"/>
    <w:next w:val="Normal"/>
    <w:qFormat/>
    <w:pPr>
      <w:spacing w:after="80" w:before="200"/>
      <w:outlineLvl w:val="2"/>
    </w:pPr>
    <w:rPr>
      <w:rFonts w:ascii="Inter" w:cs="Inter" w:eastAsia="Inter" w:hAnsi="Inter"/>
      <w:b/>
      <w:bCs/>
      <w:color w:val="215383"/>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t7j4uvjehwgafoxb4m8" Type="http://schemas.openxmlformats.org/officeDocument/2006/relationships/hyperlink" Target="https://www.mastt.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hykae2nx_sovixw7ct7at" Type="http://schemas.openxmlformats.org/officeDocument/2006/relationships/hyperlink" Target="https://www.mastt.com/" TargetMode="External"/><Relationship Id="rId0" Type="http://schemas.openxmlformats.org/officeDocument/2006/relationships/image" Target="media/1557be316619c2b10f6199fe144e31650db9fee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2026-08-24T01:05:34.905Z</dcterms:created>
  <dcterms:modified xsi:type="dcterms:W3CDTF">2026-08-24T01:05:34.905Z</dcterms:modified>
</cp:coreProperties>
</file>

<file path=docProps/custom.xml><?xml version="1.0" encoding="utf-8"?>
<Properties xmlns="http://schemas.openxmlformats.org/officeDocument/2006/custom-properties" xmlns:vt="http://schemas.openxmlformats.org/officeDocument/2006/docPropsVTypes"/>
</file>