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330"/>
              <w:jc w:val="left"/>
            </w:pPr>
            <w:r>
              <w:rPr>
                <w:rFonts w:ascii="Inter" w:cs="Inter" w:eastAsia="Inter" w:hAnsi="Inter"/>
                <w:b/>
                <w:bCs/>
                <w:i w:val="false"/>
                <w:iCs w:val="false"/>
                <w:caps w:val="false"/>
                <w:color w:val="FFFFFF"/>
                <w:sz w:val="30"/>
                <w:szCs w:val="30"/>
              </w:rPr>
              <w:t xml:space="preserve">WEEKLY PROJECT REPORT</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Marlow Creek Elementary School Replacement  ·  Week 27 of 78  ·  week ending Friday</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2"/>
              <w:bottom w:type="dxa" w:w="34"/>
              <w:right w:type="dxa" w:w="92"/>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2912"/>
        <w:gridCol w:w="1941"/>
        <w:gridCol w:w="2912"/>
      </w:tblGrid>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 number</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MC-2026-08</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Contractor</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Ashgrove Builders</w:t>
            </w:r>
          </w:p>
        </w:tc>
      </w:tr>
      <w:tr>
        <w:trPr>
          <w:cantSplit/>
        </w:trPr>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Prepared by</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J. Ferreira, Owner's Project Manager</w:t>
            </w:r>
          </w:p>
        </w:tc>
        <w:tc>
          <w:tcPr>
            <w:tcW w:type="dxa" w:w="194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Client</w:t>
            </w:r>
          </w:p>
        </w:tc>
        <w:tc>
          <w:tcPr>
            <w:tcW w:type="dxa" w:w="2912"/>
            <w:tcBorders>
              <w:top w:val="single" w:color="E0E0E0" w:sz="4"/>
              <w:left w:val="single" w:color="E0E0E0" w:sz="4"/>
              <w:bottom w:val="single" w:color="E0E0E0" w:sz="4"/>
              <w:right w:val="single" w:color="E0E0E0" w:sz="4"/>
            </w:tcBorders>
            <w:shd w:fill="E3F0FA" w:color="auto" w:val="clear"/>
            <w:tcMar>
              <w:top w:type="dxa" w:w="34"/>
              <w:left w:type="dxa" w:w="92"/>
              <w:bottom w:type="dxa" w:w="34"/>
              <w:right w:type="dxa" w:w="92"/>
            </w:tcMar>
          </w:tcPr>
          <w:p>
            <w:pPr>
              <w:keepNext w:val="false"/>
              <w:spacing w:after="0" w:before="0" w:line="216"/>
              <w:jc w:val="left"/>
            </w:pPr>
            <w:r>
              <w:rPr>
                <w:rFonts w:ascii="Inter" w:cs="Inter" w:eastAsia="Inter" w:hAnsi="Inter"/>
                <w:b w:val="false"/>
                <w:bCs w:val="false"/>
                <w:i w:val="false"/>
                <w:iCs w:val="false"/>
                <w:caps w:val="false"/>
                <w:color w:val="0D3C61"/>
                <w:sz w:val="19"/>
                <w:szCs w:val="19"/>
              </w:rPr>
              <w:t xml:space="preserve">Marlow Creek Unified School District</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1941"/>
        <w:gridCol w:w="1941"/>
        <w:gridCol w:w="1941"/>
        <w:gridCol w:w="1941"/>
        <w:gridCol w:w="1942"/>
      </w:tblGrid>
      <w:tr>
        <w:trPr>
          <w:cantSplit/>
          <w:tblHeader/>
        </w:trPr>
        <w:tc>
          <w:tcPr>
            <w:tcW w:type="dxa" w:w="9706"/>
            <w:gridSpan w:val="5"/>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STATUS, AND WHAT MOVED</w:t>
            </w:r>
          </w:p>
        </w:tc>
      </w:tr>
      <w:tr>
        <w:trPr>
          <w:cantSplit/>
          <w:tblHeader/>
        </w:trPr>
        <w:tc>
          <w:tcPr>
            <w:tcW w:type="dxa" w:w="194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Cost</w:t>
            </w:r>
          </w:p>
        </w:tc>
        <w:tc>
          <w:tcPr>
            <w:tcW w:type="dxa" w:w="194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Schedule</w:t>
            </w:r>
          </w:p>
        </w:tc>
        <w:tc>
          <w:tcPr>
            <w:tcW w:type="dxa" w:w="194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Change</w:t>
            </w:r>
          </w:p>
        </w:tc>
        <w:tc>
          <w:tcPr>
            <w:tcW w:type="dxa" w:w="1941"/>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Safety</w:t>
            </w:r>
          </w:p>
        </w:tc>
        <w:tc>
          <w:tcPr>
            <w:tcW w:type="dxa" w:w="194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8"/>
                <w:szCs w:val="18"/>
              </w:rPr>
              <w:t xml:space="preserve">Quality</w:t>
            </w:r>
          </w:p>
        </w:tc>
      </w:tr>
      <w:tr>
        <w:trPr>
          <w:cantSplit/>
        </w:trPr>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Green, unchanged</w:t>
            </w:r>
          </w:p>
        </w:tc>
        <w:tc>
          <w:tcPr>
            <w:tcW w:type="dxa" w:w="1941"/>
            <w:tcBorders>
              <w:top w:val="single" w:color="E0E0E0" w:sz="4"/>
              <w:left w:val="single" w:color="E0E0E0" w:sz="4"/>
              <w:bottom w:val="single" w:color="E0E0E0" w:sz="4"/>
              <w:right w:val="single" w:color="E0E0E0" w:sz="4"/>
            </w:tcBorders>
            <w:shd w:fill="FDEBE9"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Red  (was Amber)</w:t>
            </w:r>
          </w:p>
        </w:tc>
        <w:tc>
          <w:tcPr>
            <w:tcW w:type="dxa" w:w="1941"/>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Amber, unchanged</w:t>
            </w:r>
          </w:p>
        </w:tc>
        <w:tc>
          <w:tcPr>
            <w:tcW w:type="dxa" w:w="194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Green, unchanged</w:t>
            </w:r>
          </w:p>
        </w:tc>
        <w:tc>
          <w:tcPr>
            <w:tcW w:type="dxa" w:w="1942"/>
            <w:tcBorders>
              <w:top w:val="single" w:color="E0E0E0" w:sz="4"/>
              <w:left w:val="single" w:color="E0E0E0" w:sz="4"/>
              <w:bottom w:val="single" w:color="E0E0E0" w:sz="4"/>
              <w:right w:val="single" w:color="E0E0E0" w:sz="4"/>
            </w:tcBorders>
            <w:shd w:fill="E8F5E9"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Green  (was Amber)</w:t>
            </w:r>
          </w:p>
        </w:tc>
      </w:tr>
      <w:tr>
        <w:trPr>
          <w:cantSplit/>
        </w:trPr>
        <w:tc>
          <w:tcPr>
            <w:tcW w:type="dxa" w:w="9706"/>
            <w:gridSpan w:val="5"/>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Last week's rating is beside each one. The thresholds are set in the monthly report.</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524"/>
        <w:gridCol w:w="1262"/>
        <w:gridCol w:w="1262"/>
        <w:gridCol w:w="1262"/>
        <w:gridCol w:w="3396"/>
      </w:tblGrid>
      <w:tr>
        <w:trPr>
          <w:cantSplit/>
          <w:tblHeader/>
        </w:trPr>
        <w:tc>
          <w:tcPr>
            <w:tcW w:type="dxa" w:w="9706"/>
            <w:gridSpan w:val="5"/>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THE NUMBERS, AND THE MOVE</w:t>
            </w:r>
          </w:p>
        </w:tc>
      </w:tr>
      <w:tr>
        <w:trPr>
          <w:cantSplit/>
          <w:tblHeader/>
        </w:trPr>
        <w:tc>
          <w:tcPr>
            <w:tcW w:type="dxa" w:w="2524"/>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right"/>
            </w:pPr>
            <w:r>
              <w:rPr>
                <w:rFonts w:ascii="Inter" w:cs="Inter" w:eastAsia="Inter" w:hAnsi="Inter"/>
                <w:b/>
                <w:bCs/>
                <w:i w:val="false"/>
                <w:iCs w:val="false"/>
                <w:caps w:val="false"/>
                <w:color w:val="0D3C61"/>
                <w:sz w:val="17"/>
                <w:szCs w:val="17"/>
              </w:rPr>
              <w:t xml:space="preserve">Last week</w:t>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right"/>
            </w:pPr>
            <w:r>
              <w:rPr>
                <w:rFonts w:ascii="Inter" w:cs="Inter" w:eastAsia="Inter" w:hAnsi="Inter"/>
                <w:b/>
                <w:bCs/>
                <w:i w:val="false"/>
                <w:iCs w:val="false"/>
                <w:caps w:val="false"/>
                <w:color w:val="0D3C61"/>
                <w:sz w:val="17"/>
                <w:szCs w:val="17"/>
              </w:rPr>
              <w:t xml:space="preserve">This week</w:t>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right"/>
            </w:pPr>
            <w:r>
              <w:rPr>
                <w:rFonts w:ascii="Inter" w:cs="Inter" w:eastAsia="Inter" w:hAnsi="Inter"/>
                <w:b/>
                <w:bCs/>
                <w:i w:val="false"/>
                <w:iCs w:val="false"/>
                <w:caps w:val="false"/>
                <w:color w:val="0D3C61"/>
                <w:sz w:val="17"/>
                <w:szCs w:val="17"/>
              </w:rPr>
              <w:t xml:space="preserve">Move</w:t>
            </w:r>
          </w:p>
        </w:tc>
        <w:tc>
          <w:tcPr>
            <w:tcW w:type="dxa" w:w="3396"/>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Work in place</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41%</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43%</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+2 pts</w:t>
            </w:r>
          </w:p>
        </w:tc>
        <w:tc>
          <w:tcPr>
            <w:tcW w:type="dxa" w:w="339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Against a plan of 2.5 points</w:t>
            </w:r>
          </w:p>
        </w:tc>
      </w:tr>
      <w:tr>
        <w:trPr>
          <w:cantSplit/>
        </w:trPr>
        <w:tc>
          <w:tcPr>
            <w:tcW w:type="dxa" w:w="2524"/>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Forecast final cost</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$23.90M</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$23.96M</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+$60,000</w:t>
            </w:r>
          </w:p>
        </w:tc>
        <w:tc>
          <w:tcPr>
            <w:tcW w:type="dxa" w:w="339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Casework re-priced; still $640,000 under budget</w:t>
            </w:r>
          </w:p>
        </w:tc>
      </w:tr>
      <w:tr>
        <w:trPr>
          <w:cantSplit/>
        </w:trPr>
        <w:tc>
          <w:tcPr>
            <w:tcW w:type="dxa" w:w="2524"/>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Float to substantial completion</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11 days</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6 days</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-5 days</w:t>
            </w:r>
          </w:p>
        </w:tc>
        <w:tc>
          <w:tcPr>
            <w:tcW w:type="dxa" w:w="339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Five days lost to the night-work permit - see below</w:t>
            </w:r>
          </w:p>
        </w:tc>
      </w:tr>
      <w:tr>
        <w:trPr>
          <w:cantSplit/>
        </w:trPr>
        <w:tc>
          <w:tcPr>
            <w:tcW w:type="dxa" w:w="2524"/>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Change orders open</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3</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4</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+1</w:t>
            </w:r>
          </w:p>
        </w:tc>
        <w:tc>
          <w:tcPr>
            <w:tcW w:type="dxa" w:w="339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One raised, none closed. Two unpriced</w:t>
            </w:r>
          </w:p>
        </w:tc>
      </w:tr>
      <w:tr>
        <w:trPr>
          <w:cantSplit/>
        </w:trPr>
        <w:tc>
          <w:tcPr>
            <w:tcW w:type="dxa" w:w="252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Non-conformances open</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2</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1</w:t>
            </w:r>
          </w:p>
        </w:tc>
        <w:tc>
          <w:tcPr>
            <w:tcW w:type="dxa" w:w="126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-1</w:t>
            </w:r>
          </w:p>
        </w:tc>
        <w:tc>
          <w:tcPr>
            <w:tcW w:type="dxa" w:w="3396"/>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Gym slab curing closed Wednesday</w:t>
            </w:r>
          </w:p>
        </w:tc>
      </w:tr>
      <w:tr>
        <w:trPr>
          <w:cantSplit/>
        </w:trPr>
        <w:tc>
          <w:tcPr>
            <w:tcW w:type="dxa" w:w="252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Recordable incidents (12 weeks)</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0</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val="false"/>
                <w:bCs w:val="false"/>
                <w:i w:val="false"/>
                <w:iCs w:val="false"/>
                <w:caps w:val="false"/>
                <w:color w:val="1D3245"/>
                <w:sz w:val="17"/>
                <w:szCs w:val="17"/>
              </w:rPr>
              <w:t xml:space="preserve">0</w:t>
            </w:r>
          </w:p>
        </w:tc>
        <w:tc>
          <w:tcPr>
            <w:tcW w:type="dxa" w:w="126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right"/>
            </w:pPr>
            <w:r>
              <w:rPr>
                <w:rFonts w:ascii="Inter" w:cs="Inter" w:eastAsia="Inter" w:hAnsi="Inter"/>
                <w:b/>
                <w:bCs/>
                <w:i w:val="false"/>
                <w:iCs w:val="false"/>
                <w:caps w:val="false"/>
                <w:color w:val="0D3C61"/>
                <w:sz w:val="17"/>
                <w:szCs w:val="17"/>
              </w:rPr>
              <w:t xml:space="preserve">no change</w:t>
            </w:r>
          </w:p>
        </w:tc>
        <w:tc>
          <w:tcPr>
            <w:tcW w:type="dxa" w:w="3396"/>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One near miss, reported and closed</w:t>
            </w:r>
          </w:p>
        </w:tc>
      </w:tr>
      <w:tr>
        <w:trPr>
          <w:cantSplit/>
        </w:trPr>
        <w:tc>
          <w:tcPr>
            <w:tcW w:type="dxa" w:w="9706"/>
            <w:gridSpan w:val="5"/>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$640,000 under the approved budget of $24.60M. The shaded moves went the wrong way.</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
        <w:gridCol w:w="9221"/>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DONE THIS WEEK</w:t>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1</w:t>
            </w:r>
          </w:p>
        </w:tc>
        <w:tc>
          <w:tcPr>
            <w:tcW w:type="dxa" w:w="9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Night-work permit returned by the city for a noise study. That is the five days of float.</w:t>
            </w:r>
          </w:p>
        </w:tc>
      </w:tr>
      <w:tr>
        <w:trPr>
          <w:cantSplit/>
        </w:trPr>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2</w:t>
            </w:r>
          </w:p>
        </w:tc>
        <w:tc>
          <w:tcPr>
            <w:tcW w:type="dxa" w:w="922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Gym slab poured Tuesday; the week 25 curing non-conformance is closed.</w:t>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3</w:t>
            </w:r>
          </w:p>
        </w:tc>
        <w:tc>
          <w:tcPr>
            <w:tcW w:type="dxa" w:w="9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Casework re-priced at $60,000 over the allowance and the change order raised.</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
        <w:gridCol w:w="9221"/>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NEXT WEEK</w:t>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1</w:t>
            </w:r>
          </w:p>
        </w:tc>
        <w:tc>
          <w:tcPr>
            <w:tcW w:type="dxa" w:w="9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Gym roof steel erection, subject to the shop drawings being released Thursday.</w:t>
            </w:r>
          </w:p>
        </w:tc>
      </w:tr>
      <w:tr>
        <w:trPr>
          <w:cantSplit/>
        </w:trPr>
        <w:tc>
          <w:tcPr>
            <w:tcW w:type="dxa" w:w="48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2</w:t>
            </w:r>
          </w:p>
        </w:tc>
        <w:tc>
          <w:tcPr>
            <w:tcW w:type="dxa" w:w="9221"/>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Noise study commissioned and the permit resubmitted, if the decision below is made.</w:t>
            </w:r>
          </w:p>
        </w:tc>
      </w:tr>
      <w:tr>
        <w:trPr>
          <w:cantSplit/>
        </w:trPr>
        <w:tc>
          <w:tcPr>
            <w:tcW w:type="dxa" w:w="48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3</w:t>
            </w:r>
          </w:p>
        </w:tc>
        <w:tc>
          <w:tcPr>
            <w:tcW w:type="dxa" w:w="9221"/>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Classroom wing 2 roof deck and dry-in.</w:t>
            </w:r>
          </w:p>
        </w:tc>
      </w:tr>
    </w:tbl>
    <w:p>
      <w:pPr>
        <w:keepNext w:val="false"/>
        <w:spacing w:after="0" w:before="0" w:line="250"/>
        <w:jc w:val="left"/>
      </w:pPr>
      <w:r>
        <w:rPr>
          <w:rFonts w:ascii="Inter" w:cs="Inter" w:eastAsia="Inter" w:hAnsi="Inter"/>
          <w:b w:val="false"/>
          <w:bCs w:val="false"/>
          <w:i w:val="false"/>
          <w:iCs w:val="false"/>
          <w:caps w:val="false"/>
          <w:color w:val="1D3245"/>
          <w:sz w:val="14"/>
          <w:szCs w:val="1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815"/>
        <w:gridCol w:w="1747"/>
        <w:gridCol w:w="1262"/>
        <w:gridCol w:w="3882"/>
      </w:tblGrid>
      <w:tr>
        <w:trPr>
          <w:cantSplit/>
          <w:tblHeader/>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BLOCKED - DECISIONS NEEDED THIS WEEK</w:t>
            </w:r>
          </w:p>
        </w:tc>
      </w:tr>
      <w:tr>
        <w:trPr>
          <w:cantSplit/>
          <w:tblHeader/>
        </w:trPr>
        <w:tc>
          <w:tcPr>
            <w:tcW w:type="dxa" w:w="2815"/>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What has to happen</w:t>
            </w:r>
          </w:p>
        </w:tc>
        <w:tc>
          <w:tcPr>
            <w:tcW w:type="dxa" w:w="1747"/>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Who</w:t>
            </w:r>
          </w:p>
        </w:tc>
        <w:tc>
          <w:tcPr>
            <w:tcW w:type="dxa" w:w="126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By</w:t>
            </w:r>
          </w:p>
        </w:tc>
        <w:tc>
          <w:tcPr>
            <w:tcW w:type="dxa" w:w="3882"/>
            <w:tcBorders>
              <w:top w:val="single" w:color="E0E0E0" w:sz="4"/>
              <w:left w:val="single" w:color="E0E0E0" w:sz="4"/>
              <w:bottom w:val="single" w:color="E0E0E0" w:sz="4"/>
              <w:right w:val="single" w:color="E0E0E0" w:sz="4"/>
            </w:tcBorders>
            <w:shd w:fill="DCE9F4"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0D3C61"/>
                <w:sz w:val="17"/>
                <w:szCs w:val="17"/>
              </w:rPr>
              <w:t xml:space="preserve">If it does not</w:t>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Instruct the noise study for the night-work permit</w:t>
            </w:r>
          </w:p>
        </w:tc>
        <w:tc>
          <w:tcPr>
            <w:tcW w:type="dxa" w:w="174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Director of Facilities</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Wednesday</w:t>
            </w:r>
          </w:p>
        </w:tc>
        <w:tc>
          <w:tcPr>
            <w:tcW w:type="dxa" w:w="388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slab pours cannot move to nights and the remaining six days of float go with them.</w:t>
            </w:r>
          </w:p>
        </w:tc>
      </w:tr>
      <w:tr>
        <w:trPr>
          <w:cantSplit/>
        </w:trPr>
        <w:tc>
          <w:tcPr>
            <w:tcW w:type="dxa" w:w="2815"/>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Release the gym roof steel shop drawings</w:t>
            </w:r>
          </w:p>
        </w:tc>
        <w:tc>
          <w:tcPr>
            <w:tcW w:type="dxa" w:w="1747"/>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Design team</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Thursday</w:t>
            </w:r>
          </w:p>
        </w:tc>
        <w:tc>
          <w:tcPr>
            <w:tcW w:type="dxa" w:w="388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Steel erection slips a week and the roof deck follows it.</w:t>
            </w:r>
          </w:p>
        </w:tc>
      </w:tr>
      <w:tr>
        <w:trPr>
          <w:cantSplit/>
        </w:trPr>
        <w:tc>
          <w:tcPr>
            <w:tcW w:type="dxa" w:w="2815"/>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Confirm the casework allowance or reduce the scope</w:t>
            </w:r>
          </w:p>
        </w:tc>
        <w:tc>
          <w:tcPr>
            <w:tcW w:type="dxa" w:w="1747"/>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Director of Business Services</w:t>
            </w:r>
          </w:p>
        </w:tc>
        <w:tc>
          <w:tcPr>
            <w:tcW w:type="dxa" w:w="1262"/>
            <w:tcBorders>
              <w:top w:val="single" w:color="E0E0E0" w:sz="4"/>
              <w:left w:val="single" w:color="E0E0E0" w:sz="4"/>
              <w:bottom w:val="single" w:color="E0E0E0" w:sz="4"/>
              <w:right w:val="single" w:color="E0E0E0" w:sz="4"/>
            </w:tcBorders>
            <w:shd w:fill="FFF4E0"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7"/>
                <w:szCs w:val="17"/>
              </w:rPr>
              <w:t xml:space="preserve">Next Wednesday</w:t>
            </w:r>
          </w:p>
        </w:tc>
        <w:tc>
          <w:tcPr>
            <w:tcW w:type="dxa" w:w="388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7"/>
                <w:szCs w:val="17"/>
              </w:rPr>
              <w:t xml:space="preserve">The $60,000 stays open as exposure and the millwork order cannot be placed.</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p>
      <w:pPr>
        <w:keepNext w:val="false"/>
        <w:spacing w:after="0" w:before="0" w:line="232"/>
        <w:ind w:left="86"/>
        <w:jc w:val="left"/>
      </w:pPr>
      <w:r>
        <w:rPr>
          <w:rFonts w:ascii="Inter" w:cs="Inter" w:eastAsia="Inter" w:hAnsi="Inter"/>
          <w:b w:val="false"/>
          <w:bCs w:val="false"/>
          <w:i w:val="false"/>
          <w:iCs w:val="false"/>
          <w:caps w:val="false"/>
          <w:color w:val="8E98A2"/>
          <w:sz w:val="17"/>
          <w:szCs w:val="17"/>
        </w:rPr>
        <w:t xml:space="preserve">Issued by J. Ferreira, Owner's Project Manager to Director of Facilities · Director of Business Services · Ashgrove Builders · design team. Next report Monday, covering the week that starts on it. A report does not approve a payment, grant an extension of time, accept work or vary the contract.</w:t>
      </w:r>
    </w:p>
    <w:p>
      <w:pPr>
        <w:keepNext w:val="false"/>
        <w:pageBreakBefore/>
        <w:spacing w:after="0" w:before="0" w:line="250"/>
        <w:jc w:val="left"/>
      </w:pPr>
      <w:r>
        <w:rPr>
          <w:rFonts w:ascii="Inter" w:cs="Inter" w:eastAsia="Inter" w:hAnsi="Inter"/>
          <w:b w:val="false"/>
          <w:bCs w:val="false"/>
          <w:i w:val="false"/>
          <w:iCs w:val="false"/>
          <w:caps w:val="false"/>
          <w:color w:val="1D3245"/>
          <w:sz w:val="2"/>
          <w:szCs w:val="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12"/>
        <w:gridCol w:w="6794"/>
      </w:tblGrid>
      <w:tr>
        <w:trPr>
          <w:cantSplit/>
          <w:tblHeader/>
        </w:trPr>
        <w:tc>
          <w:tcPr>
            <w:tcW w:type="dxa" w:w="9706"/>
            <w:gridSpan w:val="2"/>
            <w:tcBorders>
              <w:top w:val="none" w:color="auto" w:sz="0"/>
              <w:left w:val="none" w:color="auto" w:sz="0"/>
              <w:bottom w:val="none" w:color="auto" w:sz="0"/>
              <w:right w:val="none" w:color="auto" w:sz="0"/>
            </w:tcBorders>
            <w:shd w:fill="0D3C61" w:color="auto" w:val="clear"/>
            <w:tcMar>
              <w:top w:type="dxa" w:w="34"/>
              <w:left w:type="dxa" w:w="92"/>
              <w:bottom w:type="dxa" w:w="34"/>
              <w:right w:type="dxa" w:w="92"/>
            </w:tcMar>
          </w:tcPr>
          <w:p>
            <w:pPr>
              <w:keepNext w:val="false"/>
              <w:spacing w:after="0" w:before="0" w:line="250"/>
              <w:jc w:val="left"/>
            </w:pPr>
            <w:r>
              <w:rPr>
                <w:rFonts w:ascii="Inter" w:cs="Inter" w:eastAsia="Inter" w:hAnsi="Inter"/>
                <w:b/>
                <w:bCs/>
                <w:i w:val="false"/>
                <w:iCs w:val="false"/>
                <w:caps w:val="false"/>
                <w:color w:val="FFFFFF"/>
                <w:sz w:val="22"/>
                <w:szCs w:val="22"/>
              </w:rPr>
              <w:t xml:space="preserve">HOW TO USE THIS REPORT</w:t>
            </w:r>
          </w:p>
        </w:tc>
      </w:tr>
      <w:tr>
        <w:trPr>
          <w:cantSplit/>
        </w:trPr>
        <w:tc>
          <w:tcPr>
            <w:tcW w:type="dxa" w:w="9706"/>
            <w:gridSpan w:val="2"/>
            <w:tcBorders>
              <w:top w:val="none" w:color="auto" w:sz="0"/>
              <w:left w:val="none" w:color="auto" w:sz="0"/>
              <w:bottom w:val="none" w:color="auto" w:sz="0"/>
              <w:right w:val="none" w:color="auto" w:sz="0"/>
            </w:tcBorders>
            <w:tcMar>
              <w:top w:type="dxa" w:w="34"/>
              <w:left w:type="dxa" w:w="92"/>
              <w:bottom w:type="dxa" w:w="34"/>
              <w:right w:type="dxa" w:w="92"/>
            </w:tcMar>
          </w:tcPr>
          <w:p>
            <w:pPr>
              <w:keepNext w:val="false"/>
              <w:spacing w:after="0" w:before="0" w:line="230"/>
              <w:jc w:val="left"/>
            </w:pPr>
            <w:r>
              <w:rPr>
                <w:rFonts w:ascii="Inter" w:cs="Inter" w:eastAsia="Inter" w:hAnsi="Inter"/>
                <w:b w:val="false"/>
                <w:bCs w:val="false"/>
                <w:i/>
                <w:iCs/>
                <w:caps w:val="false"/>
                <w:color w:val="8E98A2"/>
                <w:sz w:val="17"/>
                <w:szCs w:val="17"/>
              </w:rPr>
              <w:t xml:space="preserve">The report itself is page one. Everything on this page is about the template, and it is meant to be deleted before you issue it.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The report is one page, and that is the point</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A weekly report competes with a full inbox. If it does not fit on one page it becomes a monthly report issued four times as often, and the fourth one does not get read.</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Fill in two columns, not one</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Last week and this week. The move between them is the report. A single column of current values is a snapshot, and a snapshot cannot tell anyone whether the week went well.</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Highlight the moves that went the wrong way</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Five of the six lines here moved. One of them is the reason the report exists, and the shading is what makes a reader find it in ten seconds.</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Ratings carry last week's rating beside them</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Amber that has been amber for six weeks and amber that was green on Friday are different situations, and one column of colors cannot tell them apart.</w:t>
            </w:r>
          </w:p>
        </w:tc>
      </w:tr>
      <w:tr>
        <w:trPr>
          <w:cantSplit/>
        </w:trPr>
        <w:tc>
          <w:tcPr>
            <w:tcW w:type="dxa" w:w="2912"/>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End on what is blocked, with a name and a day</w:t>
            </w:r>
          </w:p>
        </w:tc>
        <w:tc>
          <w:tcPr>
            <w:tcW w:type="dxa" w:w="6794"/>
            <w:tcBorders>
              <w:top w:val="single" w:color="E0E0E0" w:sz="4"/>
              <w:left w:val="single" w:color="E0E0E0" w:sz="4"/>
              <w:bottom w:val="single" w:color="E0E0E0" w:sz="4"/>
              <w:right w:val="single" w:color="E0E0E0" w:sz="4"/>
            </w:tcBorders>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Three lines at most. A weekly report that ends in a list of everything outstanding ends in nothing being done about any of it.</w:t>
            </w:r>
          </w:p>
        </w:tc>
      </w:tr>
      <w:tr>
        <w:trPr>
          <w:cantSplit/>
        </w:trPr>
        <w:tc>
          <w:tcPr>
            <w:tcW w:type="dxa" w:w="2912"/>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bCs/>
                <w:i w:val="false"/>
                <w:iCs w:val="false"/>
                <w:caps w:val="false"/>
                <w:color w:val="0D3C61"/>
                <w:sz w:val="18"/>
                <w:szCs w:val="18"/>
              </w:rPr>
              <w:t xml:space="preserve">For the monthly report, use the full project report</w:t>
            </w:r>
          </w:p>
        </w:tc>
        <w:tc>
          <w:tcPr>
            <w:tcW w:type="dxa" w:w="6794"/>
            <w:tcBorders>
              <w:top w:val="single" w:color="E0E0E0" w:sz="4"/>
              <w:left w:val="single" w:color="E0E0E0" w:sz="4"/>
              <w:bottom w:val="single" w:color="E0E0E0" w:sz="4"/>
              <w:right w:val="single" w:color="E0E0E0" w:sz="4"/>
            </w:tcBorders>
            <w:shd w:fill="F5F5F5" w:color="auto" w:val="clear"/>
            <w:tcMar>
              <w:top w:type="dxa" w:w="34"/>
              <w:left w:type="dxa" w:w="92"/>
              <w:bottom w:type="dxa" w:w="34"/>
              <w:right w:type="dxa" w:w="92"/>
            </w:tcMar>
          </w:tcPr>
          <w:p>
            <w:pPr>
              <w:keepNext w:val="false"/>
              <w:spacing w:after="0" w:before="0" w:line="232"/>
              <w:jc w:val="left"/>
            </w:pPr>
            <w:r>
              <w:rPr>
                <w:rFonts w:ascii="Inter" w:cs="Inter" w:eastAsia="Inter" w:hAnsi="Inter"/>
                <w:b w:val="false"/>
                <w:bCs w:val="false"/>
                <w:i w:val="false"/>
                <w:iCs w:val="false"/>
                <w:caps w:val="false"/>
                <w:color w:val="1D3245"/>
                <w:sz w:val="18"/>
                <w:szCs w:val="18"/>
              </w:rPr>
              <w:t xml:space="preserve">This is the weekly one-pager. Mastt publishes a five-page periodic project report for the monthly cycle, with the threshold behind every rating printed beside it. The two are not the same document and neither replaces the other.</w:t>
            </w:r>
          </w:p>
        </w:tc>
      </w:tr>
    </w:tbl>
    <w:p>
      <w:pPr>
        <w:keepNext w:val="false"/>
        <w:spacing w:after="0" w:before="0" w:line="250"/>
        <w:jc w:val="left"/>
      </w:pPr>
      <w:r>
        <w:rPr>
          <w:rFonts w:ascii="Inter" w:cs="Inter" w:eastAsia="Inter" w:hAnsi="Inter"/>
          <w:b w:val="false"/>
          <w:bCs w:val="false"/>
          <w:i w:val="false"/>
          <w:iCs w:val="false"/>
          <w:caps w:val="false"/>
          <w:color w:val="1D3245"/>
          <w:sz w:val="16"/>
          <w:szCs w:val="16"/>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2"/>
              <w:bottom w:type="dxa" w:w="34"/>
              <w:right w:type="dxa" w:w="92"/>
            </w:tcMar>
          </w:tcPr>
          <w:p>
            <w:pPr>
              <w:keepNext w:val="false"/>
              <w:spacing w:after="0" w:before="0" w:line="235"/>
              <w:jc w:val="left"/>
            </w:pPr>
            <w:r>
              <w:rPr>
                <w:rFonts w:ascii="Inter" w:cs="Inter" w:eastAsia="Inter" w:hAnsi="Inter"/>
                <w:b/>
                <w:bCs/>
                <w:i w:val="false"/>
                <w:iCs w:val="false"/>
                <w:caps w:val="false"/>
                <w:color w:val="EC6917"/>
                <w:sz w:val="18"/>
                <w:szCs w:val="18"/>
              </w:rPr>
              <w:t xml:space="preserve">IMPORTANT   This is a template and a worked example, not advice and not a certification. The project, the people and every figure in it are invented and illustrative. Nothing in a report is a contractual act, and where this one touches an approval, an extension of time or an acceptance of work, the contract governs and the report does not. Replace the content with your own, and have anything that may become a claim reviewed before you issue it.</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p>
      <w:pPr>
        <w:keepNext w:val="false"/>
        <w:spacing w:after="0" w:before="0" w:line="250"/>
        <w:ind w:left="86"/>
        <w:jc w:val="left"/>
      </w:pPr>
      <w:r>
        <w:rPr>
          <w:rFonts w:ascii="Inter" w:cs="Inter" w:eastAsia="Inter" w:hAnsi="Inter"/>
          <w:b w:val="false"/>
          <w:bCs w:val="false"/>
          <w:i w:val="false"/>
          <w:iCs w:val="false"/>
          <w:caps w:val="false"/>
          <w:color w:val="8E98A2"/>
          <w:sz w:val="18"/>
          <w:szCs w:val="18"/>
        </w:rPr>
        <w:t xml:space="preserve">Built for teams delivering capital projects, programs and portfolios</w:t>
      </w:r>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luycu-rjo_qyvqvd63ojg">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dd9h_gscll_yvoigiu2au">
      <w:r>
        <w:drawing>
          <wp:inline distT="0" distB="0" distL="0" distR="0">
            <wp:extent cx="990600" cy="295275"/>
            <wp:effectExtent t="0" r="0" b="0" l="0"/>
            <wp:docPr id="1" name="" descr="" title="">
              <a:hlinkClick xmlns:a="http://schemas.openxmlformats.org/drawingml/2006/main" r:id="rIddd9h_gscll_yvoigiu2au"/>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dd9h_gscll_yvoigiu2au"/>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Weekly Project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luycu-rjo_qyvqvd63ojg"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dd9h_gscll_yvoigiu2au"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2026-08-24T02:40:48.491Z</dcterms:created>
  <dcterms:modified xsi:type="dcterms:W3CDTF">2026-08-24T02:40:48.492Z</dcterms:modified>
</cp:coreProperties>
</file>

<file path=docProps/custom.xml><?xml version="1.0" encoding="utf-8"?>
<Properties xmlns="http://schemas.openxmlformats.org/officeDocument/2006/custom-properties" xmlns:vt="http://schemas.openxmlformats.org/officeDocument/2006/docPropsVTypes"/>
</file>