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W w:w="11906" w:type="dxa"/>
        <w:tblInd w:w="0" w:type="dxa"/>
        <w:tblCellMar>
          <w:top w:w="620" w:type="dxa"/>
          <w:left w:w="1134" w:type="dxa"/>
          <w:bottom w:w="520" w:type="dxa"/>
          <w:right w:w="1134" w:type="dxa"/>
        </w:tblCellMar>
      </w:tblPr>
      <w:tblGrid>
        <w:gridCol w:w="11906"/>
      </w:tblGrid>
      <w:tr>
        <w:trPr>
          <w:cantSplit/>
        </w:trPr>
        <w:tc>
          <w:tcPr>
            <w:tcW w:w="11906" w:type="dxa"/>
            <w:shd w:val="clear" w:color="auto" w:fill="1D3245"/>
            <w:vAlign w:val="center"/>
          </w:tcPr>
          <w:p>
            <w:pPr>
              <w:pStyle w:val="Body"/>
              <w:spacing w:after="120"/>
            </w:pPr>
            <w:r/>
            <w:hyperlink r:id="rId10" w:tooltip="mastt.com">
              <w:r>
                <w:drawing>
                  <wp:inline xmlns:a="http://schemas.openxmlformats.org/drawingml/2006/main" xmlns:pic="http://schemas.openxmlformats.org/drawingml/2006/picture">
                    <wp:extent cx="1152000" cy="336220"/>
                    <wp:docPr id="1" name="Picture 1">
                      <a:hlinkClick r:id="rId10"/>
                    </wp:docPr>
                    <wp:cNvGraphicFramePr>
                      <a:graphicFrameLocks noChangeAspect="1"/>
                    </wp:cNvGraphicFramePr>
                    <a:graphic>
                      <a:graphicData uri="http://schemas.openxmlformats.org/drawingml/2006/picture">
                        <pic:pic>
                          <pic:nvPicPr>
                            <pic:cNvPr id="2" name="mastt-logo-white.png"/>
                            <pic:cNvPicPr/>
                          </pic:nvPicPr>
                          <pic:blipFill>
                            <a:blip r:embed="rId9"/>
                            <a:stretch>
                              <a:fillRect/>
                            </a:stretch>
                          </pic:blipFill>
                          <pic:spPr>
                            <a:xfrm>
                              <a:off x="0" y="0"/>
                              <a:ext cx="1152000" cy="336220"/>
                            </a:xfrm>
                            <a:prstGeom prst="rect"/>
                          </pic:spPr>
                        </pic:pic>
                      </a:graphicData>
                    </a:graphic>
                  </wp:inline>
                </w:drawing>
              </w:r>
            </w:hyperlink>
          </w:p>
          <w:p>
            <w:pPr>
              <w:pStyle w:val="MicroLabelWhite"/>
              <w:spacing w:after="0"/>
            </w:pPr>
            <w:r>
              <w:t>Health &amp; Safety · Construction Project Management</w:t>
            </w:r>
          </w:p>
        </w:tc>
      </w:tr>
    </w:tbl>
    <w:p>
      <w:pPr>
        <w:spacing w:before="0" w:after="0" w:line="680" w:lineRule="exact"/>
      </w:pPr>
    </w:p>
    <w:p>
      <w:pPr>
        <w:pStyle w:val="MicroLabel"/>
        <w:spacing w:after="120"/>
      </w:pPr>
      <w:r>
        <w:t>SAFETY MANAGEMENT PLAN</w:t>
      </w:r>
    </w:p>
    <w:p>
      <w:pPr>
        <w:pStyle w:val="Title"/>
      </w:pPr>
      <w:r>
        <w:t>Construction Safety Management Plan</w:t>
      </w:r>
    </w:p>
    <w:p>
      <w:pPr>
        <w:pStyle w:val="Subtitle"/>
      </w:pPr>
      <w:r>
        <w:t>Construction health, safety and wellbeing  ·  OSHA 29 CFR 1926  ·  ISO 45001:2018 and ANSI/ASSP Z10.0-2019 aligned</w:t>
      </w:r>
    </w:p>
    <w:p>
      <w:pPr>
        <w:pStyle w:val="Body"/>
        <w:spacing w:after="0"/>
        <w:pBdr>
          <w:bottom w:val="single" w:sz="12" w:space="0" w:color="1D3245"/>
        </w:pBdr>
      </w:pPr>
    </w:p>
    <w:p>
      <w:pPr>
        <w:spacing w:before="0" w:after="0" w:line="200" w:lineRule="exact"/>
      </w:pPr>
    </w:p>
    <w:tbl>
      <w:tblP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W w:w="9638" w:type="dxa"/>
        <w:tblInd w:w="0" w:type="dxa"/>
        <w:tblCellMar>
          <w:top w:w="70" w:type="dxa"/>
          <w:left w:w="0" w:type="dxa"/>
          <w:bottom w:w="70" w:type="dxa"/>
          <w:right w:w="140" w:type="dxa"/>
        </w:tblCellMar>
      </w:tblPr>
      <w:tblGrid>
        <w:gridCol w:w="3175"/>
        <w:gridCol w:w="6463"/>
      </w:tblGrid>
      <w:tr>
        <w:trPr>
          <w:cantSplit w:val="true"/>
          <w:trHeight w:val="408" w:hRule="atLeast"/>
        </w:trPr>
        <w:tc>
          <w:tcPr>
            <w:tcW w:w="3175" w:type="dxa"/>
            <w:vAlign w:val="center"/>
          </w:tcPr>
          <w:p>
            <w:pPr>
              <w:pStyle w:val="MicroLabel"/>
            </w:pPr>
            <w:r/>
            <w:r>
              <w:t>PROJECT NAME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project name]</w:t>
            </w:r>
          </w:p>
        </w:tc>
      </w:tr>
      <w:tr>
        <w:trPr>
          <w:cantSplit w:val="true"/>
          <w:trHeight w:val="408" w:hRule="atLeast"/>
        </w:trPr>
        <w:tc>
          <w:tcPr>
            <w:tcW w:w="3175" w:type="dxa"/>
            <w:vAlign w:val="center"/>
          </w:tcPr>
          <w:p>
            <w:pPr>
              <w:pStyle w:val="MicroLabel"/>
            </w:pPr>
            <w:r/>
            <w:r>
              <w:t>PROJECT NUMBER</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project / job number]</w:t>
            </w:r>
          </w:p>
        </w:tc>
      </w:tr>
      <w:tr>
        <w:trPr>
          <w:cantSplit w:val="true"/>
          <w:trHeight w:val="408" w:hRule="atLeast"/>
        </w:trPr>
        <w:tc>
          <w:tcPr>
            <w:tcW w:w="3175" w:type="dxa"/>
            <w:vAlign w:val="center"/>
          </w:tcPr>
          <w:p>
            <w:pPr>
              <w:pStyle w:val="MicroLabel"/>
            </w:pPr>
            <w:r/>
            <w:r>
              <w:t>SITE ADDRESS</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the street address emergency services would be given — not the project name]</w:t>
            </w:r>
          </w:p>
        </w:tc>
      </w:tr>
      <w:tr>
        <w:trPr>
          <w:cantSplit w:val="true"/>
          <w:trHeight w:val="408" w:hRule="atLeast"/>
        </w:trPr>
        <w:tc>
          <w:tcPr>
            <w:tcW w:w="3175" w:type="dxa"/>
            <w:vAlign w:val="center"/>
          </w:tcPr>
          <w:p>
            <w:pPr>
              <w:pStyle w:val="MicroLabel"/>
            </w:pPr>
            <w:r/>
            <w:r>
              <w:t>OWNER</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owner entity name]</w:t>
            </w:r>
          </w:p>
        </w:tc>
      </w:tr>
      <w:tr>
        <w:trPr>
          <w:cantSplit w:val="true"/>
          <w:trHeight w:val="408" w:hRule="atLeast"/>
        </w:trPr>
        <w:tc>
          <w:tcPr>
            <w:tcW w:w="3175" w:type="dxa"/>
            <w:vAlign w:val="center"/>
          </w:tcPr>
          <w:p>
            <w:pPr>
              <w:pStyle w:val="MicroLabel"/>
            </w:pPr>
            <w:r/>
            <w:r>
              <w:t>GENERAL CONTRACTOR</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the entity with management or control of the workplace]</w:t>
            </w:r>
          </w:p>
        </w:tc>
      </w:tr>
      <w:tr>
        <w:trPr>
          <w:cantSplit w:val="true"/>
          <w:trHeight w:val="408" w:hRule="atLeast"/>
        </w:trPr>
        <w:tc>
          <w:tcPr>
            <w:tcW w:w="3175" w:type="dxa"/>
            <w:vAlign w:val="center"/>
          </w:tcPr>
          <w:p>
            <w:pPr>
              <w:pStyle w:val="MicroLabel"/>
            </w:pPr>
            <w:r/>
            <w:r>
              <w:t>CONTRACT / PACKAGE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contract number and package scope]</w:t>
            </w:r>
          </w:p>
        </w:tc>
      </w:tr>
      <w:tr>
        <w:trPr>
          <w:cantSplit w:val="true"/>
          <w:trHeight w:val="408" w:hRule="atLeast"/>
        </w:trPr>
        <w:tc>
          <w:tcPr>
            <w:tcW w:w="3175" w:type="dxa"/>
            <w:vAlign w:val="center"/>
          </w:tcPr>
          <w:p>
            <w:pPr>
              <w:pStyle w:val="MicroLabel"/>
            </w:pPr>
            <w:r/>
            <w:r>
              <w:t>PLAN REFERENCE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document number, e.g. XXX-SAF-PLN-001]</w:t>
            </w:r>
          </w:p>
        </w:tc>
      </w:tr>
      <w:tr>
        <w:trPr>
          <w:cantSplit w:val="true"/>
          <w:trHeight w:val="408" w:hRule="atLeast"/>
        </w:trPr>
        <w:tc>
          <w:tcPr>
            <w:tcW w:w="3175" w:type="dxa"/>
            <w:vAlign w:val="center"/>
          </w:tcPr>
          <w:p>
            <w:pPr>
              <w:pStyle w:val="MicroLabel"/>
            </w:pPr>
            <w:r/>
            <w:r>
              <w:t>REVISION</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[A]</w:t>
            </w:r>
          </w:p>
        </w:tc>
      </w:tr>
      <w:tr>
        <w:trPr>
          <w:cantSplit w:val="true"/>
          <w:trHeight w:val="408" w:hRule="atLeast"/>
        </w:trPr>
        <w:tc>
          <w:tcPr>
            <w:tcW w:w="3175" w:type="dxa"/>
            <w:vAlign w:val="center"/>
          </w:tcPr>
          <w:p>
            <w:pPr>
              <w:pStyle w:val="MicroLabel"/>
            </w:pPr>
            <w:r/>
            <w:r>
              <w:t>DATE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[MM/DD/YY]</w:t>
            </w:r>
          </w:p>
        </w:tc>
      </w:tr>
      <w:tr>
        <w:trPr>
          <w:cantSplit w:val="true"/>
          <w:trHeight w:val="408" w:hRule="atLeast"/>
        </w:trPr>
        <w:tc>
          <w:tcPr>
            <w:tcW w:w="3175" w:type="dxa"/>
            <w:vAlign w:val="center"/>
          </w:tcPr>
          <w:p>
            <w:pPr>
              <w:pStyle w:val="MicroLabel"/>
            </w:pPr>
            <w:r/>
            <w:r>
              <w:t>PREPARED BY</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[Name · role · company]</w:t>
            </w:r>
          </w:p>
        </w:tc>
      </w:tr>
      <w:tr>
        <w:trPr>
          <w:cantSplit w:val="true"/>
          <w:trHeight w:val="408" w:hRule="atLeast"/>
        </w:trPr>
        <w:tc>
          <w:tcPr>
            <w:tcW w:w="3175" w:type="dxa"/>
            <w:vAlign w:val="center"/>
          </w:tcPr>
          <w:p>
            <w:pPr>
              <w:pStyle w:val="MicroLabel"/>
            </w:pPr>
            <w:r/>
            <w:r>
              <w:t>REVIEWED BY</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[Name · role — a competent person independent of the author]</w:t>
            </w:r>
          </w:p>
        </w:tc>
      </w:tr>
      <w:tr>
        <w:trPr>
          <w:cantSplit w:val="true"/>
          <w:trHeight w:val="408" w:hRule="atLeast"/>
        </w:trPr>
        <w:tc>
          <w:tcPr>
            <w:tcW w:w="3175" w:type="dxa"/>
            <w:vAlign w:val="center"/>
          </w:tcPr>
          <w:p>
            <w:pPr>
              <w:pStyle w:val="MicroLabel"/>
            </w:pPr>
            <w:r/>
            <w:r>
              <w:t>APPROVED BY</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[Name · role — the person with authority to commit the resources this plan requires]</w:t>
            </w:r>
          </w:p>
        </w:tc>
      </w:tr>
      <w:tr>
        <w:trPr>
          <w:cantSplit w:val="true"/>
          <w:trHeight w:val="408" w:hRule="atLeast"/>
        </w:trPr>
        <w:tc>
          <w:tcPr>
            <w:tcW w:w="3175" w:type="dxa"/>
            <w:vAlign w:val="center"/>
          </w:tcPr>
          <w:p>
            <w:pPr>
              <w:pStyle w:val="MicroLabel"/>
            </w:pPr>
            <w:r/>
            <w:r>
              <w:t>NEXT REVIEW DUE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[MM/DD/YY]</w:t>
            </w:r>
          </w:p>
        </w:tc>
      </w:tr>
      <w:tr>
        <w:trPr>
          <w:cantSplit w:val="true"/>
          <w:trHeight w:val="408" w:hRule="atLeast"/>
        </w:trPr>
        <w:tc>
          <w:tcPr>
            <w:tcW w:w="3175" w:type="dxa"/>
            <w:vAlign w:val="center"/>
          </w:tcPr>
          <w:p>
            <w:pPr>
              <w:pStyle w:val="MicroLabel"/>
            </w:pPr>
            <w:r/>
            <w:r>
              <w:t>PROJECT DURATION</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start and completion dates and duration in weeks]</w:t>
            </w:r>
          </w:p>
        </w:tc>
      </w:tr>
      <w:tr>
        <w:trPr>
          <w:cantSplit w:val="true"/>
          <w:trHeight w:val="408" w:hRule="atLeast"/>
        </w:trPr>
        <w:tc>
          <w:tcPr>
            <w:tcW w:w="3175" w:type="dxa"/>
            <w:vAlign w:val="center"/>
          </w:tcPr>
          <w:p>
            <w:pPr>
              <w:pStyle w:val="MicroLabel"/>
            </w:pPr>
            <w:r/>
            <w:r>
              <w:t>PEAK WORKFORCE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peak number of workers on site, all employers combined]</w:t>
            </w:r>
          </w:p>
        </w:tc>
      </w:tr>
      <w:tr>
        <w:trPr>
          <w:cantSplit w:val="true"/>
          <w:trHeight w:val="408" w:hRule="atLeast"/>
        </w:trPr>
        <w:tc>
          <w:tcPr>
            <w:tcW w:w="3175" w:type="dxa"/>
            <w:vAlign w:val="center"/>
          </w:tcPr>
          <w:p>
            <w:pPr>
              <w:pStyle w:val="MicroLabel"/>
            </w:pPr>
            <w:r/>
            <w:r>
              <w:t>HIGH-HAZARD WORK ON THIS PROJECT</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[Yes / No — if Yes, complete section 7 in full]</w:t>
            </w:r>
          </w:p>
        </w:tc>
      </w:tr>
    </w:tbl>
    <w:p>
      <w:pPr>
        <w:spacing w:before="0" w:after="0" w:line="280" w:lineRule="exact"/>
      </w:pPr>
    </w:p>
    <w:p>
      <w:pPr>
        <w:pStyle w:val="Note"/>
      </w:pPr>
      <w:r>
        <w:t>This plan is a controlled document. Before work begins on site it must be reviewed by a competent person against 29 CFR 1926, any OSHA-approved State Plan requirements that apply, and the Owner's contract requirements, and accepted by the Owner.</w:t>
      </w:r>
    </w:p>
    <w:p>
      <w:pPr>
        <w:sectPr>
          <w:headerReference w:type="default" r:id="rId17"/>
          <w:footerReference w:type="default" r:id="rId18"/>
          <w:headerReference w:type="first" r:id="rId19"/>
          <w:footerReference w:type="first" r:id="rId20"/>
          <w:headerReference w:type="even" r:id="rId21"/>
          <w:footerReference w:type="even" r:id="rId22"/>
          <w:pgSz w:w="11906" w:h="16838"/>
          <w:pgMar w:top="0" w:right="1134" w:bottom="794" w:left="1134" w:header="482" w:footer="454" w:gutter="0"/>
          <w:cols w:space="720"/>
        </w:sectPr>
      </w:pPr>
    </w:p>
    <w:p>
      <w:pPr>
        <w:pStyle w:val="Heading1"/>
      </w:pPr>
      <w:bookmarkStart w:id="9000" w:name="_Toc90000"/>
      <w:r>
        <w:t>Document Control</w:t>
      </w:r>
      <w:bookmarkEnd w:id="9000"/>
    </w:p>
    <w:p>
      <w:pPr>
        <w:pStyle w:val="Body"/>
      </w:pPr>
      <w:r>
        <w:t>This page establishes which revision is current, who holds it and which subordinate documents it governs. The plan is not complete until every row below is filled and the distribution list matches the people actually working to it.</w:t>
      </w:r>
    </w:p>
    <w:p>
      <w:pPr>
        <w:pStyle w:val="Heading2"/>
      </w:pPr>
      <w:bookmarkStart w:id="9001" w:name="_Toc90001"/>
      <w:r>
        <w:t>Revision history</w:t>
      </w:r>
      <w:bookmarkEnd w:id="9001"/>
    </w:p>
    <w:p>
      <w:pPr>
        <w:pStyle w:val="Note"/>
      </w:pPr>
      <w:r>
        <w:t>Example rows shown in gray italic — delete before use. Every revision that changes a control must state what changed, not just "updated".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699"/>
        <w:gridCol w:w="1165"/>
        <w:gridCol w:w="1165"/>
        <w:gridCol w:w="1165"/>
        <w:gridCol w:w="1165"/>
        <w:gridCol w:w="4279"/>
      </w:tblGrid>
      <w:tr>
        <w:trPr>
          <w:tblHeader w:val="true"/>
          <w:cantSplit w:val="true"/>
        </w:trPr>
        <w:tc>
          <w:tcPr>
            <w:tcW w:w="699" w:type="dxa"/>
            <w:shd w:val="clear" w:color="auto" w:fill="1D3245"/>
            <w:vAlign w:val="center"/>
          </w:tcPr>
          <w:p>
            <w:pPr>
              <w:pStyle w:val="TableHeader"/>
              <w:jc w:val="center"/>
            </w:pPr>
            <w:r/>
            <w:r>
              <w:t>Rev</w:t>
            </w:r>
          </w:p>
        </w:tc>
        <w:tc>
          <w:tcPr>
            <w:tcW w:w="1165" w:type="dxa"/>
            <w:shd w:val="clear" w:color="auto" w:fill="1D3245"/>
            <w:vAlign w:val="center"/>
          </w:tcPr>
          <w:p>
            <w:pPr>
              <w:pStyle w:val="TableHeader"/>
              <w:jc w:val="center"/>
            </w:pPr>
            <w:r/>
            <w:r>
              <w:t>Date</w:t>
            </w:r>
          </w:p>
        </w:tc>
        <w:tc>
          <w:tcPr>
            <w:tcW w:w="1165" w:type="dxa"/>
            <w:shd w:val="clear" w:color="auto" w:fill="1D3245"/>
            <w:vAlign w:val="center"/>
          </w:tcPr>
          <w:p>
            <w:pPr>
              <w:pStyle w:val="TableHeader"/>
              <w:jc w:val="center"/>
            </w:pPr>
            <w:r/>
            <w:r>
              <w:t>Prepared</w:t>
            </w:r>
          </w:p>
        </w:tc>
        <w:tc>
          <w:tcPr>
            <w:tcW w:w="1165" w:type="dxa"/>
            <w:shd w:val="clear" w:color="auto" w:fill="1D3245"/>
            <w:vAlign w:val="center"/>
          </w:tcPr>
          <w:p>
            <w:pPr>
              <w:pStyle w:val="TableHeader"/>
              <w:jc w:val="center"/>
            </w:pPr>
            <w:r/>
            <w:r>
              <w:t>Reviewed</w:t>
            </w:r>
          </w:p>
        </w:tc>
        <w:tc>
          <w:tcPr>
            <w:tcW w:w="1165" w:type="dxa"/>
            <w:shd w:val="clear" w:color="auto" w:fill="1D3245"/>
            <w:vAlign w:val="center"/>
          </w:tcPr>
          <w:p>
            <w:pPr>
              <w:pStyle w:val="TableHeader"/>
              <w:jc w:val="center"/>
            </w:pPr>
            <w:r/>
            <w:r>
              <w:t>Approved</w:t>
            </w:r>
          </w:p>
        </w:tc>
        <w:tc>
          <w:tcPr>
            <w:tcW w:w="4279" w:type="dxa"/>
            <w:shd w:val="clear" w:color="auto" w:fill="1D3245"/>
            <w:vAlign w:val="center"/>
          </w:tcPr>
          <w:p>
            <w:pPr>
              <w:pStyle w:val="TableHeader"/>
              <w:jc w:val="left"/>
            </w:pPr>
            <w:r/>
            <w:r>
              <w:t>Description of change and reason</w:t>
            </w:r>
          </w:p>
        </w:tc>
      </w:tr>
      <w:tr>
        <w:trPr>
          <w:cantSplit w:val="true"/>
        </w:trPr>
        <w:tc>
          <w:tcPr>
            <w:tcW w:w="699" w:type="dxa"/>
            <w:vAlign w:val="center"/>
          </w:tcPr>
          <w:p>
            <w:pPr>
              <w:pStyle w:val="TableTextExample"/>
              <w:jc w:val="center"/>
            </w:pPr>
            <w:r/>
            <w:r>
              <w:t>A</w:t>
            </w:r>
          </w:p>
        </w:tc>
        <w:tc>
          <w:tcPr>
            <w:tcW w:w="1165" w:type="dxa"/>
            <w:vAlign w:val="center"/>
          </w:tcPr>
          <w:p>
            <w:pPr>
              <w:pStyle w:val="TableTextExample"/>
              <w:jc w:val="center"/>
            </w:pPr>
            <w:r/>
            <w:r>
              <w:t>[MM/DD/YY]</w:t>
            </w:r>
          </w:p>
        </w:tc>
        <w:tc>
          <w:tcPr>
            <w:tcW w:w="1165" w:type="dxa"/>
            <w:vAlign w:val="center"/>
          </w:tcPr>
          <w:p>
            <w:pPr>
              <w:pStyle w:val="TableTextExample"/>
              <w:jc w:val="center"/>
            </w:pPr>
            <w:r/>
            <w:r>
              <w:t>[Init.]</w:t>
            </w:r>
          </w:p>
        </w:tc>
        <w:tc>
          <w:tcPr>
            <w:tcW w:w="1165" w:type="dxa"/>
            <w:vAlign w:val="center"/>
          </w:tcPr>
          <w:p>
            <w:pPr>
              <w:pStyle w:val="TableTextExample"/>
              <w:jc w:val="center"/>
            </w:pPr>
            <w:r/>
            <w:r>
              <w:t>[Init.]</w:t>
            </w:r>
          </w:p>
        </w:tc>
        <w:tc>
          <w:tcPr>
            <w:tcW w:w="1165" w:type="dxa"/>
            <w:vAlign w:val="center"/>
          </w:tcPr>
          <w:p>
            <w:pPr>
              <w:pStyle w:val="TableTextExample"/>
              <w:jc w:val="center"/>
            </w:pPr>
            <w:r/>
            <w:r>
              <w:t>[Init.]</w:t>
            </w:r>
          </w:p>
        </w:tc>
        <w:tc>
          <w:tcPr>
            <w:tcW w:w="4279" w:type="dxa"/>
            <w:vAlign w:val="center"/>
          </w:tcPr>
          <w:p>
            <w:pPr>
              <w:pStyle w:val="TableTextExample"/>
              <w:jc w:val="left"/>
            </w:pPr>
            <w:r/>
            <w:r>
              <w:t>First issue for Owner acceptance prior to site establishment</w:t>
            </w:r>
          </w:p>
        </w:tc>
      </w:tr>
      <w:tr>
        <w:trPr>
          <w:cantSplit w:val="true"/>
        </w:trPr>
        <w:tc>
          <w:tcPr>
            <w:tcW w:w="699" w:type="dxa"/>
            <w:vAlign w:val="center"/>
          </w:tcPr>
          <w:p>
            <w:pPr>
              <w:pStyle w:val="TableTextExample"/>
              <w:jc w:val="center"/>
            </w:pPr>
            <w:r/>
            <w:r>
              <w:t>B</w:t>
            </w:r>
          </w:p>
        </w:tc>
        <w:tc>
          <w:tcPr>
            <w:tcW w:w="1165" w:type="dxa"/>
            <w:vAlign w:val="center"/>
          </w:tcPr>
          <w:p>
            <w:pPr>
              <w:pStyle w:val="TableTextExample"/>
              <w:jc w:val="center"/>
            </w:pPr>
            <w:r/>
            <w:r>
              <w:t>[MM/DD/YY]</w:t>
            </w:r>
          </w:p>
        </w:tc>
        <w:tc>
          <w:tcPr>
            <w:tcW w:w="1165" w:type="dxa"/>
            <w:vAlign w:val="center"/>
          </w:tcPr>
          <w:p>
            <w:pPr>
              <w:pStyle w:val="TableTextExample"/>
              <w:jc w:val="center"/>
            </w:pPr>
            <w:r/>
            <w:r>
              <w:t>[Init.]</w:t>
            </w:r>
          </w:p>
        </w:tc>
        <w:tc>
          <w:tcPr>
            <w:tcW w:w="1165" w:type="dxa"/>
            <w:vAlign w:val="center"/>
          </w:tcPr>
          <w:p>
            <w:pPr>
              <w:pStyle w:val="TableTextExample"/>
              <w:jc w:val="center"/>
            </w:pPr>
            <w:r/>
            <w:r>
              <w:t>[Init.]</w:t>
            </w:r>
          </w:p>
        </w:tc>
        <w:tc>
          <w:tcPr>
            <w:tcW w:w="1165" w:type="dxa"/>
            <w:vAlign w:val="center"/>
          </w:tcPr>
          <w:p>
            <w:pPr>
              <w:pStyle w:val="TableTextExample"/>
              <w:jc w:val="center"/>
            </w:pPr>
            <w:r/>
            <w:r>
              <w:t>[Init.]</w:t>
            </w:r>
          </w:p>
        </w:tc>
        <w:tc>
          <w:tcPr>
            <w:tcW w:w="4279" w:type="dxa"/>
            <w:vAlign w:val="center"/>
          </w:tcPr>
          <w:p>
            <w:pPr>
              <w:pStyle w:val="TableTextExample"/>
              <w:jc w:val="left"/>
            </w:pPr>
            <w:r/>
            <w:r>
              <w:t>Reissued on addition of deep excavation and shoring — sections 6, 7 and 11 revised; workforce re-briefed 12/05</w:t>
            </w:r>
          </w:p>
        </w:tc>
      </w:tr>
      <w:tr>
        <w:trPr>
          <w:cantSplit w:val="true"/>
        </w:trPr>
        <w:tc>
          <w:tcPr>
            <w:tcW w:w="699" w:type="dxa"/>
            <w:vAlign w:val="center"/>
          </w:tcPr>
          <w:p>
            <w:pPr>
              <w:pStyle w:val="TableTextCentre"/>
              <w:jc w:val="center"/>
            </w:pPr>
            <w:r/>
          </w:p>
        </w:tc>
        <w:tc>
          <w:tcPr>
            <w:tcW w:w="1165" w:type="dxa"/>
            <w:vAlign w:val="center"/>
          </w:tcPr>
          <w:p>
            <w:pPr>
              <w:pStyle w:val="TableTextCentre"/>
              <w:jc w:val="center"/>
            </w:pPr>
            <w:r/>
          </w:p>
        </w:tc>
        <w:tc>
          <w:tcPr>
            <w:tcW w:w="1165" w:type="dxa"/>
            <w:vAlign w:val="center"/>
          </w:tcPr>
          <w:p>
            <w:pPr>
              <w:pStyle w:val="TableTextCentre"/>
              <w:jc w:val="center"/>
            </w:pPr>
            <w:r/>
          </w:p>
        </w:tc>
        <w:tc>
          <w:tcPr>
            <w:tcW w:w="1165" w:type="dxa"/>
            <w:vAlign w:val="center"/>
          </w:tcPr>
          <w:p>
            <w:pPr>
              <w:pStyle w:val="TableTextCentre"/>
              <w:jc w:val="center"/>
            </w:pPr>
            <w:r/>
          </w:p>
        </w:tc>
        <w:tc>
          <w:tcPr>
            <w:tcW w:w="1165" w:type="dxa"/>
            <w:vAlign w:val="center"/>
          </w:tcPr>
          <w:p>
            <w:pPr>
              <w:pStyle w:val="TableTextCentre"/>
              <w:jc w:val="center"/>
            </w:pPr>
            <w:r/>
          </w:p>
        </w:tc>
        <w:tc>
          <w:tcPr>
            <w:tcW w:w="4279" w:type="dxa"/>
            <w:vAlign w:val="center"/>
          </w:tcPr>
          <w:p>
            <w:pPr>
              <w:pStyle w:val="TableText"/>
              <w:jc w:val="left"/>
            </w:pPr>
            <w:r/>
          </w:p>
        </w:tc>
      </w:tr>
      <w:tr>
        <w:trPr>
          <w:cantSplit w:val="true"/>
        </w:trPr>
        <w:tc>
          <w:tcPr>
            <w:tcW w:w="699" w:type="dxa"/>
            <w:vAlign w:val="center"/>
          </w:tcPr>
          <w:p>
            <w:pPr>
              <w:pStyle w:val="TableTextCentre"/>
              <w:jc w:val="center"/>
            </w:pPr>
            <w:r/>
          </w:p>
        </w:tc>
        <w:tc>
          <w:tcPr>
            <w:tcW w:w="1165" w:type="dxa"/>
            <w:vAlign w:val="center"/>
          </w:tcPr>
          <w:p>
            <w:pPr>
              <w:pStyle w:val="TableTextCentre"/>
              <w:jc w:val="center"/>
            </w:pPr>
            <w:r/>
          </w:p>
        </w:tc>
        <w:tc>
          <w:tcPr>
            <w:tcW w:w="1165" w:type="dxa"/>
            <w:vAlign w:val="center"/>
          </w:tcPr>
          <w:p>
            <w:pPr>
              <w:pStyle w:val="TableTextCentre"/>
              <w:jc w:val="center"/>
            </w:pPr>
            <w:r/>
          </w:p>
        </w:tc>
        <w:tc>
          <w:tcPr>
            <w:tcW w:w="1165" w:type="dxa"/>
            <w:vAlign w:val="center"/>
          </w:tcPr>
          <w:p>
            <w:pPr>
              <w:pStyle w:val="TableTextCentre"/>
              <w:jc w:val="center"/>
            </w:pPr>
            <w:r/>
          </w:p>
        </w:tc>
        <w:tc>
          <w:tcPr>
            <w:tcW w:w="1165" w:type="dxa"/>
            <w:vAlign w:val="center"/>
          </w:tcPr>
          <w:p>
            <w:pPr>
              <w:pStyle w:val="TableTextCentre"/>
              <w:jc w:val="center"/>
            </w:pPr>
            <w:r/>
          </w:p>
        </w:tc>
        <w:tc>
          <w:tcPr>
            <w:tcW w:w="4279" w:type="dxa"/>
            <w:vAlign w:val="center"/>
          </w:tcPr>
          <w:p>
            <w:pPr>
              <w:pStyle w:val="TableText"/>
              <w:jc w:val="left"/>
            </w:pPr>
            <w:r/>
          </w:p>
        </w:tc>
      </w:tr>
    </w:tbl>
    <w:p>
      <w:pPr>
        <w:spacing w:before="0" w:after="0" w:line="60" w:lineRule="exact"/>
      </w:pPr>
    </w:p>
    <w:p>
      <w:pPr>
        <w:pStyle w:val="Heading2"/>
      </w:pPr>
      <w:bookmarkStart w:id="9002" w:name="_Toc90002"/>
      <w:r>
        <w:t>Distribution and controlled copies</w:t>
      </w:r>
      <w:bookmarkEnd w:id="9002"/>
    </w:p>
    <w:p>
      <w:pPr>
        <w:pStyle w:val="Note"/>
      </w:pPr>
      <w:r>
        <w:t>Example rows shown in gray italic — delete before use.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438"/>
        <w:gridCol w:w="1627"/>
        <w:gridCol w:w="2127"/>
        <w:gridCol w:w="2127"/>
        <w:gridCol w:w="2127"/>
        <w:gridCol w:w="1192"/>
      </w:tblGrid>
      <w:tr>
        <w:trPr>
          <w:tblHeader w:val="true"/>
          <w:cantSplit w:val="true"/>
        </w:trPr>
        <w:tc>
          <w:tcPr>
            <w:tcW w:w="438" w:type="dxa"/>
            <w:shd w:val="clear" w:color="auto" w:fill="1D3245"/>
            <w:vAlign w:val="center"/>
          </w:tcPr>
          <w:p>
            <w:pPr>
              <w:pStyle w:val="TableHeader"/>
              <w:jc w:val="center"/>
            </w:pPr>
            <w:r/>
            <w:r>
              <w:t>#</w:t>
            </w:r>
          </w:p>
        </w:tc>
        <w:tc>
          <w:tcPr>
            <w:tcW w:w="1627" w:type="dxa"/>
            <w:shd w:val="clear" w:color="auto" w:fill="1D3245"/>
            <w:vAlign w:val="center"/>
          </w:tcPr>
          <w:p>
            <w:pPr>
              <w:pStyle w:val="TableHeader"/>
              <w:jc w:val="left"/>
            </w:pPr>
            <w:r/>
            <w:r>
              <w:t>Name</w:t>
            </w:r>
          </w:p>
        </w:tc>
        <w:tc>
          <w:tcPr>
            <w:tcW w:w="2127" w:type="dxa"/>
            <w:shd w:val="clear" w:color="auto" w:fill="1D3245"/>
            <w:vAlign w:val="center"/>
          </w:tcPr>
          <w:p>
            <w:pPr>
              <w:pStyle w:val="TableHeader"/>
              <w:jc w:val="left"/>
            </w:pPr>
            <w:r/>
            <w:r>
              <w:t>Organization</w:t>
            </w:r>
          </w:p>
        </w:tc>
        <w:tc>
          <w:tcPr>
            <w:tcW w:w="2127" w:type="dxa"/>
            <w:shd w:val="clear" w:color="auto" w:fill="1D3245"/>
            <w:vAlign w:val="center"/>
          </w:tcPr>
          <w:p>
            <w:pPr>
              <w:pStyle w:val="TableHeader"/>
              <w:jc w:val="left"/>
            </w:pPr>
            <w:r/>
            <w:r>
              <w:t>Role</w:t>
            </w:r>
          </w:p>
        </w:tc>
        <w:tc>
          <w:tcPr>
            <w:tcW w:w="2127" w:type="dxa"/>
            <w:shd w:val="clear" w:color="auto" w:fill="1D3245"/>
            <w:vAlign w:val="center"/>
          </w:tcPr>
          <w:p>
            <w:pPr>
              <w:pStyle w:val="TableHeader"/>
              <w:jc w:val="left"/>
            </w:pPr>
            <w:r/>
            <w:r>
              <w:t>Format</w:t>
            </w:r>
          </w:p>
        </w:tc>
        <w:tc>
          <w:tcPr>
            <w:tcW w:w="1192" w:type="dxa"/>
            <w:shd w:val="clear" w:color="auto" w:fill="1D3245"/>
            <w:vAlign w:val="center"/>
          </w:tcPr>
          <w:p>
            <w:pPr>
              <w:pStyle w:val="TableHeader"/>
              <w:jc w:val="center"/>
            </w:pPr>
            <w:r/>
            <w:r>
              <w:t>Date issued</w:t>
            </w:r>
          </w:p>
        </w:tc>
      </w:tr>
      <w:tr>
        <w:trPr>
          <w:cantSplit w:val="true"/>
        </w:trPr>
        <w:tc>
          <w:tcPr>
            <w:tcW w:w="438" w:type="dxa"/>
            <w:vAlign w:val="center"/>
          </w:tcPr>
          <w:p>
            <w:pPr>
              <w:pStyle w:val="TableTextExample"/>
              <w:jc w:val="center"/>
            </w:pPr>
            <w:r/>
            <w:r>
              <w:t>1</w:t>
            </w:r>
          </w:p>
        </w:tc>
        <w:tc>
          <w:tcPr>
            <w:tcW w:w="1627" w:type="dxa"/>
            <w:vAlign w:val="center"/>
          </w:tcPr>
          <w:p>
            <w:pPr>
              <w:pStyle w:val="TableTextExample"/>
              <w:jc w:val="left"/>
            </w:pPr>
            <w:r/>
            <w:r>
              <w:t>[Name]</w:t>
            </w:r>
          </w:p>
        </w:tc>
        <w:tc>
          <w:tcPr>
            <w:tcW w:w="2127" w:type="dxa"/>
            <w:vAlign w:val="center"/>
          </w:tcPr>
          <w:p>
            <w:pPr>
              <w:pStyle w:val="TableTextExample"/>
              <w:jc w:val="left"/>
            </w:pPr>
            <w:r/>
            <w:r>
              <w:t>Northbank Health Authority</w:t>
            </w:r>
          </w:p>
        </w:tc>
        <w:tc>
          <w:tcPr>
            <w:tcW w:w="2127" w:type="dxa"/>
            <w:vAlign w:val="center"/>
          </w:tcPr>
          <w:p>
            <w:pPr>
              <w:pStyle w:val="TableTextExample"/>
              <w:jc w:val="left"/>
            </w:pPr>
            <w:r/>
            <w:r>
              <w:t>Owner Project Director</w:t>
            </w:r>
          </w:p>
        </w:tc>
        <w:tc>
          <w:tcPr>
            <w:tcW w:w="2127" w:type="dxa"/>
            <w:vAlign w:val="center"/>
          </w:tcPr>
          <w:p>
            <w:pPr>
              <w:pStyle w:val="TableTextExample"/>
              <w:jc w:val="left"/>
            </w:pPr>
            <w:r/>
            <w:r>
              <w:t>PDF (controlled)</w:t>
            </w:r>
          </w:p>
        </w:tc>
        <w:tc>
          <w:tcPr>
            <w:tcW w:w="1192" w:type="dxa"/>
            <w:vAlign w:val="center"/>
          </w:tcPr>
          <w:p>
            <w:pPr>
              <w:pStyle w:val="TableTextExample"/>
              <w:jc w:val="center"/>
            </w:pPr>
            <w:r/>
            <w:r>
              <w:t>[MM/DD/YY]</w:t>
            </w:r>
          </w:p>
        </w:tc>
      </w:tr>
      <w:tr>
        <w:trPr>
          <w:cantSplit w:val="true"/>
        </w:trPr>
        <w:tc>
          <w:tcPr>
            <w:tcW w:w="438" w:type="dxa"/>
            <w:vAlign w:val="center"/>
          </w:tcPr>
          <w:p>
            <w:pPr>
              <w:pStyle w:val="TableTextExample"/>
              <w:jc w:val="center"/>
            </w:pPr>
            <w:r/>
            <w:r>
              <w:t>2</w:t>
            </w:r>
          </w:p>
        </w:tc>
        <w:tc>
          <w:tcPr>
            <w:tcW w:w="1627" w:type="dxa"/>
            <w:vAlign w:val="center"/>
          </w:tcPr>
          <w:p>
            <w:pPr>
              <w:pStyle w:val="TableTextExample"/>
              <w:jc w:val="left"/>
            </w:pPr>
            <w:r/>
            <w:r>
              <w:t>[Name]</w:t>
            </w:r>
          </w:p>
        </w:tc>
        <w:tc>
          <w:tcPr>
            <w:tcW w:w="2127" w:type="dxa"/>
            <w:vAlign w:val="center"/>
          </w:tcPr>
          <w:p>
            <w:pPr>
              <w:pStyle w:val="TableTextExample"/>
              <w:jc w:val="left"/>
            </w:pPr>
            <w:r/>
            <w:r>
              <w:t>[General contractor]</w:t>
            </w:r>
          </w:p>
        </w:tc>
        <w:tc>
          <w:tcPr>
            <w:tcW w:w="2127" w:type="dxa"/>
            <w:vAlign w:val="center"/>
          </w:tcPr>
          <w:p>
            <w:pPr>
              <w:pStyle w:val="TableTextExample"/>
              <w:jc w:val="left"/>
            </w:pPr>
            <w:r/>
            <w:r>
              <w:t>Safety Manager</w:t>
            </w:r>
          </w:p>
        </w:tc>
        <w:tc>
          <w:tcPr>
            <w:tcW w:w="2127" w:type="dxa"/>
            <w:vAlign w:val="center"/>
          </w:tcPr>
          <w:p>
            <w:pPr>
              <w:pStyle w:val="TableTextExample"/>
              <w:jc w:val="left"/>
            </w:pPr>
            <w:r/>
            <w:r>
              <w:t>Hard copy — site office</w:t>
            </w:r>
          </w:p>
        </w:tc>
        <w:tc>
          <w:tcPr>
            <w:tcW w:w="1192" w:type="dxa"/>
            <w:vAlign w:val="center"/>
          </w:tcPr>
          <w:p>
            <w:pPr>
              <w:pStyle w:val="TableTextExample"/>
              <w:jc w:val="center"/>
            </w:pPr>
            <w:r/>
            <w:r>
              <w:t>[MM/DD/YY]</w:t>
            </w:r>
          </w:p>
        </w:tc>
      </w:tr>
      <w:tr>
        <w:trPr>
          <w:cantSplit w:val="true"/>
        </w:trPr>
        <w:tc>
          <w:tcPr>
            <w:tcW w:w="438" w:type="dxa"/>
            <w:vAlign w:val="center"/>
          </w:tcPr>
          <w:p>
            <w:pPr>
              <w:pStyle w:val="TableTextCentre"/>
              <w:jc w:val="center"/>
            </w:pPr>
            <w:r/>
            <w:r>
              <w:t>3</w:t>
            </w:r>
          </w:p>
        </w:tc>
        <w:tc>
          <w:tcPr>
            <w:tcW w:w="1627" w:type="dxa"/>
            <w:vAlign w:val="center"/>
          </w:tcPr>
          <w:p>
            <w:pPr>
              <w:pStyle w:val="TableText"/>
              <w:jc w:val="left"/>
            </w:pPr>
            <w:r/>
          </w:p>
        </w:tc>
        <w:tc>
          <w:tcPr>
            <w:tcW w:w="2127" w:type="dxa"/>
            <w:vAlign w:val="center"/>
          </w:tcPr>
          <w:p>
            <w:pPr>
              <w:pStyle w:val="TableText"/>
              <w:jc w:val="left"/>
            </w:pPr>
            <w:r/>
          </w:p>
        </w:tc>
        <w:tc>
          <w:tcPr>
            <w:tcW w:w="2127" w:type="dxa"/>
            <w:vAlign w:val="center"/>
          </w:tcPr>
          <w:p>
            <w:pPr>
              <w:pStyle w:val="TableText"/>
              <w:jc w:val="left"/>
            </w:pPr>
            <w:r/>
          </w:p>
        </w:tc>
        <w:tc>
          <w:tcPr>
            <w:tcW w:w="2127" w:type="dxa"/>
            <w:vAlign w:val="center"/>
          </w:tcPr>
          <w:p>
            <w:pPr>
              <w:pStyle w:val="TableText"/>
              <w:jc w:val="left"/>
            </w:pPr>
            <w:r/>
          </w:p>
        </w:tc>
        <w:tc>
          <w:tcPr>
            <w:tcW w:w="1192" w:type="dxa"/>
            <w:vAlign w:val="center"/>
          </w:tcPr>
          <w:p>
            <w:pPr>
              <w:pStyle w:val="TableTextCentre"/>
              <w:jc w:val="center"/>
            </w:pPr>
            <w:r/>
          </w:p>
        </w:tc>
      </w:tr>
      <w:tr>
        <w:trPr>
          <w:cantSplit w:val="true"/>
        </w:trPr>
        <w:tc>
          <w:tcPr>
            <w:tcW w:w="438" w:type="dxa"/>
            <w:vAlign w:val="center"/>
          </w:tcPr>
          <w:p>
            <w:pPr>
              <w:pStyle w:val="TableTextCentre"/>
              <w:jc w:val="center"/>
            </w:pPr>
            <w:r/>
            <w:r>
              <w:t>4</w:t>
            </w:r>
          </w:p>
        </w:tc>
        <w:tc>
          <w:tcPr>
            <w:tcW w:w="1627" w:type="dxa"/>
            <w:vAlign w:val="center"/>
          </w:tcPr>
          <w:p>
            <w:pPr>
              <w:pStyle w:val="TableText"/>
              <w:jc w:val="left"/>
            </w:pPr>
            <w:r/>
          </w:p>
        </w:tc>
        <w:tc>
          <w:tcPr>
            <w:tcW w:w="2127" w:type="dxa"/>
            <w:vAlign w:val="center"/>
          </w:tcPr>
          <w:p>
            <w:pPr>
              <w:pStyle w:val="TableText"/>
              <w:jc w:val="left"/>
            </w:pPr>
            <w:r/>
          </w:p>
        </w:tc>
        <w:tc>
          <w:tcPr>
            <w:tcW w:w="2127" w:type="dxa"/>
            <w:vAlign w:val="center"/>
          </w:tcPr>
          <w:p>
            <w:pPr>
              <w:pStyle w:val="TableText"/>
              <w:jc w:val="left"/>
            </w:pPr>
            <w:r/>
          </w:p>
        </w:tc>
        <w:tc>
          <w:tcPr>
            <w:tcW w:w="2127" w:type="dxa"/>
            <w:vAlign w:val="center"/>
          </w:tcPr>
          <w:p>
            <w:pPr>
              <w:pStyle w:val="TableText"/>
              <w:jc w:val="left"/>
            </w:pPr>
            <w:r/>
          </w:p>
        </w:tc>
        <w:tc>
          <w:tcPr>
            <w:tcW w:w="1192" w:type="dxa"/>
            <w:vAlign w:val="center"/>
          </w:tcPr>
          <w:p>
            <w:pPr>
              <w:pStyle w:val="TableTextCentre"/>
              <w:jc w:val="center"/>
            </w:pPr>
            <w:r/>
          </w:p>
        </w:tc>
      </w:tr>
    </w:tbl>
    <w:p>
      <w:pPr>
        <w:spacing w:before="0" w:after="0" w:line="60" w:lineRule="exact"/>
      </w:pP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rPr>
          <w:cantSplit/>
        </w:trPr>
        <w:tc>
          <w:tcPr>
            <w:tcW w:w="9638" w:type="dxa"/>
            <w:shd w:val="clear" w:color="auto" w:fill="FDF3DC"/>
            <w:tcBorders>
              <w:left w:val="single" w:sz="4" w:space="0" w:color="C98A0E"/>
            </w:tcBorders>
          </w:tcPr>
          <w:p>
            <w:pPr>
              <w:pStyle w:val="Body"/>
            </w:pPr>
            <w:r/>
            <w:r>
              <w:t>Controlled copy statement.  Only the revision recorded above as current is a controlled copy; printed copies are uncontrolled unless stamped and registered. On each new revision the document controller withdraws and destroys every superseded copy from the site office, break area huts, notice boards and subcontractor packs, and records the withdrawal. Working to a superseded plan is a nonconformance.</w:t>
            </w:r>
          </w:p>
        </w:tc>
      </w:tr>
    </w:tbl>
    <w:p>
      <w:pPr>
        <w:spacing w:before="0" w:after="0" w:line="160" w:lineRule="exact"/>
      </w:pPr>
    </w:p>
    <w:p>
      <w:pPr>
        <w:pStyle w:val="Heading2"/>
      </w:pPr>
      <w:bookmarkStart w:id="9003" w:name="_Toc90003"/>
      <w:r>
        <w:t>Related documents register</w:t>
      </w:r>
      <w:bookmarkEnd w:id="9003"/>
    </w:p>
    <w:p>
      <w:pPr>
        <w:pStyle w:val="Body"/>
      </w:pPr>
      <w:r>
        <w:t>This plan states what will be done and who is accountable; the documents below state how each task is done. Anything listed here is part of the safety management system for this project and is auditable against this plan.</w:t>
      </w:r>
    </w:p>
    <w:p>
      <w:pPr>
        <w:pStyle w:val="Note"/>
      </w:pPr>
      <w:r>
        <w:t>Row 1 is completed as an example in gray italic — delete before use. Add any further plan, procedure or register that applies; delete those that do not. Superseded copies must be withdrawn. Where a document is prepared by a subcontractor the general contractor still reviews and accepts it — acceptance does not transfer the subcontractor's duty, and review does not create one.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3061"/>
        <w:gridCol w:w="1814"/>
        <w:gridCol w:w="1927"/>
        <w:gridCol w:w="2836"/>
      </w:tblGrid>
      <w:tr>
        <w:trPr>
          <w:tblHeader w:val="true"/>
          <w:cantSplit w:val="true"/>
        </w:trPr>
        <w:tc>
          <w:tcPr>
            <w:tcW w:w="3061" w:type="dxa"/>
            <w:shd w:val="clear" w:color="auto" w:fill="1D3245"/>
            <w:vAlign w:val="center"/>
          </w:tcPr>
          <w:p>
            <w:pPr>
              <w:pStyle w:val="TableHeader"/>
              <w:jc w:val="left"/>
            </w:pPr>
            <w:r/>
            <w:r>
              <w:t>Document</w:t>
            </w:r>
          </w:p>
        </w:tc>
        <w:tc>
          <w:tcPr>
            <w:tcW w:w="1814" w:type="dxa"/>
            <w:shd w:val="clear" w:color="auto" w:fill="1D3245"/>
            <w:vAlign w:val="center"/>
          </w:tcPr>
          <w:p>
            <w:pPr>
              <w:pStyle w:val="TableHeader"/>
              <w:jc w:val="left"/>
            </w:pPr>
            <w:r/>
            <w:r>
              <w:t>Reference</w:t>
            </w:r>
          </w:p>
        </w:tc>
        <w:tc>
          <w:tcPr>
            <w:tcW w:w="1927" w:type="dxa"/>
            <w:shd w:val="clear" w:color="auto" w:fill="1D3245"/>
            <w:vAlign w:val="center"/>
          </w:tcPr>
          <w:p>
            <w:pPr>
              <w:pStyle w:val="TableHeader"/>
              <w:jc w:val="left"/>
            </w:pPr>
            <w:r/>
            <w:r>
              <w:t>Owner</w:t>
            </w:r>
          </w:p>
        </w:tc>
        <w:tc>
          <w:tcPr>
            <w:tcW w:w="2836" w:type="dxa"/>
            <w:shd w:val="clear" w:color="auto" w:fill="1D3245"/>
            <w:vAlign w:val="center"/>
          </w:tcPr>
          <w:p>
            <w:pPr>
              <w:pStyle w:val="TableHeader"/>
              <w:jc w:val="left"/>
            </w:pPr>
            <w:r/>
            <w:r>
              <w:t>Where held</w:t>
            </w:r>
          </w:p>
        </w:tc>
      </w:tr>
      <w:tr>
        <w:trPr>
          <w:cantSplit w:val="true"/>
        </w:trPr>
        <w:tc>
          <w:tcPr>
            <w:tcW w:w="3061" w:type="dxa"/>
            <w:vAlign w:val="center"/>
          </w:tcPr>
          <w:p>
            <w:pPr>
              <w:pStyle w:val="TableTextExample"/>
              <w:jc w:val="left"/>
            </w:pPr>
            <w:r/>
            <w:r>
              <w:t>Safe Work Method Statements / JSA / AHA — one per high-hazard activity (Mastt JHA template)</w:t>
            </w:r>
          </w:p>
        </w:tc>
        <w:tc>
          <w:tcPr>
            <w:tcW w:w="1814" w:type="dxa"/>
            <w:vAlign w:val="center"/>
          </w:tcPr>
          <w:p>
            <w:pPr>
              <w:pStyle w:val="TableTextExample"/>
              <w:jc w:val="left"/>
            </w:pPr>
            <w:r/>
            <w:r>
              <w:t>[XXX]-safety-JHA-[nn] register</w:t>
            </w:r>
          </w:p>
        </w:tc>
        <w:tc>
          <w:tcPr>
            <w:tcW w:w="1927" w:type="dxa"/>
            <w:vAlign w:val="center"/>
          </w:tcPr>
          <w:p>
            <w:pPr>
              <w:pStyle w:val="TableTextExample"/>
              <w:jc w:val="left"/>
            </w:pPr>
            <w:r/>
            <w:r>
              <w:t>Each subcontractor EMPLOYER; accepted by Safety Manager</w:t>
            </w:r>
          </w:p>
        </w:tc>
        <w:tc>
          <w:tcPr>
            <w:tcW w:w="2836" w:type="dxa"/>
            <w:vAlign w:val="center"/>
          </w:tcPr>
          <w:p>
            <w:pPr>
              <w:pStyle w:val="TableTextExample"/>
              <w:jc w:val="left"/>
            </w:pPr>
            <w:r/>
            <w:r>
              <w:t>JHA register, site office; current copy at the work face</w:t>
            </w:r>
          </w:p>
        </w:tc>
      </w:tr>
      <w:tr>
        <w:trPr>
          <w:cantSplit w:val="true"/>
        </w:trPr>
        <w:tc>
          <w:tcPr>
            <w:tcW w:w="3061" w:type="dxa"/>
            <w:vAlign w:val="center"/>
          </w:tcPr>
          <w:p>
            <w:pPr>
              <w:pStyle w:val="TableText"/>
              <w:jc w:val="left"/>
            </w:pPr>
            <w:r/>
            <w:r>
              <w:t>Emergency Response and Evacuation Plan</w:t>
            </w:r>
          </w:p>
        </w:tc>
        <w:tc>
          <w:tcPr>
            <w:tcW w:w="1814" w:type="dxa"/>
            <w:vAlign w:val="center"/>
          </w:tcPr>
          <w:p>
            <w:pPr>
              <w:pStyle w:val="TableText"/>
              <w:jc w:val="left"/>
            </w:pPr>
            <w:r/>
            <w:r>
              <w:t>[Insert reference]</w:t>
            </w:r>
          </w:p>
        </w:tc>
        <w:tc>
          <w:tcPr>
            <w:tcW w:w="1927" w:type="dxa"/>
            <w:vAlign w:val="center"/>
          </w:tcPr>
          <w:p>
            <w:pPr>
              <w:pStyle w:val="TableText"/>
              <w:jc w:val="left"/>
            </w:pPr>
            <w:r/>
            <w:r>
              <w:t>Site Manager</w:t>
            </w:r>
          </w:p>
        </w:tc>
        <w:tc>
          <w:tcPr>
            <w:tcW w:w="2836" w:type="dxa"/>
            <w:vAlign w:val="center"/>
          </w:tcPr>
          <w:p>
            <w:pPr>
              <w:pStyle w:val="TableText"/>
              <w:jc w:val="left"/>
            </w:pPr>
            <w:r/>
            <w:r>
              <w:t>Site office; posted at every access point</w:t>
            </w:r>
          </w:p>
        </w:tc>
      </w:tr>
      <w:tr>
        <w:trPr>
          <w:cantSplit w:val="true"/>
        </w:trPr>
        <w:tc>
          <w:tcPr>
            <w:tcW w:w="3061" w:type="dxa"/>
            <w:vAlign w:val="center"/>
          </w:tcPr>
          <w:p>
            <w:pPr>
              <w:pStyle w:val="TableText"/>
              <w:jc w:val="left"/>
            </w:pPr>
            <w:r/>
            <w:r>
              <w:t>Traffic Management Plan — site and public road interface</w:t>
            </w:r>
          </w:p>
        </w:tc>
        <w:tc>
          <w:tcPr>
            <w:tcW w:w="1814" w:type="dxa"/>
            <w:vAlign w:val="center"/>
          </w:tcPr>
          <w:p>
            <w:pPr>
              <w:pStyle w:val="TableText"/>
              <w:jc w:val="left"/>
            </w:pPr>
            <w:r/>
            <w:r>
              <w:t>[Insert reference]</w:t>
            </w:r>
          </w:p>
        </w:tc>
        <w:tc>
          <w:tcPr>
            <w:tcW w:w="1927" w:type="dxa"/>
            <w:vAlign w:val="center"/>
          </w:tcPr>
          <w:p>
            <w:pPr>
              <w:pStyle w:val="TableText"/>
              <w:jc w:val="left"/>
            </w:pPr>
            <w:r/>
            <w:r>
              <w:t>Site Manager</w:t>
            </w:r>
          </w:p>
        </w:tc>
        <w:tc>
          <w:tcPr>
            <w:tcW w:w="2836" w:type="dxa"/>
            <w:vAlign w:val="center"/>
          </w:tcPr>
          <w:p>
            <w:pPr>
              <w:pStyle w:val="TableText"/>
              <w:jc w:val="left"/>
            </w:pPr>
            <w:r/>
            <w:r>
              <w:t>Site office; gatehouse; issued to all delivery contractors</w:t>
            </w:r>
          </w:p>
        </w:tc>
      </w:tr>
      <w:tr>
        <w:trPr>
          <w:cantSplit w:val="true"/>
        </w:trPr>
        <w:tc>
          <w:tcPr>
            <w:tcW w:w="3061" w:type="dxa"/>
            <w:vAlign w:val="center"/>
          </w:tcPr>
          <w:p>
            <w:pPr>
              <w:pStyle w:val="TableText"/>
              <w:jc w:val="left"/>
            </w:pPr>
            <w:r/>
            <w:r>
              <w:t>Environmental Management Plan</w:t>
            </w:r>
          </w:p>
        </w:tc>
        <w:tc>
          <w:tcPr>
            <w:tcW w:w="1814" w:type="dxa"/>
            <w:vAlign w:val="center"/>
          </w:tcPr>
          <w:p>
            <w:pPr>
              <w:pStyle w:val="TableText"/>
              <w:jc w:val="left"/>
            </w:pPr>
            <w:r/>
            <w:r>
              <w:t>[Insert reference]</w:t>
            </w:r>
          </w:p>
        </w:tc>
        <w:tc>
          <w:tcPr>
            <w:tcW w:w="1927" w:type="dxa"/>
            <w:vAlign w:val="center"/>
          </w:tcPr>
          <w:p>
            <w:pPr>
              <w:pStyle w:val="TableText"/>
              <w:jc w:val="left"/>
            </w:pPr>
            <w:r/>
            <w:r>
              <w:t>Environmental Advisor</w:t>
            </w:r>
          </w:p>
        </w:tc>
        <w:tc>
          <w:tcPr>
            <w:tcW w:w="2836" w:type="dxa"/>
            <w:vAlign w:val="center"/>
          </w:tcPr>
          <w:p>
            <w:pPr>
              <w:pStyle w:val="TableText"/>
              <w:jc w:val="left"/>
            </w:pPr>
            <w:r/>
            <w:r>
              <w:t>Site office</w:t>
            </w:r>
          </w:p>
        </w:tc>
      </w:tr>
      <w:tr>
        <w:trPr>
          <w:cantSplit w:val="true"/>
        </w:trPr>
        <w:tc>
          <w:tcPr>
            <w:tcW w:w="3061" w:type="dxa"/>
            <w:vAlign w:val="center"/>
          </w:tcPr>
          <w:p>
            <w:pPr>
              <w:pStyle w:val="TableText"/>
              <w:jc w:val="left"/>
            </w:pPr>
            <w:r/>
            <w:r>
              <w:t>Project Quality Plan and Inspection &amp; Test Plans (ITPs)</w:t>
            </w:r>
          </w:p>
        </w:tc>
        <w:tc>
          <w:tcPr>
            <w:tcW w:w="1814" w:type="dxa"/>
            <w:vAlign w:val="center"/>
          </w:tcPr>
          <w:p>
            <w:pPr>
              <w:pStyle w:val="TableText"/>
              <w:jc w:val="left"/>
            </w:pPr>
            <w:r/>
            <w:r>
              <w:t>[Insert reference]</w:t>
            </w:r>
          </w:p>
        </w:tc>
        <w:tc>
          <w:tcPr>
            <w:tcW w:w="1927" w:type="dxa"/>
            <w:vAlign w:val="center"/>
          </w:tcPr>
          <w:p>
            <w:pPr>
              <w:pStyle w:val="TableText"/>
              <w:jc w:val="left"/>
            </w:pPr>
            <w:r/>
            <w:r>
              <w:t>Project Manager</w:t>
            </w:r>
          </w:p>
        </w:tc>
        <w:tc>
          <w:tcPr>
            <w:tcW w:w="2836" w:type="dxa"/>
            <w:vAlign w:val="center"/>
          </w:tcPr>
          <w:p>
            <w:pPr>
              <w:pStyle w:val="TableText"/>
              <w:jc w:val="left"/>
            </w:pPr>
            <w:r/>
            <w:r>
              <w:t>Document management system</w:t>
            </w:r>
          </w:p>
        </w:tc>
      </w:tr>
      <w:tr>
        <w:trPr>
          <w:cantSplit w:val="true"/>
        </w:trPr>
        <w:tc>
          <w:tcPr>
            <w:tcW w:w="3061" w:type="dxa"/>
            <w:vAlign w:val="center"/>
          </w:tcPr>
          <w:p>
            <w:pPr>
              <w:pStyle w:val="TableText"/>
              <w:jc w:val="left"/>
            </w:pPr>
            <w:r/>
            <w:r>
              <w:t>Site rules, induction pack and induction register</w:t>
            </w:r>
          </w:p>
        </w:tc>
        <w:tc>
          <w:tcPr>
            <w:tcW w:w="1814" w:type="dxa"/>
            <w:vAlign w:val="center"/>
          </w:tcPr>
          <w:p>
            <w:pPr>
              <w:pStyle w:val="TableText"/>
              <w:jc w:val="left"/>
            </w:pPr>
            <w:r/>
            <w:r>
              <w:t>[Insert reference]</w:t>
            </w:r>
          </w:p>
        </w:tc>
        <w:tc>
          <w:tcPr>
            <w:tcW w:w="1927" w:type="dxa"/>
            <w:vAlign w:val="center"/>
          </w:tcPr>
          <w:p>
            <w:pPr>
              <w:pStyle w:val="TableText"/>
              <w:jc w:val="left"/>
            </w:pPr>
            <w:r/>
            <w:r>
              <w:t>Safety Manager</w:t>
            </w:r>
          </w:p>
        </w:tc>
        <w:tc>
          <w:tcPr>
            <w:tcW w:w="2836" w:type="dxa"/>
            <w:vAlign w:val="center"/>
          </w:tcPr>
          <w:p>
            <w:pPr>
              <w:pStyle w:val="TableText"/>
              <w:jc w:val="left"/>
            </w:pPr>
            <w:r/>
            <w:r>
              <w:t>Issued at induction; posted at the gate; induction database</w:t>
            </w:r>
          </w:p>
        </w:tc>
      </w:tr>
      <w:tr>
        <w:trPr>
          <w:cantSplit w:val="true"/>
        </w:trPr>
        <w:tc>
          <w:tcPr>
            <w:tcW w:w="3061" w:type="dxa"/>
            <w:vAlign w:val="center"/>
          </w:tcPr>
          <w:p>
            <w:pPr>
              <w:pStyle w:val="TableText"/>
              <w:jc w:val="left"/>
            </w:pPr>
            <w:r/>
            <w:r>
              <w:t>Temporary works designs and certification register</w:t>
            </w:r>
          </w:p>
        </w:tc>
        <w:tc>
          <w:tcPr>
            <w:tcW w:w="1814" w:type="dxa"/>
            <w:vAlign w:val="center"/>
          </w:tcPr>
          <w:p>
            <w:pPr>
              <w:pStyle w:val="TableText"/>
              <w:jc w:val="left"/>
            </w:pPr>
            <w:r/>
            <w:r>
              <w:t>[Insert reference]</w:t>
            </w:r>
          </w:p>
        </w:tc>
        <w:tc>
          <w:tcPr>
            <w:tcW w:w="1927" w:type="dxa"/>
            <w:vAlign w:val="center"/>
          </w:tcPr>
          <w:p>
            <w:pPr>
              <w:pStyle w:val="TableText"/>
              <w:jc w:val="left"/>
            </w:pPr>
            <w:r/>
            <w:r>
              <w:t>Temporary Works Coordinator</w:t>
            </w:r>
          </w:p>
        </w:tc>
        <w:tc>
          <w:tcPr>
            <w:tcW w:w="2836" w:type="dxa"/>
            <w:vAlign w:val="center"/>
          </w:tcPr>
          <w:p>
            <w:pPr>
              <w:pStyle w:val="TableText"/>
              <w:jc w:val="left"/>
            </w:pPr>
            <w:r/>
            <w:r>
              <w:t>Document management system</w:t>
            </w:r>
          </w:p>
        </w:tc>
      </w:tr>
      <w:tr>
        <w:trPr>
          <w:cantSplit w:val="true"/>
        </w:trPr>
        <w:tc>
          <w:tcPr>
            <w:tcW w:w="3061" w:type="dxa"/>
            <w:vAlign w:val="center"/>
          </w:tcPr>
          <w:p>
            <w:pPr>
              <w:pStyle w:val="TableText"/>
              <w:jc w:val="left"/>
            </w:pPr>
            <w:r/>
            <w:r>
              <w:t>Equipment, hazardous substance and competency registers</w:t>
            </w:r>
          </w:p>
        </w:tc>
        <w:tc>
          <w:tcPr>
            <w:tcW w:w="1814" w:type="dxa"/>
            <w:vAlign w:val="center"/>
          </w:tcPr>
          <w:p>
            <w:pPr>
              <w:pStyle w:val="TableText"/>
              <w:jc w:val="left"/>
            </w:pPr>
            <w:r/>
            <w:r>
              <w:t>[Insert reference]</w:t>
            </w:r>
          </w:p>
        </w:tc>
        <w:tc>
          <w:tcPr>
            <w:tcW w:w="1927" w:type="dxa"/>
            <w:vAlign w:val="center"/>
          </w:tcPr>
          <w:p>
            <w:pPr>
              <w:pStyle w:val="TableText"/>
              <w:jc w:val="left"/>
            </w:pPr>
            <w:r/>
            <w:r>
              <w:t>Site Manager</w:t>
            </w:r>
          </w:p>
        </w:tc>
        <w:tc>
          <w:tcPr>
            <w:tcW w:w="2836" w:type="dxa"/>
            <w:vAlign w:val="center"/>
          </w:tcPr>
          <w:p>
            <w:pPr>
              <w:pStyle w:val="TableText"/>
              <w:jc w:val="left"/>
            </w:pPr>
            <w:r/>
            <w:r>
              <w:t>Site office; SDS at the point of use</w:t>
            </w:r>
          </w:p>
        </w:tc>
      </w:tr>
      <w:tr>
        <w:trPr>
          <w:cantSplit w:val="true"/>
        </w:trPr>
        <w:tc>
          <w:tcPr>
            <w:tcW w:w="3061" w:type="dxa"/>
            <w:vAlign w:val="center"/>
          </w:tcPr>
          <w:p>
            <w:pPr>
              <w:pStyle w:val="TableText"/>
              <w:jc w:val="left"/>
            </w:pPr>
            <w:r/>
            <w:r>
              <w:t>Permit-to-work register and permit forms</w:t>
            </w:r>
          </w:p>
        </w:tc>
        <w:tc>
          <w:tcPr>
            <w:tcW w:w="1814" w:type="dxa"/>
            <w:vAlign w:val="center"/>
          </w:tcPr>
          <w:p>
            <w:pPr>
              <w:pStyle w:val="TableText"/>
              <w:jc w:val="left"/>
            </w:pPr>
            <w:r/>
            <w:r>
              <w:t>[Insert reference]</w:t>
            </w:r>
          </w:p>
        </w:tc>
        <w:tc>
          <w:tcPr>
            <w:tcW w:w="1927" w:type="dxa"/>
            <w:vAlign w:val="center"/>
          </w:tcPr>
          <w:p>
            <w:pPr>
              <w:pStyle w:val="TableText"/>
              <w:jc w:val="left"/>
            </w:pPr>
            <w:r/>
            <w:r>
              <w:t>Permit Issuer</w:t>
            </w:r>
          </w:p>
        </w:tc>
        <w:tc>
          <w:tcPr>
            <w:tcW w:w="2836" w:type="dxa"/>
            <w:vAlign w:val="center"/>
          </w:tcPr>
          <w:p>
            <w:pPr>
              <w:pStyle w:val="TableText"/>
              <w:jc w:val="left"/>
            </w:pPr>
            <w:r/>
            <w:r>
              <w:t>Permit board, site office</w:t>
            </w:r>
          </w:p>
        </w:tc>
      </w:tr>
    </w:tbl>
    <w:p>
      <w:pPr>
        <w:spacing w:before="0" w:after="0" w:line="60" w:lineRule="exact"/>
      </w:pPr>
    </w:p>
    <w:p>
      <w:pPr>
        <w:pStyle w:val="Heading1"/>
        <w:pageBreakBefore/>
      </w:pPr>
      <w:r>
        <w:t>Contents</w:t>
      </w:r>
    </w:p>
    <w:p>
      <w:pPr>
        <w:pStyle w:val="Note"/>
      </w:pPr>
      <w:r>
        <w:t>The contents list below is a live Word field. Click in it and press F9 (or right-click → Update Field) once you have finished editing: that rebuilds the list and adds page numbers that match your version.</w:t>
      </w:r>
    </w:p>
    <w:p>
      <w:pPr>
        <w:pStyle w:val="TOC1"/>
      </w:pPr>
      <w:r>
        <w:rPr>
          <w:rFonts w:ascii="Inter" w:hAnsi="Inter"/>
        </w:rPr>
        <w:fldChar w:fldCharType="begin"/>
      </w:r>
      <w:r>
        <w:instrText xml:space="preserve"> TOC \o "1-3" \h \z \u </w:instrText>
      </w:r>
      <w:r>
        <w:fldChar w:fldCharType="separate"/>
      </w:r>
      <w:hyperlink w:anchor="_Toc90000" w:history="1">
        <w:r>
          <w:t xml:space="preserve">Document Control</w:t>
        </w:r>
      </w:hyperlink>
    </w:p>
    <w:p>
      <w:pPr>
        <w:pStyle w:val="TOC2"/>
      </w:pPr>
      <w:hyperlink w:anchor="_Toc90001" w:history="1">
        <w:r>
          <w:t xml:space="preserve">Revision history</w:t>
        </w:r>
      </w:hyperlink>
    </w:p>
    <w:p>
      <w:pPr>
        <w:pStyle w:val="TOC2"/>
      </w:pPr>
      <w:hyperlink w:anchor="_Toc90002" w:history="1">
        <w:r>
          <w:t xml:space="preserve">Distribution and controlled copies</w:t>
        </w:r>
      </w:hyperlink>
    </w:p>
    <w:p>
      <w:pPr>
        <w:pStyle w:val="TOC2"/>
      </w:pPr>
      <w:hyperlink w:anchor="_Toc90003" w:history="1">
        <w:r>
          <w:t xml:space="preserve">Related documents register</w:t>
        </w:r>
      </w:hyperlink>
    </w:p>
    <w:p>
      <w:pPr>
        <w:pStyle w:val="TOC1"/>
      </w:pPr>
      <w:hyperlink w:anchor="_Toc90004" w:history="1">
        <w:r>
          <w:t xml:space="preserve">1. Purpose, Scope and Application</w:t>
        </w:r>
      </w:hyperlink>
    </w:p>
    <w:p>
      <w:pPr>
        <w:pStyle w:val="TOC2"/>
      </w:pPr>
      <w:hyperlink w:anchor="_Toc90005" w:history="1">
        <w:r>
          <w:t xml:space="preserve">1.1 Purpose</w:t>
        </w:r>
      </w:hyperlink>
    </w:p>
    <w:p>
      <w:pPr>
        <w:pStyle w:val="TOC2"/>
      </w:pPr>
      <w:hyperlink w:anchor="_Toc90006" w:history="1">
        <w:r>
          <w:t xml:space="preserve">1.2 Scope of work</w:t>
        </w:r>
      </w:hyperlink>
    </w:p>
    <w:p>
      <w:pPr>
        <w:pStyle w:val="TOC2"/>
      </w:pPr>
      <w:hyperlink w:anchor="_Toc90007" w:history="1">
        <w:r>
          <w:t xml:space="preserve">1.3 Site boundary</w:t>
        </w:r>
      </w:hyperlink>
    </w:p>
    <w:p>
      <w:pPr>
        <w:pStyle w:val="TOC2"/>
      </w:pPr>
      <w:hyperlink w:anchor="_Toc90008" w:history="1">
        <w:r>
          <w:t xml:space="preserve">1.4 Who this plan binds</w:t>
        </w:r>
      </w:hyperlink>
    </w:p>
    <w:p>
      <w:pPr>
        <w:pStyle w:val="TOC2"/>
      </w:pPr>
      <w:hyperlink w:anchor="_Toc90009" w:history="1">
        <w:r>
          <w:t xml:space="preserve">1.5 Multi-employer worksite: who OSHA can cite</w:t>
        </w:r>
      </w:hyperlink>
    </w:p>
    <w:p>
      <w:pPr>
        <w:pStyle w:val="TOC2"/>
      </w:pPr>
      <w:hyperlink w:anchor="_Toc90010" w:history="1">
        <w:r>
          <w:t xml:space="preserve">1.6 Hierarchy of documents</w:t>
        </w:r>
      </w:hyperlink>
    </w:p>
    <w:p>
      <w:pPr>
        <w:pStyle w:val="TOC1"/>
      </w:pPr>
      <w:hyperlink w:anchor="_Toc90011" w:history="1">
        <w:r>
          <w:t xml:space="preserve">2. Policy and Commitment</w:t>
        </w:r>
      </w:hyperlink>
    </w:p>
    <w:p>
      <w:pPr>
        <w:pStyle w:val="TOC2"/>
      </w:pPr>
      <w:hyperlink w:anchor="_Toc90012" w:history="1">
        <w:r>
          <w:t xml:space="preserve">2.1 Health and safety policy statement</w:t>
        </w:r>
      </w:hyperlink>
    </w:p>
    <w:p>
      <w:pPr>
        <w:pStyle w:val="TOC2"/>
      </w:pPr>
      <w:hyperlink w:anchor="_Toc90013" w:history="1">
        <w:r>
          <w:t xml:space="preserve">2.2 Commitments made on this project</w:t>
        </w:r>
      </w:hyperlink>
    </w:p>
    <w:p>
      <w:pPr>
        <w:pStyle w:val="TOC2"/>
      </w:pPr>
      <w:hyperlink w:anchor="_Toc90014" w:history="1">
        <w:r>
          <w:t xml:space="preserve">2.3 Consultation commitment</w:t>
        </w:r>
      </w:hyperlink>
    </w:p>
    <w:p>
      <w:pPr>
        <w:pStyle w:val="TOC2"/>
      </w:pPr>
      <w:hyperlink w:anchor="_Toc90015" w:history="1">
        <w:r>
          <w:t xml:space="preserve">2.4 Endorsement</w:t>
        </w:r>
      </w:hyperlink>
    </w:p>
    <w:p>
      <w:pPr>
        <w:pStyle w:val="TOC1"/>
      </w:pPr>
      <w:hyperlink w:anchor="_Toc90016" w:history="1">
        <w:r>
          <w:t xml:space="preserve">3. Legal and Other Requirements</w:t>
        </w:r>
      </w:hyperlink>
    </w:p>
    <w:p>
      <w:pPr>
        <w:pStyle w:val="TOC2"/>
      </w:pPr>
      <w:hyperlink w:anchor="_Toc90017" w:history="1">
        <w:r>
          <w:t xml:space="preserve">3.1 Requirements applying to this project</w:t>
        </w:r>
      </w:hyperlink>
    </w:p>
    <w:p>
      <w:pPr>
        <w:pStyle w:val="TOC2"/>
      </w:pPr>
      <w:hyperlink w:anchor="_Toc90018" w:history="1">
        <w:r>
          <w:t xml:space="preserve">3.2 ISO 45001:2018 clause map</w:t>
        </w:r>
      </w:hyperlink>
    </w:p>
    <w:p>
      <w:pPr>
        <w:pStyle w:val="TOC2"/>
      </w:pPr>
      <w:hyperlink w:anchor="_Toc90019" w:history="1">
        <w:r>
          <w:t xml:space="preserve">3.3 Compliance obligations register</w:t>
        </w:r>
      </w:hyperlink>
    </w:p>
    <w:p>
      <w:pPr>
        <w:pStyle w:val="TOC2"/>
      </w:pPr>
      <w:hyperlink w:anchor="_Toc90020" w:history="1">
        <w:r>
          <w:t xml:space="preserve">3.4 The General Duty Clause, and what “feasible” means</w:t>
        </w:r>
      </w:hyperlink>
    </w:p>
    <w:p>
      <w:pPr>
        <w:pStyle w:val="TOC1"/>
      </w:pPr>
      <w:hyperlink w:anchor="_Toc90021" w:history="1">
        <w:r>
          <w:t xml:space="preserve">4. Roles, Responsibilities and Authority</w:t>
        </w:r>
      </w:hyperlink>
    </w:p>
    <w:p>
      <w:pPr>
        <w:pStyle w:val="TOC2"/>
      </w:pPr>
      <w:hyperlink w:anchor="_Toc90022" w:history="1">
        <w:r>
          <w:t xml:space="preserve">4.1 Accountability table</w:t>
        </w:r>
      </w:hyperlink>
    </w:p>
    <w:p>
      <w:pPr>
        <w:pStyle w:val="TOC2"/>
      </w:pPr>
      <w:hyperlink w:anchor="_Toc90023" w:history="1">
        <w:r>
          <w:t xml:space="preserve">4.2 Authority to stop work</w:t>
        </w:r>
      </w:hyperlink>
    </w:p>
    <w:p>
      <w:pPr>
        <w:pStyle w:val="TOC2"/>
      </w:pPr>
      <w:hyperlink w:anchor="_Toc90024" w:history="1">
        <w:r>
          <w:t xml:space="preserve">4.3 Organization chart</w:t>
        </w:r>
      </w:hyperlink>
    </w:p>
    <w:p>
      <w:pPr>
        <w:pStyle w:val="TOC1"/>
      </w:pPr>
      <w:hyperlink w:anchor="_Toc90025" w:history="1">
        <w:r>
          <w:t xml:space="preserve">5. Consultation, Participation and Communication</w:t>
        </w:r>
      </w:hyperlink>
    </w:p>
    <w:p>
      <w:pPr>
        <w:pStyle w:val="TOC2"/>
      </w:pPr>
      <w:hyperlink w:anchor="_Toc90026" w:history="1">
        <w:r>
          <w:t xml:space="preserve">5.1 Consultation and communication mechanisms</w:t>
        </w:r>
      </w:hyperlink>
    </w:p>
    <w:p>
      <w:pPr>
        <w:pStyle w:val="TOC2"/>
      </w:pPr>
      <w:hyperlink w:anchor="_Toc90027" w:history="1">
        <w:r>
          <w:t xml:space="preserve">5.2 How consultation is evidenced</w:t>
        </w:r>
      </w:hyperlink>
    </w:p>
    <w:p>
      <w:pPr>
        <w:pStyle w:val="TOC1"/>
      </w:pPr>
      <w:hyperlink w:anchor="_Toc90028" w:history="1">
        <w:r>
          <w:t xml:space="preserve">6. Hazard Identification, Risk Assessment and Control</w:t>
        </w:r>
      </w:hyperlink>
    </w:p>
    <w:p>
      <w:pPr>
        <w:pStyle w:val="TOC2"/>
      </w:pPr>
      <w:hyperlink w:anchor="_Toc90029" w:history="1">
        <w:r>
          <w:t xml:space="preserve">6.1 How hazards are identified</w:t>
        </w:r>
      </w:hyperlink>
    </w:p>
    <w:p>
      <w:pPr>
        <w:pStyle w:val="TOC2"/>
      </w:pPr>
      <w:hyperlink w:anchor="_Toc90030" w:history="1">
        <w:r>
          <w:t xml:space="preserve">6.2 The risk matrix</w:t>
        </w:r>
      </w:hyperlink>
    </w:p>
    <w:p>
      <w:pPr>
        <w:pStyle w:val="TOC2"/>
      </w:pPr>
      <w:hyperlink w:anchor="_Toc90031" w:history="1">
        <w:r>
          <w:t xml:space="preserve">6.3 Rating bands, action and approval authority</w:t>
        </w:r>
      </w:hyperlink>
    </w:p>
    <w:p>
      <w:pPr>
        <w:pStyle w:val="TOC2"/>
      </w:pPr>
      <w:hyperlink w:anchor="_Toc90032" w:history="1">
        <w:r>
          <w:t xml:space="preserve">6.4 The hierarchy of controls</w:t>
        </w:r>
      </w:hyperlink>
    </w:p>
    <w:p>
      <w:pPr>
        <w:pStyle w:val="TOC2"/>
      </w:pPr>
      <w:hyperlink w:anchor="_Toc90033" w:history="1">
        <w:r>
          <w:t xml:space="preserve">6.5 Job Hazard Analysis, JSA and AHA</w:t>
        </w:r>
      </w:hyperlink>
    </w:p>
    <w:p>
      <w:pPr>
        <w:pStyle w:val="TOC3"/>
      </w:pPr>
      <w:hyperlink w:anchor="_Toc90034" w:history="1">
        <w:r>
          <w:t xml:space="preserve">When a JHA is mandatory</w:t>
        </w:r>
      </w:hyperlink>
    </w:p>
    <w:p>
      <w:pPr>
        <w:pStyle w:val="TOC3"/>
      </w:pPr>
      <w:hyperlink w:anchor="_Toc90035" w:history="1">
        <w:r>
          <w:t xml:space="preserve">Review, acceptance and control of JHAs</w:t>
        </w:r>
      </w:hyperlink>
    </w:p>
    <w:p>
      <w:pPr>
        <w:pStyle w:val="TOC2"/>
      </w:pPr>
      <w:hyperlink w:anchor="_Toc90036" w:history="1">
        <w:r>
          <w:t xml:space="preserve">6.6 Project safety risk register</w:t>
        </w:r>
      </w:hyperlink>
    </w:p>
    <w:p>
      <w:pPr>
        <w:pStyle w:val="TOC3"/>
      </w:pPr>
      <w:hyperlink w:anchor="_Toc90037" w:history="1">
        <w:r>
          <w:t xml:space="preserve">Risk register</w:t>
        </w:r>
      </w:hyperlink>
    </w:p>
    <w:p>
      <w:pPr>
        <w:pStyle w:val="TOC1"/>
      </w:pPr>
      <w:hyperlink w:anchor="_Toc90038" w:history="1">
        <w:r>
          <w:t xml:space="preserve">7. High-Hazard Work and Permits</w:t>
        </w:r>
      </w:hyperlink>
    </w:p>
    <w:p>
      <w:pPr>
        <w:pStyle w:val="TOC2"/>
      </w:pPr>
      <w:hyperlink w:anchor="_Toc90039" w:history="1">
        <w:r>
          <w:t xml:space="preserve">7.1 High-hazard activity screening</w:t>
        </w:r>
      </w:hyperlink>
    </w:p>
    <w:p>
      <w:pPr>
        <w:pStyle w:val="TOC2"/>
      </w:pPr>
      <w:hyperlink w:anchor="_Toc90040" w:history="1">
        <w:r>
          <w:t xml:space="preserve">7.2 Permit to work</w:t>
        </w:r>
      </w:hyperlink>
    </w:p>
    <w:p>
      <w:pPr>
        <w:pStyle w:val="TOC3"/>
      </w:pPr>
      <w:hyperlink w:anchor="_Toc90041" w:history="1">
        <w:r>
          <w:t xml:space="preserve">Permit register</w:t>
        </w:r>
      </w:hyperlink>
    </w:p>
    <w:p>
      <w:pPr>
        <w:pStyle w:val="TOC1"/>
      </w:pPr>
      <w:hyperlink w:anchor="_Toc90042" w:history="1">
        <w:r>
          <w:t xml:space="preserve">8. Competency, Training and Induction</w:t>
        </w:r>
      </w:hyperlink>
    </w:p>
    <w:p>
      <w:pPr>
        <w:pStyle w:val="TOC2"/>
      </w:pPr>
      <w:hyperlink w:anchor="_Toc90043" w:history="1">
        <w:r>
          <w:t xml:space="preserve">8.1 Induction hierarchy</w:t>
        </w:r>
      </w:hyperlink>
    </w:p>
    <w:p>
      <w:pPr>
        <w:pStyle w:val="TOC2"/>
      </w:pPr>
      <w:hyperlink w:anchor="_Toc90044" w:history="1">
        <w:r>
          <w:t xml:space="preserve">8.2 Verification of competency</w:t>
        </w:r>
      </w:hyperlink>
    </w:p>
    <w:p>
      <w:pPr>
        <w:pStyle w:val="TOC2"/>
      </w:pPr>
      <w:hyperlink w:anchor="_Toc90045" w:history="1">
        <w:r>
          <w:t xml:space="preserve">8.3 Young, inexperienced and staffing-agency workers</w:t>
        </w:r>
      </w:hyperlink>
    </w:p>
    <w:p>
      <w:pPr>
        <w:pStyle w:val="TOC2"/>
      </w:pPr>
      <w:hyperlink w:anchor="_Toc90046" w:history="1">
        <w:r>
          <w:t xml:space="preserve">8.4 Training matrix</w:t>
        </w:r>
      </w:hyperlink>
    </w:p>
    <w:p>
      <w:pPr>
        <w:pStyle w:val="TOC1"/>
      </w:pPr>
      <w:hyperlink w:anchor="_Toc90047" w:history="1">
        <w:r>
          <w:t xml:space="preserve">9. Equipment and Hazardous Substances</w:t>
        </w:r>
      </w:hyperlink>
    </w:p>
    <w:p>
      <w:pPr>
        <w:pStyle w:val="TOC2"/>
      </w:pPr>
      <w:hyperlink w:anchor="_Toc90048" w:history="1">
        <w:r>
          <w:t xml:space="preserve">9.1 Acceptance, registration and inspection</w:t>
        </w:r>
      </w:hyperlink>
    </w:p>
    <w:p>
      <w:pPr>
        <w:pStyle w:val="TOC2"/>
      </w:pPr>
      <w:hyperlink w:anchor="_Toc90049" w:history="1">
        <w:r>
          <w:t xml:space="preserve">9.2 Equipment register</w:t>
        </w:r>
      </w:hyperlink>
    </w:p>
    <w:p>
      <w:pPr>
        <w:pStyle w:val="TOC2"/>
      </w:pPr>
      <w:hyperlink w:anchor="_Toc90050" w:history="1">
        <w:r>
          <w:t xml:space="preserve">9.3 Hazardous substances and chemicals</w:t>
        </w:r>
      </w:hyperlink>
    </w:p>
    <w:p>
      <w:pPr>
        <w:pStyle w:val="TOC2"/>
      </w:pPr>
      <w:hyperlink w:anchor="_Toc90051" w:history="1">
        <w:r>
          <w:t xml:space="preserve">9.4 Hazardous manual tasks</w:t>
        </w:r>
      </w:hyperlink>
    </w:p>
    <w:p>
      <w:pPr>
        <w:pStyle w:val="TOC1"/>
      </w:pPr>
      <w:hyperlink w:anchor="_Toc90052" w:history="1">
        <w:r>
          <w:t xml:space="preserve">10. Site Establishment, Sanitation and Security</w:t>
        </w:r>
      </w:hyperlink>
    </w:p>
    <w:p>
      <w:pPr>
        <w:pStyle w:val="TOC2"/>
      </w:pPr>
      <w:hyperlink w:anchor="_Toc90053" w:history="1">
        <w:r>
          <w:t xml:space="preserve">10.1 Site layout, sanitation and welfare facilities</w:t>
        </w:r>
      </w:hyperlink>
    </w:p>
    <w:p>
      <w:pPr>
        <w:pStyle w:val="TOC2"/>
      </w:pPr>
      <w:hyperlink w:anchor="_Toc90054" w:history="1">
        <w:r>
          <w:t xml:space="preserve">10.2 Traffic, pedestrians and site rules</w:t>
        </w:r>
      </w:hyperlink>
    </w:p>
    <w:p>
      <w:pPr>
        <w:pStyle w:val="TOC1"/>
      </w:pPr>
      <w:hyperlink w:anchor="_Toc90055" w:history="1">
        <w:r>
          <w:t xml:space="preserve">11. Emergency Preparedness and Response</w:t>
        </w:r>
      </w:hyperlink>
    </w:p>
    <w:p>
      <w:pPr>
        <w:pStyle w:val="TOC2"/>
      </w:pPr>
      <w:hyperlink w:anchor="_Toc90056" w:history="1">
        <w:r>
          <w:t xml:space="preserve">11.1 Emergency scenarios and response</w:t>
        </w:r>
      </w:hyperlink>
    </w:p>
    <w:p>
      <w:pPr>
        <w:pStyle w:val="TOC2"/>
      </w:pPr>
      <w:hyperlink w:anchor="_Toc90057" w:history="1">
        <w:r>
          <w:t xml:space="preserve">11.2 Emergency contacts</w:t>
        </w:r>
      </w:hyperlink>
    </w:p>
    <w:p>
      <w:pPr>
        <w:pStyle w:val="TOC2"/>
      </w:pPr>
      <w:hyperlink w:anchor="_Toc90058" w:history="1">
        <w:r>
          <w:t xml:space="preserve">11.3 First aid provision</w:t>
        </w:r>
      </w:hyperlink>
    </w:p>
    <w:p>
      <w:pPr>
        <w:pStyle w:val="TOC2"/>
      </w:pPr>
      <w:hyperlink w:anchor="_Toc90059" w:history="1">
        <w:r>
          <w:t xml:space="preserve">11.4 Emergency equipment register</w:t>
        </w:r>
      </w:hyperlink>
    </w:p>
    <w:p>
      <w:pPr>
        <w:pStyle w:val="TOC2"/>
      </w:pPr>
      <w:hyperlink w:anchor="_Toc90060" w:history="1">
        <w:r>
          <w:t xml:space="preserve">11.5 Evacuation and rescue arrangements</w:t>
        </w:r>
      </w:hyperlink>
    </w:p>
    <w:p>
      <w:pPr>
        <w:pStyle w:val="TOC2"/>
      </w:pPr>
      <w:hyperlink w:anchor="_Toc90061" w:history="1">
        <w:r>
          <w:t xml:space="preserve">11.6 Drills</w:t>
        </w:r>
      </w:hyperlink>
    </w:p>
    <w:p>
      <w:pPr>
        <w:pStyle w:val="TOC1"/>
      </w:pPr>
      <w:hyperlink w:anchor="_Toc90062" w:history="1">
        <w:r>
          <w:t xml:space="preserve">12. Incident Reporting, Investigation and Notification</w:t>
        </w:r>
      </w:hyperlink>
    </w:p>
    <w:p>
      <w:pPr>
        <w:pStyle w:val="TOC2"/>
      </w:pPr>
      <w:hyperlink w:anchor="_Toc90063" w:history="1">
        <w:r>
          <w:t xml:space="preserve">12.1 Reporting timeframes</w:t>
        </w:r>
      </w:hyperlink>
    </w:p>
    <w:p>
      <w:pPr>
        <w:pStyle w:val="TOC2"/>
      </w:pPr>
      <w:hyperlink w:anchor="_Toc90064" w:history="1">
        <w:r>
          <w:t xml:space="preserve">12.2 Classification</w:t>
        </w:r>
      </w:hyperlink>
    </w:p>
    <w:p>
      <w:pPr>
        <w:pStyle w:val="TOC2"/>
      </w:pPr>
      <w:hyperlink w:anchor="_Toc90065" w:history="1">
        <w:r>
          <w:t xml:space="preserve">12.3 Investigation process</w:t>
        </w:r>
      </w:hyperlink>
    </w:p>
    <w:p>
      <w:pPr>
        <w:pStyle w:val="TOC2"/>
      </w:pPr>
      <w:hyperlink w:anchor="_Toc90066" w:history="1">
        <w:r>
          <w:t xml:space="preserve">12.4 Reporting to OSHA</w:t>
        </w:r>
      </w:hyperlink>
    </w:p>
    <w:p>
      <w:pPr>
        <w:pStyle w:val="TOC2"/>
      </w:pPr>
      <w:hyperlink w:anchor="_Toc90067" w:history="1">
        <w:r>
          <w:t xml:space="preserve">12.5 Corrective action register</w:t>
        </w:r>
      </w:hyperlink>
    </w:p>
    <w:p>
      <w:pPr>
        <w:pStyle w:val="TOC1"/>
      </w:pPr>
      <w:hyperlink w:anchor="_Toc90068" w:history="1">
        <w:r>
          <w:t xml:space="preserve">13. Health and Wellbeing</w:t>
        </w:r>
      </w:hyperlink>
    </w:p>
    <w:p>
      <w:pPr>
        <w:pStyle w:val="TOC2"/>
      </w:pPr>
      <w:hyperlink w:anchor="_Toc90069" w:history="1">
        <w:r>
          <w:t xml:space="preserve">13.1 Health monitoring and fitness for work</w:t>
        </w:r>
      </w:hyperlink>
    </w:p>
    <w:p>
      <w:pPr>
        <w:pStyle w:val="TOC2"/>
      </w:pPr>
      <w:hyperlink w:anchor="_Toc90070" w:history="1">
        <w:r>
          <w:t xml:space="preserve">13.2 Fatigue management</w:t>
        </w:r>
      </w:hyperlink>
    </w:p>
    <w:p>
      <w:pPr>
        <w:pStyle w:val="TOC2"/>
      </w:pPr>
      <w:hyperlink w:anchor="_Toc90071" w:history="1">
        <w:r>
          <w:t xml:space="preserve">13.3 Alcohol and other drugs</w:t>
        </w:r>
      </w:hyperlink>
    </w:p>
    <w:p>
      <w:pPr>
        <w:pStyle w:val="TOC2"/>
      </w:pPr>
      <w:hyperlink w:anchor="_Toc90072" w:history="1">
        <w:r>
          <w:t xml:space="preserve">13.4 Heat and cold stress</w:t>
        </w:r>
      </w:hyperlink>
    </w:p>
    <w:p>
      <w:pPr>
        <w:pStyle w:val="TOC2"/>
      </w:pPr>
      <w:hyperlink w:anchor="_Toc90073" w:history="1">
        <w:r>
          <w:t xml:space="preserve">13.5 Noise, silica, dust and vibration</w:t>
        </w:r>
      </w:hyperlink>
    </w:p>
    <w:p>
      <w:pPr>
        <w:pStyle w:val="TOC2"/>
      </w:pPr>
      <w:hyperlink w:anchor="_Toc90074" w:history="1">
        <w:r>
          <w:t xml:space="preserve">13.6 Psychosocial risk and mental health</w:t>
        </w:r>
      </w:hyperlink>
    </w:p>
    <w:p>
      <w:pPr>
        <w:pStyle w:val="TOC1"/>
      </w:pPr>
      <w:hyperlink w:anchor="_Toc90075" w:history="1">
        <w:r>
          <w:t xml:space="preserve">14. Subcontractor and Supply Chain Management</w:t>
        </w:r>
      </w:hyperlink>
    </w:p>
    <w:p>
      <w:pPr>
        <w:pStyle w:val="TOC2"/>
      </w:pPr>
      <w:hyperlink w:anchor="_Toc90076" w:history="1">
        <w:r>
          <w:t xml:space="preserve">14.1 Prequalification</w:t>
        </w:r>
      </w:hyperlink>
    </w:p>
    <w:p>
      <w:pPr>
        <w:pStyle w:val="TOC2"/>
      </w:pPr>
      <w:hyperlink w:anchor="_Toc90077" w:history="1">
        <w:r>
          <w:t xml:space="preserve">14.2 Safety documentation required before mobilization</w:t>
        </w:r>
      </w:hyperlink>
    </w:p>
    <w:p>
      <w:pPr>
        <w:pStyle w:val="TOC2"/>
      </w:pPr>
      <w:hyperlink w:anchor="_Toc90078" w:history="1">
        <w:r>
          <w:t xml:space="preserve">14.3 Review, acceptance and performance monitoring</w:t>
        </w:r>
      </w:hyperlink>
    </w:p>
    <w:p>
      <w:pPr>
        <w:pStyle w:val="TOC2"/>
      </w:pPr>
      <w:hyperlink w:anchor="_Toc90079" w:history="1">
        <w:r>
          <w:t xml:space="preserve">14.4 Non-compliance escalation</w:t>
        </w:r>
      </w:hyperlink>
    </w:p>
    <w:p>
      <w:pPr>
        <w:pStyle w:val="TOC1"/>
      </w:pPr>
      <w:hyperlink w:anchor="_Toc90080" w:history="1">
        <w:r>
          <w:t xml:space="preserve">15. Monitoring, Measurement and Inspection</w:t>
        </w:r>
      </w:hyperlink>
    </w:p>
    <w:p>
      <w:pPr>
        <w:pStyle w:val="TOC2"/>
      </w:pPr>
      <w:hyperlink w:anchor="_Toc90081" w:history="1">
        <w:r>
          <w:t xml:space="preserve">15.1 Inspection and audit schedule</w:t>
        </w:r>
      </w:hyperlink>
    </w:p>
    <w:p>
      <w:pPr>
        <w:pStyle w:val="TOC2"/>
      </w:pPr>
      <w:hyperlink w:anchor="_Toc90082" w:history="1">
        <w:r>
          <w:t xml:space="preserve">15.2 Leading and lagging indicators</w:t>
        </w:r>
      </w:hyperlink>
    </w:p>
    <w:p>
      <w:pPr>
        <w:pStyle w:val="TOC2"/>
      </w:pPr>
      <w:hyperlink w:anchor="_Toc90083" w:history="1">
        <w:r>
          <w:t xml:space="preserve">15.3 Workplace inspection regime and reporting</w:t>
        </w:r>
      </w:hyperlink>
    </w:p>
    <w:p>
      <w:pPr>
        <w:pStyle w:val="TOC1"/>
      </w:pPr>
      <w:hyperlink w:anchor="_Toc90084" w:history="1">
        <w:r>
          <w:t xml:space="preserve">16. Nonconformance, Corrective Action and Continual Improvement</w:t>
        </w:r>
      </w:hyperlink>
    </w:p>
    <w:p>
      <w:pPr>
        <w:pStyle w:val="TOC2"/>
      </w:pPr>
      <w:hyperlink w:anchor="_Toc90085" w:history="1">
        <w:r>
          <w:t xml:space="preserve">16.1 Nonconformance and corrective action process</w:t>
        </w:r>
      </w:hyperlink>
    </w:p>
    <w:p>
      <w:pPr>
        <w:pStyle w:val="TOC2"/>
      </w:pPr>
      <w:hyperlink w:anchor="_Toc90086" w:history="1">
        <w:r>
          <w:t xml:space="preserve">16.2 Management review</w:t>
        </w:r>
      </w:hyperlink>
    </w:p>
    <w:p>
      <w:pPr>
        <w:pStyle w:val="TOC2"/>
      </w:pPr>
      <w:hyperlink w:anchor="_Toc90087" w:history="1">
        <w:r>
          <w:t xml:space="preserve">16.3 Plan review triggers</w:t>
        </w:r>
      </w:hyperlink>
    </w:p>
    <w:p>
      <w:pPr>
        <w:pStyle w:val="TOC2"/>
      </w:pPr>
      <w:hyperlink w:anchor="_Toc90088" w:history="1">
        <w:r>
          <w:t xml:space="preserve">16.4 Continual improvement</w:t>
        </w:r>
      </w:hyperlink>
    </w:p>
    <w:p>
      <w:pPr>
        <w:pStyle w:val="TOC1"/>
      </w:pPr>
      <w:hyperlink w:anchor="_Toc90089" w:history="1">
        <w:r>
          <w:t xml:space="preserve">17. Records Management</w:t>
        </w:r>
      </w:hyperlink>
    </w:p>
    <w:p>
      <w:pPr>
        <w:pStyle w:val="TOC2"/>
      </w:pPr>
      <w:hyperlink w:anchor="_Toc90090" w:history="1">
        <w:r>
          <w:t xml:space="preserve">17.1 Records register</w:t>
        </w:r>
      </w:hyperlink>
    </w:p>
    <w:p>
      <w:pPr>
        <w:pStyle w:val="TOC2"/>
      </w:pPr>
      <w:hyperlink w:anchor="_Toc90091" w:history="1">
        <w:r>
          <w:t xml:space="preserve">17.2 Information management</w:t>
        </w:r>
      </w:hyperlink>
    </w:p>
    <w:p>
      <w:pPr>
        <w:pStyle w:val="TOC2"/>
      </w:pPr>
      <w:hyperlink w:anchor="_Toc90092" w:history="1">
        <w:r>
          <w:t xml:space="preserve">17.3 Privacy of health records</w:t>
        </w:r>
      </w:hyperlink>
    </w:p>
    <w:p>
      <w:pPr>
        <w:pStyle w:val="TOC1"/>
      </w:pPr>
      <w:hyperlink w:anchor="_Toc90093" w:history="1">
        <w:r>
          <w:t xml:space="preserve">18. Plan Review and Approval</w:t>
        </w:r>
      </w:hyperlink>
    </w:p>
    <w:p>
      <w:pPr>
        <w:pStyle w:val="TOC2"/>
      </w:pPr>
      <w:hyperlink w:anchor="_Toc90094" w:history="1">
        <w:r>
          <w:t xml:space="preserve">18.1 Review schedule and version control</w:t>
        </w:r>
      </w:hyperlink>
    </w:p>
    <w:p>
      <w:pPr>
        <w:pStyle w:val="TOC2"/>
      </w:pPr>
      <w:hyperlink w:anchor="_Toc90095" w:history="1">
        <w:r>
          <w:t xml:space="preserve">18.2 Approval and endorsement</w:t>
        </w:r>
      </w:hyperlink>
    </w:p>
    <w:p>
      <w:pPr>
        <w:pStyle w:val="TOC1"/>
      </w:pPr>
      <w:hyperlink w:anchor="_Toc90096" w:history="1">
        <w:r>
          <w:t xml:space="preserve">Appendices</w:t>
        </w:r>
      </w:hyperlink>
      <w:r>
        <w:fldChar w:fldCharType="end"/>
      </w:r>
    </w:p>
    <w:p>
      <w:pPr>
        <w:pStyle w:val="Heading1"/>
      </w:pPr>
      <w:bookmarkStart w:id="9004" w:name="_Toc90004"/>
      <w:r>
        <w:t>1. Purpose, Scope and Application</w:t>
      </w:r>
      <w:bookmarkEnd w:id="9004"/>
    </w:p>
    <w:p>
      <w:pPr>
        <w:pStyle w:val="BodyLead"/>
      </w:pPr>
      <w:r>
        <w:t>This plan sets out how health and safety will be managed on this project, by whom, and how performance is verified. It is complete when a reader who has never visited the site can tell, from this document alone, who is accountable for each risk, what controls are required, and where the evidence that they work is kept.</w:t>
      </w:r>
    </w:p>
    <w:p>
      <w:pPr>
        <w:pStyle w:val="Heading2"/>
      </w:pPr>
      <w:bookmarkStart w:id="9005" w:name="_Toc90005"/>
      <w:r>
        <w:t>1.1 Purpose</w:t>
      </w:r>
      <w:bookmarkEnd w:id="9005"/>
    </w:p>
    <w:p>
      <w:pPr>
        <w:pStyle w:val="Body"/>
      </w:pPr>
      <w:r>
        <w:t>To eliminate hazards and control health and safety risk for the duration of the work; to establish the responsibilities, resources and competencies required to do so; to set the consultation, monitoring and review arrangements that keep the plan current; and to demonstrate compliance with 29 CFR 1926 and conformity with ISO 45001:2018 and the obligations recorded in section 3.</w:t>
      </w:r>
    </w:p>
    <w:p>
      <w:pPr>
        <w:pStyle w:val="Heading2"/>
      </w:pPr>
      <w:bookmarkStart w:id="9006" w:name="_Toc90006"/>
      <w:r>
        <w:t>1.2 Scope of work</w:t>
      </w:r>
      <w:bookmarkEnd w:id="9006"/>
    </w:p>
    <w:p>
      <w:pPr>
        <w:pStyle w:val="Placeholder"/>
      </w:pPr>
      <w:r>
        <w:t>[Insert a factual description of the work — the structures, the principal trades and methods, the phases and their sequence, the site constraints and the interfaces. Be specific enough that a reader can predict the major hazards from the description. Example: "Construction of a four-level acute clinical building and a single-level basement mechanical room immediately adjacent to an operating hospital, comprising bulk excavation to 22 ft with anchored shoring, in-situ substructure, structural steel frame to Levels 1–4, façade, services fit-out and commissioning, with a live interface to the existing acute wing throughout."]</w:t>
      </w:r>
    </w:p>
    <w:p>
      <w:pPr>
        <w:pStyle w:val="Heading2"/>
      </w:pPr>
      <w:bookmarkStart w:id="9007" w:name="_Toc90007"/>
      <w:r>
        <w:t>1.3 Site boundary</w:t>
      </w:r>
      <w:bookmarkEnd w:id="9007"/>
    </w:p>
    <w:p>
      <w:pPr>
        <w:pStyle w:val="Body"/>
      </w:pPr>
      <w:r>
        <w:t>Where the general contractor has management or control of the workplace its duties apply to everything inside the boundary — including areas handed to subcontractors and areas temporarily occupied outside the perimeter fence, such as a closed sidewalk or a crane over-swing zone.</w:t>
      </w:r>
    </w:p>
    <w:p>
      <w:pPr>
        <w:pStyle w:val="Placeholder"/>
      </w:pPr>
      <w:r>
        <w:t>[Insert the boundary description and attach the marked-up site plan as Appendix A. State every area inside the boundary, every area occupied under a permit or license from a third party (sidewalk, road reserve, rail corridor, adjoining property), and every area that remains under the Owner's control — for this project the operating hospital, its emergency vehicle route and its mechanical rooms.]</w:t>
      </w:r>
    </w:p>
    <w:p>
      <w:pPr>
        <w:pStyle w:val="Heading2"/>
      </w:pPr>
      <w:bookmarkStart w:id="9008" w:name="_Toc90008"/>
      <w:r>
        <w:t>1.4 Who this plan binds</w:t>
      </w:r>
      <w:bookmarkEnd w:id="9008"/>
    </w:p>
    <w:p>
      <w:pPr>
        <w:pStyle w:val="BodyBullet"/>
      </w:pPr>
      <w:r>
        <w:rPr>
          <w:color w:val="3480BC"/>
        </w:rPr>
        <w:t xml:space="preserve">—   </w:t>
      </w:r>
      <w:r>
        <w:t>Every worker of the general contractor, however engaged — direct employee, staffing agency, apprentice or student intern.</w:t>
      </w:r>
    </w:p>
    <w:p>
      <w:pPr>
        <w:pStyle w:val="BodyBullet"/>
      </w:pPr>
      <w:r>
        <w:rPr>
          <w:color w:val="3480BC"/>
        </w:rPr>
        <w:t xml:space="preserve">—   </w:t>
      </w:r>
      <w:r>
        <w:t>Every subcontractor and sub-subcontractor of any tier and their workers, and every supplier, delivery driver and equipment rental supplier, while inside the site boundary or on an access controlled by the project.</w:t>
      </w:r>
    </w:p>
    <w:p>
      <w:pPr>
        <w:pStyle w:val="BodyBullet"/>
      </w:pPr>
      <w:r>
        <w:rPr>
          <w:color w:val="3480BC"/>
        </w:rPr>
        <w:t xml:space="preserve">—   </w:t>
      </w:r>
      <w:r>
        <w:t>Designers, consultants, surveyors, testing authorities and certifiers; Owner personnel, the Owner's Representative and their advisors; and visitors, including OSHAs, utility asset owners and community members under escort.</w:t>
      </w:r>
    </w:p>
    <w:p>
      <w:pPr>
        <w:pStyle w:val="Body"/>
      </w:pPr>
      <w:r>
        <w:t>No person may enter without a current induction under section 8, or under continuous escort by an inducted person. Acceptance of this plan is a condition of every subcontract.</w:t>
      </w:r>
    </w:p>
    <w:p>
      <w:pPr>
        <w:pStyle w:val="Heading2"/>
      </w:pPr>
      <w:bookmarkStart w:id="9009" w:name="_Toc90009"/>
      <w:r>
        <w:t>1.5 Multi-employer worksite: who OSHA can cite</w:t>
      </w:r>
      <w:bookmarkEnd w:id="9009"/>
    </w:p>
    <w:p>
      <w:pPr>
        <w:pStyle w:val="Body"/>
        <w:spacing w:after="0"/>
        <w:pBdr>
          <w:bottom w:val="single" w:sz="12" w:space="0" w:color="1D3245"/>
        </w:pBdr>
      </w:pPr>
      <w:r>
        <w:t>A construction site is a multi-employer workplace and OSHA can cite more than one employer for the same hazard — its Multi-Employer Citation Policy, directive CPL 02-00-124, sorts every employer on site into four roles, and one employer can hold several at once. Name the holders below before this plan is issued. A role left blank is a role nobody has been told they hold.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542"/>
        <w:gridCol w:w="4047"/>
        <w:gridCol w:w="4049"/>
      </w:tblGrid>
      <w:tr>
        <w:trPr>
          <w:tblHeader w:val="true"/>
          <w:cantSplit w:val="true"/>
        </w:trPr>
        <w:tc>
          <w:tcPr>
            <w:tcW w:w="2" w:type="dxa"/>
            <w:shd w:val="clear" w:color="auto" w:fill="1D3245"/>
            <w:vAlign w:val="center"/>
          </w:tcPr>
          <w:p>
            <w:pPr>
              <w:pStyle w:val="TableHeader"/>
              <w:jc w:val="left"/>
            </w:pPr>
            <w:r>
              <w:t>OSHA employer role</w:t>
            </w:r>
            <w:r/>
          </w:p>
        </w:tc>
        <w:tc>
          <w:tcPr>
            <w:tcW w:w="6" w:type="dxa"/>
            <w:shd w:val="clear" w:color="auto" w:fill="1D3245"/>
            <w:vAlign w:val="center"/>
          </w:tcPr>
          <w:p>
            <w:pPr>
              <w:pStyle w:val="TableHeader"/>
              <w:jc w:val="left"/>
            </w:pPr>
            <w:r>
              <w:t>Who holds this role on this project — name them</w:t>
            </w:r>
            <w:r/>
          </w:p>
        </w:tc>
        <w:tc>
          <w:tcPr>
            <w:tcW w:w="6" w:type="dxa"/>
            <w:shd w:val="clear" w:color="auto" w:fill="1D3245"/>
            <w:vAlign w:val="center"/>
          </w:tcPr>
          <w:p>
            <w:pPr>
              <w:pStyle w:val="TableHeader"/>
              <w:jc w:val="left"/>
            </w:pPr>
            <w:r>
              <w:t>What OSHA requires of that role</w:t>
            </w:r>
            <w:r/>
          </w:p>
        </w:tc>
      </w:tr>
      <w:tr>
        <w:trPr>
          <w:cantSplit w:val="true"/>
        </w:trPr>
        <w:tc>
          <w:tcPr>
            <w:tcW w:w="2" w:type="dxa"/>
            <w:vAlign w:val="center"/>
          </w:tcPr>
          <w:p>
            <w:pPr>
              <w:pStyle w:val="TableTextBold"/>
              <w:jc w:val="left"/>
            </w:pPr>
            <w:r>
              <w:t>Creating employer</w:t>
            </w:r>
            <w:r/>
          </w:p>
        </w:tc>
        <w:tc>
          <w:tcPr>
            <w:tcW w:w="6" w:type="dxa"/>
            <w:vAlign w:val="center"/>
          </w:tcPr>
          <w:p>
            <w:pPr>
              <w:pStyle w:val="TableText"/>
              <w:jc w:val="left"/>
            </w:pPr>
            <w:r>
              <w:t>[Name each employer whose work creates a hazard others may be exposed to — usually the trade performing the task]</w:t>
            </w:r>
            <w:r/>
          </w:p>
        </w:tc>
        <w:tc>
          <w:tcPr>
            <w:tcW w:w="6" w:type="dxa"/>
            <w:vAlign w:val="center"/>
          </w:tcPr>
          <w:p>
            <w:pPr>
              <w:pStyle w:val="TableText"/>
              <w:jc w:val="left"/>
            </w:pPr>
            <w:r>
              <w:t>Citable for the hazard it created even where the only workers exposed belong to another employer. Creating the hazard is enough; exposure of its own crew is not required.</w:t>
            </w:r>
            <w:r/>
          </w:p>
        </w:tc>
      </w:tr>
      <w:tr>
        <w:trPr>
          <w:cantSplit w:val="true"/>
        </w:trPr>
        <w:tc>
          <w:tcPr>
            <w:tcW w:w="2" w:type="dxa"/>
            <w:vAlign w:val="center"/>
          </w:tcPr>
          <w:p>
            <w:pPr>
              <w:pStyle w:val="TableTextBold"/>
              <w:jc w:val="left"/>
            </w:pPr>
            <w:r>
              <w:t>Exposing employer</w:t>
            </w:r>
            <w:r/>
          </w:p>
        </w:tc>
        <w:tc>
          <w:tcPr>
            <w:tcW w:w="6" w:type="dxa"/>
            <w:vAlign w:val="center"/>
          </w:tcPr>
          <w:p>
            <w:pPr>
              <w:pStyle w:val="TableText"/>
              <w:jc w:val="left"/>
            </w:pPr>
            <w:r>
              <w:t>[Name every employer whose workers are exposed, including your own — crews working beneath, beside or after the creating employer]</w:t>
            </w:r>
            <w:r/>
          </w:p>
        </w:tc>
        <w:tc>
          <w:tcPr>
            <w:tcW w:w="6" w:type="dxa"/>
            <w:vAlign w:val="center"/>
          </w:tcPr>
          <w:p>
            <w:pPr>
              <w:pStyle w:val="TableText"/>
              <w:jc w:val="left"/>
            </w:pPr>
            <w:r>
              <w:t>Citable where it knew of the hazard or failed to exercise reasonable diligence to discover it. Where it cannot correct the hazard itself it must ask the creating or controlling employer to correct it, inform its own workers, and take reasonable alternative protective measures.</w:t>
            </w:r>
            <w:r/>
          </w:p>
        </w:tc>
      </w:tr>
      <w:tr>
        <w:trPr>
          <w:cantSplit w:val="true"/>
        </w:trPr>
        <w:tc>
          <w:tcPr>
            <w:tcW w:w="2" w:type="dxa"/>
            <w:vAlign w:val="center"/>
          </w:tcPr>
          <w:p>
            <w:pPr>
              <w:pStyle w:val="TableTextBold"/>
              <w:jc w:val="left"/>
            </w:pPr>
            <w:r>
              <w:t>Correcting employer</w:t>
            </w:r>
            <w:r/>
          </w:p>
        </w:tc>
        <w:tc>
          <w:tcPr>
            <w:tcW w:w="6" w:type="dxa"/>
            <w:vAlign w:val="center"/>
          </w:tcPr>
          <w:p>
            <w:pPr>
              <w:pStyle w:val="TableText"/>
              <w:jc w:val="left"/>
            </w:pPr>
            <w:r>
              <w:t>[Name the employer engaged to install, inspect or maintain each control — scaffold, shoring, electrical]</w:t>
            </w:r>
            <w:r/>
          </w:p>
        </w:tc>
        <w:tc>
          <w:tcPr>
            <w:tcW w:w="6" w:type="dxa"/>
            <w:vAlign w:val="center"/>
          </w:tcPr>
          <w:p>
            <w:pPr>
              <w:pStyle w:val="TableText"/>
              <w:jc w:val="left"/>
            </w:pPr>
            <w:r>
              <w:t>Must exercise reasonable care in preventing and discovering violations and must meet its obligation to correct the hazard.</w:t>
            </w:r>
            <w:r/>
          </w:p>
        </w:tc>
      </w:tr>
      <w:tr>
        <w:trPr>
          <w:cantSplit w:val="true"/>
        </w:trPr>
        <w:tc>
          <w:tcPr>
            <w:tcW w:w="2" w:type="dxa"/>
            <w:vAlign w:val="center"/>
          </w:tcPr>
          <w:p>
            <w:pPr>
              <w:pStyle w:val="TableTextBold"/>
              <w:jc w:val="left"/>
            </w:pPr>
            <w:r>
              <w:t>Controlling employer</w:t>
            </w:r>
            <w:r/>
          </w:p>
        </w:tc>
        <w:tc>
          <w:tcPr>
            <w:tcW w:w="6" w:type="dxa"/>
            <w:vAlign w:val="center"/>
          </w:tcPr>
          <w:p>
            <w:pPr>
              <w:pStyle w:val="TableText"/>
              <w:jc w:val="left"/>
            </w:pPr>
            <w:r>
              <w:t>[Name the party with general supervisory authority — the General Contractor or Construction Manager, and the Owner or Owner's Representative where it directs the work]</w:t>
            </w:r>
            <w:r/>
          </w:p>
        </w:tc>
        <w:tc>
          <w:tcPr>
            <w:tcW w:w="6" w:type="dxa"/>
            <w:vAlign w:val="center"/>
          </w:tcPr>
          <w:p>
            <w:pPr>
              <w:pStyle w:val="TableText"/>
              <w:jc w:val="left"/>
            </w:pPr>
            <w:r>
              <w:t>Must exercise reasonable care to prevent and detect violations on the site. The standard of care is lower than for its own workers, but it is not zero and it cannot be delegated by contract.</w:t>
            </w:r>
            <w:r/>
          </w:p>
        </w:tc>
      </w:tr>
    </w:tbl>
    <w:p>
      <w:pPr>
        <w:pStyle w:val="Body"/>
        <w:spacing w:after="0"/>
        <w:pBdr>
          <w:bottom w:val="single" w:sz="12" w:space="0" w:color="1D3245"/>
        </w:pBdr>
      </w:pPr>
      <w:r>
        <w:t>Controlling employer is the role an owner-side team acquires without noticing, and only the first route below involves a safety clause at all. Work down the table and record the determination — it decides what section 15.1 has to schedule.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927"/>
        <w:gridCol w:w="3855"/>
        <w:gridCol w:w="3856"/>
      </w:tblGrid>
      <w:tr>
        <w:trPr>
          <w:tblHeader w:val="true"/>
          <w:cantSplit w:val="true"/>
        </w:trPr>
        <w:tc>
          <w:tcPr>
            <w:tcW w:w="3" w:type="dxa"/>
            <w:shd w:val="clear" w:color="auto" w:fill="1D3245"/>
            <w:vAlign w:val="center"/>
          </w:tcPr>
          <w:p>
            <w:pPr>
              <w:pStyle w:val="TableHeader"/>
              <w:jc w:val="left"/>
            </w:pPr>
            <w:r>
              <w:t>Test — does control arise this way?</w:t>
            </w:r>
            <w:r/>
          </w:p>
        </w:tc>
        <w:tc>
          <w:tcPr>
            <w:tcW w:w="6" w:type="dxa"/>
            <w:shd w:val="clear" w:color="auto" w:fill="1D3245"/>
            <w:vAlign w:val="center"/>
          </w:tcPr>
          <w:p>
            <w:pPr>
              <w:pStyle w:val="TableHeader"/>
              <w:jc w:val="left"/>
            </w:pPr>
            <w:r>
              <w:t>What it looks like on a project</w:t>
            </w:r>
            <w:r/>
          </w:p>
        </w:tc>
        <w:tc>
          <w:tcPr>
            <w:tcW w:w="6" w:type="dxa"/>
            <w:shd w:val="clear" w:color="auto" w:fill="1D3245"/>
            <w:vAlign w:val="center"/>
          </w:tcPr>
          <w:p>
            <w:pPr>
              <w:pStyle w:val="TableHeader"/>
              <w:jc w:val="left"/>
            </w:pPr>
            <w:r>
              <w:t>Applies on this project?</w:t>
            </w:r>
            <w:r/>
          </w:p>
        </w:tc>
      </w:tr>
      <w:tr>
        <w:trPr>
          <w:cantSplit w:val="true"/>
        </w:trPr>
        <w:tc>
          <w:tcPr>
            <w:tcW w:w="3" w:type="dxa"/>
            <w:vAlign w:val="center"/>
          </w:tcPr>
          <w:p>
            <w:pPr>
              <w:pStyle w:val="TableTextBold"/>
              <w:jc w:val="left"/>
            </w:pPr>
            <w:r>
              <w:t>An explicit contract right over safety</w:t>
            </w:r>
            <w:r/>
          </w:p>
        </w:tc>
        <w:tc>
          <w:tcPr>
            <w:tcW w:w="6" w:type="dxa"/>
            <w:vAlign w:val="center"/>
          </w:tcPr>
          <w:p>
            <w:pPr>
              <w:pStyle w:val="TableText"/>
              <w:jc w:val="left"/>
            </w:pPr>
            <w:r>
              <w:t>A subcontract clause requiring the subcontractor to comply with safety requirements and to correct violations you identify — the standard flow-down clause</w:t>
            </w:r>
            <w:r/>
          </w:p>
        </w:tc>
        <w:tc>
          <w:tcPr>
            <w:tcW w:w="6" w:type="dxa"/>
            <w:vAlign w:val="center"/>
          </w:tcPr>
          <w:p>
            <w:pPr>
              <w:pStyle w:val="TableText"/>
              <w:jc w:val="left"/>
            </w:pPr>
            <w:r>
              <w:t>[Yes / No]</w:t>
            </w:r>
            <w:r/>
          </w:p>
        </w:tc>
      </w:tr>
      <w:tr>
        <w:trPr>
          <w:cantSplit w:val="true"/>
        </w:trPr>
        <w:tc>
          <w:tcPr>
            <w:tcW w:w="3" w:type="dxa"/>
            <w:vAlign w:val="center"/>
          </w:tcPr>
          <w:p>
            <w:pPr>
              <w:pStyle w:val="TableTextBold"/>
              <w:jc w:val="left"/>
            </w:pPr>
            <w:r>
              <w:t>A combination of other contract rights, with no safety clause at all</w:t>
            </w:r>
            <w:r/>
          </w:p>
        </w:tc>
        <w:tc>
          <w:tcPr>
            <w:tcW w:w="6" w:type="dxa"/>
            <w:vAlign w:val="center"/>
          </w:tcPr>
          <w:p>
            <w:pPr>
              <w:pStyle w:val="TableText"/>
              <w:jc w:val="left"/>
            </w:pPr>
            <w:r>
              <w:t>Broad responsibility for the project: scheduling, sequencing, coordinating the trades, resolving disputes, the right to stop work. OSHA treats broad project authority as necessarily implicating safety authority — this is the route most owner's representatives and construction managers take without realizing it</w:t>
            </w:r>
            <w:r/>
          </w:p>
        </w:tc>
        <w:tc>
          <w:tcPr>
            <w:tcW w:w="6" w:type="dxa"/>
            <w:vAlign w:val="center"/>
          </w:tcPr>
          <w:p>
            <w:pPr>
              <w:pStyle w:val="TableText"/>
              <w:jc w:val="left"/>
            </w:pPr>
            <w:r>
              <w:t>[Yes / No]</w:t>
            </w:r>
            <w:r/>
          </w:p>
        </w:tc>
      </w:tr>
      <w:tr>
        <w:trPr>
          <w:cantSplit w:val="true"/>
        </w:trPr>
        <w:tc>
          <w:tcPr>
            <w:tcW w:w="3" w:type="dxa"/>
            <w:vAlign w:val="center"/>
          </w:tcPr>
          <w:p>
            <w:pPr>
              <w:pStyle w:val="TableTextBold"/>
              <w:jc w:val="left"/>
            </w:pPr>
            <w:r>
              <w:t>Control exercised in practice</w:t>
            </w:r>
            <w:r/>
          </w:p>
        </w:tc>
        <w:tc>
          <w:tcPr>
            <w:tcW w:w="6" w:type="dxa"/>
            <w:vAlign w:val="center"/>
          </w:tcPr>
          <w:p>
            <w:pPr>
              <w:pStyle w:val="TableText"/>
              <w:jc w:val="left"/>
            </w:pPr>
            <w:r>
              <w:t>Directing subcontractor crews, running the pre-start briefing, issuing site rules, conducting safety inspections</w:t>
            </w:r>
            <w:r/>
          </w:p>
        </w:tc>
        <w:tc>
          <w:tcPr>
            <w:tcW w:w="6" w:type="dxa"/>
            <w:vAlign w:val="center"/>
          </w:tcPr>
          <w:p>
            <w:pPr>
              <w:pStyle w:val="TableText"/>
              <w:jc w:val="left"/>
            </w:pPr>
            <w:r>
              <w:t>[Yes / No]</w:t>
            </w:r>
            <w:r/>
          </w:p>
        </w:tc>
      </w:tr>
      <w:tr>
        <w:trPr>
          <w:cantSplit w:val="true"/>
        </w:trPr>
        <w:tc>
          <w:tcPr>
            <w:tcW w:w="3" w:type="dxa"/>
            <w:vAlign w:val="center"/>
          </w:tcPr>
          <w:p>
            <w:pPr>
              <w:pStyle w:val="TableTextBold"/>
              <w:jc w:val="left"/>
            </w:pPr>
            <w:r>
              <w:t>Authority held and not used</w:t>
            </w:r>
            <w:r/>
          </w:p>
        </w:tc>
        <w:tc>
          <w:tcPr>
            <w:tcW w:w="6" w:type="dxa"/>
            <w:vAlign w:val="center"/>
          </w:tcPr>
          <w:p>
            <w:pPr>
              <w:pStyle w:val="TableText"/>
              <w:jc w:val="left"/>
            </w:pPr>
            <w:r>
              <w:t>A contract giving you the right to require correction, which you never exercise. The authority is what counts, not whether you used it — not using it is evidence against you on reasonable care, not a defense</w:t>
            </w:r>
            <w:r/>
          </w:p>
        </w:tc>
        <w:tc>
          <w:tcPr>
            <w:tcW w:w="6" w:type="dxa"/>
            <w:vAlign w:val="center"/>
          </w:tcPr>
          <w:p>
            <w:pPr>
              <w:pStyle w:val="TableText"/>
              <w:jc w:val="left"/>
            </w:pPr>
            <w:r>
              <w:t>[Yes / No]</w:t>
            </w:r>
            <w:r/>
          </w:p>
        </w:tc>
      </w:tr>
      <w:tr>
        <w:trPr>
          <w:cantSplit w:val="true"/>
        </w:trPr>
        <w:tc>
          <w:tcPr>
            <w:tcW w:w="3" w:type="dxa"/>
            <w:vAlign w:val="center"/>
          </w:tcPr>
          <w:p>
            <w:pPr>
              <w:pStyle w:val="TableTextBold"/>
              <w:jc w:val="left"/>
            </w:pPr>
            <w:r>
              <w:t>DETERMINATION — is this project a controlling employer?</w:t>
            </w:r>
            <w:r/>
          </w:p>
        </w:tc>
        <w:tc>
          <w:tcPr>
            <w:tcW w:w="6" w:type="dxa"/>
            <w:vAlign w:val="center"/>
          </w:tcPr>
          <w:p>
            <w:pPr>
              <w:pStyle w:val="TableText"/>
              <w:jc w:val="left"/>
            </w:pPr>
            <w:r>
              <w:t>Any Yes above makes it one. Record the determination, who made it and when; re-make it at every change of delivery model or contract</w:t>
            </w:r>
            <w:r/>
          </w:p>
        </w:tc>
        <w:tc>
          <w:tcPr>
            <w:tcW w:w="6" w:type="dxa"/>
            <w:vAlign w:val="center"/>
          </w:tcPr>
          <w:p>
            <w:pPr>
              <w:pStyle w:val="TableText"/>
              <w:jc w:val="left"/>
            </w:pPr>
            <w:r>
              <w:t>[Yes / No]   ·   Determined by [name, role]   ·   [MM/DD/YY]</w:t>
            </w:r>
            <w:r/>
          </w:p>
        </w:tc>
      </w:tr>
    </w:tbl>
    <w:p>
      <w:pPr>
        <w:pStyle w:val="Body"/>
        <w:spacing w:after="0"/>
        <w:pBdr>
          <w:bottom w:val="single" w:sz="12" w:space="0" w:color="1D3245"/>
        </w:pBdr>
      </w:pPr>
      <w:r>
        <w:t>Where the determination above is Yes, complete this table before issue. A controlling employer owes reasonable care, not the standard of care it owes its own workers — and these four rows are what an inspector asks to see.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313"/>
        <w:gridCol w:w="4240"/>
        <w:gridCol w:w="3085"/>
      </w:tblGrid>
      <w:tr>
        <w:trPr>
          <w:tblHeader w:val="true"/>
          <w:cantSplit w:val="true"/>
        </w:trPr>
        <w:tc>
          <w:tcPr>
            <w:tcW w:w="4" w:type="dxa"/>
            <w:shd w:val="clear" w:color="auto" w:fill="1D3245"/>
            <w:vAlign w:val="center"/>
          </w:tcPr>
          <w:p>
            <w:pPr>
              <w:pStyle w:val="TableHeader"/>
              <w:jc w:val="left"/>
            </w:pPr>
            <w:r>
              <w:t>What reasonable care requires</w:t>
            </w:r>
            <w:r/>
          </w:p>
        </w:tc>
        <w:tc>
          <w:tcPr>
            <w:tcW w:w="7" w:type="dxa"/>
            <w:shd w:val="clear" w:color="auto" w:fill="1D3245"/>
            <w:vAlign w:val="center"/>
          </w:tcPr>
          <w:p>
            <w:pPr>
              <w:pStyle w:val="TableHeader"/>
              <w:jc w:val="left"/>
            </w:pPr>
            <w:r>
              <w:t>How this project discharges it — complete before issue</w:t>
            </w:r>
            <w:r/>
          </w:p>
        </w:tc>
        <w:tc>
          <w:tcPr>
            <w:tcW w:w="5" w:type="dxa"/>
            <w:shd w:val="clear" w:color="auto" w:fill="1D3245"/>
            <w:vAlign w:val="center"/>
          </w:tcPr>
          <w:p>
            <w:pPr>
              <w:pStyle w:val="TableHeader"/>
              <w:jc w:val="left"/>
            </w:pPr>
            <w:r>
              <w:t>Owner and evidence</w:t>
            </w:r>
            <w:r/>
          </w:p>
        </w:tc>
      </w:tr>
      <w:tr>
        <w:trPr>
          <w:cantSplit w:val="true"/>
        </w:trPr>
        <w:tc>
          <w:tcPr>
            <w:tcW w:w="4" w:type="dxa"/>
            <w:vAlign w:val="center"/>
          </w:tcPr>
          <w:p>
            <w:pPr>
              <w:pStyle w:val="TableTextBold"/>
              <w:jc w:val="left"/>
            </w:pPr>
            <w:r>
              <w:t>Periodic inspections of appropriate frequency</w:t>
            </w:r>
            <w:r/>
          </w:p>
        </w:tc>
        <w:tc>
          <w:tcPr>
            <w:tcW w:w="7" w:type="dxa"/>
            <w:vAlign w:val="center"/>
          </w:tcPr>
          <w:p>
            <w:pPr>
              <w:pStyle w:val="TableText"/>
              <w:jc w:val="left"/>
            </w:pPr>
            <w:r>
              <w:t>[State the inspection type and frequency set at 15.1, and the basis for it — the scale of the project, the pace of the work and how fast the hazards change]</w:t>
            </w:r>
            <w:r/>
          </w:p>
        </w:tc>
        <w:tc>
          <w:tcPr>
            <w:tcW w:w="5" w:type="dxa"/>
            <w:vAlign w:val="center"/>
          </w:tcPr>
          <w:p>
            <w:pPr>
              <w:pStyle w:val="TableText"/>
              <w:jc w:val="left"/>
            </w:pPr>
            <w:r>
              <w:t>[Name] · inspection records; the schedule at 15.1</w:t>
            </w:r>
            <w:r/>
          </w:p>
        </w:tc>
      </w:tr>
      <w:tr>
        <w:trPr>
          <w:cantSplit w:val="true"/>
        </w:trPr>
        <w:tc>
          <w:tcPr>
            <w:tcW w:w="4" w:type="dxa"/>
            <w:vAlign w:val="center"/>
          </w:tcPr>
          <w:p>
            <w:pPr>
              <w:pStyle w:val="TableTextBold"/>
              <w:jc w:val="left"/>
            </w:pPr>
            <w:r>
              <w:t>An effective system for promptly correcting hazards</w:t>
            </w:r>
            <w:r/>
          </w:p>
        </w:tc>
        <w:tc>
          <w:tcPr>
            <w:tcW w:w="7" w:type="dxa"/>
            <w:vAlign w:val="center"/>
          </w:tcPr>
          <w:p>
            <w:pPr>
              <w:pStyle w:val="TableText"/>
              <w:jc w:val="left"/>
            </w:pPr>
            <w:r>
              <w:t>[Confirm the corrective action register at 12.5 is the single register for every source, with a named owner, a due date and verified closeout]</w:t>
            </w:r>
            <w:r/>
          </w:p>
        </w:tc>
        <w:tc>
          <w:tcPr>
            <w:tcW w:w="5" w:type="dxa"/>
            <w:vAlign w:val="center"/>
          </w:tcPr>
          <w:p>
            <w:pPr>
              <w:pStyle w:val="TableText"/>
              <w:jc w:val="left"/>
            </w:pPr>
            <w:r>
              <w:t>[Name] · corrective action register; closeout evidence</w:t>
            </w:r>
            <w:r/>
          </w:p>
        </w:tc>
      </w:tr>
      <w:tr>
        <w:trPr>
          <w:cantSplit w:val="true"/>
        </w:trPr>
        <w:tc>
          <w:tcPr>
            <w:tcW w:w="4" w:type="dxa"/>
            <w:vAlign w:val="center"/>
          </w:tcPr>
          <w:p>
            <w:pPr>
              <w:pStyle w:val="TableTextBold"/>
              <w:jc w:val="left"/>
            </w:pPr>
            <w:r>
              <w:t>An effective, graduated system of enforcement and follow-up inspection</w:t>
            </w:r>
            <w:r/>
          </w:p>
        </w:tc>
        <w:tc>
          <w:tcPr>
            <w:tcW w:w="7" w:type="dxa"/>
            <w:vAlign w:val="center"/>
          </w:tcPr>
          <w:p>
            <w:pPr>
              <w:pStyle w:val="TableText"/>
              <w:jc w:val="left"/>
            </w:pPr>
            <w:r>
              <w:t>[Confirm the escalation ladder at 14.4 is applied consistently and recorded, with a follow-up inspection after every notice issued]</w:t>
            </w:r>
            <w:r/>
          </w:p>
        </w:tc>
        <w:tc>
          <w:tcPr>
            <w:tcW w:w="5" w:type="dxa"/>
            <w:vAlign w:val="center"/>
          </w:tcPr>
          <w:p>
            <w:pPr>
              <w:pStyle w:val="TableText"/>
              <w:jc w:val="left"/>
            </w:pPr>
            <w:r>
              <w:t>[Name] · non-compliance notices; escalation log; follow-up records</w:t>
            </w:r>
            <w:r/>
          </w:p>
        </w:tc>
      </w:tr>
      <w:tr>
        <w:trPr>
          <w:cantSplit w:val="true"/>
        </w:trPr>
        <w:tc>
          <w:tcPr>
            <w:tcW w:w="4" w:type="dxa"/>
            <w:vAlign w:val="center"/>
          </w:tcPr>
          <w:p>
            <w:pPr>
              <w:pStyle w:val="TableTextBold"/>
              <w:jc w:val="left"/>
            </w:pPr>
            <w:r>
              <w:t>More inspection where the risk is higher</w:t>
            </w:r>
            <w:r/>
          </w:p>
        </w:tc>
        <w:tc>
          <w:tcPr>
            <w:tcW w:w="7" w:type="dxa"/>
            <w:vAlign w:val="center"/>
          </w:tcPr>
          <w:p>
            <w:pPr>
              <w:pStyle w:val="TableText"/>
              <w:jc w:val="left"/>
            </w:pPr>
            <w:r>
              <w:t>[State the trigger for increasing frequency — project start, an unfamiliar subcontractor, a history of non-compliance — and what evidence justifies reducing it]</w:t>
            </w:r>
            <w:r/>
          </w:p>
        </w:tc>
        <w:tc>
          <w:tcPr>
            <w:tcW w:w="5" w:type="dxa"/>
            <w:vAlign w:val="center"/>
          </w:tcPr>
          <w:p>
            <w:pPr>
              <w:pStyle w:val="TableText"/>
              <w:jc w:val="left"/>
            </w:pPr>
            <w:r>
              <w:t>[Name] · prequalification file; frequency review at management review</w:t>
            </w:r>
            <w:r/>
          </w:p>
        </w:tc>
      </w:tr>
    </w:tbl>
    <w:p>
      <w:pPr>
        <w:pStyle w:val="Note"/>
      </w:pPr>
      <w:r>
        <w:t>A subcontractor may hold its own written safety and health program. Where it does, it continues to operate that program for its own employees, but this plan governs the project: where the two differ the more protective requirement applies, and where the subcontractor's program is silent this plan fills the gap. Nothing in this section transfers a duty. Under the OSH Act each employer owes its own duty to its own employees, and a contract that purports to move that duty moves nothing — it only changes who pays afterwards.</w:t>
      </w:r>
    </w:p>
    <w:p>
      <w:pPr>
        <w:pStyle w:val="Body"/>
      </w:pPr>
      <w:r>
        <w:t>A subcontractor may hold its own written safety and health program. Where it does, it continues to operate that program for its own employees, but this plan governs the project: where the two differ the more protective requirement applies, and where the subcontractor's program is silent this plan fills the gap. Subcontractors submit a project-specific plan or a written statement of alignment before mobilization (section 14), and their Job Hazard Analyses must be accepted under section 6.5 before the activity starts. Nothing here relieves any party of its own duties under the Occupational Safety and Health Act, and duties cannot be contracted away.</w:t>
      </w:r>
    </w:p>
    <w:p>
      <w:pPr>
        <w:pStyle w:val="Heading2"/>
      </w:pPr>
      <w:bookmarkStart w:id="9010" w:name="_Toc90010"/>
      <w:r>
        <w:t>1.6 Hierarchy of documents</w:t>
      </w:r>
      <w:bookmarkEnd w:id="9010"/>
    </w:p>
    <w:p>
      <w:pPr>
        <w:pStyle w:val="Body"/>
      </w:pPr>
      <w:r>
        <w:t>The figure below is expressed as a table so it stays legible when printed, copied or read on a phone at the work face. Each level is authorized by the level above and must be consistent with it. A document that contradicts a level above it is invalid until the conflict is resolved and both are reissued.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247"/>
        <w:gridCol w:w="3628"/>
        <w:gridCol w:w="2267"/>
        <w:gridCol w:w="2496"/>
      </w:tblGrid>
      <w:tr>
        <w:trPr>
          <w:tblHeader w:val="true"/>
          <w:cantSplit w:val="true"/>
        </w:trPr>
        <w:tc>
          <w:tcPr>
            <w:tcW w:w="1247" w:type="dxa"/>
            <w:shd w:val="clear" w:color="auto" w:fill="1D3245"/>
            <w:vAlign w:val="center"/>
          </w:tcPr>
          <w:p>
            <w:pPr>
              <w:pStyle w:val="TableHeader"/>
              <w:jc w:val="left"/>
            </w:pPr>
            <w:r/>
            <w:r>
              <w:t>Level</w:t>
            </w:r>
          </w:p>
        </w:tc>
        <w:tc>
          <w:tcPr>
            <w:tcW w:w="3628" w:type="dxa"/>
            <w:shd w:val="clear" w:color="auto" w:fill="1D3245"/>
            <w:vAlign w:val="center"/>
          </w:tcPr>
          <w:p>
            <w:pPr>
              <w:pStyle w:val="TableHeader"/>
              <w:jc w:val="left"/>
            </w:pPr>
            <w:r/>
            <w:r>
              <w:t>Document</w:t>
            </w:r>
          </w:p>
        </w:tc>
        <w:tc>
          <w:tcPr>
            <w:tcW w:w="2267" w:type="dxa"/>
            <w:shd w:val="clear" w:color="auto" w:fill="1D3245"/>
            <w:vAlign w:val="center"/>
          </w:tcPr>
          <w:p>
            <w:pPr>
              <w:pStyle w:val="TableHeader"/>
              <w:jc w:val="left"/>
            </w:pPr>
            <w:r/>
            <w:r>
              <w:t>Owner</w:t>
            </w:r>
          </w:p>
        </w:tc>
        <w:tc>
          <w:tcPr>
            <w:tcW w:w="2496" w:type="dxa"/>
            <w:shd w:val="clear" w:color="auto" w:fill="1D3245"/>
            <w:vAlign w:val="center"/>
          </w:tcPr>
          <w:p>
            <w:pPr>
              <w:pStyle w:val="TableHeader"/>
              <w:jc w:val="left"/>
            </w:pPr>
            <w:r/>
            <w:r>
              <w:t>Approval authority</w:t>
            </w:r>
          </w:p>
        </w:tc>
      </w:tr>
      <w:tr>
        <w:trPr>
          <w:cantSplit w:val="true"/>
        </w:trPr>
        <w:tc>
          <w:tcPr>
            <w:tcW w:w="1247" w:type="dxa"/>
            <w:vAlign w:val="center"/>
          </w:tcPr>
          <w:p>
            <w:pPr>
              <w:pStyle w:val="TableTextBold"/>
              <w:jc w:val="left"/>
            </w:pPr>
            <w:r/>
            <w:r>
              <w:t>0 — Statutory</w:t>
            </w:r>
          </w:p>
        </w:tc>
        <w:tc>
          <w:tcPr>
            <w:tcW w:w="3628" w:type="dxa"/>
            <w:vAlign w:val="center"/>
          </w:tcPr>
          <w:p>
            <w:pPr>
              <w:pStyle w:val="TableText"/>
              <w:jc w:val="left"/>
            </w:pPr>
            <w:r/>
            <w:r>
              <w:t>OSH Act, 29 CFR 1926 and 1904, and any State Plan requirement 29 CFR Part 1926, plus any OSHA-approved State Plan requirement that exceeds it</w:t>
            </w:r>
          </w:p>
        </w:tc>
        <w:tc>
          <w:tcPr>
            <w:tcW w:w="2267" w:type="dxa"/>
            <w:vAlign w:val="center"/>
          </w:tcPr>
          <w:p>
            <w:pPr>
              <w:pStyle w:val="TableText"/>
              <w:jc w:val="left"/>
            </w:pPr>
            <w:r/>
            <w:r>
              <w:t>OSHA / State Plan</w:t>
            </w:r>
          </w:p>
        </w:tc>
        <w:tc>
          <w:tcPr>
            <w:tcW w:w="2496" w:type="dxa"/>
            <w:vAlign w:val="center"/>
          </w:tcPr>
          <w:p>
            <w:pPr>
              <w:pStyle w:val="TableText"/>
              <w:jc w:val="left"/>
            </w:pPr>
            <w:r/>
            <w:r>
              <w:t>Not variable by the project</w:t>
            </w:r>
          </w:p>
        </w:tc>
      </w:tr>
      <w:tr>
        <w:trPr>
          <w:cantSplit w:val="true"/>
        </w:trPr>
        <w:tc>
          <w:tcPr>
            <w:tcW w:w="1247" w:type="dxa"/>
            <w:vAlign w:val="center"/>
          </w:tcPr>
          <w:p>
            <w:pPr>
              <w:pStyle w:val="TableTextBold"/>
              <w:jc w:val="left"/>
            </w:pPr>
            <w:r/>
            <w:r>
              <w:t>1 — Contract</w:t>
            </w:r>
          </w:p>
        </w:tc>
        <w:tc>
          <w:tcPr>
            <w:tcW w:w="3628" w:type="dxa"/>
            <w:vAlign w:val="center"/>
          </w:tcPr>
          <w:p>
            <w:pPr>
              <w:pStyle w:val="TableText"/>
              <w:jc w:val="left"/>
            </w:pPr>
            <w:r/>
            <w:r>
              <w:t>Contract, Owner safety requirements, site access conditions and authority approval conditions</w:t>
            </w:r>
          </w:p>
        </w:tc>
        <w:tc>
          <w:tcPr>
            <w:tcW w:w="2267" w:type="dxa"/>
            <w:vAlign w:val="center"/>
          </w:tcPr>
          <w:p>
            <w:pPr>
              <w:pStyle w:val="TableText"/>
              <w:jc w:val="left"/>
            </w:pPr>
            <w:r/>
            <w:r>
              <w:t>Owner</w:t>
            </w:r>
          </w:p>
        </w:tc>
        <w:tc>
          <w:tcPr>
            <w:tcW w:w="2496" w:type="dxa"/>
            <w:vAlign w:val="center"/>
          </w:tcPr>
          <w:p>
            <w:pPr>
              <w:pStyle w:val="TableText"/>
              <w:jc w:val="left"/>
            </w:pPr>
            <w:r/>
            <w:r>
              <w:t>Owner and Contractor, by agreement</w:t>
            </w:r>
          </w:p>
        </w:tc>
      </w:tr>
      <w:tr>
        <w:trPr>
          <w:cantSplit w:val="true"/>
        </w:trPr>
        <w:tc>
          <w:tcPr>
            <w:tcW w:w="1247" w:type="dxa"/>
            <w:vAlign w:val="center"/>
          </w:tcPr>
          <w:p>
            <w:pPr>
              <w:pStyle w:val="TableTextBold"/>
              <w:jc w:val="left"/>
            </w:pPr>
            <w:r/>
            <w:r>
              <w:t>2 — Project plan</w:t>
            </w:r>
          </w:p>
        </w:tc>
        <w:tc>
          <w:tcPr>
            <w:tcW w:w="3628" w:type="dxa"/>
            <w:vAlign w:val="center"/>
          </w:tcPr>
          <w:p>
            <w:pPr>
              <w:pStyle w:val="TableText"/>
              <w:jc w:val="left"/>
            </w:pPr>
            <w:r/>
            <w:r>
              <w:t>This Safety Management Plan</w:t>
            </w:r>
          </w:p>
        </w:tc>
        <w:tc>
          <w:tcPr>
            <w:tcW w:w="2267" w:type="dxa"/>
            <w:vAlign w:val="center"/>
          </w:tcPr>
          <w:p>
            <w:pPr>
              <w:pStyle w:val="TableText"/>
              <w:jc w:val="left"/>
            </w:pPr>
            <w:r/>
            <w:r>
              <w:t>General contractor — Safety Manager</w:t>
            </w:r>
          </w:p>
        </w:tc>
        <w:tc>
          <w:tcPr>
            <w:tcW w:w="2496" w:type="dxa"/>
            <w:vAlign w:val="center"/>
          </w:tcPr>
          <w:p>
            <w:pPr>
              <w:pStyle w:val="TableText"/>
              <w:jc w:val="left"/>
            </w:pPr>
            <w:r/>
            <w:r>
              <w:t>Project Director; acknowledged by the Owner</w:t>
            </w:r>
          </w:p>
        </w:tc>
      </w:tr>
      <w:tr>
        <w:trPr>
          <w:cantSplit w:val="true"/>
        </w:trPr>
        <w:tc>
          <w:tcPr>
            <w:tcW w:w="1247" w:type="dxa"/>
            <w:vAlign w:val="center"/>
          </w:tcPr>
          <w:p>
            <w:pPr>
              <w:pStyle w:val="TableTextBold"/>
              <w:jc w:val="left"/>
            </w:pPr>
            <w:r/>
            <w:r>
              <w:t>3 — Subordinate plans</w:t>
            </w:r>
          </w:p>
        </w:tc>
        <w:tc>
          <w:tcPr>
            <w:tcW w:w="3628" w:type="dxa"/>
            <w:vAlign w:val="center"/>
          </w:tcPr>
          <w:p>
            <w:pPr>
              <w:pStyle w:val="TableText"/>
              <w:jc w:val="left"/>
            </w:pPr>
            <w:r/>
            <w:r>
              <w:t>Emergency Response Plan, Traffic Management Plan, Environmental Management Plan, temporary works procedures</w:t>
            </w:r>
          </w:p>
        </w:tc>
        <w:tc>
          <w:tcPr>
            <w:tcW w:w="2267" w:type="dxa"/>
            <w:vAlign w:val="center"/>
          </w:tcPr>
          <w:p>
            <w:pPr>
              <w:pStyle w:val="TableText"/>
              <w:jc w:val="left"/>
            </w:pPr>
            <w:r/>
            <w:r>
              <w:t>Named owner on the register above</w:t>
            </w:r>
          </w:p>
        </w:tc>
        <w:tc>
          <w:tcPr>
            <w:tcW w:w="2496" w:type="dxa"/>
            <w:vAlign w:val="center"/>
          </w:tcPr>
          <w:p>
            <w:pPr>
              <w:pStyle w:val="TableText"/>
              <w:jc w:val="left"/>
            </w:pPr>
            <w:r/>
            <w:r>
              <w:t>Safety Manager and the discipline lead</w:t>
            </w:r>
          </w:p>
        </w:tc>
      </w:tr>
      <w:tr>
        <w:trPr>
          <w:cantSplit w:val="true"/>
        </w:trPr>
        <w:tc>
          <w:tcPr>
            <w:tcW w:w="1247" w:type="dxa"/>
            <w:vAlign w:val="center"/>
          </w:tcPr>
          <w:p>
            <w:pPr>
              <w:pStyle w:val="TableTextBold"/>
              <w:jc w:val="left"/>
            </w:pPr>
            <w:r/>
            <w:r>
              <w:t>4 — Activity level</w:t>
            </w:r>
          </w:p>
        </w:tc>
        <w:tc>
          <w:tcPr>
            <w:tcW w:w="3628" w:type="dxa"/>
            <w:vAlign w:val="center"/>
          </w:tcPr>
          <w:p>
            <w:pPr>
              <w:pStyle w:val="TableText"/>
              <w:jc w:val="left"/>
            </w:pPr>
            <w:r/>
            <w:r>
              <w:t>JHA / AHA, lift studies, shoring and temporary works designs, permits to work</w:t>
            </w:r>
          </w:p>
        </w:tc>
        <w:tc>
          <w:tcPr>
            <w:tcW w:w="2267" w:type="dxa"/>
            <w:vAlign w:val="center"/>
          </w:tcPr>
          <w:p>
            <w:pPr>
              <w:pStyle w:val="TableText"/>
              <w:jc w:val="left"/>
            </w:pPr>
            <w:r/>
            <w:r>
              <w:t>The employer whose workers do the work</w:t>
            </w:r>
          </w:p>
        </w:tc>
        <w:tc>
          <w:tcPr>
            <w:tcW w:w="2496" w:type="dxa"/>
            <w:vAlign w:val="center"/>
          </w:tcPr>
          <w:p>
            <w:pPr>
              <w:pStyle w:val="TableText"/>
              <w:jc w:val="left"/>
            </w:pPr>
            <w:r/>
            <w:r>
              <w:t>Accepted by Safety Manager before work starts</w:t>
            </w:r>
          </w:p>
        </w:tc>
      </w:tr>
      <w:tr>
        <w:trPr>
          <w:cantSplit w:val="true"/>
        </w:trPr>
        <w:tc>
          <w:tcPr>
            <w:tcW w:w="1247" w:type="dxa"/>
            <w:vAlign w:val="center"/>
          </w:tcPr>
          <w:p>
            <w:pPr>
              <w:pStyle w:val="TableTextBold"/>
              <w:jc w:val="left"/>
            </w:pPr>
            <w:r/>
            <w:r>
              <w:t>5 — Daily control</w:t>
            </w:r>
          </w:p>
        </w:tc>
        <w:tc>
          <w:tcPr>
            <w:tcW w:w="3628" w:type="dxa"/>
            <w:vAlign w:val="center"/>
          </w:tcPr>
          <w:p>
            <w:pPr>
              <w:pStyle w:val="TableText"/>
              <w:jc w:val="left"/>
            </w:pPr>
            <w:r/>
            <w:r>
              <w:t>Pre-start briefings, permits for the shift, pre-start equipment checks, inspections, point-of-work risk assessments</w:t>
            </w:r>
          </w:p>
        </w:tc>
        <w:tc>
          <w:tcPr>
            <w:tcW w:w="2267" w:type="dxa"/>
            <w:vAlign w:val="center"/>
          </w:tcPr>
          <w:p>
            <w:pPr>
              <w:pStyle w:val="TableText"/>
              <w:jc w:val="left"/>
            </w:pPr>
            <w:r/>
            <w:r>
              <w:t>Supervisor at the work face</w:t>
            </w:r>
          </w:p>
        </w:tc>
        <w:tc>
          <w:tcPr>
            <w:tcW w:w="2496" w:type="dxa"/>
            <w:vAlign w:val="center"/>
          </w:tcPr>
          <w:p>
            <w:pPr>
              <w:pStyle w:val="TableText"/>
              <w:jc w:val="left"/>
            </w:pPr>
            <w:r/>
            <w:r>
              <w:t>Supervisor, each shift</w:t>
            </w:r>
          </w:p>
        </w:tc>
      </w:tr>
      <w:tr>
        <w:trPr>
          <w:cantSplit w:val="true"/>
        </w:trPr>
        <w:tc>
          <w:tcPr>
            <w:tcW w:w="1247" w:type="dxa"/>
            <w:vAlign w:val="center"/>
          </w:tcPr>
          <w:p>
            <w:pPr>
              <w:pStyle w:val="TableTextBold"/>
              <w:jc w:val="left"/>
            </w:pPr>
            <w:r/>
            <w:r>
              <w:t>6 — Records</w:t>
            </w:r>
          </w:p>
        </w:tc>
        <w:tc>
          <w:tcPr>
            <w:tcW w:w="3628" w:type="dxa"/>
            <w:vAlign w:val="center"/>
          </w:tcPr>
          <w:p>
            <w:pPr>
              <w:pStyle w:val="TableText"/>
              <w:jc w:val="left"/>
            </w:pPr>
            <w:r/>
            <w:r>
              <w:t>Registers, inspection, training and incident records, audits and corrective actions</w:t>
            </w:r>
          </w:p>
        </w:tc>
        <w:tc>
          <w:tcPr>
            <w:tcW w:w="2267" w:type="dxa"/>
            <w:vAlign w:val="center"/>
          </w:tcPr>
          <w:p>
            <w:pPr>
              <w:pStyle w:val="TableText"/>
              <w:jc w:val="left"/>
            </w:pPr>
            <w:r/>
            <w:r>
              <w:t>Safety Manager / document controller</w:t>
            </w:r>
          </w:p>
        </w:tc>
        <w:tc>
          <w:tcPr>
            <w:tcW w:w="2496" w:type="dxa"/>
            <w:vAlign w:val="center"/>
          </w:tcPr>
          <w:p>
            <w:pPr>
              <w:pStyle w:val="TableText"/>
              <w:jc w:val="left"/>
            </w:pPr>
            <w:r/>
            <w:r>
              <w:t>Retained per section 17</w:t>
            </w:r>
          </w:p>
        </w:tc>
      </w:tr>
    </w:tbl>
    <w:p>
      <w:pPr>
        <w:spacing w:before="0" w:after="0" w:line="60" w:lineRule="exact"/>
      </w:pPr>
    </w:p>
    <w:p>
      <w:pPr>
        <w:pStyle w:val="Caption"/>
      </w:pPr>
      <w:r>
        <w:t>Figure 1.1 — Project health and safety document hierarchy. Levels 0 to 2 are fixed for the project; levels 4 to 6 are produced continuously as the work proceeds.</w:t>
      </w:r>
    </w:p>
    <w:p>
      <w:pPr>
        <w:pStyle w:val="Heading1"/>
      </w:pPr>
      <w:bookmarkStart w:id="9011" w:name="_Toc90011"/>
      <w:r>
        <w:t>2. Policy and Commitment</w:t>
      </w:r>
      <w:bookmarkEnd w:id="9011"/>
    </w:p>
    <w:p>
      <w:pPr>
        <w:pStyle w:val="Body"/>
      </w:pPr>
      <w:r>
        <w:t>A policy is worth including only if it is signed by the person who controls the budget and the schedule, and only if each commitment can be tested against something else in this plan. Delete any commitment the project cannot demonstrate — an unmet commitment is worse than an absent one.</w:t>
      </w:r>
    </w:p>
    <w:p>
      <w:pPr>
        <w:pStyle w:val="Heading2"/>
      </w:pPr>
      <w:bookmarkStart w:id="9012" w:name="_Toc90012"/>
      <w:r>
        <w:t>2.1 Health and safety policy statement</w:t>
      </w:r>
      <w:bookmarkEnd w:id="9012"/>
    </w:p>
    <w:p>
      <w:pPr>
        <w:pStyle w:val="Placeholder"/>
      </w:pPr>
      <w:r>
        <w:t>[Insert or attach the organization's signed health and safety policy. As a minimum it must: state the intent to provide safe and healthy working conditions and to prevent work-related injury and ill health; commit to eliminating hazards and reducing risk so far as is reasonably practicable; commit to fulfilling legal and other requirements; commit to consultation and participation of workers and their representatives; commit to continual improvement; be authorized at the most senior level; and be dated, communicated and available. Where it is a separate corporate document, record its reference and date here.]</w:t>
      </w:r>
    </w:p>
    <w:p>
      <w:pPr>
        <w:pStyle w:val="Heading2"/>
      </w:pPr>
      <w:bookmarkStart w:id="9013" w:name="_Toc90013"/>
      <w:r>
        <w:t>2.2 Commitments made on this project</w:t>
      </w:r>
      <w:bookmarkEnd w:id="9013"/>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607"/>
        <w:gridCol w:w="3628"/>
        <w:gridCol w:w="3403"/>
      </w:tblGrid>
      <w:tr>
        <w:trPr>
          <w:tblHeader w:val="true"/>
          <w:cantSplit w:val="true"/>
        </w:trPr>
        <w:tc>
          <w:tcPr>
            <w:tcW w:w="2607" w:type="dxa"/>
            <w:shd w:val="clear" w:color="auto" w:fill="1D3245"/>
            <w:vAlign w:val="center"/>
          </w:tcPr>
          <w:p>
            <w:pPr>
              <w:pStyle w:val="TableHeader"/>
              <w:jc w:val="left"/>
            </w:pPr>
            <w:r/>
            <w:r>
              <w:t>Commitment</w:t>
            </w:r>
          </w:p>
        </w:tc>
        <w:tc>
          <w:tcPr>
            <w:tcW w:w="3628" w:type="dxa"/>
            <w:shd w:val="clear" w:color="auto" w:fill="1D3245"/>
            <w:vAlign w:val="center"/>
          </w:tcPr>
          <w:p>
            <w:pPr>
              <w:pStyle w:val="TableHeader"/>
              <w:jc w:val="left"/>
            </w:pPr>
            <w:r/>
            <w:r>
              <w:t>How it is demonstrated</w:t>
            </w:r>
          </w:p>
        </w:tc>
        <w:tc>
          <w:tcPr>
            <w:tcW w:w="3403" w:type="dxa"/>
            <w:shd w:val="clear" w:color="auto" w:fill="1D3245"/>
            <w:vAlign w:val="center"/>
          </w:tcPr>
          <w:p>
            <w:pPr>
              <w:pStyle w:val="TableHeader"/>
              <w:jc w:val="left"/>
            </w:pPr>
            <w:r/>
            <w:r>
              <w:t>Where the evidence sits</w:t>
            </w:r>
          </w:p>
        </w:tc>
      </w:tr>
      <w:tr>
        <w:trPr>
          <w:cantSplit w:val="true"/>
        </w:trPr>
        <w:tc>
          <w:tcPr>
            <w:tcW w:w="2607" w:type="dxa"/>
            <w:vAlign w:val="center"/>
          </w:tcPr>
          <w:p>
            <w:pPr>
              <w:pStyle w:val="TableTextBold"/>
              <w:jc w:val="left"/>
            </w:pPr>
            <w:r/>
            <w:r>
              <w:t>Nobody is asked to work in a way they believe is unsafe, and nobody is disadvantaged for stopping work</w:t>
            </w:r>
          </w:p>
        </w:tc>
        <w:tc>
          <w:tcPr>
            <w:tcW w:w="3628" w:type="dxa"/>
            <w:vAlign w:val="center"/>
          </w:tcPr>
          <w:p>
            <w:pPr>
              <w:pStyle w:val="TableText"/>
              <w:jc w:val="left"/>
            </w:pPr>
            <w:r/>
            <w:r>
              <w:t>Stop-work authority at 4.2, briefed at induction and repeated at every pre-start</w:t>
            </w:r>
          </w:p>
        </w:tc>
        <w:tc>
          <w:tcPr>
            <w:tcW w:w="3403" w:type="dxa"/>
            <w:vAlign w:val="center"/>
          </w:tcPr>
          <w:p>
            <w:pPr>
              <w:pStyle w:val="TableText"/>
              <w:jc w:val="left"/>
            </w:pPr>
            <w:r/>
            <w:r>
              <w:t>Induction records; pre-start records; stop-work log</w:t>
            </w:r>
          </w:p>
        </w:tc>
      </w:tr>
      <w:tr>
        <w:trPr>
          <w:cantSplit w:val="true"/>
        </w:trPr>
        <w:tc>
          <w:tcPr>
            <w:tcW w:w="2607" w:type="dxa"/>
            <w:vAlign w:val="center"/>
          </w:tcPr>
          <w:p>
            <w:pPr>
              <w:pStyle w:val="TableTextBold"/>
              <w:jc w:val="left"/>
            </w:pPr>
            <w:r/>
            <w:r>
              <w:t>Hazards are eliminated at design and planning stage where practicable, not managed on site</w:t>
            </w:r>
          </w:p>
        </w:tc>
        <w:tc>
          <w:tcPr>
            <w:tcW w:w="3628" w:type="dxa"/>
            <w:vAlign w:val="center"/>
          </w:tcPr>
          <w:p>
            <w:pPr>
              <w:pStyle w:val="TableText"/>
              <w:jc w:val="left"/>
            </w:pPr>
            <w:r/>
            <w:r>
              <w:t>Prevention-through-design and constructability review before each package is released; outcomes in the risk register</w:t>
            </w:r>
          </w:p>
        </w:tc>
        <w:tc>
          <w:tcPr>
            <w:tcW w:w="3403" w:type="dxa"/>
            <w:vAlign w:val="center"/>
          </w:tcPr>
          <w:p>
            <w:pPr>
              <w:pStyle w:val="TableText"/>
              <w:jc w:val="left"/>
            </w:pPr>
            <w:r/>
            <w:r>
              <w:t>Design review minutes; risk register</w:t>
            </w:r>
          </w:p>
        </w:tc>
      </w:tr>
      <w:tr>
        <w:trPr>
          <w:cantSplit w:val="true"/>
        </w:trPr>
        <w:tc>
          <w:tcPr>
            <w:tcW w:w="2607" w:type="dxa"/>
            <w:vAlign w:val="center"/>
          </w:tcPr>
          <w:p>
            <w:pPr>
              <w:pStyle w:val="TableTextBold"/>
              <w:jc w:val="left"/>
            </w:pPr>
            <w:r/>
            <w:r>
              <w:t>Workers are consulted before decisions affecting their health and safety are made</w:t>
            </w:r>
          </w:p>
        </w:tc>
        <w:tc>
          <w:tcPr>
            <w:tcW w:w="3628" w:type="dxa"/>
            <w:vAlign w:val="center"/>
          </w:tcPr>
          <w:p>
            <w:pPr>
              <w:pStyle w:val="TableText"/>
              <w:jc w:val="left"/>
            </w:pPr>
            <w:r/>
            <w:r>
              <w:t>Mechanisms in section 5, with a record of what changed as a result</w:t>
            </w:r>
          </w:p>
        </w:tc>
        <w:tc>
          <w:tcPr>
            <w:tcW w:w="3403" w:type="dxa"/>
            <w:vAlign w:val="center"/>
          </w:tcPr>
          <w:p>
            <w:pPr>
              <w:pStyle w:val="TableText"/>
              <w:jc w:val="left"/>
            </w:pPr>
            <w:r/>
            <w:r>
              <w:t>Consultation register; JHA revisions</w:t>
            </w:r>
          </w:p>
        </w:tc>
      </w:tr>
      <w:tr>
        <w:trPr>
          <w:cantSplit w:val="true"/>
        </w:trPr>
        <w:tc>
          <w:tcPr>
            <w:tcW w:w="2607" w:type="dxa"/>
            <w:vAlign w:val="center"/>
          </w:tcPr>
          <w:p>
            <w:pPr>
              <w:pStyle w:val="TableTextBold"/>
              <w:jc w:val="left"/>
            </w:pPr>
            <w:r/>
            <w:r>
              <w:t>Safety is reported before cost and schedule at every project meeting, resources are provided to implement this plan, and health is managed with the same rigour as safety</w:t>
            </w:r>
          </w:p>
        </w:tc>
        <w:tc>
          <w:tcPr>
            <w:tcW w:w="3628" w:type="dxa"/>
            <w:vAlign w:val="center"/>
          </w:tcPr>
          <w:p>
            <w:pPr>
              <w:pStyle w:val="TableText"/>
              <w:jc w:val="left"/>
            </w:pPr>
            <w:r/>
            <w:r>
              <w:t>Standing first agenda item; leading indicators monthly; safety resourcing named in section 4; allowances in the schedule and budget; health provisions in section 13</w:t>
            </w:r>
          </w:p>
        </w:tc>
        <w:tc>
          <w:tcPr>
            <w:tcW w:w="3403" w:type="dxa"/>
            <w:vAlign w:val="center"/>
          </w:tcPr>
          <w:p>
            <w:pPr>
              <w:pStyle w:val="TableText"/>
              <w:jc w:val="left"/>
            </w:pPr>
            <w:r/>
            <w:r>
              <w:t>Monthly project report; minutes; organization chart; schedule; cost plan; health records</w:t>
            </w:r>
          </w:p>
        </w:tc>
      </w:tr>
    </w:tbl>
    <w:p>
      <w:pPr>
        <w:spacing w:before="0" w:after="0" w:line="60" w:lineRule="exact"/>
      </w:pPr>
    </w:p>
    <w:p>
      <w:pPr>
        <w:pStyle w:val="Heading2"/>
      </w:pPr>
      <w:bookmarkStart w:id="9014" w:name="_Toc90014"/>
      <w:r>
        <w:t>2.3 Consultation commitment</w:t>
      </w:r>
      <w:bookmarkEnd w:id="9014"/>
    </w:p>
    <w:p>
      <w:pPr>
        <w:pStyle w:val="Body"/>
      </w:pPr>
      <w:r>
        <w:t>The organization commits to consulting workers, and their health and safety representatives where they exist, when identifying hazards and assessing risk; when deciding how to eliminate or control it; when deciding facilities and welfare; when proposing changes that may affect health or safety; and when setting procedures for consultation, issue resolution, monitoring, information and training. Consultation means a real opportunity to express views, those views taken into account, and the outcome communicated — not a briefing.</w:t>
      </w:r>
    </w:p>
    <w:p>
      <w:pPr>
        <w:pStyle w:val="Heading2"/>
      </w:pPr>
      <w:bookmarkStart w:id="9015" w:name="_Toc90015"/>
      <w:r>
        <w:t>2.4 Endorsement</w:t>
      </w:r>
      <w:bookmarkEnd w:id="9015"/>
    </w:p>
    <w:p>
      <w:pPr>
        <w:pStyle w:val="Body"/>
      </w:pPr>
      <w:r>
        <w:t>By signing below the endorsing officers confirm that they have read this plan, that the resources it requires are committed, and that they accept accountability for the arrangements it describes.</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3212"/>
        <w:gridCol w:w="3212"/>
        <w:gridCol w:w="3214"/>
      </w:tblGrid>
      <w:tr>
        <w:trPr>
          <w:tblHeader w:val="true"/>
          <w:cantSplit w:val="true"/>
        </w:trPr>
        <w:tc>
          <w:tcPr>
            <w:tcW w:w="3212" w:type="dxa"/>
            <w:shd w:val="clear" w:color="auto" w:fill="1D3245"/>
            <w:vAlign w:val="center"/>
          </w:tcPr>
          <w:p>
            <w:pPr>
              <w:pStyle w:val="TableHeader"/>
              <w:jc w:val="left"/>
            </w:pPr>
            <w:r/>
            <w:r>
              <w:t>Endorsed by — Managing Director / CEO</w:t>
            </w:r>
          </w:p>
        </w:tc>
        <w:tc>
          <w:tcPr>
            <w:tcW w:w="3212" w:type="dxa"/>
            <w:shd w:val="clear" w:color="auto" w:fill="1D3245"/>
            <w:vAlign w:val="center"/>
          </w:tcPr>
          <w:p>
            <w:pPr>
              <w:pStyle w:val="TableHeader"/>
              <w:jc w:val="left"/>
            </w:pPr>
            <w:r/>
            <w:r>
              <w:t>Endorsed by — Project Director</w:t>
            </w:r>
          </w:p>
        </w:tc>
        <w:tc>
          <w:tcPr>
            <w:tcW w:w="3214" w:type="dxa"/>
            <w:shd w:val="clear" w:color="auto" w:fill="1D3245"/>
            <w:vAlign w:val="center"/>
          </w:tcPr>
          <w:p>
            <w:pPr>
              <w:pStyle w:val="TableHeader"/>
              <w:jc w:val="left"/>
            </w:pPr>
            <w:r/>
            <w:r>
              <w:t>Endorsed by — Safety Manager</w:t>
            </w:r>
          </w:p>
        </w:tc>
      </w:tr>
      <w:tr>
        <w:trPr>
          <w:cantSplit w:val="true"/>
          <w:trHeight w:val="1077" w:hRule="atLeast"/>
        </w:trPr>
        <w:tc>
          <w:tcPr>
            <w:tcW w:w="3212"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Date: [MM/DD/YY]</w:t>
            </w:r>
          </w:p>
        </w:tc>
        <w:tc>
          <w:tcPr>
            <w:tcW w:w="3212"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Date: [MM/DD/YY]</w:t>
            </w:r>
          </w:p>
        </w:tc>
        <w:tc>
          <w:tcPr>
            <w:tcW w:w="3214"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Date: [MM/DD/YY]</w:t>
            </w:r>
          </w:p>
        </w:tc>
      </w:tr>
    </w:tbl>
    <w:p>
      <w:pPr>
        <w:spacing w:before="0" w:after="0" w:line="160" w:lineRule="exact"/>
      </w:pPr>
    </w:p>
    <w:p>
      <w:pPr>
        <w:pStyle w:val="Heading1"/>
      </w:pPr>
      <w:bookmarkStart w:id="9016" w:name="_Toc90016"/>
      <w:r>
        <w:t>3. Legal and Other Requirements</w:t>
      </w:r>
      <w:bookmarkEnd w:id="9016"/>
    </w:p>
    <w:p>
      <w:pPr>
        <w:pStyle w:val="BodyLead"/>
      </w:pPr>
      <w:r>
        <w:t>This section identifies the obligations the project must meet and how each is discharged. Insert the local instruments in the bracketed placeholders and have a competent person confirm the list before issue. An obligation with no named evidence is not being managed.</w:t>
      </w:r>
    </w:p>
    <w:p>
      <w:pPr>
        <w:pStyle w:val="Heading2"/>
      </w:pPr>
      <w:bookmarkStart w:id="9017" w:name="_Toc90017"/>
      <w:r>
        <w:t>3.1 Requirements applying to this project</w:t>
      </w:r>
      <w:bookmarkEnd w:id="9017"/>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542"/>
        <w:gridCol w:w="3276"/>
        <w:gridCol w:w="2698"/>
        <w:gridCol w:w="2122"/>
      </w:tblGrid>
      <w:tr>
        <w:trPr>
          <w:tblHeader w:val="true"/>
          <w:cantSplit w:val="true"/>
        </w:trPr>
        <w:tc>
          <w:tcPr>
            <w:tcW w:w="2" w:type="dxa"/>
            <w:shd w:val="clear" w:color="auto" w:fill="1D3245"/>
            <w:vAlign w:val="center"/>
          </w:tcPr>
          <w:p>
            <w:pPr>
              <w:pStyle w:val="TableHeader"/>
              <w:jc w:val="left"/>
            </w:pPr>
            <w:r>
              <w:t>Requirement type</w:t>
            </w:r>
            <w:r/>
          </w:p>
        </w:tc>
        <w:tc>
          <w:tcPr>
            <w:tcW w:w="5" w:type="dxa"/>
            <w:shd w:val="clear" w:color="auto" w:fill="1D3245"/>
            <w:vAlign w:val="center"/>
          </w:tcPr>
          <w:p>
            <w:pPr>
              <w:pStyle w:val="TableHeader"/>
              <w:jc w:val="left"/>
            </w:pPr>
            <w:r>
              <w:t>Instrument</w:t>
            </w:r>
            <w:r/>
          </w:p>
        </w:tc>
        <w:tc>
          <w:tcPr>
            <w:tcW w:w="4" w:type="dxa"/>
            <w:shd w:val="clear" w:color="auto" w:fill="1D3245"/>
            <w:vAlign w:val="center"/>
          </w:tcPr>
          <w:p>
            <w:pPr>
              <w:pStyle w:val="TableHeader"/>
              <w:jc w:val="left"/>
            </w:pPr>
            <w:r>
              <w:t>How compliance is achieved</w:t>
            </w:r>
            <w:r/>
          </w:p>
        </w:tc>
        <w:tc>
          <w:tcPr>
            <w:tcW w:w="3" w:type="dxa"/>
            <w:shd w:val="clear" w:color="auto" w:fill="1D3245"/>
            <w:vAlign w:val="center"/>
          </w:tcPr>
          <w:p>
            <w:pPr>
              <w:pStyle w:val="TableHeader"/>
              <w:jc w:val="left"/>
            </w:pPr>
            <w:r>
              <w:t>Evidence held</w:t>
            </w:r>
            <w:r/>
          </w:p>
        </w:tc>
      </w:tr>
      <w:tr>
        <w:trPr>
          <w:cantSplit w:val="true"/>
        </w:trPr>
        <w:tc>
          <w:tcPr>
            <w:tcW w:w="2" w:type="dxa"/>
            <w:vAlign w:val="center"/>
          </w:tcPr>
          <w:p>
            <w:pPr>
              <w:pStyle w:val="TableTextBold"/>
              <w:jc w:val="left"/>
            </w:pPr>
            <w:r>
              <w:t>Primary safety statute</w:t>
            </w:r>
            <w:r/>
          </w:p>
        </w:tc>
        <w:tc>
          <w:tcPr>
            <w:tcW w:w="5" w:type="dxa"/>
            <w:vAlign w:val="center"/>
          </w:tcPr>
          <w:p>
            <w:pPr>
              <w:pStyle w:val="TableText"/>
              <w:jc w:val="left"/>
            </w:pPr>
            <w:r>
              <w:t>Occupational Safety and Health Act of 1970 — in particular § 5(a)(1), the General Duty Clause, and § 5(a)(2), the duty to comply with standards</w:t>
            </w:r>
            <w:r/>
          </w:p>
        </w:tc>
        <w:tc>
          <w:tcPr>
            <w:tcW w:w="4" w:type="dxa"/>
            <w:vAlign w:val="center"/>
          </w:tcPr>
          <w:p>
            <w:pPr>
              <w:pStyle w:val="TableText"/>
              <w:jc w:val="left"/>
            </w:pPr>
            <w:r>
              <w:t>Duties allocated in section 4; risk managed under section 6; hazards without a specific standard assessed against § 5(a)(1) at 3.4</w:t>
            </w:r>
            <w:r/>
          </w:p>
        </w:tc>
        <w:tc>
          <w:tcPr>
            <w:tcW w:w="3" w:type="dxa"/>
            <w:vAlign w:val="center"/>
          </w:tcPr>
          <w:p>
            <w:pPr>
              <w:pStyle w:val="TableText"/>
              <w:jc w:val="left"/>
            </w:pPr>
            <w:r>
              <w:t>This plan; risk register; JHA set</w:t>
            </w:r>
            <w:r/>
          </w:p>
        </w:tc>
      </w:tr>
      <w:tr>
        <w:trPr>
          <w:cantSplit w:val="true"/>
        </w:trPr>
        <w:tc>
          <w:tcPr>
            <w:tcW w:w="2" w:type="dxa"/>
            <w:vAlign w:val="center"/>
          </w:tcPr>
          <w:p>
            <w:pPr>
              <w:pStyle w:val="TableTextBold"/>
              <w:jc w:val="left"/>
            </w:pPr>
            <w:r>
              <w:t>Construction standards</w:t>
            </w:r>
            <w:r/>
          </w:p>
        </w:tc>
        <w:tc>
          <w:tcPr>
            <w:tcW w:w="5" w:type="dxa"/>
            <w:vAlign w:val="center"/>
          </w:tcPr>
          <w:p>
            <w:pPr>
              <w:pStyle w:val="TableText"/>
              <w:jc w:val="left"/>
            </w:pPr>
            <w:r>
              <w:t>29 CFR Part 1926 — Safety and Health Regulations for Construction. Subpart C general provisions; D health and environmental controls; E PPE; K electrical; L scaffolds; M fall protection; P excavations; R steel erection; T demolition; X stairways and ladders; Z toxic and hazardous substances; AA confined spaces; CC cranes and derricks</w:t>
            </w:r>
            <w:r/>
          </w:p>
        </w:tc>
        <w:tc>
          <w:tcPr>
            <w:tcW w:w="4" w:type="dxa"/>
            <w:vAlign w:val="center"/>
          </w:tcPr>
          <w:p>
            <w:pPr>
              <w:pStyle w:val="TableText"/>
              <w:jc w:val="left"/>
            </w:pPr>
            <w:r>
              <w:t>Controls in sections 6 to 13 are written to the applicable subpart; every activity screened at 7.1 names the standard that governs it</w:t>
            </w:r>
            <w:r/>
          </w:p>
        </w:tc>
        <w:tc>
          <w:tcPr>
            <w:tcW w:w="3" w:type="dxa"/>
            <w:vAlign w:val="center"/>
          </w:tcPr>
          <w:p>
            <w:pPr>
              <w:pStyle w:val="TableText"/>
              <w:jc w:val="left"/>
            </w:pPr>
            <w:r>
              <w:t>Section 7 screening; JHA set; written programs listed at 3.3</w:t>
            </w:r>
            <w:r/>
          </w:p>
        </w:tc>
      </w:tr>
      <w:tr>
        <w:trPr>
          <w:cantSplit w:val="true"/>
        </w:trPr>
        <w:tc>
          <w:tcPr>
            <w:tcW w:w="2" w:type="dxa"/>
            <w:vAlign w:val="center"/>
          </w:tcPr>
          <w:p>
            <w:pPr>
              <w:pStyle w:val="TableTextBold"/>
              <w:jc w:val="left"/>
            </w:pPr>
            <w:r>
              <w:t>General industry standards applied to construction</w:t>
            </w:r>
            <w:r/>
          </w:p>
        </w:tc>
        <w:tc>
          <w:tcPr>
            <w:tcW w:w="5" w:type="dxa"/>
            <w:vAlign w:val="center"/>
          </w:tcPr>
          <w:p>
            <w:pPr>
              <w:pStyle w:val="TableText"/>
              <w:jc w:val="left"/>
            </w:pPr>
            <w:r>
              <w:t>29 CFR 1926.59 adopts 1910.1200 Hazard Communication in full; 1926.103 adopts 1910.134 Respiratory Protection; 1926.65 adopts 1910.120 HAZWOPER. Note 1910.147 lockout/tagout expressly EXCLUDES construction — energy control is managed under 1926.417 and 1926.702, and to ANSI/ASSP A10.44-2020</w:t>
            </w:r>
            <w:r/>
          </w:p>
        </w:tc>
        <w:tc>
          <w:tcPr>
            <w:tcW w:w="4" w:type="dxa"/>
            <w:vAlign w:val="center"/>
          </w:tcPr>
          <w:p>
            <w:pPr>
              <w:pStyle w:val="TableText"/>
              <w:jc w:val="left"/>
            </w:pPr>
            <w:r>
              <w:t>Written programs held for hazard communication and respiratory protection; energy control procedure written to A10.44 and referenced in every affected JHA</w:t>
            </w:r>
            <w:r/>
          </w:p>
        </w:tc>
        <w:tc>
          <w:tcPr>
            <w:tcW w:w="3" w:type="dxa"/>
            <w:vAlign w:val="center"/>
          </w:tcPr>
          <w:p>
            <w:pPr>
              <w:pStyle w:val="TableText"/>
              <w:jc w:val="left"/>
            </w:pPr>
            <w:r>
              <w:t>Written programs register; training records</w:t>
            </w:r>
            <w:r/>
          </w:p>
        </w:tc>
      </w:tr>
      <w:tr>
        <w:trPr>
          <w:cantSplit w:val="true"/>
        </w:trPr>
        <w:tc>
          <w:tcPr>
            <w:tcW w:w="2" w:type="dxa"/>
            <w:vAlign w:val="center"/>
          </w:tcPr>
          <w:p>
            <w:pPr>
              <w:pStyle w:val="TableTextBold"/>
              <w:jc w:val="left"/>
            </w:pPr>
            <w:r>
              <w:t>State Plan requirements</w:t>
            </w:r>
            <w:r/>
          </w:p>
        </w:tc>
        <w:tc>
          <w:tcPr>
            <w:tcW w:w="5" w:type="dxa"/>
            <w:vAlign w:val="center"/>
          </w:tcPr>
          <w:p>
            <w:pPr>
              <w:pStyle w:val="TableText"/>
              <w:jc w:val="left"/>
            </w:pPr>
            <w:r>
              <w:t>[Insert the State Plan agency and any requirement exceeding federal OSHA — 22 states and territories operate an OSHA-approved State Plan covering private-sector construction, and a State Plan must be at least as effective as federal OSHA. Cal/OSHA, Washington L&amp;I and Oregon OSHA all impose construction requirements above the federal floor]</w:t>
            </w:r>
            <w:r/>
          </w:p>
        </w:tc>
        <w:tc>
          <w:tcPr>
            <w:tcW w:w="4" w:type="dxa"/>
            <w:vAlign w:val="center"/>
          </w:tcPr>
          <w:p>
            <w:pPr>
              <w:pStyle w:val="TableText"/>
              <w:jc w:val="left"/>
            </w:pPr>
            <w:r>
              <w:t>The more protective requirement governs. Confirmed by a competent person before this plan is issued and re-confirmed at each review</w:t>
            </w:r>
            <w:r/>
          </w:p>
        </w:tc>
        <w:tc>
          <w:tcPr>
            <w:tcW w:w="3" w:type="dxa"/>
            <w:vAlign w:val="center"/>
          </w:tcPr>
          <w:p>
            <w:pPr>
              <w:pStyle w:val="TableText"/>
              <w:jc w:val="left"/>
            </w:pPr>
            <w:r>
              <w:t>Compliance obligations register; plan review record</w:t>
            </w:r>
            <w:r/>
          </w:p>
        </w:tc>
      </w:tr>
      <w:tr>
        <w:trPr>
          <w:cantSplit w:val="true"/>
        </w:trPr>
        <w:tc>
          <w:tcPr>
            <w:tcW w:w="2" w:type="dxa"/>
            <w:vAlign w:val="center"/>
          </w:tcPr>
          <w:p>
            <w:pPr>
              <w:pStyle w:val="TableTextBold"/>
              <w:jc w:val="left"/>
            </w:pPr>
            <w:r>
              <w:t>Injury and illness recording and reporting</w:t>
            </w:r>
            <w:r/>
          </w:p>
        </w:tc>
        <w:tc>
          <w:tcPr>
            <w:tcW w:w="5" w:type="dxa"/>
            <w:vAlign w:val="center"/>
          </w:tcPr>
          <w:p>
            <w:pPr>
              <w:pStyle w:val="TableText"/>
              <w:jc w:val="left"/>
            </w:pPr>
            <w:r>
              <w:t>29 CFR Part 1904 — recording criteria at 1904.4–.12; forms 300, 300A and 301; reporting at 1904.39; electronic submission at 1904.41</w:t>
            </w:r>
            <w:r/>
          </w:p>
        </w:tc>
        <w:tc>
          <w:tcPr>
            <w:tcW w:w="4" w:type="dxa"/>
            <w:vAlign w:val="center"/>
          </w:tcPr>
          <w:p>
            <w:pPr>
              <w:pStyle w:val="TableText"/>
              <w:jc w:val="left"/>
            </w:pPr>
            <w:r>
              <w:t>Reporting timeframes at 12.1; classification at 12.2; the 300 Log maintained for each establishment and the 300A posted February 1 through April 30</w:t>
            </w:r>
            <w:r/>
          </w:p>
        </w:tc>
        <w:tc>
          <w:tcPr>
            <w:tcW w:w="3" w:type="dxa"/>
            <w:vAlign w:val="center"/>
          </w:tcPr>
          <w:p>
            <w:pPr>
              <w:pStyle w:val="TableText"/>
              <w:jc w:val="left"/>
            </w:pPr>
            <w:r>
              <w:t>OSHA 300, 300A and 301; reporting log; posting photograph</w:t>
            </w:r>
            <w:r/>
          </w:p>
        </w:tc>
      </w:tr>
      <w:tr>
        <w:trPr>
          <w:cantSplit w:val="true"/>
        </w:trPr>
        <w:tc>
          <w:tcPr>
            <w:tcW w:w="2" w:type="dxa"/>
            <w:vAlign w:val="center"/>
          </w:tcPr>
          <w:p>
            <w:pPr>
              <w:pStyle w:val="TableTextBold"/>
              <w:jc w:val="left"/>
            </w:pPr>
            <w:r>
              <w:t>Management system standard</w:t>
            </w:r>
            <w:r/>
          </w:p>
        </w:tc>
        <w:tc>
          <w:tcPr>
            <w:tcW w:w="5" w:type="dxa"/>
            <w:vAlign w:val="center"/>
          </w:tcPr>
          <w:p>
            <w:pPr>
              <w:pStyle w:val="TableText"/>
              <w:jc w:val="left"/>
            </w:pPr>
            <w:r>
              <w:t>ISO 45001:2018 — OH&amp;S management systems. ANSI/ASSP Z10.0-2019 is the US consensus equivalent</w:t>
            </w:r>
            <w:r/>
          </w:p>
        </w:tc>
        <w:tc>
          <w:tcPr>
            <w:tcW w:w="4" w:type="dxa"/>
            <w:vAlign w:val="center"/>
          </w:tcPr>
          <w:p>
            <w:pPr>
              <w:pStyle w:val="TableText"/>
              <w:jc w:val="left"/>
            </w:pPr>
            <w:r>
              <w:t>Structured to the clause map at 3.2 and audited against it (section 15)</w:t>
            </w:r>
            <w:r/>
          </w:p>
        </w:tc>
        <w:tc>
          <w:tcPr>
            <w:tcW w:w="3" w:type="dxa"/>
            <w:vAlign w:val="center"/>
          </w:tcPr>
          <w:p>
            <w:pPr>
              <w:pStyle w:val="TableText"/>
              <w:jc w:val="left"/>
            </w:pPr>
            <w:r>
              <w:t>Clause map; internal audit reports</w:t>
            </w:r>
            <w:r/>
          </w:p>
        </w:tc>
      </w:tr>
      <w:tr>
        <w:trPr>
          <w:cantSplit w:val="true"/>
        </w:trPr>
        <w:tc>
          <w:tcPr>
            <w:tcW w:w="2" w:type="dxa"/>
            <w:vAlign w:val="center"/>
          </w:tcPr>
          <w:p>
            <w:pPr>
              <w:pStyle w:val="TableTextBold"/>
              <w:jc w:val="left"/>
            </w:pPr>
            <w:r>
              <w:t>Consensus standards for multi-employer projects</w:t>
            </w:r>
            <w:r/>
          </w:p>
        </w:tc>
        <w:tc>
          <w:tcPr>
            <w:tcW w:w="5" w:type="dxa"/>
            <w:vAlign w:val="center"/>
          </w:tcPr>
          <w:p>
            <w:pPr>
              <w:pStyle w:val="TableText"/>
              <w:jc w:val="left"/>
            </w:pPr>
            <w:r>
              <w:t>ANSI/ASSP A10.33-2020 Safety and Health Program Requirements for Multi-Employer Projects; A10.1-2024 Pre-Project and Pre-Task Safety and Health Planning; A10.38-2021 Basic Elements of an Employer's Program</w:t>
            </w:r>
            <w:r/>
          </w:p>
        </w:tc>
        <w:tc>
          <w:tcPr>
            <w:tcW w:w="4" w:type="dxa"/>
            <w:vAlign w:val="center"/>
          </w:tcPr>
          <w:p>
            <w:pPr>
              <w:pStyle w:val="TableText"/>
              <w:jc w:val="left"/>
            </w:pPr>
            <w:r>
              <w:t>Section 1.5 allocates the four OSHA employer roles; section 14 sets the prequalification and monitoring A10.33 requires</w:t>
            </w:r>
            <w:r/>
          </w:p>
        </w:tc>
        <w:tc>
          <w:tcPr>
            <w:tcW w:w="3" w:type="dxa"/>
            <w:vAlign w:val="center"/>
          </w:tcPr>
          <w:p>
            <w:pPr>
              <w:pStyle w:val="TableText"/>
              <w:jc w:val="left"/>
            </w:pPr>
            <w:r>
              <w:t>Contract schedules; prequalification file; inspection records</w:t>
            </w:r>
            <w:r/>
          </w:p>
        </w:tc>
      </w:tr>
      <w:tr>
        <w:trPr>
          <w:cantSplit w:val="true"/>
        </w:trPr>
        <w:tc>
          <w:tcPr>
            <w:tcW w:w="2" w:type="dxa"/>
            <w:vAlign w:val="center"/>
          </w:tcPr>
          <w:p>
            <w:pPr>
              <w:pStyle w:val="TableTextBold"/>
              <w:jc w:val="left"/>
            </w:pPr>
            <w:r>
              <w:t>Design-phase duty</w:t>
            </w:r>
            <w:r/>
          </w:p>
        </w:tc>
        <w:tc>
          <w:tcPr>
            <w:tcW w:w="5" w:type="dxa"/>
            <w:vAlign w:val="center"/>
          </w:tcPr>
          <w:p>
            <w:pPr>
              <w:pStyle w:val="TableText"/>
              <w:jc w:val="left"/>
            </w:pPr>
            <w:r>
              <w:t>No federal standard imposes a designer duty. ANSI/ASSP Z590.3-2021 Prevention through Design and NIOSH's PtD initiative set the practice, and A10.1-2024 requires pre-project planning</w:t>
            </w:r>
            <w:r/>
          </w:p>
        </w:tc>
        <w:tc>
          <w:tcPr>
            <w:tcW w:w="4" w:type="dxa"/>
            <w:vAlign w:val="center"/>
          </w:tcPr>
          <w:p>
            <w:pPr>
              <w:pStyle w:val="TableText"/>
              <w:jc w:val="left"/>
            </w:pPr>
            <w:r>
              <w:t>Safety in design review before each package is released (6.1), with the designer present and the outcome recorded in the risk register</w:t>
            </w:r>
            <w:r/>
          </w:p>
        </w:tc>
        <w:tc>
          <w:tcPr>
            <w:tcW w:w="3" w:type="dxa"/>
            <w:vAlign w:val="center"/>
          </w:tcPr>
          <w:p>
            <w:pPr>
              <w:pStyle w:val="TableText"/>
              <w:jc w:val="left"/>
            </w:pPr>
            <w:r>
              <w:t>Design review minutes; risk register</w:t>
            </w:r>
            <w:r/>
          </w:p>
        </w:tc>
      </w:tr>
      <w:tr>
        <w:trPr>
          <w:cantSplit w:val="true"/>
        </w:trPr>
        <w:tc>
          <w:tcPr>
            <w:tcW w:w="2" w:type="dxa"/>
            <w:vAlign w:val="center"/>
          </w:tcPr>
          <w:p>
            <w:pPr>
              <w:pStyle w:val="TableTextBold"/>
              <w:jc w:val="left"/>
            </w:pPr>
            <w:r>
              <w:t>Contract and Owner requirements</w:t>
            </w:r>
            <w:r/>
          </w:p>
        </w:tc>
        <w:tc>
          <w:tcPr>
            <w:tcW w:w="5" w:type="dxa"/>
            <w:vAlign w:val="center"/>
          </w:tcPr>
          <w:p>
            <w:pPr>
              <w:pStyle w:val="TableText"/>
              <w:jc w:val="left"/>
            </w:pPr>
            <w:r>
              <w:t>[Insert contract clauses, the Owner's safety standard, site access conditions and any insurer requirement. On federal work insert EM 385-1-1 (March 15, 2024) and the Accident Prevention Plan and Activity Hazard Analysis it requires]</w:t>
            </w:r>
            <w:r/>
          </w:p>
        </w:tc>
        <w:tc>
          <w:tcPr>
            <w:tcW w:w="4" w:type="dxa"/>
            <w:vAlign w:val="center"/>
          </w:tcPr>
          <w:p>
            <w:pPr>
              <w:pStyle w:val="TableText"/>
              <w:jc w:val="left"/>
            </w:pPr>
            <w:r>
              <w:t>Transcribed into this plan and into every subcontract (section 14)</w:t>
            </w:r>
            <w:r/>
          </w:p>
        </w:tc>
        <w:tc>
          <w:tcPr>
            <w:tcW w:w="3" w:type="dxa"/>
            <w:vAlign w:val="center"/>
          </w:tcPr>
          <w:p>
            <w:pPr>
              <w:pStyle w:val="TableText"/>
              <w:jc w:val="left"/>
            </w:pPr>
            <w:r>
              <w:t>Contract; subcontract schedules</w:t>
            </w:r>
            <w:r/>
          </w:p>
        </w:tc>
      </w:tr>
      <w:tr>
        <w:trPr>
          <w:cantSplit w:val="true"/>
        </w:trPr>
        <w:tc>
          <w:tcPr>
            <w:tcW w:w="2" w:type="dxa"/>
            <w:vAlign w:val="center"/>
          </w:tcPr>
          <w:p>
            <w:pPr>
              <w:pStyle w:val="TableTextBold"/>
              <w:jc w:val="left"/>
            </w:pPr>
            <w:r>
              <w:t>Standards for equipment and testing</w:t>
            </w:r>
            <w:r/>
          </w:p>
        </w:tc>
        <w:tc>
          <w:tcPr>
            <w:tcW w:w="5" w:type="dxa"/>
            <w:vAlign w:val="center"/>
          </w:tcPr>
          <w:p>
            <w:pPr>
              <w:pStyle w:val="TableText"/>
              <w:jc w:val="left"/>
            </w:pPr>
            <w:r>
              <w:t>[Insert the standards adopted — e.g. ASME B30 series for lifting equipment, ANSI/ASSP A10.32-2023 for construction fall protection, ANSI A92 / ANSI/SAIA A92.22 and A92.24 for aerial lifts, NFPA 70E where the Owner requires it]</w:t>
            </w:r>
            <w:r/>
          </w:p>
        </w:tc>
        <w:tc>
          <w:tcPr>
            <w:tcW w:w="4" w:type="dxa"/>
            <w:vAlign w:val="center"/>
          </w:tcPr>
          <w:p>
            <w:pPr>
              <w:pStyle w:val="TableText"/>
              <w:jc w:val="left"/>
            </w:pPr>
            <w:r>
              <w:t>Specified in procurement; verified at equipment acceptance (9.1)</w:t>
            </w:r>
            <w:r/>
          </w:p>
        </w:tc>
        <w:tc>
          <w:tcPr>
            <w:tcW w:w="3" w:type="dxa"/>
            <w:vAlign w:val="center"/>
          </w:tcPr>
          <w:p>
            <w:pPr>
              <w:pStyle w:val="TableText"/>
              <w:jc w:val="left"/>
            </w:pPr>
            <w:r>
              <w:t>Equipment register; certificates; inspection records</w:t>
            </w:r>
            <w:r/>
          </w:p>
        </w:tc>
      </w:tr>
    </w:tbl>
    <w:p>
      <w:pPr>
        <w:spacing w:before="0" w:after="0" w:line="60" w:lineRule="exact"/>
      </w:pPr>
    </w:p>
    <w:p>
      <w:pPr>
        <w:pStyle w:val="Heading2"/>
      </w:pPr>
      <w:bookmarkStart w:id="9018" w:name="_Toc90018"/>
      <w:r>
        <w:t>3.2 ISO 45001:2018 clause map</w:t>
      </w:r>
      <w:bookmarkEnd w:id="9018"/>
    </w:p>
    <w:p>
      <w:pPr>
        <w:pStyle w:val="Body"/>
      </w:pPr>
      <w:r>
        <w:t>Auditors work clause by clause. This map lets an auditor find the evidence without a guided tour, and shows the project which clauses are not yet addressed. ANSI/ASSP Z10.0-2019 is the US consensus equivalent and maps closely; where an Owner specifies Z10 rather than ISO 45001, the same evidence answers both.</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360"/>
        <w:gridCol w:w="4195"/>
        <w:gridCol w:w="4083"/>
      </w:tblGrid>
      <w:tr>
        <w:trPr>
          <w:tblHeader w:val="true"/>
          <w:cantSplit w:val="true"/>
        </w:trPr>
        <w:tc>
          <w:tcPr>
            <w:tcW w:w="1360" w:type="dxa"/>
            <w:shd w:val="clear" w:color="auto" w:fill="1D3245"/>
            <w:vAlign w:val="center"/>
          </w:tcPr>
          <w:p>
            <w:pPr>
              <w:pStyle w:val="TableHeader"/>
              <w:jc w:val="left"/>
            </w:pPr>
            <w:r/>
            <w:r>
              <w:t>Clause</w:t>
            </w:r>
          </w:p>
        </w:tc>
        <w:tc>
          <w:tcPr>
            <w:tcW w:w="4195" w:type="dxa"/>
            <w:shd w:val="clear" w:color="auto" w:fill="1D3245"/>
            <w:vAlign w:val="center"/>
          </w:tcPr>
          <w:p>
            <w:pPr>
              <w:pStyle w:val="TableHeader"/>
              <w:jc w:val="left"/>
            </w:pPr>
            <w:r/>
            <w:r>
              <w:t>Requirement in short</w:t>
            </w:r>
          </w:p>
        </w:tc>
        <w:tc>
          <w:tcPr>
            <w:tcW w:w="4083" w:type="dxa"/>
            <w:shd w:val="clear" w:color="auto" w:fill="1D3245"/>
            <w:vAlign w:val="center"/>
          </w:tcPr>
          <w:p>
            <w:pPr>
              <w:pStyle w:val="TableHeader"/>
              <w:jc w:val="left"/>
            </w:pPr>
            <w:r/>
            <w:r>
              <w:t>Where it is addressed in this plan</w:t>
            </w:r>
          </w:p>
        </w:tc>
      </w:tr>
      <w:tr>
        <w:trPr>
          <w:cantSplit w:val="true"/>
        </w:trPr>
        <w:tc>
          <w:tcPr>
            <w:tcW w:w="1360" w:type="dxa"/>
            <w:vAlign w:val="center"/>
          </w:tcPr>
          <w:p>
            <w:pPr>
              <w:pStyle w:val="TableTextBold"/>
              <w:jc w:val="left"/>
            </w:pPr>
            <w:r/>
            <w:r>
              <w:t>4.1 – 4.4</w:t>
            </w:r>
          </w:p>
        </w:tc>
        <w:tc>
          <w:tcPr>
            <w:tcW w:w="4195" w:type="dxa"/>
            <w:vAlign w:val="center"/>
          </w:tcPr>
          <w:p>
            <w:pPr>
              <w:pStyle w:val="TableText"/>
              <w:jc w:val="left"/>
            </w:pPr>
            <w:r/>
            <w:r>
              <w:t>Context, interested parties, scope and boundaries of the management system</w:t>
            </w:r>
          </w:p>
        </w:tc>
        <w:tc>
          <w:tcPr>
            <w:tcW w:w="4083" w:type="dxa"/>
            <w:vAlign w:val="center"/>
          </w:tcPr>
          <w:p>
            <w:pPr>
              <w:pStyle w:val="TableText"/>
              <w:jc w:val="left"/>
            </w:pPr>
            <w:r/>
            <w:r>
              <w:t>Sections 1.1 – 1.5</w:t>
            </w:r>
          </w:p>
        </w:tc>
      </w:tr>
      <w:tr>
        <w:trPr>
          <w:cantSplit w:val="true"/>
        </w:trPr>
        <w:tc>
          <w:tcPr>
            <w:tcW w:w="1360" w:type="dxa"/>
            <w:vAlign w:val="center"/>
          </w:tcPr>
          <w:p>
            <w:pPr>
              <w:pStyle w:val="TableTextBold"/>
              <w:jc w:val="left"/>
            </w:pPr>
            <w:r/>
            <w:r>
              <w:t>5.1 – 5.2</w:t>
            </w:r>
          </w:p>
        </w:tc>
        <w:tc>
          <w:tcPr>
            <w:tcW w:w="4195" w:type="dxa"/>
            <w:vAlign w:val="center"/>
          </w:tcPr>
          <w:p>
            <w:pPr>
              <w:pStyle w:val="TableText"/>
              <w:jc w:val="left"/>
            </w:pPr>
            <w:r/>
            <w:r>
              <w:t>Leadership, accountability and a documented, authorized OH&amp;S policy</w:t>
            </w:r>
          </w:p>
        </w:tc>
        <w:tc>
          <w:tcPr>
            <w:tcW w:w="4083" w:type="dxa"/>
            <w:vAlign w:val="center"/>
          </w:tcPr>
          <w:p>
            <w:pPr>
              <w:pStyle w:val="TableText"/>
              <w:jc w:val="left"/>
            </w:pPr>
            <w:r/>
            <w:r>
              <w:t>Sections 2.1, 2.4, 4.1</w:t>
            </w:r>
          </w:p>
        </w:tc>
      </w:tr>
      <w:tr>
        <w:trPr>
          <w:cantSplit w:val="true"/>
        </w:trPr>
        <w:tc>
          <w:tcPr>
            <w:tcW w:w="1360" w:type="dxa"/>
            <w:vAlign w:val="center"/>
          </w:tcPr>
          <w:p>
            <w:pPr>
              <w:pStyle w:val="TableTextBold"/>
              <w:jc w:val="left"/>
            </w:pPr>
            <w:r/>
            <w:r>
              <w:t>5.3 – 5.4</w:t>
            </w:r>
          </w:p>
        </w:tc>
        <w:tc>
          <w:tcPr>
            <w:tcW w:w="4195" w:type="dxa"/>
            <w:vAlign w:val="center"/>
          </w:tcPr>
          <w:p>
            <w:pPr>
              <w:pStyle w:val="TableText"/>
              <w:jc w:val="left"/>
            </w:pPr>
            <w:r/>
            <w:r>
              <w:t>Roles, responsibilities and authorities; consultation and participation of workers, barriers removed</w:t>
            </w:r>
          </w:p>
        </w:tc>
        <w:tc>
          <w:tcPr>
            <w:tcW w:w="4083" w:type="dxa"/>
            <w:vAlign w:val="center"/>
          </w:tcPr>
          <w:p>
            <w:pPr>
              <w:pStyle w:val="TableText"/>
              <w:jc w:val="left"/>
            </w:pPr>
            <w:r/>
            <w:r>
              <w:t>Sections 4 (incl. 4.2), 2.3, 5</w:t>
            </w:r>
          </w:p>
        </w:tc>
      </w:tr>
      <w:tr>
        <w:trPr>
          <w:cantSplit w:val="true"/>
        </w:trPr>
        <w:tc>
          <w:tcPr>
            <w:tcW w:w="1360" w:type="dxa"/>
            <w:vAlign w:val="center"/>
          </w:tcPr>
          <w:p>
            <w:pPr>
              <w:pStyle w:val="TableTextBold"/>
              <w:jc w:val="left"/>
            </w:pPr>
            <w:r/>
            <w:r>
              <w:t>6.1 – 6.2</w:t>
            </w:r>
          </w:p>
        </w:tc>
        <w:tc>
          <w:tcPr>
            <w:tcW w:w="4195" w:type="dxa"/>
            <w:vAlign w:val="center"/>
          </w:tcPr>
          <w:p>
            <w:pPr>
              <w:pStyle w:val="TableText"/>
              <w:jc w:val="left"/>
            </w:pPr>
            <w:r/>
            <w:r>
              <w:t>Hazard identification; assessment of OH&amp;S risks; legal and other requirements; objectives</w:t>
            </w:r>
          </w:p>
        </w:tc>
        <w:tc>
          <w:tcPr>
            <w:tcW w:w="4083" w:type="dxa"/>
            <w:vAlign w:val="center"/>
          </w:tcPr>
          <w:p>
            <w:pPr>
              <w:pStyle w:val="TableText"/>
              <w:jc w:val="left"/>
            </w:pPr>
            <w:r/>
            <w:r>
              <w:t>Sections 6.1 – 6.6, 3.1, 3.3, 15.2, 16.4</w:t>
            </w:r>
          </w:p>
        </w:tc>
      </w:tr>
      <w:tr>
        <w:trPr>
          <w:cantSplit w:val="true"/>
        </w:trPr>
        <w:tc>
          <w:tcPr>
            <w:tcW w:w="1360" w:type="dxa"/>
            <w:vAlign w:val="center"/>
          </w:tcPr>
          <w:p>
            <w:pPr>
              <w:pStyle w:val="TableTextBold"/>
              <w:jc w:val="left"/>
            </w:pPr>
            <w:r/>
            <w:r>
              <w:t>7.1 – 7.5</w:t>
            </w:r>
          </w:p>
        </w:tc>
        <w:tc>
          <w:tcPr>
            <w:tcW w:w="4195" w:type="dxa"/>
            <w:vAlign w:val="center"/>
          </w:tcPr>
          <w:p>
            <w:pPr>
              <w:pStyle w:val="TableText"/>
              <w:jc w:val="left"/>
            </w:pPr>
            <w:r/>
            <w:r>
              <w:t>Resources, competence, awareness, communication and control of documented information</w:t>
            </w:r>
          </w:p>
        </w:tc>
        <w:tc>
          <w:tcPr>
            <w:tcW w:w="4083" w:type="dxa"/>
            <w:vAlign w:val="center"/>
          </w:tcPr>
          <w:p>
            <w:pPr>
              <w:pStyle w:val="TableText"/>
              <w:jc w:val="left"/>
            </w:pPr>
            <w:r/>
            <w:r>
              <w:t>Sections 4, 5, 8, 17; Document Control</w:t>
            </w:r>
          </w:p>
        </w:tc>
      </w:tr>
      <w:tr>
        <w:trPr>
          <w:cantSplit w:val="true"/>
        </w:trPr>
        <w:tc>
          <w:tcPr>
            <w:tcW w:w="1360" w:type="dxa"/>
            <w:vAlign w:val="center"/>
          </w:tcPr>
          <w:p>
            <w:pPr>
              <w:pStyle w:val="TableTextBold"/>
              <w:jc w:val="left"/>
            </w:pPr>
            <w:r/>
            <w:r>
              <w:t>8.1 – 8.2</w:t>
            </w:r>
          </w:p>
        </w:tc>
        <w:tc>
          <w:tcPr>
            <w:tcW w:w="4195" w:type="dxa"/>
            <w:vAlign w:val="center"/>
          </w:tcPr>
          <w:p>
            <w:pPr>
              <w:pStyle w:val="TableText"/>
              <w:jc w:val="left"/>
            </w:pPr>
            <w:r/>
            <w:r>
              <w:t>Operational planning and control; the hierarchy of controls; management of change; contractors and procurement; emergency preparedness</w:t>
            </w:r>
          </w:p>
        </w:tc>
        <w:tc>
          <w:tcPr>
            <w:tcW w:w="4083" w:type="dxa"/>
            <w:vAlign w:val="center"/>
          </w:tcPr>
          <w:p>
            <w:pPr>
              <w:pStyle w:val="TableText"/>
              <w:jc w:val="left"/>
            </w:pPr>
            <w:r/>
            <w:r>
              <w:t>Sections 6.4 – 6.6, 9, 10, 11, 14, 16.3</w:t>
            </w:r>
          </w:p>
        </w:tc>
      </w:tr>
      <w:tr>
        <w:trPr>
          <w:cantSplit w:val="true"/>
        </w:trPr>
        <w:tc>
          <w:tcPr>
            <w:tcW w:w="1360" w:type="dxa"/>
            <w:vAlign w:val="center"/>
          </w:tcPr>
          <w:p>
            <w:pPr>
              <w:pStyle w:val="TableTextBold"/>
              <w:jc w:val="left"/>
            </w:pPr>
            <w:r/>
            <w:r>
              <w:t>9.1 – 9.3</w:t>
            </w:r>
          </w:p>
        </w:tc>
        <w:tc>
          <w:tcPr>
            <w:tcW w:w="4195" w:type="dxa"/>
            <w:vAlign w:val="center"/>
          </w:tcPr>
          <w:p>
            <w:pPr>
              <w:pStyle w:val="TableText"/>
              <w:jc w:val="left"/>
            </w:pPr>
            <w:r/>
            <w:r>
              <w:t>Monitoring, measurement, evaluation of compliance, internal audit and management review</w:t>
            </w:r>
          </w:p>
        </w:tc>
        <w:tc>
          <w:tcPr>
            <w:tcW w:w="4083" w:type="dxa"/>
            <w:vAlign w:val="center"/>
          </w:tcPr>
          <w:p>
            <w:pPr>
              <w:pStyle w:val="TableText"/>
              <w:jc w:val="left"/>
            </w:pPr>
            <w:r/>
            <w:r>
              <w:t>Sections 15.1 – 15.3, 16.2</w:t>
            </w:r>
          </w:p>
        </w:tc>
      </w:tr>
      <w:tr>
        <w:trPr>
          <w:cantSplit w:val="true"/>
        </w:trPr>
        <w:tc>
          <w:tcPr>
            <w:tcW w:w="1360" w:type="dxa"/>
            <w:vAlign w:val="center"/>
          </w:tcPr>
          <w:p>
            <w:pPr>
              <w:pStyle w:val="TableTextBold"/>
              <w:jc w:val="left"/>
            </w:pPr>
            <w:r/>
            <w:r>
              <w:t>10.1 – 10.3</w:t>
            </w:r>
          </w:p>
        </w:tc>
        <w:tc>
          <w:tcPr>
            <w:tcW w:w="4195" w:type="dxa"/>
            <w:vAlign w:val="center"/>
          </w:tcPr>
          <w:p>
            <w:pPr>
              <w:pStyle w:val="TableText"/>
              <w:jc w:val="left"/>
            </w:pPr>
            <w:r/>
            <w:r>
              <w:t>Incident and nonconformity, corrective action and continual improvement</w:t>
            </w:r>
          </w:p>
        </w:tc>
        <w:tc>
          <w:tcPr>
            <w:tcW w:w="4083" w:type="dxa"/>
            <w:vAlign w:val="center"/>
          </w:tcPr>
          <w:p>
            <w:pPr>
              <w:pStyle w:val="TableText"/>
              <w:jc w:val="left"/>
            </w:pPr>
            <w:r/>
            <w:r>
              <w:t>Sections 12, 16</w:t>
            </w:r>
          </w:p>
        </w:tc>
      </w:tr>
    </w:tbl>
    <w:p>
      <w:pPr>
        <w:spacing w:before="0" w:after="0" w:line="60" w:lineRule="exact"/>
      </w:pPr>
    </w:p>
    <w:p>
      <w:pPr>
        <w:pStyle w:val="Heading2"/>
      </w:pPr>
      <w:bookmarkStart w:id="9019" w:name="_Toc90019"/>
      <w:r>
        <w:t>3.3 Compliance obligations register</w:t>
      </w:r>
      <w:bookmarkEnd w:id="9019"/>
    </w:p>
    <w:p>
      <w:pPr>
        <w:pStyle w:val="Note"/>
      </w:pPr>
      <w:r>
        <w:t>Example rows shown in gray italic — delete before use. Every obligation with a date, a threshold or a notification requirement belongs here, not in a paragraph.</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737"/>
        <w:gridCol w:w="2097"/>
        <w:gridCol w:w="1757"/>
        <w:gridCol w:w="2664"/>
        <w:gridCol w:w="1190"/>
        <w:gridCol w:w="1193"/>
      </w:tblGrid>
      <w:tr>
        <w:trPr>
          <w:tblHeader w:val="true"/>
          <w:cantSplit w:val="true"/>
        </w:trPr>
        <w:tc>
          <w:tcPr>
            <w:tcW w:w="737" w:type="dxa"/>
            <w:shd w:val="clear" w:color="auto" w:fill="1D3245"/>
            <w:vAlign w:val="center"/>
          </w:tcPr>
          <w:p>
            <w:pPr>
              <w:pStyle w:val="TableHeader"/>
              <w:jc w:val="left"/>
            </w:pPr>
            <w:r/>
            <w:r>
              <w:t>Ref</w:t>
            </w:r>
          </w:p>
        </w:tc>
        <w:tc>
          <w:tcPr>
            <w:tcW w:w="2097" w:type="dxa"/>
            <w:shd w:val="clear" w:color="auto" w:fill="1D3245"/>
            <w:vAlign w:val="center"/>
          </w:tcPr>
          <w:p>
            <w:pPr>
              <w:pStyle w:val="TableHeader"/>
              <w:jc w:val="left"/>
            </w:pPr>
            <w:r/>
            <w:r>
              <w:t>Obligation</w:t>
            </w:r>
          </w:p>
        </w:tc>
        <w:tc>
          <w:tcPr>
            <w:tcW w:w="1757" w:type="dxa"/>
            <w:shd w:val="clear" w:color="auto" w:fill="1D3245"/>
            <w:vAlign w:val="center"/>
          </w:tcPr>
          <w:p>
            <w:pPr>
              <w:pStyle w:val="TableHeader"/>
              <w:jc w:val="left"/>
            </w:pPr>
            <w:r/>
            <w:r>
              <w:t>Source</w:t>
            </w:r>
          </w:p>
        </w:tc>
        <w:tc>
          <w:tcPr>
            <w:tcW w:w="2664" w:type="dxa"/>
            <w:shd w:val="clear" w:color="auto" w:fill="1D3245"/>
            <w:vAlign w:val="center"/>
          </w:tcPr>
          <w:p>
            <w:pPr>
              <w:pStyle w:val="TableHeader"/>
              <w:jc w:val="left"/>
            </w:pPr>
            <w:r/>
            <w:r>
              <w:t>How compliance is demonstrated</w:t>
            </w:r>
          </w:p>
        </w:tc>
        <w:tc>
          <w:tcPr>
            <w:tcW w:w="1190" w:type="dxa"/>
            <w:shd w:val="clear" w:color="auto" w:fill="1D3245"/>
            <w:vAlign w:val="center"/>
          </w:tcPr>
          <w:p>
            <w:pPr>
              <w:pStyle w:val="TableHeader"/>
              <w:jc w:val="left"/>
            </w:pPr>
            <w:r/>
            <w:r>
              <w:t>Owner</w:t>
            </w:r>
          </w:p>
        </w:tc>
        <w:tc>
          <w:tcPr>
            <w:tcW w:w="1193" w:type="dxa"/>
            <w:shd w:val="clear" w:color="auto" w:fill="1D3245"/>
            <w:vAlign w:val="center"/>
          </w:tcPr>
          <w:p>
            <w:pPr>
              <w:pStyle w:val="TableHeader"/>
              <w:jc w:val="left"/>
            </w:pPr>
            <w:r/>
            <w:r>
              <w:t>Next review</w:t>
            </w:r>
          </w:p>
        </w:tc>
      </w:tr>
      <w:tr>
        <w:trPr>
          <w:cantSplit w:val="true"/>
        </w:trPr>
        <w:tc>
          <w:tcPr>
            <w:tcW w:w="737" w:type="dxa"/>
            <w:vAlign w:val="center"/>
          </w:tcPr>
          <w:p>
            <w:pPr>
              <w:pStyle w:val="TableTextExample"/>
              <w:jc w:val="left"/>
            </w:pPr>
            <w:r/>
            <w:r>
              <w:t>CO-01</w:t>
            </w:r>
          </w:p>
        </w:tc>
        <w:tc>
          <w:tcPr>
            <w:tcW w:w="2097" w:type="dxa"/>
            <w:vAlign w:val="center"/>
          </w:tcPr>
          <w:p>
            <w:pPr>
              <w:pStyle w:val="TableTextExample"/>
              <w:jc w:val="left"/>
            </w:pPr>
            <w:r/>
            <w:r>
              <w:t>Notify OSHA before excavation 20 feet or deeper begins</w:t>
            </w:r>
          </w:p>
        </w:tc>
        <w:tc>
          <w:tcPr>
            <w:tcW w:w="1757" w:type="dxa"/>
            <w:vAlign w:val="center"/>
          </w:tcPr>
          <w:p>
            <w:pPr>
              <w:pStyle w:val="TableTextExample"/>
              <w:jc w:val="left"/>
            </w:pPr>
            <w:r/>
            <w:r>
              <w:t>29 CFR Part 1926, plus any OSHA-approved State Plan requirement that exceeds it — reportable work</w:t>
            </w:r>
          </w:p>
        </w:tc>
        <w:tc>
          <w:tcPr>
            <w:tcW w:w="2664" w:type="dxa"/>
            <w:vAlign w:val="center"/>
          </w:tcPr>
          <w:p>
            <w:pPr>
              <w:pStyle w:val="TableTextExample"/>
              <w:jc w:val="left"/>
            </w:pPr>
            <w:r/>
            <w:r>
              <w:t>Notification lodged and receipt filed before the shoring rig mobilizes; copy in the permit register</w:t>
            </w:r>
          </w:p>
        </w:tc>
        <w:tc>
          <w:tcPr>
            <w:tcW w:w="1190" w:type="dxa"/>
            <w:vAlign w:val="center"/>
          </w:tcPr>
          <w:p>
            <w:pPr>
              <w:pStyle w:val="TableTextExample"/>
              <w:jc w:val="left"/>
            </w:pPr>
            <w:r/>
            <w:r>
              <w:t>Safety Manager</w:t>
            </w:r>
          </w:p>
        </w:tc>
        <w:tc>
          <w:tcPr>
            <w:tcW w:w="1193" w:type="dxa"/>
            <w:vAlign w:val="center"/>
          </w:tcPr>
          <w:p>
            <w:pPr>
              <w:pStyle w:val="TableTextExample"/>
              <w:jc w:val="left"/>
            </w:pPr>
            <w:r/>
            <w:r>
              <w:t>[MM/DD/YY]</w:t>
            </w:r>
          </w:p>
        </w:tc>
      </w:tr>
      <w:tr>
        <w:trPr>
          <w:cantSplit w:val="true"/>
        </w:trPr>
        <w:tc>
          <w:tcPr>
            <w:tcW w:w="737" w:type="dxa"/>
            <w:vAlign w:val="center"/>
          </w:tcPr>
          <w:p>
            <w:pPr>
              <w:pStyle w:val="TableTextExample"/>
              <w:jc w:val="left"/>
            </w:pPr>
            <w:r/>
            <w:r>
              <w:t>CO-02</w:t>
            </w:r>
          </w:p>
        </w:tc>
        <w:tc>
          <w:tcPr>
            <w:tcW w:w="2097" w:type="dxa"/>
            <w:vAlign w:val="center"/>
          </w:tcPr>
          <w:p>
            <w:pPr>
              <w:pStyle w:val="TableTextExample"/>
              <w:jc w:val="left"/>
            </w:pPr>
            <w:r/>
            <w:r>
              <w:t>Maintain unobstructed emergency vehicle access to the existing hospital emergency department at all times</w:t>
            </w:r>
          </w:p>
        </w:tc>
        <w:tc>
          <w:tcPr>
            <w:tcW w:w="1757" w:type="dxa"/>
            <w:vAlign w:val="center"/>
          </w:tcPr>
          <w:p>
            <w:pPr>
              <w:pStyle w:val="TableTextExample"/>
              <w:jc w:val="left"/>
            </w:pPr>
            <w:r/>
            <w:r>
              <w:t>Development consent condition [nn]; Owner site access deed</w:t>
            </w:r>
          </w:p>
        </w:tc>
        <w:tc>
          <w:tcPr>
            <w:tcW w:w="2664" w:type="dxa"/>
            <w:vAlign w:val="center"/>
          </w:tcPr>
          <w:p>
            <w:pPr>
              <w:pStyle w:val="TableTextExample"/>
              <w:jc w:val="left"/>
            </w:pPr>
            <w:r/>
            <w:r>
              <w:t>Daily gate check on the site diary; route audited weekly; any closure requires written Owner approval 48 h in advance</w:t>
            </w:r>
          </w:p>
        </w:tc>
        <w:tc>
          <w:tcPr>
            <w:tcW w:w="1190" w:type="dxa"/>
            <w:vAlign w:val="center"/>
          </w:tcPr>
          <w:p>
            <w:pPr>
              <w:pStyle w:val="TableTextExample"/>
              <w:jc w:val="left"/>
            </w:pPr>
            <w:r/>
            <w:r>
              <w:t>Site Manager</w:t>
            </w:r>
          </w:p>
        </w:tc>
        <w:tc>
          <w:tcPr>
            <w:tcW w:w="1193" w:type="dxa"/>
            <w:vAlign w:val="center"/>
          </w:tcPr>
          <w:p>
            <w:pPr>
              <w:pStyle w:val="TableTextExample"/>
              <w:jc w:val="left"/>
            </w:pPr>
            <w:r/>
            <w:r>
              <w:t>[MM/DD/YY]</w:t>
            </w:r>
          </w:p>
        </w:tc>
      </w:tr>
      <w:tr>
        <w:trPr>
          <w:cantSplit w:val="true"/>
        </w:trPr>
        <w:tc>
          <w:tcPr>
            <w:tcW w:w="737" w:type="dxa"/>
            <w:vAlign w:val="center"/>
          </w:tcPr>
          <w:p>
            <w:pPr>
              <w:pStyle w:val="TableText"/>
              <w:jc w:val="left"/>
            </w:pPr>
            <w:r/>
          </w:p>
        </w:tc>
        <w:tc>
          <w:tcPr>
            <w:tcW w:w="2097" w:type="dxa"/>
            <w:vAlign w:val="center"/>
          </w:tcPr>
          <w:p>
            <w:pPr>
              <w:pStyle w:val="TableText"/>
              <w:jc w:val="left"/>
            </w:pPr>
            <w:r/>
          </w:p>
        </w:tc>
        <w:tc>
          <w:tcPr>
            <w:tcW w:w="1757" w:type="dxa"/>
            <w:vAlign w:val="center"/>
          </w:tcPr>
          <w:p>
            <w:pPr>
              <w:pStyle w:val="TableText"/>
              <w:jc w:val="left"/>
            </w:pPr>
            <w:r/>
          </w:p>
        </w:tc>
        <w:tc>
          <w:tcPr>
            <w:tcW w:w="2664" w:type="dxa"/>
            <w:vAlign w:val="center"/>
          </w:tcPr>
          <w:p>
            <w:pPr>
              <w:pStyle w:val="TableText"/>
              <w:jc w:val="left"/>
            </w:pPr>
            <w:r/>
          </w:p>
        </w:tc>
        <w:tc>
          <w:tcPr>
            <w:tcW w:w="1190" w:type="dxa"/>
            <w:vAlign w:val="center"/>
          </w:tcPr>
          <w:p>
            <w:pPr>
              <w:pStyle w:val="TableText"/>
              <w:jc w:val="left"/>
            </w:pPr>
            <w:r/>
          </w:p>
        </w:tc>
        <w:tc>
          <w:tcPr>
            <w:tcW w:w="1193" w:type="dxa"/>
            <w:vAlign w:val="center"/>
          </w:tcPr>
          <w:p>
            <w:pPr>
              <w:pStyle w:val="TableText"/>
              <w:jc w:val="left"/>
            </w:pPr>
            <w:r/>
          </w:p>
        </w:tc>
      </w:tr>
      <w:tr>
        <w:trPr>
          <w:cantSplit w:val="true"/>
        </w:trPr>
        <w:tc>
          <w:tcPr>
            <w:tcW w:w="737" w:type="dxa"/>
            <w:vAlign w:val="center"/>
          </w:tcPr>
          <w:p>
            <w:pPr>
              <w:pStyle w:val="TableText"/>
              <w:jc w:val="left"/>
            </w:pPr>
            <w:r/>
          </w:p>
        </w:tc>
        <w:tc>
          <w:tcPr>
            <w:tcW w:w="2097" w:type="dxa"/>
            <w:vAlign w:val="center"/>
          </w:tcPr>
          <w:p>
            <w:pPr>
              <w:pStyle w:val="TableText"/>
              <w:jc w:val="left"/>
            </w:pPr>
            <w:r/>
          </w:p>
        </w:tc>
        <w:tc>
          <w:tcPr>
            <w:tcW w:w="1757" w:type="dxa"/>
            <w:vAlign w:val="center"/>
          </w:tcPr>
          <w:p>
            <w:pPr>
              <w:pStyle w:val="TableText"/>
              <w:jc w:val="left"/>
            </w:pPr>
            <w:r/>
          </w:p>
        </w:tc>
        <w:tc>
          <w:tcPr>
            <w:tcW w:w="2664" w:type="dxa"/>
            <w:vAlign w:val="center"/>
          </w:tcPr>
          <w:p>
            <w:pPr>
              <w:pStyle w:val="TableText"/>
              <w:jc w:val="left"/>
            </w:pPr>
            <w:r/>
          </w:p>
        </w:tc>
        <w:tc>
          <w:tcPr>
            <w:tcW w:w="1190" w:type="dxa"/>
            <w:vAlign w:val="center"/>
          </w:tcPr>
          <w:p>
            <w:pPr>
              <w:pStyle w:val="TableText"/>
              <w:jc w:val="left"/>
            </w:pPr>
            <w:r/>
          </w:p>
        </w:tc>
        <w:tc>
          <w:tcPr>
            <w:tcW w:w="1193" w:type="dxa"/>
            <w:vAlign w:val="center"/>
          </w:tcPr>
          <w:p>
            <w:pPr>
              <w:pStyle w:val="TableText"/>
              <w:jc w:val="left"/>
            </w:pPr>
            <w:r/>
          </w:p>
        </w:tc>
      </w:tr>
    </w:tbl>
    <w:p>
      <w:pPr>
        <w:spacing w:before="0" w:after="0" w:line="60" w:lineRule="exact"/>
      </w:pPr>
    </w:p>
    <w:p>
      <w:pPr>
        <w:pStyle w:val="Heading2"/>
      </w:pPr>
      <w:bookmarkStart w:id="9020" w:name="_Toc90020"/>
      <w:r>
        <w:t>3.4 The General Duty Clause, and what “feasible” means</w:t>
      </w:r>
      <w:bookmarkEnd w:id="9020"/>
    </w:p>
    <w:p>
      <w:pPr>
        <w:pStyle w:val="Body"/>
      </w:pPr>
      <w:r>
        <w:t>Two separate tests apply, and confusing them is the most common error in a US safety plan. Where a specific OSHA standard covers the hazard, the standard sets the requirement and it is mandatory — there is no cost-benefit test to apply. Where no standard covers the hazard, the General Duty Clause, section 5(a)(1) of the OSH Act, requires each employer to furnish a place of employment free from recognized hazards that are causing or likely to cause death or serious physical harm. OSHA must show a recognized hazard, that it was causing or likely to cause death or serious physical harm, and that a feasible and useful method existed to correct it. "Feasible" is the operative word: capable of being done, technologically and economically. It is not a license to weigh cost against a worker's life.</w:t>
      </w: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rPr>
          <w:cantSplit/>
        </w:trPr>
        <w:tc>
          <w:tcPr>
            <w:tcW w:w="9638" w:type="dxa"/>
            <w:shd w:val="clear" w:color="auto" w:fill="FDF3DC"/>
            <w:tcBorders>
              <w:left w:val="single" w:sz="4" w:space="0" w:color="C98A0E"/>
            </w:tcBorders>
          </w:tcPr>
          <w:p>
            <w:pPr>
              <w:pStyle w:val="Body"/>
            </w:pPr>
            <w:r/>
            <w:r>
              <w:t>Cost is relevant only at the last step, and only if grossly disproportionate to the risk. A control that is available, suitable and affordable cannot be declined because it was not allowed for in the bid. Where a higher-order control is rejected, record the reason in the risk register and have it approved at the authority level required by section 6.3.</w:t>
            </w:r>
          </w:p>
        </w:tc>
      </w:tr>
    </w:tbl>
    <w:p>
      <w:pPr>
        <w:spacing w:before="0" w:after="0" w:line="160" w:lineRule="exact"/>
      </w:pPr>
    </w:p>
    <w:p>
      <w:pPr>
        <w:pStyle w:val="Heading1"/>
      </w:pPr>
      <w:bookmarkStart w:id="9021" w:name="_Toc90021"/>
      <w:r>
        <w:t>4. Roles, Responsibilities and Authority</w:t>
      </w:r>
      <w:bookmarkEnd w:id="9021"/>
    </w:p>
    <w:p>
      <w:pPr>
        <w:pStyle w:val="BodyLead"/>
      </w:pPr>
      <w:r>
        <w:t>Accountability must land on a named person, not on an entity. Keep the names current — a plan naming someone who left the project three months ago is evidence that the system is not being maintained.</w:t>
      </w:r>
    </w:p>
    <w:p>
      <w:pPr>
        <w:pStyle w:val="Heading2"/>
      </w:pPr>
      <w:bookmarkStart w:id="9022" w:name="_Toc90022"/>
      <w:r>
        <w:t>4.1 Accountability table</w:t>
      </w:r>
      <w:bookmarkEnd w:id="9022"/>
    </w:p>
    <w:p>
      <w:pPr>
        <w:pStyle w:val="Note"/>
      </w:pPr>
      <w:r>
        <w:t>Record the named occupant, contact number, alternate and hours attended for every position above on the organization chart at 4.3 and the contact list at 11.2, and keep all three consistent.</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442"/>
        <w:gridCol w:w="3751"/>
        <w:gridCol w:w="1154"/>
        <w:gridCol w:w="1962"/>
        <w:gridCol w:w="1329"/>
      </w:tblGrid>
      <w:tr>
        <w:trPr>
          <w:tblHeader w:val="true"/>
          <w:cantSplit w:val="true"/>
        </w:trPr>
        <w:tc>
          <w:tcPr>
            <w:tcW w:w="1442" w:type="dxa"/>
            <w:shd w:val="clear" w:color="auto" w:fill="1D3245"/>
            <w:vAlign w:val="center"/>
          </w:tcPr>
          <w:p>
            <w:pPr>
              <w:pStyle w:val="TableHeader"/>
              <w:jc w:val="left"/>
            </w:pPr>
            <w:r/>
            <w:r>
              <w:t>Role</w:t>
            </w:r>
          </w:p>
        </w:tc>
        <w:tc>
          <w:tcPr>
            <w:tcW w:w="3751" w:type="dxa"/>
            <w:shd w:val="clear" w:color="auto" w:fill="1D3245"/>
            <w:vAlign w:val="center"/>
          </w:tcPr>
          <w:p>
            <w:pPr>
              <w:pStyle w:val="TableHeader"/>
              <w:jc w:val="left"/>
            </w:pPr>
            <w:r/>
            <w:r>
              <w:t>Safety accountabilities</w:t>
            </w:r>
          </w:p>
        </w:tc>
        <w:tc>
          <w:tcPr>
            <w:tcW w:w="1154" w:type="dxa"/>
            <w:shd w:val="clear" w:color="auto" w:fill="1D3245"/>
            <w:vAlign w:val="center"/>
          </w:tcPr>
          <w:p>
            <w:pPr>
              <w:pStyle w:val="TableHeader"/>
              <w:jc w:val="center"/>
            </w:pPr>
            <w:r/>
            <w:r>
              <w:t>Stop-work authority</w:t>
            </w:r>
          </w:p>
        </w:tc>
        <w:tc>
          <w:tcPr>
            <w:tcW w:w="1962" w:type="dxa"/>
            <w:shd w:val="clear" w:color="auto" w:fill="1D3245"/>
            <w:vAlign w:val="center"/>
          </w:tcPr>
          <w:p>
            <w:pPr>
              <w:pStyle w:val="TableHeader"/>
              <w:jc w:val="left"/>
            </w:pPr>
            <w:r/>
            <w:r>
              <w:t>Competency required</w:t>
            </w:r>
          </w:p>
        </w:tc>
        <w:tc>
          <w:tcPr>
            <w:tcW w:w="1329" w:type="dxa"/>
            <w:shd w:val="clear" w:color="auto" w:fill="1D3245"/>
            <w:vAlign w:val="center"/>
          </w:tcPr>
          <w:p>
            <w:pPr>
              <w:pStyle w:val="TableHeader"/>
              <w:jc w:val="left"/>
            </w:pPr>
            <w:r/>
            <w:r>
              <w:t>Reports to</w:t>
            </w:r>
          </w:p>
        </w:tc>
      </w:tr>
      <w:tr>
        <w:trPr>
          <w:cantSplit w:val="true"/>
        </w:trPr>
        <w:tc>
          <w:tcPr>
            <w:tcW w:w="1442" w:type="dxa"/>
            <w:vAlign w:val="center"/>
          </w:tcPr>
          <w:p>
            <w:pPr>
              <w:pStyle w:val="TableTextBold"/>
              <w:jc w:val="left"/>
            </w:pPr>
            <w:r/>
            <w:r>
              <w:t>Owner</w:t>
            </w:r>
          </w:p>
        </w:tc>
        <w:tc>
          <w:tcPr>
            <w:tcW w:w="3751" w:type="dxa"/>
            <w:vAlign w:val="center"/>
          </w:tcPr>
          <w:p>
            <w:pPr>
              <w:pStyle w:val="TableText"/>
              <w:jc w:val="left"/>
            </w:pPr>
            <w:r/>
            <w:r>
              <w:t>Provide site information — known hazards, contamination, asbestos registers, existing services; allow adequate time and budget for safe construction; consult and cooperate; control the interface with continuing operations</w:t>
            </w:r>
          </w:p>
        </w:tc>
        <w:tc>
          <w:tcPr>
            <w:tcW w:w="1154" w:type="dxa"/>
            <w:vAlign w:val="center"/>
          </w:tcPr>
          <w:p>
            <w:pPr>
              <w:pStyle w:val="TableTextCentre"/>
              <w:jc w:val="center"/>
            </w:pPr>
            <w:r/>
            <w:r>
              <w:t>Yes</w:t>
            </w:r>
          </w:p>
        </w:tc>
        <w:tc>
          <w:tcPr>
            <w:tcW w:w="1962" w:type="dxa"/>
            <w:vAlign w:val="center"/>
          </w:tcPr>
          <w:p>
            <w:pPr>
              <w:pStyle w:val="TableText"/>
              <w:jc w:val="left"/>
            </w:pPr>
            <w:r/>
            <w:r>
              <w:t>Owner-side safety capability or an appointed advisor; induction</w:t>
            </w:r>
          </w:p>
        </w:tc>
        <w:tc>
          <w:tcPr>
            <w:tcW w:w="1329" w:type="dxa"/>
            <w:vAlign w:val="center"/>
          </w:tcPr>
          <w:p>
            <w:pPr>
              <w:pStyle w:val="TableText"/>
              <w:jc w:val="left"/>
            </w:pPr>
            <w:r/>
            <w:r>
              <w:t>Owner governance</w:t>
            </w:r>
          </w:p>
        </w:tc>
      </w:tr>
      <w:tr>
        <w:trPr>
          <w:cantSplit w:val="true"/>
        </w:trPr>
        <w:tc>
          <w:tcPr>
            <w:tcW w:w="1442" w:type="dxa"/>
            <w:vAlign w:val="center"/>
          </w:tcPr>
          <w:p>
            <w:pPr>
              <w:pStyle w:val="TableTextBold"/>
              <w:jc w:val="left"/>
            </w:pPr>
            <w:r/>
            <w:r>
              <w:t>General contractor senior management</w:t>
            </w:r>
          </w:p>
        </w:tc>
        <w:tc>
          <w:tcPr>
            <w:tcW w:w="3751" w:type="dxa"/>
            <w:vAlign w:val="center"/>
          </w:tcPr>
          <w:p>
            <w:pPr>
              <w:pStyle w:val="TableText"/>
              <w:jc w:val="left"/>
            </w:pPr>
            <w:r/>
            <w:r>
              <w:t>Provide the resources this plan requires; appoint competent people; monitor performance; conduct management review</w:t>
            </w:r>
          </w:p>
        </w:tc>
        <w:tc>
          <w:tcPr>
            <w:tcW w:w="1154" w:type="dxa"/>
            <w:vAlign w:val="center"/>
          </w:tcPr>
          <w:p>
            <w:pPr>
              <w:pStyle w:val="TableTextCentre"/>
              <w:jc w:val="center"/>
            </w:pPr>
            <w:r/>
            <w:r>
              <w:t>Yes</w:t>
            </w:r>
          </w:p>
        </w:tc>
        <w:tc>
          <w:tcPr>
            <w:tcW w:w="1962" w:type="dxa"/>
            <w:vAlign w:val="center"/>
          </w:tcPr>
          <w:p>
            <w:pPr>
              <w:pStyle w:val="TableText"/>
              <w:jc w:val="left"/>
            </w:pPr>
            <w:r/>
            <w:r>
              <w:t>Executive accountability for safety; ISO 45001 awareness</w:t>
            </w:r>
          </w:p>
        </w:tc>
        <w:tc>
          <w:tcPr>
            <w:tcW w:w="1329" w:type="dxa"/>
            <w:vAlign w:val="center"/>
          </w:tcPr>
          <w:p>
            <w:pPr>
              <w:pStyle w:val="TableText"/>
              <w:jc w:val="left"/>
            </w:pPr>
            <w:r/>
            <w:r>
              <w:t>Board / owners</w:t>
            </w:r>
          </w:p>
        </w:tc>
      </w:tr>
      <w:tr>
        <w:trPr>
          <w:cantSplit w:val="true"/>
        </w:trPr>
        <w:tc>
          <w:tcPr>
            <w:tcW w:w="1442" w:type="dxa"/>
            <w:vAlign w:val="center"/>
          </w:tcPr>
          <w:p>
            <w:pPr>
              <w:pStyle w:val="TableTextBold"/>
              <w:jc w:val="left"/>
            </w:pPr>
            <w:r/>
            <w:r>
              <w:t>Project Manager</w:t>
            </w:r>
          </w:p>
        </w:tc>
        <w:tc>
          <w:tcPr>
            <w:tcW w:w="3751" w:type="dxa"/>
            <w:vAlign w:val="center"/>
          </w:tcPr>
          <w:p>
            <w:pPr>
              <w:pStyle w:val="TableText"/>
              <w:jc w:val="left"/>
            </w:pPr>
            <w:r/>
            <w:r>
              <w:t>Own this plan; integrate safety into procurement, schedule and design; chair the safety committee; approve High residual risk; complete prequalification before award</w:t>
            </w:r>
          </w:p>
        </w:tc>
        <w:tc>
          <w:tcPr>
            <w:tcW w:w="1154" w:type="dxa"/>
            <w:vAlign w:val="center"/>
          </w:tcPr>
          <w:p>
            <w:pPr>
              <w:pStyle w:val="TableTextCentre"/>
              <w:jc w:val="center"/>
            </w:pPr>
            <w:r/>
            <w:r>
              <w:t>Yes</w:t>
            </w:r>
          </w:p>
        </w:tc>
        <w:tc>
          <w:tcPr>
            <w:tcW w:w="1962" w:type="dxa"/>
            <w:vAlign w:val="center"/>
          </w:tcPr>
          <w:p>
            <w:pPr>
              <w:pStyle w:val="TableText"/>
              <w:jc w:val="left"/>
            </w:pPr>
            <w:r/>
            <w:r>
              <w:t>Construction management qualification; induction; incident investigation</w:t>
            </w:r>
          </w:p>
        </w:tc>
        <w:tc>
          <w:tcPr>
            <w:tcW w:w="1329" w:type="dxa"/>
            <w:vAlign w:val="center"/>
          </w:tcPr>
          <w:p>
            <w:pPr>
              <w:pStyle w:val="TableText"/>
              <w:jc w:val="left"/>
            </w:pPr>
            <w:r/>
            <w:r>
              <w:t>Project Director</w:t>
            </w:r>
          </w:p>
        </w:tc>
      </w:tr>
      <w:tr>
        <w:trPr>
          <w:cantSplit w:val="true"/>
        </w:trPr>
        <w:tc>
          <w:tcPr>
            <w:tcW w:w="1442" w:type="dxa"/>
            <w:vAlign w:val="center"/>
          </w:tcPr>
          <w:p>
            <w:pPr>
              <w:pStyle w:val="TableTextBold"/>
              <w:jc w:val="left"/>
            </w:pPr>
            <w:r/>
            <w:r>
              <w:t>Site Manager</w:t>
            </w:r>
          </w:p>
        </w:tc>
        <w:tc>
          <w:tcPr>
            <w:tcW w:w="3751" w:type="dxa"/>
            <w:vAlign w:val="center"/>
          </w:tcPr>
          <w:p>
            <w:pPr>
              <w:pStyle w:val="TableText"/>
              <w:jc w:val="left"/>
            </w:pPr>
            <w:r/>
            <w:r>
              <w:t>Day-to-day control of the workplace; site establishment and welfare facilities; coordinate interfacing trades; permits; emergency control; enforce site rules</w:t>
            </w:r>
          </w:p>
        </w:tc>
        <w:tc>
          <w:tcPr>
            <w:tcW w:w="1154" w:type="dxa"/>
            <w:vAlign w:val="center"/>
          </w:tcPr>
          <w:p>
            <w:pPr>
              <w:pStyle w:val="TableTextCentre"/>
              <w:jc w:val="center"/>
            </w:pPr>
            <w:r/>
            <w:r>
              <w:t>Yes</w:t>
            </w:r>
          </w:p>
        </w:tc>
        <w:tc>
          <w:tcPr>
            <w:tcW w:w="1962" w:type="dxa"/>
            <w:vAlign w:val="center"/>
          </w:tcPr>
          <w:p>
            <w:pPr>
              <w:pStyle w:val="TableText"/>
              <w:jc w:val="left"/>
            </w:pPr>
            <w:r/>
            <w:r>
              <w:t>Induction; supervisor competency; first aid; warden</w:t>
            </w:r>
          </w:p>
        </w:tc>
        <w:tc>
          <w:tcPr>
            <w:tcW w:w="1329" w:type="dxa"/>
            <w:vAlign w:val="center"/>
          </w:tcPr>
          <w:p>
            <w:pPr>
              <w:pStyle w:val="TableText"/>
              <w:jc w:val="left"/>
            </w:pPr>
            <w:r/>
            <w:r>
              <w:t>Project Manager</w:t>
            </w:r>
          </w:p>
        </w:tc>
      </w:tr>
      <w:tr>
        <w:trPr>
          <w:cantSplit w:val="true"/>
        </w:trPr>
        <w:tc>
          <w:tcPr>
            <w:tcW w:w="1442" w:type="dxa"/>
            <w:vAlign w:val="center"/>
          </w:tcPr>
          <w:p>
            <w:pPr>
              <w:pStyle w:val="TableTextBold"/>
              <w:jc w:val="left"/>
            </w:pPr>
            <w:r/>
            <w:r>
              <w:t>Supervisors / Foremen</w:t>
            </w:r>
          </w:p>
        </w:tc>
        <w:tc>
          <w:tcPr>
            <w:tcW w:w="3751" w:type="dxa"/>
            <w:vAlign w:val="center"/>
          </w:tcPr>
          <w:p>
            <w:pPr>
              <w:pStyle w:val="TableText"/>
              <w:jc w:val="left"/>
            </w:pPr>
            <w:r/>
            <w:r>
              <w:t>Brief and enforce the JHA at the work face; verify controls each shift; run pre-starts; check equipment pre-starts; supervise inexperienced workers</w:t>
            </w:r>
          </w:p>
        </w:tc>
        <w:tc>
          <w:tcPr>
            <w:tcW w:w="1154" w:type="dxa"/>
            <w:vAlign w:val="center"/>
          </w:tcPr>
          <w:p>
            <w:pPr>
              <w:pStyle w:val="TableTextCentre"/>
              <w:jc w:val="center"/>
            </w:pPr>
            <w:r/>
            <w:r>
              <w:t>Yes</w:t>
            </w:r>
          </w:p>
        </w:tc>
        <w:tc>
          <w:tcPr>
            <w:tcW w:w="1962" w:type="dxa"/>
            <w:vAlign w:val="center"/>
          </w:tcPr>
          <w:p>
            <w:pPr>
              <w:pStyle w:val="TableText"/>
              <w:jc w:val="left"/>
            </w:pPr>
            <w:r/>
            <w:r>
              <w:t>Induction; trade competency; supervisor training; licenses for the work supervised</w:t>
            </w:r>
          </w:p>
        </w:tc>
        <w:tc>
          <w:tcPr>
            <w:tcW w:w="1329" w:type="dxa"/>
            <w:vAlign w:val="center"/>
          </w:tcPr>
          <w:p>
            <w:pPr>
              <w:pStyle w:val="TableText"/>
              <w:jc w:val="left"/>
            </w:pPr>
            <w:r/>
            <w:r>
              <w:t>Site Manager</w:t>
            </w:r>
          </w:p>
        </w:tc>
      </w:tr>
      <w:tr>
        <w:trPr>
          <w:cantSplit w:val="true"/>
        </w:trPr>
        <w:tc>
          <w:tcPr>
            <w:tcW w:w="1442" w:type="dxa"/>
            <w:vAlign w:val="center"/>
          </w:tcPr>
          <w:p>
            <w:pPr>
              <w:pStyle w:val="TableTextBold"/>
              <w:jc w:val="left"/>
            </w:pPr>
            <w:r/>
            <w:r>
              <w:t>Safety Manager / Advisor</w:t>
            </w:r>
          </w:p>
        </w:tc>
        <w:tc>
          <w:tcPr>
            <w:tcW w:w="3751" w:type="dxa"/>
            <w:vAlign w:val="center"/>
          </w:tcPr>
          <w:p>
            <w:pPr>
              <w:pStyle w:val="TableText"/>
              <w:jc w:val="left"/>
            </w:pPr>
            <w:r/>
            <w:r>
              <w:t>Maintain this plan; review and accept JHA; audit and inspect; investigate incidents; advise on legal requirements; induct; report performance. Advisory, not a substitute for line accountability</w:t>
            </w:r>
          </w:p>
        </w:tc>
        <w:tc>
          <w:tcPr>
            <w:tcW w:w="1154" w:type="dxa"/>
            <w:vAlign w:val="center"/>
          </w:tcPr>
          <w:p>
            <w:pPr>
              <w:pStyle w:val="TableTextCentre"/>
              <w:jc w:val="center"/>
            </w:pPr>
            <w:r/>
            <w:r>
              <w:t>Yes</w:t>
            </w:r>
          </w:p>
        </w:tc>
        <w:tc>
          <w:tcPr>
            <w:tcW w:w="1962" w:type="dxa"/>
            <w:vAlign w:val="center"/>
          </w:tcPr>
          <w:p>
            <w:pPr>
              <w:pStyle w:val="TableText"/>
              <w:jc w:val="left"/>
            </w:pPr>
            <w:r/>
            <w:r>
              <w:t>Recognized Safety qualification; investigation; auditing</w:t>
            </w:r>
          </w:p>
        </w:tc>
        <w:tc>
          <w:tcPr>
            <w:tcW w:w="1329" w:type="dxa"/>
            <w:vAlign w:val="center"/>
          </w:tcPr>
          <w:p>
            <w:pPr>
              <w:pStyle w:val="TableText"/>
              <w:jc w:val="left"/>
            </w:pPr>
            <w:r/>
            <w:r>
              <w:t>Project Manager, plus a direct line to senior management</w:t>
            </w:r>
          </w:p>
        </w:tc>
      </w:tr>
      <w:tr>
        <w:trPr>
          <w:cantSplit w:val="true"/>
        </w:trPr>
        <w:tc>
          <w:tcPr>
            <w:tcW w:w="1442" w:type="dxa"/>
            <w:vAlign w:val="center"/>
          </w:tcPr>
          <w:p>
            <w:pPr>
              <w:pStyle w:val="TableTextBold"/>
              <w:jc w:val="left"/>
            </w:pPr>
            <w:r/>
            <w:r>
              <w:t>Subcontractor management (each employer)</w:t>
            </w:r>
          </w:p>
        </w:tc>
        <w:tc>
          <w:tcPr>
            <w:tcW w:w="3751" w:type="dxa"/>
            <w:vAlign w:val="center"/>
          </w:tcPr>
          <w:p>
            <w:pPr>
              <w:pStyle w:val="TableText"/>
              <w:jc w:val="left"/>
            </w:pPr>
            <w:r/>
            <w:r>
              <w:t>Prepare and implement its own JHA; provide competent workers, compliant equipment and its own supervision; consult its workers; report incidents immediately</w:t>
            </w:r>
          </w:p>
        </w:tc>
        <w:tc>
          <w:tcPr>
            <w:tcW w:w="1154" w:type="dxa"/>
            <w:vAlign w:val="center"/>
          </w:tcPr>
          <w:p>
            <w:pPr>
              <w:pStyle w:val="TableTextCentre"/>
              <w:jc w:val="center"/>
            </w:pPr>
            <w:r/>
            <w:r>
              <w:t>Yes</w:t>
            </w:r>
          </w:p>
        </w:tc>
        <w:tc>
          <w:tcPr>
            <w:tcW w:w="1962" w:type="dxa"/>
            <w:vAlign w:val="center"/>
          </w:tcPr>
          <w:p>
            <w:pPr>
              <w:pStyle w:val="TableText"/>
              <w:jc w:val="left"/>
            </w:pPr>
            <w:r/>
            <w:r>
              <w:t>As required for the trade; supervisor present whenever its workers are on site</w:t>
            </w:r>
          </w:p>
        </w:tc>
        <w:tc>
          <w:tcPr>
            <w:tcW w:w="1329" w:type="dxa"/>
            <w:vAlign w:val="center"/>
          </w:tcPr>
          <w:p>
            <w:pPr>
              <w:pStyle w:val="TableText"/>
              <w:jc w:val="left"/>
            </w:pPr>
            <w:r/>
            <w:r>
              <w:t>Site Manager</w:t>
            </w:r>
          </w:p>
        </w:tc>
      </w:tr>
      <w:tr>
        <w:trPr>
          <w:cantSplit w:val="true"/>
        </w:trPr>
        <w:tc>
          <w:tcPr>
            <w:tcW w:w="1442" w:type="dxa"/>
            <w:vAlign w:val="center"/>
          </w:tcPr>
          <w:p>
            <w:pPr>
              <w:pStyle w:val="TableTextBold"/>
              <w:jc w:val="left"/>
            </w:pPr>
            <w:r/>
            <w:r>
              <w:t>Health and Safety Representatives</w:t>
            </w:r>
          </w:p>
        </w:tc>
        <w:tc>
          <w:tcPr>
            <w:tcW w:w="3751" w:type="dxa"/>
            <w:vAlign w:val="center"/>
          </w:tcPr>
          <w:p>
            <w:pPr>
              <w:pStyle w:val="TableText"/>
              <w:jc w:val="left"/>
            </w:pPr>
            <w:r/>
            <w:r>
              <w:t>Represent the work group; inspect the workplace; attend consultation forums; raise and monitor issues; accompany a OSHA inspection</w:t>
            </w:r>
          </w:p>
        </w:tc>
        <w:tc>
          <w:tcPr>
            <w:tcW w:w="1154" w:type="dxa"/>
            <w:vAlign w:val="center"/>
          </w:tcPr>
          <w:p>
            <w:pPr>
              <w:pStyle w:val="TableTextCentre"/>
              <w:jc w:val="center"/>
            </w:pPr>
            <w:r/>
            <w:r>
              <w:t>Yes — may direct a work group member to cease unsafe work</w:t>
            </w:r>
          </w:p>
        </w:tc>
        <w:tc>
          <w:tcPr>
            <w:tcW w:w="1962" w:type="dxa"/>
            <w:vAlign w:val="center"/>
          </w:tcPr>
          <w:p>
            <w:pPr>
              <w:pStyle w:val="TableText"/>
              <w:jc w:val="left"/>
            </w:pPr>
            <w:r/>
            <w:r>
              <w:t>Elected by the work group; WORKER REPRESENTATIVE training where available</w:t>
            </w:r>
          </w:p>
        </w:tc>
        <w:tc>
          <w:tcPr>
            <w:tcW w:w="1329" w:type="dxa"/>
            <w:vAlign w:val="center"/>
          </w:tcPr>
          <w:p>
            <w:pPr>
              <w:pStyle w:val="TableText"/>
              <w:jc w:val="left"/>
            </w:pPr>
            <w:r/>
            <w:r>
              <w:t>Work group; liaises with Safety Manager</w:t>
            </w:r>
          </w:p>
        </w:tc>
      </w:tr>
      <w:tr>
        <w:trPr>
          <w:cantSplit w:val="true"/>
        </w:trPr>
        <w:tc>
          <w:tcPr>
            <w:tcW w:w="1442" w:type="dxa"/>
            <w:vAlign w:val="center"/>
          </w:tcPr>
          <w:p>
            <w:pPr>
              <w:pStyle w:val="TableTextBold"/>
              <w:jc w:val="left"/>
            </w:pPr>
            <w:r/>
            <w:r>
              <w:t>First Aid Officers</w:t>
            </w:r>
          </w:p>
        </w:tc>
        <w:tc>
          <w:tcPr>
            <w:tcW w:w="3751" w:type="dxa"/>
            <w:vAlign w:val="center"/>
          </w:tcPr>
          <w:p>
            <w:pPr>
              <w:pStyle w:val="TableText"/>
              <w:jc w:val="left"/>
            </w:pPr>
            <w:r/>
            <w:r>
              <w:t>Provide first aid; maintain kits and the treatment register; brief responders on arrival; protect casualty privacy</w:t>
            </w:r>
          </w:p>
        </w:tc>
        <w:tc>
          <w:tcPr>
            <w:tcW w:w="1154" w:type="dxa"/>
            <w:vAlign w:val="center"/>
          </w:tcPr>
          <w:p>
            <w:pPr>
              <w:pStyle w:val="TableTextCentre"/>
              <w:jc w:val="center"/>
            </w:pPr>
            <w:r/>
            <w:r>
              <w:t>Yes</w:t>
            </w:r>
          </w:p>
        </w:tc>
        <w:tc>
          <w:tcPr>
            <w:tcW w:w="1962" w:type="dxa"/>
            <w:vAlign w:val="center"/>
          </w:tcPr>
          <w:p>
            <w:pPr>
              <w:pStyle w:val="TableText"/>
              <w:jc w:val="left"/>
            </w:pPr>
            <w:r/>
            <w:r>
              <w:t>Current first aid certification; CPR; low-voltage rescue where applicable</w:t>
            </w:r>
          </w:p>
        </w:tc>
        <w:tc>
          <w:tcPr>
            <w:tcW w:w="1329" w:type="dxa"/>
            <w:vAlign w:val="center"/>
          </w:tcPr>
          <w:p>
            <w:pPr>
              <w:pStyle w:val="TableText"/>
              <w:jc w:val="left"/>
            </w:pPr>
            <w:r/>
            <w:r>
              <w:t>Site Manager</w:t>
            </w:r>
          </w:p>
        </w:tc>
      </w:tr>
      <w:tr>
        <w:trPr>
          <w:cantSplit w:val="true"/>
        </w:trPr>
        <w:tc>
          <w:tcPr>
            <w:tcW w:w="1442" w:type="dxa"/>
            <w:vAlign w:val="center"/>
          </w:tcPr>
          <w:p>
            <w:pPr>
              <w:pStyle w:val="TableTextBold"/>
              <w:jc w:val="left"/>
            </w:pPr>
            <w:r/>
            <w:r>
              <w:t>Fire and Emergency Wardens</w:t>
            </w:r>
          </w:p>
        </w:tc>
        <w:tc>
          <w:tcPr>
            <w:tcW w:w="3751" w:type="dxa"/>
            <w:vAlign w:val="center"/>
          </w:tcPr>
          <w:p>
            <w:pPr>
              <w:pStyle w:val="TableText"/>
              <w:jc w:val="left"/>
            </w:pPr>
            <w:r/>
            <w:r>
              <w:t>Sweep allocated areas; account for people at the assembly point; control access during an emergency; report to the Chief Warden</w:t>
            </w:r>
          </w:p>
        </w:tc>
        <w:tc>
          <w:tcPr>
            <w:tcW w:w="1154" w:type="dxa"/>
            <w:vAlign w:val="center"/>
          </w:tcPr>
          <w:p>
            <w:pPr>
              <w:pStyle w:val="TableTextCentre"/>
              <w:jc w:val="center"/>
            </w:pPr>
            <w:r/>
            <w:r>
              <w:t>Yes</w:t>
            </w:r>
          </w:p>
        </w:tc>
        <w:tc>
          <w:tcPr>
            <w:tcW w:w="1962" w:type="dxa"/>
            <w:vAlign w:val="center"/>
          </w:tcPr>
          <w:p>
            <w:pPr>
              <w:pStyle w:val="TableText"/>
              <w:jc w:val="left"/>
            </w:pPr>
            <w:r/>
            <w:r>
              <w:t>Warden training; site-specific emergency briefing</w:t>
            </w:r>
          </w:p>
        </w:tc>
        <w:tc>
          <w:tcPr>
            <w:tcW w:w="1329" w:type="dxa"/>
            <w:vAlign w:val="center"/>
          </w:tcPr>
          <w:p>
            <w:pPr>
              <w:pStyle w:val="TableText"/>
              <w:jc w:val="left"/>
            </w:pPr>
            <w:r/>
            <w:r>
              <w:t>Chief Warden (Site Manager)</w:t>
            </w:r>
          </w:p>
        </w:tc>
      </w:tr>
      <w:tr>
        <w:trPr>
          <w:cantSplit w:val="true"/>
        </w:trPr>
        <w:tc>
          <w:tcPr>
            <w:tcW w:w="1442" w:type="dxa"/>
            <w:vAlign w:val="center"/>
          </w:tcPr>
          <w:p>
            <w:pPr>
              <w:pStyle w:val="TableTextBold"/>
              <w:jc w:val="left"/>
            </w:pPr>
            <w:r/>
            <w:r>
              <w:t>Workers (all employers)</w:t>
            </w:r>
          </w:p>
        </w:tc>
        <w:tc>
          <w:tcPr>
            <w:tcW w:w="3751" w:type="dxa"/>
            <w:vAlign w:val="center"/>
          </w:tcPr>
          <w:p>
            <w:pPr>
              <w:pStyle w:val="TableText"/>
              <w:jc w:val="left"/>
            </w:pPr>
            <w:r/>
            <w:r>
              <w:t>Take reasonable care of their own and others' safety; follow the JHA and reasonable instructions; use the equipment and PPE provided; report hazards, incidents and near misses immediately</w:t>
            </w:r>
          </w:p>
        </w:tc>
        <w:tc>
          <w:tcPr>
            <w:tcW w:w="1154" w:type="dxa"/>
            <w:vAlign w:val="center"/>
          </w:tcPr>
          <w:p>
            <w:pPr>
              <w:pStyle w:val="TableTextCentre"/>
              <w:jc w:val="center"/>
            </w:pPr>
            <w:r/>
            <w:r>
              <w:t>Yes — without exception</w:t>
            </w:r>
          </w:p>
        </w:tc>
        <w:tc>
          <w:tcPr>
            <w:tcW w:w="1962" w:type="dxa"/>
            <w:vAlign w:val="center"/>
          </w:tcPr>
          <w:p>
            <w:pPr>
              <w:pStyle w:val="TableText"/>
              <w:jc w:val="left"/>
            </w:pPr>
            <w:r/>
            <w:r>
              <w:t>Induction, site-specific induction, task competency and licenses</w:t>
            </w:r>
          </w:p>
        </w:tc>
        <w:tc>
          <w:tcPr>
            <w:tcW w:w="1329" w:type="dxa"/>
            <w:vAlign w:val="center"/>
          </w:tcPr>
          <w:p>
            <w:pPr>
              <w:pStyle w:val="TableText"/>
              <w:jc w:val="left"/>
            </w:pPr>
            <w:r/>
            <w:r>
              <w:t>Their supervisor</w:t>
            </w:r>
          </w:p>
        </w:tc>
      </w:tr>
      <w:tr>
        <w:trPr>
          <w:cantSplit w:val="true"/>
        </w:trPr>
        <w:tc>
          <w:tcPr>
            <w:tcW w:w="1442" w:type="dxa"/>
            <w:vAlign w:val="center"/>
          </w:tcPr>
          <w:p>
            <w:pPr>
              <w:pStyle w:val="TableTextBold"/>
              <w:jc w:val="left"/>
            </w:pPr>
            <w:r/>
            <w:r>
              <w:t>Visitors</w:t>
            </w:r>
          </w:p>
        </w:tc>
        <w:tc>
          <w:tcPr>
            <w:tcW w:w="3751" w:type="dxa"/>
            <w:vAlign w:val="center"/>
          </w:tcPr>
          <w:p>
            <w:pPr>
              <w:pStyle w:val="TableText"/>
              <w:jc w:val="left"/>
            </w:pPr>
            <w:r/>
            <w:r>
              <w:t>Report to the gate; complete visitor induction; remain under escort; wear the PPE issued; comply with directions</w:t>
            </w:r>
          </w:p>
        </w:tc>
        <w:tc>
          <w:tcPr>
            <w:tcW w:w="1154" w:type="dxa"/>
            <w:vAlign w:val="center"/>
          </w:tcPr>
          <w:p>
            <w:pPr>
              <w:pStyle w:val="TableTextCentre"/>
              <w:jc w:val="center"/>
            </w:pPr>
            <w:r/>
            <w:r>
              <w:t>Yes — report to the escort</w:t>
            </w:r>
          </w:p>
        </w:tc>
        <w:tc>
          <w:tcPr>
            <w:tcW w:w="1962" w:type="dxa"/>
            <w:vAlign w:val="center"/>
          </w:tcPr>
          <w:p>
            <w:pPr>
              <w:pStyle w:val="TableText"/>
              <w:jc w:val="left"/>
            </w:pPr>
            <w:r/>
            <w:r>
              <w:t>Visitor induction</w:t>
            </w:r>
          </w:p>
        </w:tc>
        <w:tc>
          <w:tcPr>
            <w:tcW w:w="1329" w:type="dxa"/>
            <w:vAlign w:val="center"/>
          </w:tcPr>
          <w:p>
            <w:pPr>
              <w:pStyle w:val="TableText"/>
              <w:jc w:val="left"/>
            </w:pPr>
            <w:r/>
            <w:r>
              <w:t>Their escort</w:t>
            </w:r>
          </w:p>
        </w:tc>
      </w:tr>
    </w:tbl>
    <w:p>
      <w:pPr>
        <w:spacing w:before="0" w:after="0" w:line="60" w:lineRule="exact"/>
      </w:pPr>
    </w:p>
    <w:p>
      <w:pPr>
        <w:pStyle w:val="Heading2"/>
      </w:pPr>
      <w:bookmarkStart w:id="9023" w:name="_Toc90023"/>
      <w:r>
        <w:t>4.2 Authority to stop work</w:t>
      </w:r>
      <w:bookmarkEnd w:id="9023"/>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rPr>
          <w:cantSplit/>
        </w:trPr>
        <w:tc>
          <w:tcPr>
            <w:tcW w:w="9638" w:type="dxa"/>
            <w:shd w:val="clear" w:color="auto" w:fill="FBE6E2"/>
            <w:tcBorders>
              <w:left w:val="single" w:sz="4" w:space="0" w:color="B3341F"/>
            </w:tcBorders>
          </w:tcPr>
          <w:p>
            <w:pPr>
              <w:pStyle w:val="Body"/>
            </w:pPr>
            <w:r/>
            <w:r>
              <w:t>Any person on this site — of any employer, of any tier, at any level of experience, and including visitors — has the authority and the obligation to stop work immediately where they reasonably believe that continuing would expose a person to a serious risk to health or safety. Work stopped under this authority must not restart until the Site Manager and the Safety Manager have inspected the situation, the control has been corrected and the restart authorized in writing. No person will be disciplined, penalised, stood down or otherwise disadvantaged for exercising this authority in good faith, and any suggestion that they have been is itself investigated as an incident under section 12. Every stop-work event is logged, closed out through the corrective action register and reported to the Owner.</w:t>
            </w:r>
          </w:p>
        </w:tc>
      </w:tr>
    </w:tbl>
    <w:p>
      <w:pPr>
        <w:spacing w:before="0" w:after="0" w:line="160" w:lineRule="exact"/>
      </w:pPr>
    </w:p>
    <w:p>
      <w:pPr>
        <w:pStyle w:val="Heading2"/>
      </w:pPr>
      <w:bookmarkStart w:id="9024" w:name="_Toc90024"/>
      <w:r>
        <w:t>4.3 Organization chart</w:t>
      </w:r>
      <w:bookmarkEnd w:id="9024"/>
    </w:p>
    <w:p>
      <w:pPr>
        <w:pStyle w:val="Placeholder"/>
      </w:pPr>
      <w:r>
        <w:t>[Insert the project health and safety organization chart. Show every position in the table above that exists on this project, the named occupant, the reporting lines, and the interfaces to the Owner, the Owner's Representative and each subcontractor's own supervision. Show the Safety Manager's direct line to senior management outside the project reporting line. Mark part-time positions with the days attended, and update the chart at every change of key personnel — which is itself a trigger to review this plan (16.3).]</w:t>
      </w:r>
    </w:p>
    <w:p>
      <w:pPr>
        <w:pStyle w:val="Caption"/>
      </w:pPr>
      <w:r>
        <w:t>Figure 4.1 — Project health and safety organization chart at [revision / date].</w:t>
      </w:r>
    </w:p>
    <w:p>
      <w:pPr>
        <w:pStyle w:val="Heading1"/>
      </w:pPr>
      <w:bookmarkStart w:id="9025" w:name="_Toc90025"/>
      <w:r>
        <w:t>5. Consultation, Participation and Communication</w:t>
      </w:r>
      <w:bookmarkEnd w:id="9025"/>
    </w:p>
    <w:p>
      <w:pPr>
        <w:pStyle w:val="BodyLead"/>
      </w:pPr>
      <w:r>
        <w:t>Consultation is a legal duty under the OSH Act and it produces better controls, because the people doing the work know where the method will fail. It is complete when every mechanism has an owner, a frequency and a record that shows what changed as a result.</w:t>
      </w:r>
    </w:p>
    <w:p>
      <w:pPr>
        <w:pStyle w:val="Heading2"/>
      </w:pPr>
      <w:bookmarkStart w:id="9026" w:name="_Toc90026"/>
      <w:r>
        <w:t>5.1 Consultation and communication mechanisms</w:t>
      </w:r>
      <w:bookmarkEnd w:id="9026"/>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732"/>
        <w:gridCol w:w="2599"/>
        <w:gridCol w:w="1516"/>
        <w:gridCol w:w="1949"/>
        <w:gridCol w:w="1842"/>
      </w:tblGrid>
      <w:tr>
        <w:trPr>
          <w:tblHeader w:val="true"/>
          <w:cantSplit w:val="true"/>
        </w:trPr>
        <w:tc>
          <w:tcPr>
            <w:tcW w:w="1732" w:type="dxa"/>
            <w:shd w:val="clear" w:color="auto" w:fill="1D3245"/>
            <w:vAlign w:val="center"/>
          </w:tcPr>
          <w:p>
            <w:pPr>
              <w:pStyle w:val="TableHeader"/>
              <w:jc w:val="left"/>
            </w:pPr>
            <w:r/>
            <w:r>
              <w:t>Forum / mechanism</w:t>
            </w:r>
          </w:p>
        </w:tc>
        <w:tc>
          <w:tcPr>
            <w:tcW w:w="2599" w:type="dxa"/>
            <w:shd w:val="clear" w:color="auto" w:fill="1D3245"/>
            <w:vAlign w:val="center"/>
          </w:tcPr>
          <w:p>
            <w:pPr>
              <w:pStyle w:val="TableHeader"/>
              <w:jc w:val="left"/>
            </w:pPr>
            <w:r/>
            <w:r>
              <w:t>Purpose</w:t>
            </w:r>
          </w:p>
        </w:tc>
        <w:tc>
          <w:tcPr>
            <w:tcW w:w="1516" w:type="dxa"/>
            <w:shd w:val="clear" w:color="auto" w:fill="1D3245"/>
            <w:vAlign w:val="center"/>
          </w:tcPr>
          <w:p>
            <w:pPr>
              <w:pStyle w:val="TableHeader"/>
              <w:jc w:val="left"/>
            </w:pPr>
            <w:r/>
            <w:r>
              <w:t>Frequency</w:t>
            </w:r>
          </w:p>
        </w:tc>
        <w:tc>
          <w:tcPr>
            <w:tcW w:w="1949" w:type="dxa"/>
            <w:shd w:val="clear" w:color="auto" w:fill="1D3245"/>
            <w:vAlign w:val="center"/>
          </w:tcPr>
          <w:p>
            <w:pPr>
              <w:pStyle w:val="TableHeader"/>
              <w:jc w:val="left"/>
            </w:pPr>
            <w:r/>
            <w:r>
              <w:t>Who attends</w:t>
            </w:r>
          </w:p>
        </w:tc>
        <w:tc>
          <w:tcPr>
            <w:tcW w:w="1842" w:type="dxa"/>
            <w:shd w:val="clear" w:color="auto" w:fill="1D3245"/>
            <w:vAlign w:val="center"/>
          </w:tcPr>
          <w:p>
            <w:pPr>
              <w:pStyle w:val="TableHeader"/>
              <w:jc w:val="left"/>
            </w:pPr>
            <w:r/>
            <w:r>
              <w:t>Record kept</w:t>
            </w:r>
          </w:p>
        </w:tc>
      </w:tr>
      <w:tr>
        <w:trPr>
          <w:cantSplit w:val="true"/>
        </w:trPr>
        <w:tc>
          <w:tcPr>
            <w:tcW w:w="1732" w:type="dxa"/>
            <w:vAlign w:val="center"/>
          </w:tcPr>
          <w:p>
            <w:pPr>
              <w:pStyle w:val="TableTextBold"/>
              <w:jc w:val="left"/>
            </w:pPr>
            <w:r/>
            <w:r>
              <w:t>Daily pre-start briefing</w:t>
            </w:r>
          </w:p>
        </w:tc>
        <w:tc>
          <w:tcPr>
            <w:tcW w:w="2599" w:type="dxa"/>
            <w:vAlign w:val="center"/>
          </w:tcPr>
          <w:p>
            <w:pPr>
              <w:pStyle w:val="TableText"/>
              <w:jc w:val="left"/>
            </w:pPr>
            <w:r/>
            <w:r>
              <w:t>Confirm the day's tasks, interfacing work, permits in force, weather and equipment movements; re-brief any changed control</w:t>
            </w:r>
          </w:p>
        </w:tc>
        <w:tc>
          <w:tcPr>
            <w:tcW w:w="1516" w:type="dxa"/>
            <w:vAlign w:val="center"/>
          </w:tcPr>
          <w:p>
            <w:pPr>
              <w:pStyle w:val="TableText"/>
              <w:jc w:val="left"/>
            </w:pPr>
            <w:r/>
            <w:r>
              <w:t>Every shift, before work starts</w:t>
            </w:r>
          </w:p>
        </w:tc>
        <w:tc>
          <w:tcPr>
            <w:tcW w:w="1949" w:type="dxa"/>
            <w:vAlign w:val="center"/>
          </w:tcPr>
          <w:p>
            <w:pPr>
              <w:pStyle w:val="TableText"/>
              <w:jc w:val="left"/>
            </w:pPr>
            <w:r/>
            <w:r>
              <w:t>All workers, by crew, led by the supervisor</w:t>
            </w:r>
          </w:p>
        </w:tc>
        <w:tc>
          <w:tcPr>
            <w:tcW w:w="1842" w:type="dxa"/>
            <w:vAlign w:val="center"/>
          </w:tcPr>
          <w:p>
            <w:pPr>
              <w:pStyle w:val="TableText"/>
              <w:jc w:val="left"/>
            </w:pPr>
            <w:r/>
            <w:r>
              <w:t>Pre-start register signed by every attendee</w:t>
            </w:r>
          </w:p>
        </w:tc>
      </w:tr>
      <w:tr>
        <w:trPr>
          <w:cantSplit w:val="true"/>
        </w:trPr>
        <w:tc>
          <w:tcPr>
            <w:tcW w:w="1732" w:type="dxa"/>
            <w:vAlign w:val="center"/>
          </w:tcPr>
          <w:p>
            <w:pPr>
              <w:pStyle w:val="TableTextBold"/>
              <w:jc w:val="left"/>
            </w:pPr>
            <w:r/>
            <w:r>
              <w:t>Toolbox talk</w:t>
            </w:r>
          </w:p>
        </w:tc>
        <w:tc>
          <w:tcPr>
            <w:tcW w:w="2599" w:type="dxa"/>
            <w:vAlign w:val="center"/>
          </w:tcPr>
          <w:p>
            <w:pPr>
              <w:pStyle w:val="TableText"/>
              <w:jc w:val="left"/>
            </w:pPr>
            <w:r/>
            <w:r>
              <w:t>One topic in depth — a control, an incident lesson, a safety alert or a seasonal risk</w:t>
            </w:r>
          </w:p>
        </w:tc>
        <w:tc>
          <w:tcPr>
            <w:tcW w:w="1516" w:type="dxa"/>
            <w:vAlign w:val="center"/>
          </w:tcPr>
          <w:p>
            <w:pPr>
              <w:pStyle w:val="TableText"/>
              <w:jc w:val="left"/>
            </w:pPr>
            <w:r/>
            <w:r>
              <w:t>Weekly, and after any incident</w:t>
            </w:r>
          </w:p>
        </w:tc>
        <w:tc>
          <w:tcPr>
            <w:tcW w:w="1949" w:type="dxa"/>
            <w:vAlign w:val="center"/>
          </w:tcPr>
          <w:p>
            <w:pPr>
              <w:pStyle w:val="TableText"/>
              <w:jc w:val="left"/>
            </w:pPr>
            <w:r/>
            <w:r>
              <w:t>All workers, by crew</w:t>
            </w:r>
          </w:p>
        </w:tc>
        <w:tc>
          <w:tcPr>
            <w:tcW w:w="1842" w:type="dxa"/>
            <w:vAlign w:val="center"/>
          </w:tcPr>
          <w:p>
            <w:pPr>
              <w:pStyle w:val="TableText"/>
              <w:jc w:val="left"/>
            </w:pPr>
            <w:r/>
            <w:r>
              <w:t>Toolbox record with topic and attendance</w:t>
            </w:r>
          </w:p>
        </w:tc>
      </w:tr>
      <w:tr>
        <w:trPr>
          <w:cantSplit w:val="true"/>
        </w:trPr>
        <w:tc>
          <w:tcPr>
            <w:tcW w:w="1732" w:type="dxa"/>
            <w:vAlign w:val="center"/>
          </w:tcPr>
          <w:p>
            <w:pPr>
              <w:pStyle w:val="TableTextBold"/>
              <w:jc w:val="left"/>
            </w:pPr>
            <w:r/>
            <w:r>
              <w:t>Project safety committee</w:t>
            </w:r>
          </w:p>
        </w:tc>
        <w:tc>
          <w:tcPr>
            <w:tcW w:w="2599" w:type="dxa"/>
            <w:vAlign w:val="center"/>
          </w:tcPr>
          <w:p>
            <w:pPr>
              <w:pStyle w:val="TableText"/>
              <w:jc w:val="left"/>
            </w:pPr>
            <w:r/>
            <w:r>
              <w:t>Consult on matters affecting more than one work group; review performance, incidents, inspections and actions</w:t>
            </w:r>
          </w:p>
        </w:tc>
        <w:tc>
          <w:tcPr>
            <w:tcW w:w="1516" w:type="dxa"/>
            <w:vAlign w:val="center"/>
          </w:tcPr>
          <w:p>
            <w:pPr>
              <w:pStyle w:val="TableText"/>
              <w:jc w:val="left"/>
            </w:pPr>
            <w:r/>
            <w:r>
              <w:t>Monthly, or more often in high-risk phases</w:t>
            </w:r>
          </w:p>
        </w:tc>
        <w:tc>
          <w:tcPr>
            <w:tcW w:w="1949" w:type="dxa"/>
            <w:vAlign w:val="center"/>
          </w:tcPr>
          <w:p>
            <w:pPr>
              <w:pStyle w:val="TableText"/>
              <w:jc w:val="left"/>
            </w:pPr>
            <w:r/>
            <w:r>
              <w:t>Project Manager (chair), Site Manager, Safety Manager, Worker representatives, one representative per major subcontractor, Owner as observer</w:t>
            </w:r>
          </w:p>
        </w:tc>
        <w:tc>
          <w:tcPr>
            <w:tcW w:w="1842" w:type="dxa"/>
            <w:vAlign w:val="center"/>
          </w:tcPr>
          <w:p>
            <w:pPr>
              <w:pStyle w:val="TableText"/>
              <w:jc w:val="left"/>
            </w:pPr>
            <w:r/>
            <w:r>
              <w:t>Minutes with actions, owners and due dates</w:t>
            </w:r>
          </w:p>
        </w:tc>
      </w:tr>
      <w:tr>
        <w:trPr>
          <w:cantSplit w:val="true"/>
        </w:trPr>
        <w:tc>
          <w:tcPr>
            <w:tcW w:w="1732" w:type="dxa"/>
            <w:vAlign w:val="center"/>
          </w:tcPr>
          <w:p>
            <w:pPr>
              <w:pStyle w:val="TableTextBold"/>
              <w:jc w:val="left"/>
            </w:pPr>
            <w:r/>
            <w:r>
              <w:t>WORKER REPRESENTATIVE consultation</w:t>
            </w:r>
          </w:p>
        </w:tc>
        <w:tc>
          <w:tcPr>
            <w:tcW w:w="2599" w:type="dxa"/>
            <w:vAlign w:val="center"/>
          </w:tcPr>
          <w:p>
            <w:pPr>
              <w:pStyle w:val="TableText"/>
              <w:jc w:val="left"/>
            </w:pPr>
            <w:r/>
            <w:r>
              <w:t>Consult Worker representatives before decisions affecting their work group; support WORKER REPRESENTATIVE inspections and issue resolution</w:t>
            </w:r>
          </w:p>
        </w:tc>
        <w:tc>
          <w:tcPr>
            <w:tcW w:w="1516" w:type="dxa"/>
            <w:vAlign w:val="center"/>
          </w:tcPr>
          <w:p>
            <w:pPr>
              <w:pStyle w:val="TableText"/>
              <w:jc w:val="left"/>
            </w:pPr>
            <w:r/>
            <w:r>
              <w:t>Before the decision, and on request</w:t>
            </w:r>
          </w:p>
        </w:tc>
        <w:tc>
          <w:tcPr>
            <w:tcW w:w="1949" w:type="dxa"/>
            <w:vAlign w:val="center"/>
          </w:tcPr>
          <w:p>
            <w:pPr>
              <w:pStyle w:val="TableText"/>
              <w:jc w:val="left"/>
            </w:pPr>
            <w:r/>
            <w:r>
              <w:t>Safety Manager, Site Manager, the WORKER REPRESENTATIVE</w:t>
            </w:r>
          </w:p>
        </w:tc>
        <w:tc>
          <w:tcPr>
            <w:tcW w:w="1842" w:type="dxa"/>
            <w:vAlign w:val="center"/>
          </w:tcPr>
          <w:p>
            <w:pPr>
              <w:pStyle w:val="TableText"/>
              <w:jc w:val="left"/>
            </w:pPr>
            <w:r/>
            <w:r>
              <w:t>Consultation register; WORKER REPRESENTATIVE inspection reports</w:t>
            </w:r>
          </w:p>
        </w:tc>
      </w:tr>
      <w:tr>
        <w:trPr>
          <w:cantSplit w:val="true"/>
        </w:trPr>
        <w:tc>
          <w:tcPr>
            <w:tcW w:w="1732" w:type="dxa"/>
            <w:vAlign w:val="center"/>
          </w:tcPr>
          <w:p>
            <w:pPr>
              <w:pStyle w:val="TableTextBold"/>
              <w:jc w:val="left"/>
            </w:pPr>
            <w:r/>
            <w:r>
              <w:t>Subcontractor coordination meeting</w:t>
            </w:r>
          </w:p>
        </w:tc>
        <w:tc>
          <w:tcPr>
            <w:tcW w:w="2599" w:type="dxa"/>
            <w:vAlign w:val="center"/>
          </w:tcPr>
          <w:p>
            <w:pPr>
              <w:pStyle w:val="TableText"/>
              <w:jc w:val="left"/>
            </w:pPr>
            <w:r/>
            <w:r>
              <w:t>Coordinate interfacing activities, exclusion zones, equipment movements, permits and shared controls</w:t>
            </w:r>
          </w:p>
        </w:tc>
        <w:tc>
          <w:tcPr>
            <w:tcW w:w="1516" w:type="dxa"/>
            <w:vAlign w:val="center"/>
          </w:tcPr>
          <w:p>
            <w:pPr>
              <w:pStyle w:val="TableText"/>
              <w:jc w:val="left"/>
            </w:pPr>
            <w:r/>
            <w:r>
              <w:t>Weekly, and before any new activity starts</w:t>
            </w:r>
          </w:p>
        </w:tc>
        <w:tc>
          <w:tcPr>
            <w:tcW w:w="1949" w:type="dxa"/>
            <w:vAlign w:val="center"/>
          </w:tcPr>
          <w:p>
            <w:pPr>
              <w:pStyle w:val="TableText"/>
              <w:jc w:val="left"/>
            </w:pPr>
            <w:r/>
            <w:r>
              <w:t>Site Manager and every subcontractor supervisor working that week</w:t>
            </w:r>
          </w:p>
        </w:tc>
        <w:tc>
          <w:tcPr>
            <w:tcW w:w="1842" w:type="dxa"/>
            <w:vAlign w:val="center"/>
          </w:tcPr>
          <w:p>
            <w:pPr>
              <w:pStyle w:val="TableText"/>
              <w:jc w:val="left"/>
            </w:pPr>
            <w:r/>
            <w:r>
              <w:t>Minutes; marked-up coordination plan</w:t>
            </w:r>
          </w:p>
        </w:tc>
      </w:tr>
      <w:tr>
        <w:trPr>
          <w:cantSplit w:val="true"/>
        </w:trPr>
        <w:tc>
          <w:tcPr>
            <w:tcW w:w="1732" w:type="dxa"/>
            <w:vAlign w:val="center"/>
          </w:tcPr>
          <w:p>
            <w:pPr>
              <w:pStyle w:val="TableTextBold"/>
              <w:jc w:val="left"/>
            </w:pPr>
            <w:r/>
            <w:r>
              <w:t>JHA workshop</w:t>
            </w:r>
          </w:p>
        </w:tc>
        <w:tc>
          <w:tcPr>
            <w:tcW w:w="2599" w:type="dxa"/>
            <w:vAlign w:val="center"/>
          </w:tcPr>
          <w:p>
            <w:pPr>
              <w:pStyle w:val="TableText"/>
              <w:jc w:val="left"/>
            </w:pPr>
            <w:r/>
            <w:r>
              <w:t>Develop and revise JHA with the crew who will do the work</w:t>
            </w:r>
          </w:p>
        </w:tc>
        <w:tc>
          <w:tcPr>
            <w:tcW w:w="1516" w:type="dxa"/>
            <w:vAlign w:val="center"/>
          </w:tcPr>
          <w:p>
            <w:pPr>
              <w:pStyle w:val="TableText"/>
              <w:jc w:val="left"/>
            </w:pPr>
            <w:r/>
            <w:r>
              <w:t>Before the activity starts and at every review trigger</w:t>
            </w:r>
          </w:p>
        </w:tc>
        <w:tc>
          <w:tcPr>
            <w:tcW w:w="1949" w:type="dxa"/>
            <w:vAlign w:val="center"/>
          </w:tcPr>
          <w:p>
            <w:pPr>
              <w:pStyle w:val="TableText"/>
              <w:jc w:val="left"/>
            </w:pPr>
            <w:r/>
            <w:r>
              <w:t>The crew, their supervisor, Safety Manager, WORKER REPRESENTATIVE</w:t>
            </w:r>
          </w:p>
        </w:tc>
        <w:tc>
          <w:tcPr>
            <w:tcW w:w="1842" w:type="dxa"/>
            <w:vAlign w:val="center"/>
          </w:tcPr>
          <w:p>
            <w:pPr>
              <w:pStyle w:val="TableText"/>
              <w:jc w:val="left"/>
            </w:pPr>
            <w:r/>
            <w:r>
              <w:t>Consultation record inside the JHA</w:t>
            </w:r>
          </w:p>
        </w:tc>
      </w:tr>
      <w:tr>
        <w:trPr>
          <w:cantSplit w:val="true"/>
        </w:trPr>
        <w:tc>
          <w:tcPr>
            <w:tcW w:w="1732" w:type="dxa"/>
            <w:vAlign w:val="center"/>
          </w:tcPr>
          <w:p>
            <w:pPr>
              <w:pStyle w:val="TableTextBold"/>
              <w:jc w:val="left"/>
            </w:pPr>
            <w:r/>
            <w:r>
              <w:t>Safety alerts, stand-downs, notice boards and signage</w:t>
            </w:r>
          </w:p>
        </w:tc>
        <w:tc>
          <w:tcPr>
            <w:tcW w:w="2599" w:type="dxa"/>
            <w:vAlign w:val="center"/>
          </w:tcPr>
          <w:p>
            <w:pPr>
              <w:pStyle w:val="TableText"/>
              <w:jc w:val="left"/>
            </w:pPr>
            <w:r/>
            <w:r>
              <w:t>Communicate a serious incident, recall or emerging risk and stand work down where necessary; display the policy, emergency arrangements, WORKER REPRESENTATIVE names, first aiders, wardens and current alerts</w:t>
            </w:r>
          </w:p>
        </w:tc>
        <w:tc>
          <w:tcPr>
            <w:tcW w:w="1516" w:type="dxa"/>
            <w:vAlign w:val="center"/>
          </w:tcPr>
          <w:p>
            <w:pPr>
              <w:pStyle w:val="TableText"/>
              <w:jc w:val="left"/>
            </w:pPr>
            <w:r/>
            <w:r>
              <w:t>Alerts within 24 h of the trigger; boards checked weekly</w:t>
            </w:r>
          </w:p>
        </w:tc>
        <w:tc>
          <w:tcPr>
            <w:tcW w:w="1949" w:type="dxa"/>
            <w:vAlign w:val="center"/>
          </w:tcPr>
          <w:p>
            <w:pPr>
              <w:pStyle w:val="TableText"/>
              <w:jc w:val="left"/>
            </w:pPr>
            <w:r/>
            <w:r>
              <w:t>All workers affected; all persons on site</w:t>
            </w:r>
          </w:p>
        </w:tc>
        <w:tc>
          <w:tcPr>
            <w:tcW w:w="1842" w:type="dxa"/>
            <w:vAlign w:val="center"/>
          </w:tcPr>
          <w:p>
            <w:pPr>
              <w:pStyle w:val="TableText"/>
              <w:jc w:val="left"/>
            </w:pPr>
            <w:r/>
            <w:r>
              <w:t>Alert issued and acknowledged at pre-start; weekly board check</w:t>
            </w:r>
          </w:p>
        </w:tc>
      </w:tr>
      <w:tr>
        <w:trPr>
          <w:cantSplit w:val="true"/>
        </w:trPr>
        <w:tc>
          <w:tcPr>
            <w:tcW w:w="1732" w:type="dxa"/>
            <w:vAlign w:val="center"/>
          </w:tcPr>
          <w:p>
            <w:pPr>
              <w:pStyle w:val="TableTextBold"/>
              <w:jc w:val="left"/>
            </w:pPr>
            <w:r/>
            <w:r>
              <w:t>Worker feedback, hazard reporting and stop-work reporting</w:t>
            </w:r>
          </w:p>
        </w:tc>
        <w:tc>
          <w:tcPr>
            <w:tcW w:w="2599" w:type="dxa"/>
            <w:vAlign w:val="center"/>
          </w:tcPr>
          <w:p>
            <w:pPr>
              <w:pStyle w:val="TableText"/>
              <w:jc w:val="left"/>
            </w:pPr>
            <w:r/>
            <w:r>
              <w:t>Any worker may raise a hazard, near miss or suggestion, named or anonymously, and receive a response; every exercise of the authority at 4.2 is recorded and acted on</w:t>
            </w:r>
          </w:p>
        </w:tc>
        <w:tc>
          <w:tcPr>
            <w:tcW w:w="1516" w:type="dxa"/>
            <w:vAlign w:val="center"/>
          </w:tcPr>
          <w:p>
            <w:pPr>
              <w:pStyle w:val="TableText"/>
              <w:jc w:val="left"/>
            </w:pPr>
            <w:r/>
            <w:r>
              <w:t>Continuous; acknowledged within 24 h; stop-work immediately</w:t>
            </w:r>
          </w:p>
        </w:tc>
        <w:tc>
          <w:tcPr>
            <w:tcW w:w="1949" w:type="dxa"/>
            <w:vAlign w:val="center"/>
          </w:tcPr>
          <w:p>
            <w:pPr>
              <w:pStyle w:val="TableText"/>
              <w:jc w:val="left"/>
            </w:pPr>
            <w:r/>
            <w:r>
              <w:t>Any worker; triaged by the Safety Manager; Site Manager</w:t>
            </w:r>
          </w:p>
        </w:tc>
        <w:tc>
          <w:tcPr>
            <w:tcW w:w="1842" w:type="dxa"/>
            <w:vAlign w:val="center"/>
          </w:tcPr>
          <w:p>
            <w:pPr>
              <w:pStyle w:val="TableText"/>
              <w:jc w:val="left"/>
            </w:pPr>
            <w:r/>
            <w:r>
              <w:t>Hazard register; stop-work log; corrective action register</w:t>
            </w:r>
          </w:p>
        </w:tc>
      </w:tr>
    </w:tbl>
    <w:p>
      <w:pPr>
        <w:spacing w:before="0" w:after="0" w:line="60" w:lineRule="exact"/>
      </w:pPr>
    </w:p>
    <w:p>
      <w:pPr>
        <w:pStyle w:val="Heading2"/>
      </w:pPr>
      <w:bookmarkStart w:id="9027" w:name="_Toc90027"/>
      <w:r>
        <w:t>5.2 How consultation is evidenced</w:t>
      </w:r>
      <w:bookmarkEnd w:id="9027"/>
    </w:p>
    <w:p>
      <w:pPr>
        <w:pStyle w:val="BodyBullet"/>
      </w:pPr>
      <w:r>
        <w:rPr>
          <w:color w:val="3480BC"/>
        </w:rPr>
        <w:t xml:space="preserve">—   </w:t>
      </w:r>
      <w:r>
        <w:t>A dated record of what was proposed, who was consulted, what they said and what changed as a result — the last of these is the part auditors find missing.</w:t>
      </w:r>
    </w:p>
    <w:p>
      <w:pPr>
        <w:pStyle w:val="BodyBullet"/>
      </w:pPr>
      <w:r>
        <w:rPr>
          <w:color w:val="3480BC"/>
        </w:rPr>
        <w:t xml:space="preserve">—   </w:t>
      </w:r>
      <w:r>
        <w:t>JHA revision histories showing amendments made at the crew's request, with the crew re-briefed and re-signed; safety committee minutes showing worker-raised issues with owners, closeout dates and the outcome reported back; hazard reports with a documented response to the person who raised them; and issue resolution records where a matter was escalated beyond the work group.</w:t>
      </w:r>
    </w:p>
    <w:p>
      <w:pPr>
        <w:pStyle w:val="Body"/>
      </w:pPr>
      <w:r>
        <w:t>Brief in a language and at a literacy level the workforce understands. Where workers do not share a common language use interpreters, translated JHA, pictorial briefings and a bilingual leading hand, and record which method was used. A briefing that was not understood is not a briefing.</w:t>
      </w:r>
    </w:p>
    <w:p>
      <w:pPr>
        <w:pStyle w:val="Note"/>
      </w:pPr>
      <w:r>
        <w:t>Issue resolution.  Where an issue cannot be resolved at the work face it is escalated in this order, each step recorded: worker to supervisor (same shift); supervisor to Site Manager and Safety Manager (same day); Site Manager to Project Manager and the subcontractor's management (within 24 h); Project Manager to senior management and the Owner (within 48 h); referral to OSHA or an independent inspector where the parties cannot agree. Escalation never delays the immediate control of an unsafe condition — the work stops first.</w:t>
      </w:r>
    </w:p>
    <w:p>
      <w:pPr>
        <w:pStyle w:val="Heading1"/>
      </w:pPr>
      <w:bookmarkStart w:id="9028" w:name="_Toc90028"/>
      <w:r>
        <w:t>6. Hazard Identification, Risk Assessment and Control</w:t>
      </w:r>
      <w:bookmarkEnd w:id="9028"/>
    </w:p>
    <w:p>
      <w:pPr>
        <w:pStyle w:val="BodyLead"/>
      </w:pPr>
      <w:r>
        <w:t>The operative section of the plan: how hazards are found, how risk is rated, who may accept what residual risk, and how the control is verified. The register is complete when every hazard that could cause a fatality or permanent injury appears in it with a named owner and a verification method.</w:t>
      </w:r>
    </w:p>
    <w:p>
      <w:pPr>
        <w:pStyle w:val="Heading2"/>
      </w:pPr>
      <w:bookmarkStart w:id="9029" w:name="_Toc90029"/>
      <w:r>
        <w:t>6.1 How hazards are identified</w:t>
      </w:r>
      <w:bookmarkEnd w:id="9029"/>
    </w:p>
    <w:p>
      <w:pPr>
        <w:pStyle w:val="BodyBullet"/>
      </w:pPr>
      <w:r>
        <w:rPr>
          <w:color w:val="3480BC"/>
        </w:rPr>
        <w:t xml:space="preserve">—   </w:t>
      </w:r>
      <w:r>
        <w:t>Prevention through design and constructability review of each package before it is released for construction, with the designer present.</w:t>
      </w:r>
    </w:p>
    <w:p>
      <w:pPr>
        <w:pStyle w:val="BodyBullet"/>
      </w:pPr>
      <w:r>
        <w:rPr>
          <w:color w:val="3480BC"/>
        </w:rPr>
        <w:t xml:space="preserve">—   </w:t>
      </w:r>
      <w:r>
        <w:t>Review of Owner-supplied site information: existing services, asbestos and hazardous materials registers, contamination and geotechnical reports, structural condition and operational constraints; and a walk-through of the actual conditions, including the interfaces to occupied or operating areas.</w:t>
      </w:r>
    </w:p>
    <w:p>
      <w:pPr>
        <w:pStyle w:val="BodyBullet"/>
      </w:pPr>
      <w:r>
        <w:rPr>
          <w:color w:val="3480BC"/>
        </w:rPr>
        <w:t xml:space="preserve">—   </w:t>
      </w:r>
      <w:r>
        <w:t>Task-based analysis when preparing each JHA, with the crew who will do the work (6.5); consultation, hazard reports and near-miss reports (section 5); incident investigations, safety alerts and recall notices from this and other projects.</w:t>
      </w:r>
    </w:p>
    <w:p>
      <w:pPr>
        <w:pStyle w:val="BodyBullet"/>
      </w:pPr>
      <w:r>
        <w:rPr>
          <w:color w:val="3480BC"/>
        </w:rPr>
        <w:t xml:space="preserve">—   </w:t>
      </w:r>
      <w:r>
        <w:t>Planned inspections, audits and health, noise, dust and atmospheric monitoring (sections 13 and 15); and management of change — every change of method, equipment, sequence, personnel, ground condition or weather exposure triggers a re-assessment.</w:t>
      </w:r>
    </w:p>
    <w:p>
      <w:pPr>
        <w:pStyle w:val="Body"/>
      </w:pPr>
      <w:r>
        <w:t>Identify hazards across the full range: gravity and falls, struck-by, caught-between and crush, electrical, equipment failure, manual handling, chemical, biological, noise, vibration, radiation, thermal, fire and explosion, confined space atmospheres, ground instability, structural collapse, water, traffic, housekeeping, environmental, psychosocial, public and third party, and security. Consider routine and non-routine work, emergencies, and the work of visitors and neighbors.</w:t>
      </w:r>
    </w:p>
    <w:p>
      <w:pPr>
        <w:pStyle w:val="Heading2"/>
      </w:pPr>
      <w:bookmarkStart w:id="9030" w:name="_Toc90030"/>
      <w:r>
        <w:t>6.2 The risk matrix</w:t>
      </w:r>
      <w:bookmarkEnd w:id="9030"/>
    </w:p>
    <w:p>
      <w:pPr>
        <w:pStyle w:val="Body"/>
      </w:pPr>
      <w:r>
        <w:t>Risk is rated on the 5 × 5 likelihood × consequence matrix below — the same matrix used in the Mastt Job Hazard Analysis template, so a rating on a JHA carries the same meaning as a rating in this plan. Score the most severe credible outcome, not the most likely one, and score the inherent risk before controls first; otherwise the register cannot show what the controls achieved.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381"/>
        <w:gridCol w:w="1474"/>
        <w:gridCol w:w="1360"/>
        <w:gridCol w:w="1474"/>
        <w:gridCol w:w="1360"/>
        <w:gridCol w:w="1589"/>
      </w:tblGrid>
      <w:tr>
        <w:trPr>
          <w:tblHeader w:val="true"/>
          <w:cantSplit w:val="true"/>
        </w:trPr>
        <w:tc>
          <w:tcPr>
            <w:tcW w:w="2381" w:type="dxa"/>
            <w:shd w:val="clear" w:color="auto" w:fill="1D3245"/>
            <w:vAlign w:val="center"/>
          </w:tcPr>
          <w:p>
            <w:pPr>
              <w:pStyle w:val="TableHeader"/>
              <w:jc w:val="left"/>
            </w:pPr>
            <w:r/>
            <w:r>
              <w:t>LIKELIHOOD ↓   /   CONSEQUENCE →</w:t>
            </w:r>
          </w:p>
        </w:tc>
        <w:tc>
          <w:tcPr>
            <w:tcW w:w="1474" w:type="dxa"/>
            <w:shd w:val="clear" w:color="auto" w:fill="1D3245"/>
            <w:vAlign w:val="center"/>
          </w:tcPr>
          <w:p>
            <w:pPr>
              <w:pStyle w:val="TableHeader"/>
              <w:jc w:val="center"/>
            </w:pPr>
            <w:r/>
            <w:r>
              <w:t>1  Insignificant</w:t>
            </w:r>
          </w:p>
        </w:tc>
        <w:tc>
          <w:tcPr>
            <w:tcW w:w="1360" w:type="dxa"/>
            <w:shd w:val="clear" w:color="auto" w:fill="1D3245"/>
            <w:vAlign w:val="center"/>
          </w:tcPr>
          <w:p>
            <w:pPr>
              <w:pStyle w:val="TableHeader"/>
              <w:jc w:val="center"/>
            </w:pPr>
            <w:r/>
            <w:r>
              <w:t>2  Minor</w:t>
            </w:r>
          </w:p>
        </w:tc>
        <w:tc>
          <w:tcPr>
            <w:tcW w:w="1474" w:type="dxa"/>
            <w:shd w:val="clear" w:color="auto" w:fill="1D3245"/>
            <w:vAlign w:val="center"/>
          </w:tcPr>
          <w:p>
            <w:pPr>
              <w:pStyle w:val="TableHeader"/>
              <w:jc w:val="center"/>
            </w:pPr>
            <w:r/>
            <w:r>
              <w:t>3  Moderate</w:t>
            </w:r>
          </w:p>
        </w:tc>
        <w:tc>
          <w:tcPr>
            <w:tcW w:w="1360" w:type="dxa"/>
            <w:shd w:val="clear" w:color="auto" w:fill="1D3245"/>
            <w:vAlign w:val="center"/>
          </w:tcPr>
          <w:p>
            <w:pPr>
              <w:pStyle w:val="TableHeader"/>
              <w:jc w:val="center"/>
            </w:pPr>
            <w:r/>
            <w:r>
              <w:t>4  Major</w:t>
            </w:r>
          </w:p>
        </w:tc>
        <w:tc>
          <w:tcPr>
            <w:tcW w:w="1589" w:type="dxa"/>
            <w:shd w:val="clear" w:color="auto" w:fill="1D3245"/>
            <w:vAlign w:val="center"/>
          </w:tcPr>
          <w:p>
            <w:pPr>
              <w:pStyle w:val="TableHeader"/>
              <w:jc w:val="center"/>
            </w:pPr>
            <w:r/>
            <w:r>
              <w:t>5  Catastrophic</w:t>
            </w:r>
          </w:p>
        </w:tc>
      </w:tr>
      <w:tr>
        <w:trPr>
          <w:cantSplit w:val="true"/>
        </w:trPr>
        <w:tc>
          <w:tcPr>
            <w:tcW w:w="2381" w:type="dxa"/>
            <w:vAlign w:val="center"/>
          </w:tcPr>
          <w:p>
            <w:pPr>
              <w:pStyle w:val="TableTextBold"/>
              <w:jc w:val="left"/>
            </w:pPr>
            <w:r/>
            <w:r>
              <w:t>5  Almost Certain</w:t>
            </w:r>
          </w:p>
        </w:tc>
        <w:tc>
          <w:tcPr>
            <w:tcW w:w="1474" w:type="dxa"/>
            <w:vAlign w:val="center"/>
          </w:tcPr>
          <w:p>
            <w:pPr>
              <w:pStyle w:val="TableTextCentre"/>
              <w:jc w:val="center"/>
            </w:pPr>
            <w:r/>
            <w:r>
              <w:t>High</w:t>
            </w:r>
          </w:p>
        </w:tc>
        <w:tc>
          <w:tcPr>
            <w:tcW w:w="1360" w:type="dxa"/>
            <w:vAlign w:val="center"/>
          </w:tcPr>
          <w:p>
            <w:pPr>
              <w:pStyle w:val="TableTextCentre"/>
              <w:jc w:val="center"/>
            </w:pPr>
            <w:r/>
            <w:r>
              <w:t>High</w:t>
            </w:r>
          </w:p>
        </w:tc>
        <w:tc>
          <w:tcPr>
            <w:tcW w:w="1474" w:type="dxa"/>
            <w:vAlign w:val="center"/>
          </w:tcPr>
          <w:p>
            <w:pPr>
              <w:pStyle w:val="TableTextCentre"/>
              <w:jc w:val="center"/>
            </w:pPr>
            <w:r/>
            <w:r>
              <w:t>Extreme</w:t>
            </w:r>
          </w:p>
        </w:tc>
        <w:tc>
          <w:tcPr>
            <w:tcW w:w="1360" w:type="dxa"/>
            <w:vAlign w:val="center"/>
          </w:tcPr>
          <w:p>
            <w:pPr>
              <w:pStyle w:val="TableTextCentre"/>
              <w:jc w:val="center"/>
            </w:pPr>
            <w:r/>
            <w:r>
              <w:t>Extreme</w:t>
            </w:r>
          </w:p>
        </w:tc>
        <w:tc>
          <w:tcPr>
            <w:tcW w:w="1589" w:type="dxa"/>
            <w:vAlign w:val="center"/>
          </w:tcPr>
          <w:p>
            <w:pPr>
              <w:pStyle w:val="TableTextCentre"/>
              <w:jc w:val="center"/>
            </w:pPr>
            <w:r/>
            <w:r>
              <w:t>Extreme</w:t>
            </w:r>
          </w:p>
        </w:tc>
      </w:tr>
      <w:tr>
        <w:trPr>
          <w:cantSplit w:val="true"/>
        </w:trPr>
        <w:tc>
          <w:tcPr>
            <w:tcW w:w="2381" w:type="dxa"/>
            <w:vAlign w:val="center"/>
          </w:tcPr>
          <w:p>
            <w:pPr>
              <w:pStyle w:val="TableTextBold"/>
              <w:jc w:val="left"/>
            </w:pPr>
            <w:r/>
            <w:r>
              <w:t>4  Likely</w:t>
            </w:r>
          </w:p>
        </w:tc>
        <w:tc>
          <w:tcPr>
            <w:tcW w:w="1474" w:type="dxa"/>
            <w:vAlign w:val="center"/>
          </w:tcPr>
          <w:p>
            <w:pPr>
              <w:pStyle w:val="TableTextCentre"/>
              <w:jc w:val="center"/>
            </w:pPr>
            <w:r/>
            <w:r>
              <w:t>Moderate</w:t>
            </w:r>
          </w:p>
        </w:tc>
        <w:tc>
          <w:tcPr>
            <w:tcW w:w="1360" w:type="dxa"/>
            <w:vAlign w:val="center"/>
          </w:tcPr>
          <w:p>
            <w:pPr>
              <w:pStyle w:val="TableTextCentre"/>
              <w:jc w:val="center"/>
            </w:pPr>
            <w:r/>
            <w:r>
              <w:t>High</w:t>
            </w:r>
          </w:p>
        </w:tc>
        <w:tc>
          <w:tcPr>
            <w:tcW w:w="1474" w:type="dxa"/>
            <w:vAlign w:val="center"/>
          </w:tcPr>
          <w:p>
            <w:pPr>
              <w:pStyle w:val="TableTextCentre"/>
              <w:jc w:val="center"/>
            </w:pPr>
            <w:r/>
            <w:r>
              <w:t>High</w:t>
            </w:r>
          </w:p>
        </w:tc>
        <w:tc>
          <w:tcPr>
            <w:tcW w:w="1360" w:type="dxa"/>
            <w:vAlign w:val="center"/>
          </w:tcPr>
          <w:p>
            <w:pPr>
              <w:pStyle w:val="TableTextCentre"/>
              <w:jc w:val="center"/>
            </w:pPr>
            <w:r/>
            <w:r>
              <w:t>Extreme</w:t>
            </w:r>
          </w:p>
        </w:tc>
        <w:tc>
          <w:tcPr>
            <w:tcW w:w="1589" w:type="dxa"/>
            <w:vAlign w:val="center"/>
          </w:tcPr>
          <w:p>
            <w:pPr>
              <w:pStyle w:val="TableTextCentre"/>
              <w:jc w:val="center"/>
            </w:pPr>
            <w:r/>
            <w:r>
              <w:t>Extreme</w:t>
            </w:r>
          </w:p>
        </w:tc>
      </w:tr>
      <w:tr>
        <w:trPr>
          <w:cantSplit w:val="true"/>
        </w:trPr>
        <w:tc>
          <w:tcPr>
            <w:tcW w:w="2381" w:type="dxa"/>
            <w:vAlign w:val="center"/>
          </w:tcPr>
          <w:p>
            <w:pPr>
              <w:pStyle w:val="TableTextBold"/>
              <w:jc w:val="left"/>
            </w:pPr>
            <w:r/>
            <w:r>
              <w:t>3  Possible</w:t>
            </w:r>
          </w:p>
        </w:tc>
        <w:tc>
          <w:tcPr>
            <w:tcW w:w="1474" w:type="dxa"/>
            <w:vAlign w:val="center"/>
          </w:tcPr>
          <w:p>
            <w:pPr>
              <w:pStyle w:val="TableTextCentre"/>
              <w:jc w:val="center"/>
            </w:pPr>
            <w:r/>
            <w:r>
              <w:t>Low</w:t>
            </w:r>
          </w:p>
        </w:tc>
        <w:tc>
          <w:tcPr>
            <w:tcW w:w="1360" w:type="dxa"/>
            <w:vAlign w:val="center"/>
          </w:tcPr>
          <w:p>
            <w:pPr>
              <w:pStyle w:val="TableTextCentre"/>
              <w:jc w:val="center"/>
            </w:pPr>
            <w:r/>
            <w:r>
              <w:t>Moderate</w:t>
            </w:r>
          </w:p>
        </w:tc>
        <w:tc>
          <w:tcPr>
            <w:tcW w:w="1474" w:type="dxa"/>
            <w:vAlign w:val="center"/>
          </w:tcPr>
          <w:p>
            <w:pPr>
              <w:pStyle w:val="TableTextCentre"/>
              <w:jc w:val="center"/>
            </w:pPr>
            <w:r/>
            <w:r>
              <w:t>High</w:t>
            </w:r>
          </w:p>
        </w:tc>
        <w:tc>
          <w:tcPr>
            <w:tcW w:w="1360" w:type="dxa"/>
            <w:vAlign w:val="center"/>
          </w:tcPr>
          <w:p>
            <w:pPr>
              <w:pStyle w:val="TableTextCentre"/>
              <w:jc w:val="center"/>
            </w:pPr>
            <w:r/>
            <w:r>
              <w:t>Extreme</w:t>
            </w:r>
          </w:p>
        </w:tc>
        <w:tc>
          <w:tcPr>
            <w:tcW w:w="1589" w:type="dxa"/>
            <w:vAlign w:val="center"/>
          </w:tcPr>
          <w:p>
            <w:pPr>
              <w:pStyle w:val="TableTextCentre"/>
              <w:jc w:val="center"/>
            </w:pPr>
            <w:r/>
            <w:r>
              <w:t>Extreme</w:t>
            </w:r>
          </w:p>
        </w:tc>
      </w:tr>
      <w:tr>
        <w:trPr>
          <w:cantSplit w:val="true"/>
        </w:trPr>
        <w:tc>
          <w:tcPr>
            <w:tcW w:w="2381" w:type="dxa"/>
            <w:vAlign w:val="center"/>
          </w:tcPr>
          <w:p>
            <w:pPr>
              <w:pStyle w:val="TableTextBold"/>
              <w:jc w:val="left"/>
            </w:pPr>
            <w:r/>
            <w:r>
              <w:t>2  Unlikely</w:t>
            </w:r>
          </w:p>
        </w:tc>
        <w:tc>
          <w:tcPr>
            <w:tcW w:w="1474" w:type="dxa"/>
            <w:vAlign w:val="center"/>
          </w:tcPr>
          <w:p>
            <w:pPr>
              <w:pStyle w:val="TableTextCentre"/>
              <w:jc w:val="center"/>
            </w:pPr>
            <w:r/>
            <w:r>
              <w:t>Low</w:t>
            </w:r>
          </w:p>
        </w:tc>
        <w:tc>
          <w:tcPr>
            <w:tcW w:w="1360" w:type="dxa"/>
            <w:vAlign w:val="center"/>
          </w:tcPr>
          <w:p>
            <w:pPr>
              <w:pStyle w:val="TableTextCentre"/>
              <w:jc w:val="center"/>
            </w:pPr>
            <w:r/>
            <w:r>
              <w:t>Low</w:t>
            </w:r>
          </w:p>
        </w:tc>
        <w:tc>
          <w:tcPr>
            <w:tcW w:w="1474" w:type="dxa"/>
            <w:vAlign w:val="center"/>
          </w:tcPr>
          <w:p>
            <w:pPr>
              <w:pStyle w:val="TableTextCentre"/>
              <w:jc w:val="center"/>
            </w:pPr>
            <w:r/>
            <w:r>
              <w:t>Moderate</w:t>
            </w:r>
          </w:p>
        </w:tc>
        <w:tc>
          <w:tcPr>
            <w:tcW w:w="1360" w:type="dxa"/>
            <w:vAlign w:val="center"/>
          </w:tcPr>
          <w:p>
            <w:pPr>
              <w:pStyle w:val="TableTextCentre"/>
              <w:jc w:val="center"/>
            </w:pPr>
            <w:r/>
            <w:r>
              <w:t>High</w:t>
            </w:r>
          </w:p>
        </w:tc>
        <w:tc>
          <w:tcPr>
            <w:tcW w:w="1589" w:type="dxa"/>
            <w:vAlign w:val="center"/>
          </w:tcPr>
          <w:p>
            <w:pPr>
              <w:pStyle w:val="TableTextCentre"/>
              <w:jc w:val="center"/>
            </w:pPr>
            <w:r/>
            <w:r>
              <w:t>Extreme</w:t>
            </w:r>
          </w:p>
        </w:tc>
      </w:tr>
      <w:tr>
        <w:trPr>
          <w:cantSplit w:val="true"/>
        </w:trPr>
        <w:tc>
          <w:tcPr>
            <w:tcW w:w="2381" w:type="dxa"/>
            <w:vAlign w:val="center"/>
          </w:tcPr>
          <w:p>
            <w:pPr>
              <w:pStyle w:val="TableTextBold"/>
              <w:jc w:val="left"/>
            </w:pPr>
            <w:r/>
            <w:r>
              <w:t>1  Rare</w:t>
            </w:r>
          </w:p>
        </w:tc>
        <w:tc>
          <w:tcPr>
            <w:tcW w:w="1474" w:type="dxa"/>
            <w:vAlign w:val="center"/>
          </w:tcPr>
          <w:p>
            <w:pPr>
              <w:pStyle w:val="TableTextCentre"/>
              <w:jc w:val="center"/>
            </w:pPr>
            <w:r/>
            <w:r>
              <w:t>Low</w:t>
            </w:r>
          </w:p>
        </w:tc>
        <w:tc>
          <w:tcPr>
            <w:tcW w:w="1360" w:type="dxa"/>
            <w:vAlign w:val="center"/>
          </w:tcPr>
          <w:p>
            <w:pPr>
              <w:pStyle w:val="TableTextCentre"/>
              <w:jc w:val="center"/>
            </w:pPr>
            <w:r/>
            <w:r>
              <w:t>Low</w:t>
            </w:r>
          </w:p>
        </w:tc>
        <w:tc>
          <w:tcPr>
            <w:tcW w:w="1474" w:type="dxa"/>
            <w:vAlign w:val="center"/>
          </w:tcPr>
          <w:p>
            <w:pPr>
              <w:pStyle w:val="TableTextCentre"/>
              <w:jc w:val="center"/>
            </w:pPr>
            <w:r/>
            <w:r>
              <w:t>Moderate</w:t>
            </w:r>
          </w:p>
        </w:tc>
        <w:tc>
          <w:tcPr>
            <w:tcW w:w="1360" w:type="dxa"/>
            <w:vAlign w:val="center"/>
          </w:tcPr>
          <w:p>
            <w:pPr>
              <w:pStyle w:val="TableTextCentre"/>
              <w:jc w:val="center"/>
            </w:pPr>
            <w:r/>
            <w:r>
              <w:t>High</w:t>
            </w:r>
          </w:p>
        </w:tc>
        <w:tc>
          <w:tcPr>
            <w:tcW w:w="1589" w:type="dxa"/>
            <w:vAlign w:val="center"/>
          </w:tcPr>
          <w:p>
            <w:pPr>
              <w:pStyle w:val="TableTextCentre"/>
              <w:jc w:val="center"/>
            </w:pPr>
            <w:r/>
            <w:r>
              <w:t>High</w:t>
            </w:r>
          </w:p>
        </w:tc>
      </w:tr>
    </w:tbl>
    <w:p>
      <w:pPr>
        <w:spacing w:before="0" w:after="0" w:line="60" w:lineRule="exact"/>
      </w:pPr>
    </w:p>
    <w:p>
      <w:pPr>
        <w:pStyle w:val="Caption"/>
      </w:pPr>
      <w:r>
        <w:t>Figure 6.1 — Project risk matrix, 5 × 5. Identical to the matrix in the Mastt JHA template.</w:t>
      </w:r>
    </w:p>
    <w:p>
      <w:pPr>
        <w:pStyle w:val="Note"/>
      </w:pPr>
      <w:r>
        <w:t>Likelihood: 5 expected to occur if the control is not applied; 4 will probably occur, and has on similar work; 3 a credible combination of circumstances would produce it; 2 would need an unusual combination of failures; 1 only in exceptional circumstances.   Consequence, scored on people first: 5 fatality or permanent total disability; 4 permanent disability, life-threatening injury or hospital admission; 3 lost-time injury or an injury requiring more than first aid; 6 ftedical treatment injury, no lost time; 1 first aid case or no injury. Where the rating for people and for environment, property, schedule or legal exposure differ, the higher governs.</w:t>
      </w:r>
    </w:p>
    <w:p>
      <w:pPr>
        <w:pStyle w:val="Heading2"/>
      </w:pPr>
      <w:bookmarkStart w:id="9031" w:name="_Toc90031"/>
      <w:r>
        <w:t>6.3 Rating bands, action and approval authority</w:t>
      </w:r>
      <w:bookmarkEnd w:id="9031"/>
    </w:p>
    <w:p>
      <w:pPr>
        <w:pStyle w:val="Note"/>
      </w:pPr>
      <w:r>
        <w:t>Score ranges are indicative — the rating always comes from the matrix cell, not from the arithmetic product. Where the two disagree, the matrix governs.</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020"/>
        <w:gridCol w:w="1020"/>
        <w:gridCol w:w="3401"/>
        <w:gridCol w:w="2267"/>
        <w:gridCol w:w="1930"/>
      </w:tblGrid>
      <w:tr>
        <w:trPr>
          <w:tblHeader w:val="true"/>
          <w:cantSplit w:val="true"/>
        </w:trPr>
        <w:tc>
          <w:tcPr>
            <w:tcW w:w="1020" w:type="dxa"/>
            <w:shd w:val="clear" w:color="auto" w:fill="1D3245"/>
            <w:vAlign w:val="center"/>
          </w:tcPr>
          <w:p>
            <w:pPr>
              <w:pStyle w:val="TableHeader"/>
              <w:jc w:val="left"/>
            </w:pPr>
            <w:r/>
            <w:r>
              <w:t>Rating</w:t>
            </w:r>
          </w:p>
        </w:tc>
        <w:tc>
          <w:tcPr>
            <w:tcW w:w="1020" w:type="dxa"/>
            <w:shd w:val="clear" w:color="auto" w:fill="1D3245"/>
            <w:vAlign w:val="center"/>
          </w:tcPr>
          <w:p>
            <w:pPr>
              <w:pStyle w:val="TableHeader"/>
              <w:jc w:val="center"/>
            </w:pPr>
            <w:r/>
            <w:r>
              <w:t>Score</w:t>
            </w:r>
          </w:p>
        </w:tc>
        <w:tc>
          <w:tcPr>
            <w:tcW w:w="3401" w:type="dxa"/>
            <w:shd w:val="clear" w:color="auto" w:fill="1D3245"/>
            <w:vAlign w:val="center"/>
          </w:tcPr>
          <w:p>
            <w:pPr>
              <w:pStyle w:val="TableHeader"/>
              <w:jc w:val="left"/>
            </w:pPr>
            <w:r/>
            <w:r>
              <w:t>Required action before work starts</w:t>
            </w:r>
          </w:p>
        </w:tc>
        <w:tc>
          <w:tcPr>
            <w:tcW w:w="2267" w:type="dxa"/>
            <w:shd w:val="clear" w:color="auto" w:fill="1D3245"/>
            <w:vAlign w:val="center"/>
          </w:tcPr>
          <w:p>
            <w:pPr>
              <w:pStyle w:val="TableHeader"/>
              <w:jc w:val="left"/>
            </w:pPr>
            <w:r/>
            <w:r>
              <w:t>Approval authority</w:t>
            </w:r>
          </w:p>
        </w:tc>
        <w:tc>
          <w:tcPr>
            <w:tcW w:w="1930" w:type="dxa"/>
            <w:shd w:val="clear" w:color="auto" w:fill="1D3245"/>
            <w:vAlign w:val="center"/>
          </w:tcPr>
          <w:p>
            <w:pPr>
              <w:pStyle w:val="TableHeader"/>
              <w:jc w:val="left"/>
            </w:pPr>
            <w:r/>
            <w:r>
              <w:t>Monitoring</w:t>
            </w:r>
          </w:p>
        </w:tc>
      </w:tr>
      <w:tr>
        <w:trPr>
          <w:cantSplit w:val="true"/>
        </w:trPr>
        <w:tc>
          <w:tcPr>
            <w:tcW w:w="1020" w:type="dxa"/>
            <w:vAlign w:val="center"/>
          </w:tcPr>
          <w:p>
            <w:pPr>
              <w:pStyle w:val="TableTextBold"/>
              <w:jc w:val="left"/>
            </w:pPr>
            <w:r/>
            <w:r>
              <w:t>Extreme</w:t>
            </w:r>
          </w:p>
        </w:tc>
        <w:tc>
          <w:tcPr>
            <w:tcW w:w="1020" w:type="dxa"/>
            <w:vAlign w:val="center"/>
          </w:tcPr>
          <w:p>
            <w:pPr>
              <w:pStyle w:val="TableTextCentre"/>
              <w:jc w:val="center"/>
            </w:pPr>
            <w:r/>
            <w:r>
              <w:t>15 – 25</w:t>
            </w:r>
          </w:p>
        </w:tc>
        <w:tc>
          <w:tcPr>
            <w:tcW w:w="3401" w:type="dxa"/>
            <w:vAlign w:val="center"/>
          </w:tcPr>
          <w:p>
            <w:pPr>
              <w:pStyle w:val="TableText"/>
              <w:jc w:val="left"/>
            </w:pPr>
            <w:r/>
            <w:r>
              <w:t>Stop. Work must not proceed on this method. Redesign the task or eliminate the hazard, then re-assess</w:t>
            </w:r>
          </w:p>
        </w:tc>
        <w:tc>
          <w:tcPr>
            <w:tcW w:w="2267" w:type="dxa"/>
            <w:vAlign w:val="center"/>
          </w:tcPr>
          <w:p>
            <w:pPr>
              <w:pStyle w:val="TableText"/>
              <w:jc w:val="left"/>
            </w:pPr>
            <w:r/>
            <w:r>
              <w:t>Project Director and Safety Manager, in writing, before work starts</w:t>
            </w:r>
          </w:p>
        </w:tc>
        <w:tc>
          <w:tcPr>
            <w:tcW w:w="1930" w:type="dxa"/>
            <w:vAlign w:val="center"/>
          </w:tcPr>
          <w:p>
            <w:pPr>
              <w:pStyle w:val="TableText"/>
              <w:jc w:val="left"/>
            </w:pPr>
            <w:r/>
            <w:r>
              <w:t>Continuous supervision; daily verification</w:t>
            </w:r>
          </w:p>
        </w:tc>
      </w:tr>
      <w:tr>
        <w:trPr>
          <w:cantSplit w:val="true"/>
        </w:trPr>
        <w:tc>
          <w:tcPr>
            <w:tcW w:w="1020" w:type="dxa"/>
            <w:vAlign w:val="center"/>
          </w:tcPr>
          <w:p>
            <w:pPr>
              <w:pStyle w:val="TableTextBold"/>
              <w:jc w:val="left"/>
            </w:pPr>
            <w:r/>
            <w:r>
              <w:t>High</w:t>
            </w:r>
          </w:p>
        </w:tc>
        <w:tc>
          <w:tcPr>
            <w:tcW w:w="1020" w:type="dxa"/>
            <w:vAlign w:val="center"/>
          </w:tcPr>
          <w:p>
            <w:pPr>
              <w:pStyle w:val="TableTextCentre"/>
              <w:jc w:val="center"/>
            </w:pPr>
            <w:r/>
            <w:r>
              <w:t>8 – 12</w:t>
            </w:r>
          </w:p>
        </w:tc>
        <w:tc>
          <w:tcPr>
            <w:tcW w:w="3401" w:type="dxa"/>
            <w:vAlign w:val="center"/>
          </w:tcPr>
          <w:p>
            <w:pPr>
              <w:pStyle w:val="TableText"/>
              <w:jc w:val="left"/>
            </w:pPr>
            <w:r/>
            <w:r>
              <w:t>Do not start until further controls are applied and the residual rating is reduced; justify any residual High rating in writing</w:t>
            </w:r>
          </w:p>
        </w:tc>
        <w:tc>
          <w:tcPr>
            <w:tcW w:w="2267" w:type="dxa"/>
            <w:vAlign w:val="center"/>
          </w:tcPr>
          <w:p>
            <w:pPr>
              <w:pStyle w:val="TableText"/>
              <w:jc w:val="left"/>
            </w:pPr>
            <w:r/>
            <w:r>
              <w:t>Safety Manager or Project Manager, in writing</w:t>
            </w:r>
          </w:p>
        </w:tc>
        <w:tc>
          <w:tcPr>
            <w:tcW w:w="1930" w:type="dxa"/>
            <w:vAlign w:val="center"/>
          </w:tcPr>
          <w:p>
            <w:pPr>
              <w:pStyle w:val="TableText"/>
              <w:jc w:val="left"/>
            </w:pPr>
            <w:r/>
            <w:r>
              <w:t>Verified each shift, recorded on the daily pre-start</w:t>
            </w:r>
          </w:p>
        </w:tc>
      </w:tr>
      <w:tr>
        <w:trPr>
          <w:cantSplit w:val="true"/>
        </w:trPr>
        <w:tc>
          <w:tcPr>
            <w:tcW w:w="1020" w:type="dxa"/>
            <w:vAlign w:val="center"/>
          </w:tcPr>
          <w:p>
            <w:pPr>
              <w:pStyle w:val="TableTextBold"/>
              <w:jc w:val="left"/>
            </w:pPr>
            <w:r/>
            <w:r>
              <w:t>Moderate</w:t>
            </w:r>
          </w:p>
        </w:tc>
        <w:tc>
          <w:tcPr>
            <w:tcW w:w="1020" w:type="dxa"/>
            <w:vAlign w:val="center"/>
          </w:tcPr>
          <w:p>
            <w:pPr>
              <w:pStyle w:val="TableTextCentre"/>
              <w:jc w:val="center"/>
            </w:pPr>
            <w:r/>
            <w:r>
              <w:t>4 – 6</w:t>
            </w:r>
          </w:p>
        </w:tc>
        <w:tc>
          <w:tcPr>
            <w:tcW w:w="3401" w:type="dxa"/>
            <w:vAlign w:val="center"/>
          </w:tcPr>
          <w:p>
            <w:pPr>
              <w:pStyle w:val="TableText"/>
              <w:jc w:val="left"/>
            </w:pPr>
            <w:r/>
            <w:r>
              <w:t>Proceed with the specified controls in place; responsibility for each control is named</w:t>
            </w:r>
          </w:p>
        </w:tc>
        <w:tc>
          <w:tcPr>
            <w:tcW w:w="2267" w:type="dxa"/>
            <w:vAlign w:val="center"/>
          </w:tcPr>
          <w:p>
            <w:pPr>
              <w:pStyle w:val="TableText"/>
              <w:jc w:val="left"/>
            </w:pPr>
            <w:r/>
            <w:r>
              <w:t>Site Supervisor</w:t>
            </w:r>
          </w:p>
        </w:tc>
        <w:tc>
          <w:tcPr>
            <w:tcW w:w="1930" w:type="dxa"/>
            <w:vAlign w:val="center"/>
          </w:tcPr>
          <w:p>
            <w:pPr>
              <w:pStyle w:val="TableText"/>
              <w:jc w:val="left"/>
            </w:pPr>
            <w:r/>
            <w:r>
              <w:t>Verified daily or per activity</w:t>
            </w:r>
          </w:p>
        </w:tc>
      </w:tr>
      <w:tr>
        <w:trPr>
          <w:cantSplit w:val="true"/>
        </w:trPr>
        <w:tc>
          <w:tcPr>
            <w:tcW w:w="1020" w:type="dxa"/>
            <w:vAlign w:val="center"/>
          </w:tcPr>
          <w:p>
            <w:pPr>
              <w:pStyle w:val="TableTextBold"/>
              <w:jc w:val="left"/>
            </w:pPr>
            <w:r/>
            <w:r>
              <w:t>Low</w:t>
            </w:r>
          </w:p>
        </w:tc>
        <w:tc>
          <w:tcPr>
            <w:tcW w:w="1020" w:type="dxa"/>
            <w:vAlign w:val="center"/>
          </w:tcPr>
          <w:p>
            <w:pPr>
              <w:pStyle w:val="TableTextCentre"/>
              <w:jc w:val="center"/>
            </w:pPr>
            <w:r/>
            <w:r>
              <w:t>1 – 3</w:t>
            </w:r>
          </w:p>
        </w:tc>
        <w:tc>
          <w:tcPr>
            <w:tcW w:w="3401" w:type="dxa"/>
            <w:vAlign w:val="center"/>
          </w:tcPr>
          <w:p>
            <w:pPr>
              <w:pStyle w:val="TableText"/>
              <w:jc w:val="left"/>
            </w:pPr>
            <w:r/>
            <w:r>
              <w:t>Manage by routine procedures, standard PPE and good housekeeping</w:t>
            </w:r>
          </w:p>
        </w:tc>
        <w:tc>
          <w:tcPr>
            <w:tcW w:w="2267" w:type="dxa"/>
            <w:vAlign w:val="center"/>
          </w:tcPr>
          <w:p>
            <w:pPr>
              <w:pStyle w:val="TableText"/>
              <w:jc w:val="left"/>
            </w:pPr>
            <w:r/>
            <w:r>
              <w:t>Supervisor / crew</w:t>
            </w:r>
          </w:p>
        </w:tc>
        <w:tc>
          <w:tcPr>
            <w:tcW w:w="1930" w:type="dxa"/>
            <w:vAlign w:val="center"/>
          </w:tcPr>
          <w:p>
            <w:pPr>
              <w:pStyle w:val="TableText"/>
              <w:jc w:val="left"/>
            </w:pPr>
            <w:r/>
            <w:r>
              <w:t>Periodic inspection</w:t>
            </w:r>
          </w:p>
        </w:tc>
      </w:tr>
    </w:tbl>
    <w:p>
      <w:pPr>
        <w:spacing w:before="0" w:after="0" w:line="60" w:lineRule="exact"/>
      </w:pPr>
    </w:p>
    <w:p>
      <w:pPr>
        <w:pStyle w:val="Heading2"/>
      </w:pPr>
      <w:bookmarkStart w:id="9032" w:name="_Toc90032"/>
      <w:r>
        <w:t>6.4 The hierarchy of controls</w:t>
      </w:r>
      <w:bookmarkEnd w:id="9032"/>
    </w:p>
    <w:p>
      <w:pPr>
        <w:pStyle w:val="Body"/>
      </w:pPr>
      <w:r>
        <w:t>The hierarchy is the order in which controls must be considered — ISO 45001:2018 clause 8.1.2, ANSI/ASSP Z10.0-2019 clause 8.3, and NIOSH's Prevention through Design guidance at ANSI/ASSP Z590.3-2021 all set the same order. Reliability falls sharply as you descend: elimination cannot fail, while PPE fails every time it is not worn, worn wrongly or worn out. Controls are usually combined; record the highest level actually applied.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474"/>
        <w:gridCol w:w="2834"/>
        <w:gridCol w:w="5330"/>
      </w:tblGrid>
      <w:tr>
        <w:trPr>
          <w:tblHeader w:val="true"/>
          <w:cantSplit w:val="true"/>
        </w:trPr>
        <w:tc>
          <w:tcPr>
            <w:tcW w:w="1474" w:type="dxa"/>
            <w:shd w:val="clear" w:color="auto" w:fill="1D3245"/>
            <w:vAlign w:val="center"/>
          </w:tcPr>
          <w:p>
            <w:pPr>
              <w:pStyle w:val="TableHeader"/>
              <w:jc w:val="left"/>
            </w:pPr>
            <w:r/>
            <w:r>
              <w:t>Rank and level</w:t>
            </w:r>
          </w:p>
        </w:tc>
        <w:tc>
          <w:tcPr>
            <w:tcW w:w="2834" w:type="dxa"/>
            <w:shd w:val="clear" w:color="auto" w:fill="1D3245"/>
            <w:vAlign w:val="center"/>
          </w:tcPr>
          <w:p>
            <w:pPr>
              <w:pStyle w:val="TableHeader"/>
              <w:jc w:val="left"/>
            </w:pPr>
            <w:r/>
            <w:r>
              <w:t>What it means</w:t>
            </w:r>
          </w:p>
        </w:tc>
        <w:tc>
          <w:tcPr>
            <w:tcW w:w="5330" w:type="dxa"/>
            <w:shd w:val="clear" w:color="auto" w:fill="1D3245"/>
            <w:vAlign w:val="center"/>
          </w:tcPr>
          <w:p>
            <w:pPr>
              <w:pStyle w:val="TableHeader"/>
              <w:jc w:val="left"/>
            </w:pPr>
            <w:r/>
            <w:r>
              <w:t>Worked construction example on this project</w:t>
            </w:r>
          </w:p>
        </w:tc>
      </w:tr>
      <w:tr>
        <w:trPr>
          <w:cantSplit w:val="true"/>
        </w:trPr>
        <w:tc>
          <w:tcPr>
            <w:tcW w:w="1474" w:type="dxa"/>
            <w:vAlign w:val="center"/>
          </w:tcPr>
          <w:p>
            <w:pPr>
              <w:pStyle w:val="TableTextBold"/>
              <w:jc w:val="left"/>
            </w:pPr>
            <w:r/>
            <w:r>
              <w:t>1 — Elimination</w:t>
            </w:r>
          </w:p>
        </w:tc>
        <w:tc>
          <w:tcPr>
            <w:tcW w:w="2834" w:type="dxa"/>
            <w:vAlign w:val="center"/>
          </w:tcPr>
          <w:p>
            <w:pPr>
              <w:pStyle w:val="TableText"/>
              <w:jc w:val="left"/>
            </w:pPr>
            <w:r/>
            <w:r>
              <w:t>Remove the hazard so the task no longer exists. The only control that cannot fail</w:t>
            </w:r>
          </w:p>
        </w:tc>
        <w:tc>
          <w:tcPr>
            <w:tcW w:w="5330" w:type="dxa"/>
            <w:vAlign w:val="center"/>
          </w:tcPr>
          <w:p>
            <w:pPr>
              <w:pStyle w:val="TableText"/>
              <w:jc w:val="left"/>
            </w:pPr>
            <w:r/>
            <w:r>
              <w:t>Specify remote-release shackles at bid stage so nobody climbs the steel to release a sling; prefabricate the mechanical room skid off site so confined-space welding is never required</w:t>
            </w:r>
          </w:p>
        </w:tc>
      </w:tr>
      <w:tr>
        <w:trPr>
          <w:cantSplit w:val="true"/>
        </w:trPr>
        <w:tc>
          <w:tcPr>
            <w:tcW w:w="1474" w:type="dxa"/>
            <w:vAlign w:val="center"/>
          </w:tcPr>
          <w:p>
            <w:pPr>
              <w:pStyle w:val="TableTextBold"/>
              <w:jc w:val="left"/>
            </w:pPr>
            <w:r/>
            <w:r>
              <w:t>2 — Substitution</w:t>
            </w:r>
          </w:p>
        </w:tc>
        <w:tc>
          <w:tcPr>
            <w:tcW w:w="2834" w:type="dxa"/>
            <w:vAlign w:val="center"/>
          </w:tcPr>
          <w:p>
            <w:pPr>
              <w:pStyle w:val="TableText"/>
              <w:jc w:val="left"/>
            </w:pPr>
            <w:r/>
            <w:r>
              <w:t>Replace the hazard, material or method with something less hazardous</w:t>
            </w:r>
          </w:p>
        </w:tc>
        <w:tc>
          <w:tcPr>
            <w:tcW w:w="5330" w:type="dxa"/>
            <w:vAlign w:val="center"/>
          </w:tcPr>
          <w:p>
            <w:pPr>
              <w:pStyle w:val="TableText"/>
              <w:jc w:val="left"/>
            </w:pPr>
            <w:r/>
            <w:r>
              <w:t>Water-based curing compound in place of solvent-based adjacent to the hospital air intake; low-vibration torque-reacting tensioning tools instead of impact wrenches</w:t>
            </w:r>
          </w:p>
        </w:tc>
      </w:tr>
      <w:tr>
        <w:trPr>
          <w:cantSplit w:val="true"/>
        </w:trPr>
        <w:tc>
          <w:tcPr>
            <w:tcW w:w="1474" w:type="dxa"/>
            <w:vAlign w:val="center"/>
          </w:tcPr>
          <w:p>
            <w:pPr>
              <w:pStyle w:val="TableTextBold"/>
              <w:jc w:val="left"/>
            </w:pPr>
            <w:r/>
            <w:r>
              <w:t>3 — Isolation</w:t>
            </w:r>
          </w:p>
        </w:tc>
        <w:tc>
          <w:tcPr>
            <w:tcW w:w="2834" w:type="dxa"/>
            <w:vAlign w:val="center"/>
          </w:tcPr>
          <w:p>
            <w:pPr>
              <w:pStyle w:val="TableText"/>
              <w:jc w:val="left"/>
            </w:pPr>
            <w:r/>
            <w:r>
              <w:t>Separate people from the hazard in space or time — barriers, exclusion zones, out-of-hours work</w:t>
            </w:r>
          </w:p>
        </w:tc>
        <w:tc>
          <w:tcPr>
            <w:tcW w:w="5330" w:type="dxa"/>
            <w:vAlign w:val="center"/>
          </w:tcPr>
          <w:p>
            <w:pPr>
              <w:pStyle w:val="TableText"/>
              <w:jc w:val="left"/>
            </w:pPr>
            <w:r/>
            <w:r>
              <w:t>Hard-barrier the crane drop zone plus 6 ft and stand adjacent trades down during over-boundary lifts; excavate the shoring line on a weekend closure so the hospital sidewalk is unoccupied</w:t>
            </w:r>
          </w:p>
        </w:tc>
      </w:tr>
      <w:tr>
        <w:trPr>
          <w:cantSplit w:val="true"/>
        </w:trPr>
        <w:tc>
          <w:tcPr>
            <w:tcW w:w="1474" w:type="dxa"/>
            <w:vAlign w:val="center"/>
          </w:tcPr>
          <w:p>
            <w:pPr>
              <w:pStyle w:val="TableTextBold"/>
              <w:jc w:val="left"/>
            </w:pPr>
            <w:r/>
            <w:r>
              <w:t>4 — Engineering</w:t>
            </w:r>
          </w:p>
        </w:tc>
        <w:tc>
          <w:tcPr>
            <w:tcW w:w="2834" w:type="dxa"/>
            <w:vAlign w:val="center"/>
          </w:tcPr>
          <w:p>
            <w:pPr>
              <w:pStyle w:val="TableText"/>
              <w:jc w:val="left"/>
            </w:pPr>
            <w:r/>
            <w:r>
              <w:t>Change the equipment, structure or equipment so the hazard is controlled by the design</w:t>
            </w:r>
          </w:p>
        </w:tc>
        <w:tc>
          <w:tcPr>
            <w:tcW w:w="5330" w:type="dxa"/>
            <w:vAlign w:val="center"/>
          </w:tcPr>
          <w:p>
            <w:pPr>
              <w:pStyle w:val="TableText"/>
              <w:jc w:val="left"/>
            </w:pPr>
            <w:r/>
            <w:r>
              <w:t>Certified anchored shoring with monitored deflection targets; edge protection built at ground level and lifted in as a module; on-tool dust extraction on every cutting tool</w:t>
            </w:r>
          </w:p>
        </w:tc>
      </w:tr>
      <w:tr>
        <w:trPr>
          <w:cantSplit w:val="true"/>
        </w:trPr>
        <w:tc>
          <w:tcPr>
            <w:tcW w:w="1474" w:type="dxa"/>
            <w:vAlign w:val="center"/>
          </w:tcPr>
          <w:p>
            <w:pPr>
              <w:pStyle w:val="TableTextBold"/>
              <w:jc w:val="left"/>
            </w:pPr>
            <w:r/>
            <w:r>
              <w:t>5 — Administrative</w:t>
            </w:r>
          </w:p>
        </w:tc>
        <w:tc>
          <w:tcPr>
            <w:tcW w:w="2834" w:type="dxa"/>
            <w:vAlign w:val="center"/>
          </w:tcPr>
          <w:p>
            <w:pPr>
              <w:pStyle w:val="TableText"/>
              <w:jc w:val="left"/>
            </w:pPr>
            <w:r/>
            <w:r>
              <w:t>Change how people work — procedures, permits, training, rotation, signage</w:t>
            </w:r>
          </w:p>
        </w:tc>
        <w:tc>
          <w:tcPr>
            <w:tcW w:w="5330" w:type="dxa"/>
            <w:vAlign w:val="center"/>
          </w:tcPr>
          <w:p>
            <w:pPr>
              <w:pStyle w:val="TableText"/>
              <w:jc w:val="left"/>
            </w:pPr>
            <w:r/>
            <w:r>
              <w:t>Hot work permit per shift with a 60-minute fire watch; two-hour rotation limit on bolt tensioning; excavation entry only under permit after the daily competent-person inspection</w:t>
            </w:r>
          </w:p>
        </w:tc>
      </w:tr>
      <w:tr>
        <w:trPr>
          <w:cantSplit w:val="true"/>
        </w:trPr>
        <w:tc>
          <w:tcPr>
            <w:tcW w:w="1474" w:type="dxa"/>
            <w:vAlign w:val="center"/>
          </w:tcPr>
          <w:p>
            <w:pPr>
              <w:pStyle w:val="TableTextBold"/>
              <w:jc w:val="left"/>
            </w:pPr>
            <w:r/>
            <w:r>
              <w:t>6 — PPE</w:t>
            </w:r>
          </w:p>
        </w:tc>
        <w:tc>
          <w:tcPr>
            <w:tcW w:w="2834" w:type="dxa"/>
            <w:vAlign w:val="center"/>
          </w:tcPr>
          <w:p>
            <w:pPr>
              <w:pStyle w:val="TableText"/>
              <w:jc w:val="left"/>
            </w:pPr>
            <w:r/>
            <w:r>
              <w:t>Protect the individual. The last line of defense and the first to fail</w:t>
            </w:r>
          </w:p>
        </w:tc>
        <w:tc>
          <w:tcPr>
            <w:tcW w:w="5330" w:type="dxa"/>
            <w:vAlign w:val="center"/>
          </w:tcPr>
          <w:p>
            <w:pPr>
              <w:pStyle w:val="TableText"/>
              <w:jc w:val="left"/>
            </w:pPr>
            <w:r/>
            <w:r>
              <w:t>Harness with restraint lanyard in every aerial lift; fit-tested P2/P3 respiratory protection for silica tasks; Class 5 hearing protection during tensioning</w:t>
            </w:r>
          </w:p>
        </w:tc>
      </w:tr>
    </w:tbl>
    <w:p>
      <w:pPr>
        <w:spacing w:before="0" w:after="0" w:line="60" w:lineRule="exact"/>
      </w:pP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rPr>
          <w:cantSplit/>
        </w:trPr>
        <w:tc>
          <w:tcPr>
            <w:tcW w:w="9638" w:type="dxa"/>
            <w:shd w:val="clear" w:color="auto" w:fill="FBE6E2"/>
            <w:tcBorders>
              <w:left w:val="single" w:sz="4" w:space="0" w:color="B3341F"/>
            </w:tcBorders>
          </w:tcPr>
          <w:p>
            <w:pPr>
              <w:pStyle w:val="Body"/>
            </w:pPr>
            <w:r/>
            <w:r>
              <w:t>PPE or administrative controls alone are not an acceptable treatment for any hazard with an inherent rating of High or Extreme. Where the inherent rating is High or Extreme, at least one control at level 1 to 4 must be in place before work starts, and the register must say what it is. "Toolbox talk and PPE" against an Extreme inherent rating is a finding, not a control.</w:t>
            </w:r>
          </w:p>
        </w:tc>
      </w:tr>
    </w:tbl>
    <w:p>
      <w:pPr>
        <w:spacing w:before="0" w:after="0" w:line="160" w:lineRule="exact"/>
      </w:pPr>
    </w:p>
    <w:p>
      <w:pPr>
        <w:pStyle w:val="Heading2"/>
      </w:pPr>
      <w:bookmarkStart w:id="9033" w:name="_Toc90033"/>
      <w:r>
        <w:t>6.5 Job Hazard Analysis, JSA and AHA</w:t>
      </w:r>
      <w:bookmarkEnd w:id="9033"/>
    </w:p>
    <w:p>
      <w:pPr>
        <w:pStyle w:val="Body"/>
      </w:pPr>
      <w:r>
        <w:t>The Job Hazard Analysis is the activity-level instrument beneath this plan. The names differ by employer and by contract — Job Hazard Analysis (JHA), Job Safety Analysis (JSA), Activity Hazard Analysis (AHA) on federal work under EM 385-1-1, or Pre-Task Plan — but the structure does not: sequential job steps, the hazard at each step, controls applied in hierarchy order, who is responsible, and how each control is verified. ANSI/ASSP A10.1-2024 is the consensus standard for pre-project and pre-task planning. This project uses one format across every employer so that a rating on a JHA carries the same meaning as a rating in this plan.</w:t>
      </w:r>
    </w:p>
    <w:p>
      <w:pPr>
        <w:pStyle w:val="Heading3"/>
      </w:pPr>
      <w:bookmarkStart w:id="9034" w:name="_Toc90034"/>
      <w:r>
        <w:t>When a JHA is mandatory</w:t>
      </w:r>
      <w:bookmarkEnd w:id="9034"/>
    </w:p>
    <w:p>
      <w:pPr>
        <w:pStyle w:val="BodyBullet"/>
      </w:pPr>
      <w:r>
        <w:rPr>
          <w:color w:val="3480BC"/>
        </w:rPr>
        <w:t xml:space="preserve">—   </w:t>
      </w:r>
      <w:r>
        <w:t>Whenever the work falls within any high-hazard work category in section 7 — OSHA and most State Plans make a written, activity-specific statement mandatory in that case.</w:t>
      </w:r>
    </w:p>
    <w:p>
      <w:pPr>
        <w:pStyle w:val="BodyBullet"/>
      </w:pPr>
      <w:r>
        <w:rPr>
          <w:color w:val="3480BC"/>
        </w:rPr>
        <w:t xml:space="preserve">—   </w:t>
      </w:r>
      <w:r>
        <w:t>Whenever an inherent rating of High or Extreme is assigned, whether or not the activity appears in the section 7 screening; whenever work is carried out adjacent to, above or below occupied or operating areas — for this project, any work at the hospital interface; and wherever the Owner, the contract or an approval condition requires one.</w:t>
      </w:r>
    </w:p>
    <w:p>
      <w:pPr>
        <w:pStyle w:val="BodyBullet"/>
      </w:pPr>
      <w:r>
        <w:rPr>
          <w:color w:val="3480BC"/>
        </w:rPr>
        <w:t xml:space="preserve">—   </w:t>
      </w:r>
      <w:r>
        <w:t>Where none of the above applies, a documented safe work method is still required for any activity a supervisor cannot brief from memory.</w:t>
      </w:r>
    </w:p>
    <w:p>
      <w:pPr>
        <w:pStyle w:val="Heading3"/>
      </w:pPr>
      <w:bookmarkStart w:id="9035" w:name="_Toc90035"/>
      <w:r>
        <w:t>Review, acceptance and control of JHAs</w:t>
      </w:r>
      <w:bookmarkEnd w:id="9035"/>
    </w:p>
    <w:p>
      <w:pPr>
        <w:pStyle w:val="BodyBullet"/>
      </w:pPr>
      <w:r>
        <w:rPr>
          <w:b/>
          <w:color w:val="1D3245"/>
        </w:rPr>
        <w:t xml:space="preserve">1.   </w:t>
      </w:r>
      <w:r>
        <w:t>The employer whose workers do the work prepares the JHA in consultation with the workers who will do it, and records that consultation inside the document.</w:t>
      </w:r>
    </w:p>
    <w:p>
      <w:pPr>
        <w:pStyle w:val="BodyBullet"/>
      </w:pPr>
      <w:r>
        <w:rPr>
          <w:b/>
          <w:color w:val="1D3245"/>
        </w:rPr>
        <w:t xml:space="preserve">2.   </w:t>
      </w:r>
      <w:r>
        <w:t>It is submitted to the Safety Manager at least five working days before the activity starts, with the competency evidence and equipment certification it relies on.</w:t>
      </w:r>
    </w:p>
    <w:p>
      <w:pPr>
        <w:pStyle w:val="BodyBullet"/>
      </w:pPr>
      <w:r>
        <w:rPr>
          <w:b/>
          <w:color w:val="1D3245"/>
        </w:rPr>
        <w:t xml:space="preserve">3.   </w:t>
      </w:r>
      <w:r>
        <w:t>The Safety Manager reviews it for site specificity, correct use of the hierarchy, correct ratings, verifiable controls, rescue arrangements, and consistency with this plan and interfacing JHA. Generic statements are rejected.</w:t>
      </w:r>
    </w:p>
    <w:p>
      <w:pPr>
        <w:pStyle w:val="BodyBullet"/>
      </w:pPr>
      <w:r>
        <w:rPr>
          <w:b/>
          <w:color w:val="1D3245"/>
        </w:rPr>
        <w:t xml:space="preserve">4.   </w:t>
      </w:r>
      <w:r>
        <w:t>Accepted revisions are entered in the JHA register and are the only revision permitted at the work face. Every worker is briefed and signs on before starting; a worker who has not signed on does not work to that JHA.</w:t>
      </w:r>
    </w:p>
    <w:p>
      <w:pPr>
        <w:pStyle w:val="BodyBullet"/>
      </w:pPr>
      <w:r>
        <w:rPr>
          <w:b/>
          <w:color w:val="1D3245"/>
        </w:rPr>
        <w:t xml:space="preserve">5.   </w:t>
      </w:r>
      <w:r>
        <w:t>The JHA is reviewed after any incident or near miss connected with the work, and on any change of method, equipment, sequence, personnel, site conditions, design or OSHA direction. An amendment takes effect only once affected workers are re-briefed and have re-signed; superseded revisions are withdrawn from the work face and retained under section 17.</w:t>
      </w:r>
    </w:p>
    <w:p>
      <w:pPr>
        <w:pStyle w:val="Note"/>
      </w:pPr>
      <w:r>
        <w:t>A control that cannot be verified is not a control. Every line of every JHA carries a verification method and a frequency, and the supervisor's shift verification is the primary evidence that this plan is being implemented rather than merely written. Under 1926.20(b)(2) the employer must provide for frequent and regular inspections of the job site, materials and equipment by a competent person — that is the standard this verification discharges.</w:t>
      </w:r>
    </w:p>
    <w:p>
      <w:pPr>
        <w:pStyle w:val="Heading2"/>
      </w:pPr>
      <w:bookmarkStart w:id="9036" w:name="_Toc90036"/>
      <w:r>
        <w:t>6.6 Project safety risk register</w:t>
      </w:r>
      <w:bookmarkEnd w:id="9036"/>
    </w:p>
    <w:p>
      <w:pPr>
        <w:pStyle w:val="Body"/>
      </w:pPr>
      <w:r>
        <w:t>The register below is the project-level view: hazards that affect more than one trade, that arise from the site itself, or that could cause a fatality. Activity-level hazards are managed in the JHA set. It is reviewed monthly at the safety committee and whenever a trigger at 16.3 occurs, and is set landscape so it reads across a single page.</w:t>
      </w:r>
    </w:p>
    <w:p>
      <w:pPr>
        <w:sectPr>
          <w:headerReference w:type="default" r:id="rId11"/>
          <w:footerReference w:type="default" r:id="rId12"/>
          <w:pgSz w:w="11906" w:h="16838"/>
          <w:pgMar w:top="1049" w:right="1134" w:bottom="850" w:left="1134" w:header="482" w:footer="454" w:gutter="0"/>
          <w:cols w:space="720"/>
        </w:sectPr>
      </w:pPr>
    </w:p>
    <w:p>
      <w:pPr>
        <w:pStyle w:val="Heading3"/>
      </w:pPr>
      <w:bookmarkStart w:id="9037" w:name="_Toc90037"/>
      <w:r>
        <w:t>Risk register</w:t>
      </w:r>
      <w:bookmarkEnd w:id="9037"/>
    </w:p>
    <w:p>
      <w:pPr>
        <w:pStyle w:val="Note"/>
      </w:pPr>
      <w:r>
        <w:t>Example rows shown in gray italic — delete before use. A residual rating can remain Extreme where the consequence cannot be reduced; what must fall is the likelihood, and the residual rating must then be approved at the authority level in 6.3.</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14570" w:type="dxa"/>
        <w:tblInd w:w="0" w:type="dxa"/>
        <w:tblCellMar>
          <w:top w:w="45" w:type="dxa"/>
          <w:left w:w="100" w:type="dxa"/>
          <w:bottom w:w="45" w:type="dxa"/>
          <w:right w:w="100" w:type="dxa"/>
        </w:tblCellMar>
      </w:tblPr>
      <w:tblGrid>
        <w:gridCol w:w="662"/>
        <w:gridCol w:w="2251"/>
        <w:gridCol w:w="1457"/>
        <w:gridCol w:w="1125"/>
        <w:gridCol w:w="4371"/>
        <w:gridCol w:w="1125"/>
        <w:gridCol w:w="1457"/>
        <w:gridCol w:w="2122"/>
      </w:tblGrid>
      <w:tr>
        <w:trPr>
          <w:tblHeader w:val="true"/>
          <w:cantSplit w:val="true"/>
        </w:trPr>
        <w:tc>
          <w:tcPr>
            <w:tcW w:w="662" w:type="dxa"/>
            <w:shd w:val="clear" w:color="auto" w:fill="1D3245"/>
            <w:vAlign w:val="center"/>
          </w:tcPr>
          <w:p>
            <w:pPr>
              <w:pStyle w:val="TableHeader"/>
              <w:jc w:val="center"/>
            </w:pPr>
            <w:r/>
            <w:r>
              <w:t>Ref</w:t>
            </w:r>
          </w:p>
        </w:tc>
        <w:tc>
          <w:tcPr>
            <w:tcW w:w="2251" w:type="dxa"/>
            <w:shd w:val="clear" w:color="auto" w:fill="1D3245"/>
            <w:vAlign w:val="center"/>
          </w:tcPr>
          <w:p>
            <w:pPr>
              <w:pStyle w:val="TableHeader"/>
              <w:jc w:val="left"/>
            </w:pPr>
            <w:r/>
            <w:r>
              <w:t>Hazard and its source</w:t>
            </w:r>
          </w:p>
        </w:tc>
        <w:tc>
          <w:tcPr>
            <w:tcW w:w="1457" w:type="dxa"/>
            <w:shd w:val="clear" w:color="auto" w:fill="1D3245"/>
            <w:vAlign w:val="center"/>
          </w:tcPr>
          <w:p>
            <w:pPr>
              <w:pStyle w:val="TableHeader"/>
              <w:jc w:val="left"/>
            </w:pPr>
            <w:r/>
            <w:r>
              <w:t>Who is at risk</w:t>
            </w:r>
          </w:p>
        </w:tc>
        <w:tc>
          <w:tcPr>
            <w:tcW w:w="1125" w:type="dxa"/>
            <w:shd w:val="clear" w:color="auto" w:fill="1D3245"/>
            <w:vAlign w:val="center"/>
          </w:tcPr>
          <w:p>
            <w:pPr>
              <w:pStyle w:val="TableHeader"/>
              <w:jc w:val="center"/>
            </w:pPr>
            <w:r/>
            <w:r>
              <w:t>Inherent L × C = rating</w:t>
            </w:r>
          </w:p>
        </w:tc>
        <w:tc>
          <w:tcPr>
            <w:tcW w:w="4371" w:type="dxa"/>
            <w:shd w:val="clear" w:color="auto" w:fill="1D3245"/>
            <w:vAlign w:val="center"/>
          </w:tcPr>
          <w:p>
            <w:pPr>
              <w:pStyle w:val="TableHeader"/>
              <w:jc w:val="left"/>
            </w:pPr>
            <w:r/>
            <w:r>
              <w:t>Controls applied (highest level of the hierarchy shown first)</w:t>
            </w:r>
          </w:p>
        </w:tc>
        <w:tc>
          <w:tcPr>
            <w:tcW w:w="1125" w:type="dxa"/>
            <w:shd w:val="clear" w:color="auto" w:fill="1D3245"/>
            <w:vAlign w:val="center"/>
          </w:tcPr>
          <w:p>
            <w:pPr>
              <w:pStyle w:val="TableHeader"/>
              <w:jc w:val="center"/>
            </w:pPr>
            <w:r/>
            <w:r>
              <w:t>Residual L × C = rating</w:t>
            </w:r>
          </w:p>
        </w:tc>
        <w:tc>
          <w:tcPr>
            <w:tcW w:w="1457" w:type="dxa"/>
            <w:shd w:val="clear" w:color="auto" w:fill="1D3245"/>
            <w:vAlign w:val="center"/>
          </w:tcPr>
          <w:p>
            <w:pPr>
              <w:pStyle w:val="TableHeader"/>
              <w:jc w:val="left"/>
            </w:pPr>
            <w:r/>
            <w:r>
              <w:t>Owner</w:t>
            </w:r>
          </w:p>
        </w:tc>
        <w:tc>
          <w:tcPr>
            <w:tcW w:w="2122" w:type="dxa"/>
            <w:shd w:val="clear" w:color="auto" w:fill="1D3245"/>
            <w:vAlign w:val="center"/>
          </w:tcPr>
          <w:p>
            <w:pPr>
              <w:pStyle w:val="TableHeader"/>
              <w:jc w:val="left"/>
            </w:pPr>
            <w:r/>
            <w:r>
              <w:t>Verification method and frequency</w:t>
            </w:r>
          </w:p>
        </w:tc>
      </w:tr>
      <w:tr>
        <w:trPr>
          <w:cantSplit w:val="true"/>
        </w:trPr>
        <w:tc>
          <w:tcPr>
            <w:tcW w:w="662" w:type="dxa"/>
            <w:vAlign w:val="center"/>
          </w:tcPr>
          <w:p>
            <w:pPr>
              <w:pStyle w:val="TableTextExample"/>
              <w:jc w:val="center"/>
            </w:pPr>
            <w:r/>
            <w:r>
              <w:t>R-01</w:t>
            </w:r>
          </w:p>
        </w:tc>
        <w:tc>
          <w:tcPr>
            <w:tcW w:w="2251" w:type="dxa"/>
            <w:vAlign w:val="center"/>
          </w:tcPr>
          <w:p>
            <w:pPr>
              <w:pStyle w:val="TableTextExample"/>
              <w:jc w:val="left"/>
            </w:pPr>
            <w:r/>
            <w:r>
              <w:t>Fall from height during steel erection and edge protection installation to Levels 1–4 — unprotected leading edge and incomplete decking</w:t>
            </w:r>
          </w:p>
        </w:tc>
        <w:tc>
          <w:tcPr>
            <w:tcW w:w="1457" w:type="dxa"/>
            <w:vAlign w:val="center"/>
          </w:tcPr>
          <w:p>
            <w:pPr>
              <w:pStyle w:val="TableTextExample"/>
              <w:jc w:val="left"/>
            </w:pPr>
            <w:r/>
            <w:r>
              <w:t>Steel erectors; trades below; equipment operators</w:t>
            </w:r>
          </w:p>
        </w:tc>
        <w:tc>
          <w:tcPr>
            <w:tcW w:w="1125" w:type="dxa"/>
            <w:vAlign w:val="center"/>
          </w:tcPr>
          <w:p>
            <w:pPr>
              <w:pStyle w:val="TableTextExample"/>
              <w:jc w:val="center"/>
            </w:pPr>
            <w:r/>
            <w:r>
              <w:t>4 × 5 = Extreme</w:t>
            </w:r>
          </w:p>
        </w:tc>
        <w:tc>
          <w:tcPr>
            <w:tcW w:w="4371" w:type="dxa"/>
            <w:vAlign w:val="center"/>
          </w:tcPr>
          <w:p>
            <w:pPr>
              <w:pStyle w:val="TableTextExample"/>
              <w:jc w:val="left"/>
            </w:pPr>
            <w:r/>
            <w:r>
              <w:t>Engineering: perimeter edge protection lifted in as a preassembled module before the deck is released; static lines to a certified design. Isolation: drop zone hard-barriered plus 6 ft; no trades below during erection. Administrative: height access permit per shift; JHA-NHP-04 briefed and signed. PPE: harness with restraint lanyard in every aerial lift basket; tools lanyarded</w:t>
            </w:r>
          </w:p>
        </w:tc>
        <w:tc>
          <w:tcPr>
            <w:tcW w:w="1125" w:type="dxa"/>
            <w:vAlign w:val="center"/>
          </w:tcPr>
          <w:p>
            <w:pPr>
              <w:pStyle w:val="TableTextExample"/>
              <w:jc w:val="center"/>
            </w:pPr>
            <w:r/>
            <w:r>
              <w:t>2 × 5 = Extreme</w:t>
            </w:r>
          </w:p>
        </w:tc>
        <w:tc>
          <w:tcPr>
            <w:tcW w:w="1457" w:type="dxa"/>
            <w:vAlign w:val="center"/>
          </w:tcPr>
          <w:p>
            <w:pPr>
              <w:pStyle w:val="TableTextExample"/>
              <w:jc w:val="left"/>
            </w:pPr>
            <w:r/>
            <w:r>
              <w:t>Steel Erection Supervisor (M. Okafor)</w:t>
            </w:r>
          </w:p>
        </w:tc>
        <w:tc>
          <w:tcPr>
            <w:tcW w:w="2122" w:type="dxa"/>
            <w:vAlign w:val="center"/>
          </w:tcPr>
          <w:p>
            <w:pPr>
              <w:pStyle w:val="TableTextExample"/>
              <w:jc w:val="left"/>
            </w:pPr>
            <w:r/>
            <w:r>
              <w:t>Supervisor verification each shift on the pre-start; weekly height-safety audit by Safety Manager; anchor certification sighted before first use</w:t>
            </w:r>
          </w:p>
        </w:tc>
      </w:tr>
      <w:tr>
        <w:trPr>
          <w:cantSplit w:val="true"/>
        </w:trPr>
        <w:tc>
          <w:tcPr>
            <w:tcW w:w="662" w:type="dxa"/>
            <w:vAlign w:val="center"/>
          </w:tcPr>
          <w:p>
            <w:pPr>
              <w:pStyle w:val="TableTextExample"/>
              <w:jc w:val="center"/>
            </w:pPr>
            <w:r/>
            <w:r>
              <w:t>R-02</w:t>
            </w:r>
          </w:p>
        </w:tc>
        <w:tc>
          <w:tcPr>
            <w:tcW w:w="2251" w:type="dxa"/>
            <w:vAlign w:val="center"/>
          </w:tcPr>
          <w:p>
            <w:pPr>
              <w:pStyle w:val="TableTextExample"/>
              <w:jc w:val="left"/>
            </w:pPr>
            <w:r/>
            <w:r>
              <w:t>Collapse of the anchored shoring to the 22 ft basement excavation, adjacent to the live hospital acute wing and a public sidewalk</w:t>
            </w:r>
          </w:p>
        </w:tc>
        <w:tc>
          <w:tcPr>
            <w:tcW w:w="1457" w:type="dxa"/>
            <w:vAlign w:val="center"/>
          </w:tcPr>
          <w:p>
            <w:pPr>
              <w:pStyle w:val="TableTextExample"/>
              <w:jc w:val="left"/>
            </w:pPr>
            <w:r/>
            <w:r>
              <w:t>Excavation crew; hospital occupants; public</w:t>
            </w:r>
          </w:p>
        </w:tc>
        <w:tc>
          <w:tcPr>
            <w:tcW w:w="1125" w:type="dxa"/>
            <w:vAlign w:val="center"/>
          </w:tcPr>
          <w:p>
            <w:pPr>
              <w:pStyle w:val="TableTextExample"/>
              <w:jc w:val="center"/>
            </w:pPr>
            <w:r/>
            <w:r>
              <w:t>3 × 5 = Extreme</w:t>
            </w:r>
          </w:p>
        </w:tc>
        <w:tc>
          <w:tcPr>
            <w:tcW w:w="4371" w:type="dxa"/>
            <w:vAlign w:val="center"/>
          </w:tcPr>
          <w:p>
            <w:pPr>
              <w:pStyle w:val="TableTextExample"/>
              <w:jc w:val="left"/>
            </w:pPr>
            <w:r/>
            <w:r>
              <w:t>Engineering: shoring designed and certified by a chartered geotechnical engineer, with instrumented deflection monitoring and trigger levels. Administrative: excavation permit; competent-person inspection each shift and after rain; surcharge exclusion zone marked and enforced; response plan at each trigger level. Isolation: no equipment within the zone of influence</w:t>
            </w:r>
          </w:p>
        </w:tc>
        <w:tc>
          <w:tcPr>
            <w:tcW w:w="1125" w:type="dxa"/>
            <w:vAlign w:val="center"/>
          </w:tcPr>
          <w:p>
            <w:pPr>
              <w:pStyle w:val="TableTextExample"/>
              <w:jc w:val="center"/>
            </w:pPr>
            <w:r/>
            <w:r>
              <w:t>2 × 5 = Extreme</w:t>
            </w:r>
          </w:p>
        </w:tc>
        <w:tc>
          <w:tcPr>
            <w:tcW w:w="1457" w:type="dxa"/>
            <w:vAlign w:val="center"/>
          </w:tcPr>
          <w:p>
            <w:pPr>
              <w:pStyle w:val="TableTextExample"/>
              <w:jc w:val="left"/>
            </w:pPr>
            <w:r/>
            <w:r>
              <w:t>Project Engineer (K. Novak)</w:t>
            </w:r>
          </w:p>
        </w:tc>
        <w:tc>
          <w:tcPr>
            <w:tcW w:w="2122" w:type="dxa"/>
            <w:vAlign w:val="center"/>
          </w:tcPr>
          <w:p>
            <w:pPr>
              <w:pStyle w:val="TableTextExample"/>
              <w:jc w:val="left"/>
            </w:pPr>
            <w:r/>
            <w:r>
              <w:t>Daily monitoring read and logged; weekly review against trigger levels by the designer; hold point before each excavation lift</w:t>
            </w:r>
          </w:p>
        </w:tc>
      </w:tr>
      <w:tr>
        <w:trPr>
          <w:cantSplit w:val="true"/>
        </w:trPr>
        <w:tc>
          <w:tcPr>
            <w:tcW w:w="662" w:type="dxa"/>
            <w:vAlign w:val="center"/>
          </w:tcPr>
          <w:p>
            <w:pPr>
              <w:pStyle w:val="TableTextExample"/>
              <w:jc w:val="center"/>
            </w:pPr>
            <w:r/>
            <w:r>
              <w:t>R-03</w:t>
            </w:r>
          </w:p>
        </w:tc>
        <w:tc>
          <w:tcPr>
            <w:tcW w:w="2251" w:type="dxa"/>
            <w:vAlign w:val="center"/>
          </w:tcPr>
          <w:p>
            <w:pPr>
              <w:pStyle w:val="TableTextExample"/>
              <w:jc w:val="left"/>
            </w:pPr>
            <w:r/>
            <w:r>
              <w:t>Contact with the live 11 kV feeder and the medical gas reticulation serving the existing acute wing during excavation and penetration work</w:t>
            </w:r>
          </w:p>
        </w:tc>
        <w:tc>
          <w:tcPr>
            <w:tcW w:w="1457" w:type="dxa"/>
            <w:vAlign w:val="center"/>
          </w:tcPr>
          <w:p>
            <w:pPr>
              <w:pStyle w:val="TableTextExample"/>
              <w:jc w:val="left"/>
            </w:pPr>
            <w:r/>
            <w:r>
              <w:t>Excavation crew; service crews; hospital occupants</w:t>
            </w:r>
          </w:p>
        </w:tc>
        <w:tc>
          <w:tcPr>
            <w:tcW w:w="1125" w:type="dxa"/>
            <w:vAlign w:val="center"/>
          </w:tcPr>
          <w:p>
            <w:pPr>
              <w:pStyle w:val="TableTextExample"/>
              <w:jc w:val="center"/>
            </w:pPr>
            <w:r/>
            <w:r>
              <w:t>3 × 5 = Extreme</w:t>
            </w:r>
          </w:p>
        </w:tc>
        <w:tc>
          <w:tcPr>
            <w:tcW w:w="4371" w:type="dxa"/>
            <w:vAlign w:val="center"/>
          </w:tcPr>
          <w:p>
            <w:pPr>
              <w:pStyle w:val="TableTextExample"/>
              <w:jc w:val="left"/>
            </w:pPr>
            <w:r/>
            <w:r>
              <w:t>Elimination: two services diverted outside the work zone before bulk excavation. Isolation: remaining services de-energised under lock-out/tag-out with the asset owner, or physically protected and marked. Administrative: penetration permit; service location by a competent person using as-built plans and electromagnetic location; hand excavation within 500 mm</w:t>
            </w:r>
          </w:p>
        </w:tc>
        <w:tc>
          <w:tcPr>
            <w:tcW w:w="1125" w:type="dxa"/>
            <w:vAlign w:val="center"/>
          </w:tcPr>
          <w:p>
            <w:pPr>
              <w:pStyle w:val="TableTextExample"/>
              <w:jc w:val="center"/>
            </w:pPr>
            <w:r/>
            <w:r>
              <w:t>2 × 4 = High</w:t>
            </w:r>
          </w:p>
        </w:tc>
        <w:tc>
          <w:tcPr>
            <w:tcW w:w="1457" w:type="dxa"/>
            <w:vAlign w:val="center"/>
          </w:tcPr>
          <w:p>
            <w:pPr>
              <w:pStyle w:val="TableTextExample"/>
              <w:jc w:val="left"/>
            </w:pPr>
            <w:r/>
            <w:r>
              <w:t>Site Manager (S. Haddad)</w:t>
            </w:r>
          </w:p>
        </w:tc>
        <w:tc>
          <w:tcPr>
            <w:tcW w:w="2122" w:type="dxa"/>
            <w:vAlign w:val="center"/>
          </w:tcPr>
          <w:p>
            <w:pPr>
              <w:pStyle w:val="TableTextExample"/>
              <w:jc w:val="left"/>
            </w:pPr>
            <w:r/>
            <w:r>
              <w:t>Permit sign-off per penetration; isolation certificate retained; asset owner attendance recorded</w:t>
            </w:r>
          </w:p>
        </w:tc>
      </w:tr>
      <w:tr>
        <w:trPr>
          <w:cantSplit w:val="true"/>
        </w:trPr>
        <w:tc>
          <w:tcPr>
            <w:tcW w:w="662" w:type="dxa"/>
            <w:vAlign w:val="center"/>
          </w:tcPr>
          <w:p>
            <w:pPr>
              <w:pStyle w:val="TableTextCentre"/>
              <w:jc w:val="center"/>
            </w:pPr>
            <w:r/>
          </w:p>
        </w:tc>
        <w:tc>
          <w:tcPr>
            <w:tcW w:w="2251" w:type="dxa"/>
            <w:vAlign w:val="center"/>
          </w:tcPr>
          <w:p>
            <w:pPr>
              <w:pStyle w:val="TableText"/>
              <w:jc w:val="left"/>
            </w:pPr>
            <w:r/>
          </w:p>
        </w:tc>
        <w:tc>
          <w:tcPr>
            <w:tcW w:w="1457" w:type="dxa"/>
            <w:vAlign w:val="center"/>
          </w:tcPr>
          <w:p>
            <w:pPr>
              <w:pStyle w:val="TableText"/>
              <w:jc w:val="left"/>
            </w:pPr>
            <w:r/>
          </w:p>
        </w:tc>
        <w:tc>
          <w:tcPr>
            <w:tcW w:w="1125" w:type="dxa"/>
            <w:vAlign w:val="center"/>
          </w:tcPr>
          <w:p>
            <w:pPr>
              <w:pStyle w:val="TableTextCentre"/>
              <w:jc w:val="center"/>
            </w:pPr>
            <w:r/>
          </w:p>
        </w:tc>
        <w:tc>
          <w:tcPr>
            <w:tcW w:w="4371" w:type="dxa"/>
            <w:vAlign w:val="center"/>
          </w:tcPr>
          <w:p>
            <w:pPr>
              <w:pStyle w:val="TableText"/>
              <w:jc w:val="left"/>
            </w:pPr>
            <w:r/>
          </w:p>
        </w:tc>
        <w:tc>
          <w:tcPr>
            <w:tcW w:w="1125" w:type="dxa"/>
            <w:vAlign w:val="center"/>
          </w:tcPr>
          <w:p>
            <w:pPr>
              <w:pStyle w:val="TableTextCentre"/>
              <w:jc w:val="center"/>
            </w:pPr>
            <w:r/>
          </w:p>
        </w:tc>
        <w:tc>
          <w:tcPr>
            <w:tcW w:w="1457" w:type="dxa"/>
            <w:vAlign w:val="center"/>
          </w:tcPr>
          <w:p>
            <w:pPr>
              <w:pStyle w:val="TableText"/>
              <w:jc w:val="left"/>
            </w:pPr>
            <w:r/>
          </w:p>
        </w:tc>
        <w:tc>
          <w:tcPr>
            <w:tcW w:w="2122" w:type="dxa"/>
            <w:vAlign w:val="center"/>
          </w:tcPr>
          <w:p>
            <w:pPr>
              <w:pStyle w:val="TableText"/>
              <w:jc w:val="left"/>
            </w:pPr>
            <w:r/>
          </w:p>
        </w:tc>
      </w:tr>
      <w:tr>
        <w:trPr>
          <w:cantSplit w:val="true"/>
        </w:trPr>
        <w:tc>
          <w:tcPr>
            <w:tcW w:w="662" w:type="dxa"/>
            <w:vAlign w:val="center"/>
          </w:tcPr>
          <w:p>
            <w:pPr>
              <w:pStyle w:val="TableTextCentre"/>
              <w:jc w:val="center"/>
            </w:pPr>
            <w:r/>
          </w:p>
        </w:tc>
        <w:tc>
          <w:tcPr>
            <w:tcW w:w="2251" w:type="dxa"/>
            <w:vAlign w:val="center"/>
          </w:tcPr>
          <w:p>
            <w:pPr>
              <w:pStyle w:val="TableText"/>
              <w:jc w:val="left"/>
            </w:pPr>
            <w:r/>
          </w:p>
        </w:tc>
        <w:tc>
          <w:tcPr>
            <w:tcW w:w="1457" w:type="dxa"/>
            <w:vAlign w:val="center"/>
          </w:tcPr>
          <w:p>
            <w:pPr>
              <w:pStyle w:val="TableText"/>
              <w:jc w:val="left"/>
            </w:pPr>
            <w:r/>
          </w:p>
        </w:tc>
        <w:tc>
          <w:tcPr>
            <w:tcW w:w="1125" w:type="dxa"/>
            <w:vAlign w:val="center"/>
          </w:tcPr>
          <w:p>
            <w:pPr>
              <w:pStyle w:val="TableTextCentre"/>
              <w:jc w:val="center"/>
            </w:pPr>
            <w:r/>
          </w:p>
        </w:tc>
        <w:tc>
          <w:tcPr>
            <w:tcW w:w="4371" w:type="dxa"/>
            <w:vAlign w:val="center"/>
          </w:tcPr>
          <w:p>
            <w:pPr>
              <w:pStyle w:val="TableText"/>
              <w:jc w:val="left"/>
            </w:pPr>
            <w:r/>
          </w:p>
        </w:tc>
        <w:tc>
          <w:tcPr>
            <w:tcW w:w="1125" w:type="dxa"/>
            <w:vAlign w:val="center"/>
          </w:tcPr>
          <w:p>
            <w:pPr>
              <w:pStyle w:val="TableTextCentre"/>
              <w:jc w:val="center"/>
            </w:pPr>
            <w:r/>
          </w:p>
        </w:tc>
        <w:tc>
          <w:tcPr>
            <w:tcW w:w="1457" w:type="dxa"/>
            <w:vAlign w:val="center"/>
          </w:tcPr>
          <w:p>
            <w:pPr>
              <w:pStyle w:val="TableText"/>
              <w:jc w:val="left"/>
            </w:pPr>
            <w:r/>
          </w:p>
        </w:tc>
        <w:tc>
          <w:tcPr>
            <w:tcW w:w="2122" w:type="dxa"/>
            <w:vAlign w:val="center"/>
          </w:tcPr>
          <w:p>
            <w:pPr>
              <w:pStyle w:val="TableText"/>
              <w:jc w:val="left"/>
            </w:pPr>
            <w:r/>
          </w:p>
        </w:tc>
      </w:tr>
    </w:tbl>
    <w:p>
      <w:pPr>
        <w:spacing w:before="0" w:after="0" w:line="60" w:lineRule="exact"/>
      </w:pPr>
    </w:p>
    <w:p>
      <w:pPr>
        <w:sectPr>
          <w:headerReference w:type="default" r:id="rId13"/>
          <w:footerReference w:type="default" r:id="rId14"/>
          <w:pgSz w:w="16838" w:h="11906" w:orient="landscape"/>
          <w:pgMar w:top="964" w:right="1134" w:bottom="794" w:left="1134" w:header="482" w:footer="454" w:gutter="0"/>
          <w:cols w:space="720"/>
        </w:sectPr>
      </w:pPr>
    </w:p>
    <w:p>
      <w:pPr>
        <w:pStyle w:val="Heading1"/>
      </w:pPr>
      <w:bookmarkStart w:id="9038" w:name="_Toc90038"/>
      <w:r>
        <w:t>7. High-Hazard Work and Permits</w:t>
      </w:r>
      <w:bookmarkEnd w:id="9038"/>
    </w:p>
    <w:p>
      <w:pPr>
        <w:pStyle w:val="BodyLead"/>
      </w:pPr>
      <w:r>
        <w:t>Complete the "on this project" column honestly and at the start. OSHA does not publish a single list of high-hazard construction activities the way some countries do; the triggers are spread across the subparts of 29 CFR 1926, and each brings its own written program, competent person, training or permit duty. The table below screens for them in one place. An activity that appears later without being screened is how a project finds itself working without the written program or the qualified operator the standard requires. Re-screen at every change of scope.</w:t>
      </w:r>
    </w:p>
    <w:p>
      <w:pPr>
        <w:pStyle w:val="Heading2"/>
      </w:pPr>
      <w:bookmarkStart w:id="9039" w:name="_Toc90039"/>
      <w:r>
        <w:t>7.1 High-hazard activity screening</w:t>
      </w:r>
      <w:bookmarkEnd w:id="9039"/>
    </w:p>
    <w:p>
      <w:pPr>
        <w:pStyle w:val="Note"/>
      </w:pPr>
      <w:r>
        <w:t>The "on this project" column is completed for the worked example — a hospital campus with steel erection, deep excavation and a live-hospital interface. Overwrite every entry before use. Where any category is Yes, the CFR citation shown is the operative standard: read it, because most of them carry a written program, a competent or qualified person, or a training duty that must be discharged before the activity starts, not after.</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831"/>
        <w:gridCol w:w="963"/>
        <w:gridCol w:w="1831"/>
        <w:gridCol w:w="1638"/>
        <w:gridCol w:w="1734"/>
        <w:gridCol w:w="1641"/>
      </w:tblGrid>
      <w:tr>
        <w:trPr>
          <w:tblHeader w:val="true"/>
          <w:cantSplit w:val="true"/>
        </w:trPr>
        <w:tc>
          <w:tcPr>
            <w:tcW w:w="3" w:type="dxa"/>
            <w:shd w:val="clear" w:color="auto" w:fill="1D3245"/>
            <w:vAlign w:val="center"/>
          </w:tcPr>
          <w:p>
            <w:pPr>
              <w:pStyle w:val="TableHeader"/>
              <w:jc w:val="left"/>
            </w:pPr>
            <w:r>
              <w:t>Trigger activity</w:t>
            </w:r>
            <w:r/>
          </w:p>
        </w:tc>
        <w:tc>
          <w:tcPr>
            <w:tcW w:w="2" w:type="dxa"/>
            <w:shd w:val="clear" w:color="auto" w:fill="1D3245"/>
            <w:vAlign w:val="center"/>
          </w:tcPr>
          <w:p>
            <w:pPr>
              <w:pStyle w:val="TableHeader"/>
              <w:jc w:val="center"/>
            </w:pPr>
            <w:r>
              <w:t>On this project</w:t>
            </w:r>
            <w:r/>
          </w:p>
        </w:tc>
        <w:tc>
          <w:tcPr>
            <w:tcW w:w="3" w:type="dxa"/>
            <w:shd w:val="clear" w:color="auto" w:fill="1D3245"/>
            <w:vAlign w:val="center"/>
          </w:tcPr>
          <w:p>
            <w:pPr>
              <w:pStyle w:val="TableHeader"/>
              <w:jc w:val="center"/>
            </w:pPr>
            <w:r>
              <w:t>Governing standard</w:t>
            </w:r>
            <w:r/>
          </w:p>
        </w:tc>
        <w:tc>
          <w:tcPr>
            <w:tcW w:w="3" w:type="dxa"/>
            <w:shd w:val="clear" w:color="auto" w:fill="1D3245"/>
            <w:vAlign w:val="center"/>
          </w:tcPr>
          <w:p>
            <w:pPr>
              <w:pStyle w:val="TableHeader"/>
              <w:jc w:val="left"/>
            </w:pPr>
            <w:r>
              <w:t>Written program, permit or plan required</w:t>
            </w:r>
            <w:r/>
          </w:p>
        </w:tc>
        <w:tc>
          <w:tcPr>
            <w:tcW w:w="3" w:type="dxa"/>
            <w:shd w:val="clear" w:color="auto" w:fill="1D3245"/>
            <w:vAlign w:val="center"/>
          </w:tcPr>
          <w:p>
            <w:pPr>
              <w:pStyle w:val="TableHeader"/>
              <w:jc w:val="left"/>
            </w:pPr>
            <w:r>
              <w:t>Competent or qualified person required</w:t>
            </w:r>
            <w:r/>
          </w:p>
        </w:tc>
        <w:tc>
          <w:tcPr>
            <w:tcW w:w="3" w:type="dxa"/>
            <w:shd w:val="clear" w:color="auto" w:fill="1D3245"/>
            <w:vAlign w:val="center"/>
          </w:tcPr>
          <w:p>
            <w:pPr>
              <w:pStyle w:val="TableHeader"/>
              <w:jc w:val="left"/>
            </w:pPr>
            <w:r>
              <w:t>Verification before and during work</w:t>
            </w:r>
            <w:r/>
          </w:p>
        </w:tc>
      </w:tr>
      <w:tr>
        <w:trPr>
          <w:cantSplit w:val="true"/>
        </w:trPr>
        <w:tc>
          <w:tcPr>
            <w:tcW w:w="3" w:type="dxa"/>
            <w:vAlign w:val="center"/>
          </w:tcPr>
          <w:p>
            <w:pPr>
              <w:pStyle w:val="TableTextBold"/>
              <w:jc w:val="left"/>
            </w:pPr>
            <w:r>
              <w:t>Work with a fall exposure of 6 feet or more to a lower level</w:t>
            </w:r>
            <w:r/>
          </w:p>
        </w:tc>
        <w:tc>
          <w:tcPr>
            <w:tcW w:w="2" w:type="dxa"/>
            <w:vAlign w:val="center"/>
          </w:tcPr>
          <w:p>
            <w:pPr>
              <w:pStyle w:val="TableTextCentre"/>
              <w:jc w:val="center"/>
            </w:pPr>
            <w:r>
              <w:t>Yes</w:t>
            </w:r>
            <w:r/>
          </w:p>
        </w:tc>
        <w:tc>
          <w:tcPr>
            <w:tcW w:w="3" w:type="dxa"/>
            <w:vAlign w:val="center"/>
          </w:tcPr>
          <w:p>
            <w:pPr>
              <w:pStyle w:val="TableTextCentre"/>
              <w:jc w:val="center"/>
            </w:pPr>
            <w:r>
              <w:t>1926 Subpart M — 1926.501(b)(1); steel erection 1926.760 at 15 ft; scaffolds 1926.451(g) at 10 ft</w:t>
            </w:r>
            <w:r/>
          </w:p>
        </w:tc>
        <w:tc>
          <w:tcPr>
            <w:tcW w:w="3" w:type="dxa"/>
            <w:vAlign w:val="center"/>
          </w:tcPr>
          <w:p>
            <w:pPr>
              <w:pStyle w:val="TableText"/>
              <w:jc w:val="left"/>
            </w:pPr>
            <w:r>
              <w:t>Fall protection plan only where conventional protection is infeasible — 1926.502(k)</w:t>
            </w:r>
            <w:r/>
          </w:p>
        </w:tc>
        <w:tc>
          <w:tcPr>
            <w:tcW w:w="3" w:type="dxa"/>
            <w:vAlign w:val="center"/>
          </w:tcPr>
          <w:p>
            <w:pPr>
              <w:pStyle w:val="TableText"/>
              <w:jc w:val="left"/>
            </w:pPr>
            <w:r>
              <w:t>Competent person for fall protection plans and scaffold inspection</w:t>
            </w:r>
            <w:r/>
          </w:p>
        </w:tc>
        <w:tc>
          <w:tcPr>
            <w:tcW w:w="3" w:type="dxa"/>
            <w:vAlign w:val="center"/>
          </w:tcPr>
          <w:p>
            <w:pPr>
              <w:pStyle w:val="TableText"/>
              <w:jc w:val="left"/>
            </w:pPr>
            <w:r>
              <w:t>Guardrails and anchor points checked each shift; plan sighted before work</w:t>
            </w:r>
            <w:r/>
          </w:p>
        </w:tc>
      </w:tr>
      <w:tr>
        <w:trPr>
          <w:cantSplit w:val="true"/>
        </w:trPr>
        <w:tc>
          <w:tcPr>
            <w:tcW w:w="3" w:type="dxa"/>
            <w:vAlign w:val="center"/>
          </w:tcPr>
          <w:p>
            <w:pPr>
              <w:pStyle w:val="TableTextBold"/>
              <w:jc w:val="left"/>
            </w:pPr>
            <w:r>
              <w:t>Excavation or trench 5 feet or deeper, and any excavation a competent person judges hazardous</w:t>
            </w:r>
            <w:r/>
          </w:p>
        </w:tc>
        <w:tc>
          <w:tcPr>
            <w:tcW w:w="2" w:type="dxa"/>
            <w:vAlign w:val="center"/>
          </w:tcPr>
          <w:p>
            <w:pPr>
              <w:pStyle w:val="TableTextCentre"/>
              <w:jc w:val="center"/>
            </w:pPr>
            <w:r>
              <w:t>Yes</w:t>
            </w:r>
            <w:r/>
          </w:p>
        </w:tc>
        <w:tc>
          <w:tcPr>
            <w:tcW w:w="3" w:type="dxa"/>
            <w:vAlign w:val="center"/>
          </w:tcPr>
          <w:p>
            <w:pPr>
              <w:pStyle w:val="TableTextCentre"/>
              <w:jc w:val="center"/>
            </w:pPr>
            <w:r>
              <w:t>1926 Subpart P — 1926.651, 1926.652</w:t>
            </w:r>
            <w:r/>
          </w:p>
        </w:tc>
        <w:tc>
          <w:tcPr>
            <w:tcW w:w="3" w:type="dxa"/>
            <w:vAlign w:val="center"/>
          </w:tcPr>
          <w:p>
            <w:pPr>
              <w:pStyle w:val="TableText"/>
              <w:jc w:val="left"/>
            </w:pPr>
            <w:r>
              <w:t>Protective system designed per 1926.652; registered professional engineer's design above 20 ft</w:t>
            </w:r>
            <w:r/>
          </w:p>
        </w:tc>
        <w:tc>
          <w:tcPr>
            <w:tcW w:w="3" w:type="dxa"/>
            <w:vAlign w:val="center"/>
          </w:tcPr>
          <w:p>
            <w:pPr>
              <w:pStyle w:val="TableText"/>
              <w:jc w:val="left"/>
            </w:pPr>
            <w:r>
              <w:t>Competent person — daily inspections before each shift, after rain and after any hazard-increasing event; authority to remove workers</w:t>
            </w:r>
            <w:r/>
          </w:p>
        </w:tc>
        <w:tc>
          <w:tcPr>
            <w:tcW w:w="3" w:type="dxa"/>
            <w:vAlign w:val="center"/>
          </w:tcPr>
          <w:p>
            <w:pPr>
              <w:pStyle w:val="TableText"/>
              <w:jc w:val="left"/>
            </w:pPr>
            <w:r>
              <w:t>Daily competent-person inspection recorded; soil classification; access within 25 ft</w:t>
            </w:r>
            <w:r/>
          </w:p>
        </w:tc>
      </w:tr>
      <w:tr>
        <w:trPr>
          <w:cantSplit w:val="true"/>
        </w:trPr>
        <w:tc>
          <w:tcPr>
            <w:tcW w:w="3" w:type="dxa"/>
            <w:vAlign w:val="center"/>
          </w:tcPr>
          <w:p>
            <w:pPr>
              <w:pStyle w:val="TableTextBold"/>
              <w:jc w:val="left"/>
            </w:pPr>
            <w:r>
              <w:t>Entry into a confined space</w:t>
            </w:r>
            <w:r/>
          </w:p>
        </w:tc>
        <w:tc>
          <w:tcPr>
            <w:tcW w:w="2" w:type="dxa"/>
            <w:vAlign w:val="center"/>
          </w:tcPr>
          <w:p>
            <w:pPr>
              <w:pStyle w:val="TableTextCentre"/>
              <w:jc w:val="center"/>
            </w:pPr>
            <w:r>
              <w:t>No</w:t>
            </w:r>
            <w:r/>
          </w:p>
        </w:tc>
        <w:tc>
          <w:tcPr>
            <w:tcW w:w="3" w:type="dxa"/>
            <w:vAlign w:val="center"/>
          </w:tcPr>
          <w:p>
            <w:pPr>
              <w:pStyle w:val="TableTextCentre"/>
              <w:jc w:val="center"/>
            </w:pPr>
            <w:r>
              <w:t>1926 Subpart AA — 1926.1200–.1213</w:t>
            </w:r>
            <w:r/>
          </w:p>
        </w:tc>
        <w:tc>
          <w:tcPr>
            <w:tcW w:w="3" w:type="dxa"/>
            <w:vAlign w:val="center"/>
          </w:tcPr>
          <w:p>
            <w:pPr>
              <w:pStyle w:val="TableText"/>
              <w:jc w:val="left"/>
            </w:pPr>
            <w:r>
              <w:t>Written permit space program; entry permit for each entry</w:t>
            </w:r>
            <w:r/>
          </w:p>
        </w:tc>
        <w:tc>
          <w:tcPr>
            <w:tcW w:w="3" w:type="dxa"/>
            <w:vAlign w:val="center"/>
          </w:tcPr>
          <w:p>
            <w:pPr>
              <w:pStyle w:val="TableText"/>
              <w:jc w:val="left"/>
            </w:pPr>
            <w:r>
              <w:t>Entry supervisor, attendant and authorized entrants, all trained; rescue service confirmed before entry</w:t>
            </w:r>
            <w:r/>
          </w:p>
        </w:tc>
        <w:tc>
          <w:tcPr>
            <w:tcW w:w="3" w:type="dxa"/>
            <w:vAlign w:val="center"/>
          </w:tcPr>
          <w:p>
            <w:pPr>
              <w:pStyle w:val="TableText"/>
              <w:jc w:val="left"/>
            </w:pPr>
            <w:r>
              <w:t>Atmospheric testing logged; permit posted; rescue capability verified</w:t>
            </w:r>
            <w:r/>
          </w:p>
        </w:tc>
      </w:tr>
      <w:tr>
        <w:trPr>
          <w:cantSplit w:val="true"/>
        </w:trPr>
        <w:tc>
          <w:tcPr>
            <w:tcW w:w="3" w:type="dxa"/>
            <w:vAlign w:val="center"/>
          </w:tcPr>
          <w:p>
            <w:pPr>
              <w:pStyle w:val="TableTextBold"/>
              <w:jc w:val="left"/>
            </w:pPr>
            <w:r>
              <w:t>Demolition of any structure</w:t>
            </w:r>
            <w:r/>
          </w:p>
        </w:tc>
        <w:tc>
          <w:tcPr>
            <w:tcW w:w="2" w:type="dxa"/>
            <w:vAlign w:val="center"/>
          </w:tcPr>
          <w:p>
            <w:pPr>
              <w:pStyle w:val="TableTextCentre"/>
              <w:jc w:val="center"/>
            </w:pPr>
            <w:r>
              <w:t>No</w:t>
            </w:r>
            <w:r/>
          </w:p>
        </w:tc>
        <w:tc>
          <w:tcPr>
            <w:tcW w:w="3" w:type="dxa"/>
            <w:vAlign w:val="center"/>
          </w:tcPr>
          <w:p>
            <w:pPr>
              <w:pStyle w:val="TableTextCentre"/>
              <w:jc w:val="center"/>
            </w:pPr>
            <w:r>
              <w:t>1926 Subpart T — 1926.850(a)</w:t>
            </w:r>
            <w:r/>
          </w:p>
        </w:tc>
        <w:tc>
          <w:tcPr>
            <w:tcW w:w="3" w:type="dxa"/>
            <w:vAlign w:val="center"/>
          </w:tcPr>
          <w:p>
            <w:pPr>
              <w:pStyle w:val="TableText"/>
              <w:jc w:val="left"/>
            </w:pPr>
            <w:r>
              <w:t>Written engineering survey before work starts — the standard requires written evidence that the survey was performed</w:t>
            </w:r>
            <w:r/>
          </w:p>
        </w:tc>
        <w:tc>
          <w:tcPr>
            <w:tcW w:w="3" w:type="dxa"/>
            <w:vAlign w:val="center"/>
          </w:tcPr>
          <w:p>
            <w:pPr>
              <w:pStyle w:val="TableText"/>
              <w:jc w:val="left"/>
            </w:pPr>
            <w:r>
              <w:t>Competent person to conduct the engineering survey</w:t>
            </w:r>
            <w:r/>
          </w:p>
        </w:tc>
        <w:tc>
          <w:tcPr>
            <w:tcW w:w="3" w:type="dxa"/>
            <w:vAlign w:val="center"/>
          </w:tcPr>
          <w:p>
            <w:pPr>
              <w:pStyle w:val="TableText"/>
              <w:jc w:val="left"/>
            </w:pPr>
            <w:r>
              <w:t>Survey sighted and filed; utility shut-off confirmed in writing</w:t>
            </w:r>
            <w:r/>
          </w:p>
        </w:tc>
      </w:tr>
      <w:tr>
        <w:trPr>
          <w:cantSplit w:val="true"/>
        </w:trPr>
        <w:tc>
          <w:tcPr>
            <w:tcW w:w="3" w:type="dxa"/>
            <w:vAlign w:val="center"/>
          </w:tcPr>
          <w:p>
            <w:pPr>
              <w:pStyle w:val="TableTextBold"/>
              <w:jc w:val="left"/>
            </w:pPr>
            <w:r>
              <w:t>Asbestos, lead or other regulated material disturbed</w:t>
            </w:r>
            <w:r/>
          </w:p>
        </w:tc>
        <w:tc>
          <w:tcPr>
            <w:tcW w:w="2" w:type="dxa"/>
            <w:vAlign w:val="center"/>
          </w:tcPr>
          <w:p>
            <w:pPr>
              <w:pStyle w:val="TableTextCentre"/>
              <w:jc w:val="center"/>
            </w:pPr>
            <w:r>
              <w:t>No</w:t>
            </w:r>
            <w:r/>
          </w:p>
        </w:tc>
        <w:tc>
          <w:tcPr>
            <w:tcW w:w="3" w:type="dxa"/>
            <w:vAlign w:val="center"/>
          </w:tcPr>
          <w:p>
            <w:pPr>
              <w:pStyle w:val="TableTextCentre"/>
              <w:jc w:val="center"/>
            </w:pPr>
            <w:r>
              <w:t>Asbestos 1926.1101; lead 1926.62; cadmium 1926.1127</w:t>
            </w:r>
            <w:r/>
          </w:p>
        </w:tc>
        <w:tc>
          <w:tcPr>
            <w:tcW w:w="3" w:type="dxa"/>
            <w:vAlign w:val="center"/>
          </w:tcPr>
          <w:p>
            <w:pPr>
              <w:pStyle w:val="TableText"/>
              <w:jc w:val="left"/>
            </w:pPr>
            <w:r>
              <w:t>Written compliance program; negative exposure assessment or exposure monitoring; notification where required</w:t>
            </w:r>
            <w:r/>
          </w:p>
        </w:tc>
        <w:tc>
          <w:tcPr>
            <w:tcW w:w="3" w:type="dxa"/>
            <w:vAlign w:val="center"/>
          </w:tcPr>
          <w:p>
            <w:pPr>
              <w:pStyle w:val="TableText"/>
              <w:jc w:val="left"/>
            </w:pPr>
            <w:r>
              <w:t>Competent person for asbestos; certified supervisor and workers</w:t>
            </w:r>
            <w:r/>
          </w:p>
        </w:tc>
        <w:tc>
          <w:tcPr>
            <w:tcW w:w="3" w:type="dxa"/>
            <w:vAlign w:val="center"/>
          </w:tcPr>
          <w:p>
            <w:pPr>
              <w:pStyle w:val="TableText"/>
              <w:jc w:val="left"/>
            </w:pPr>
            <w:r>
              <w:t>Clearance results; air monitoring; register updated</w:t>
            </w:r>
            <w:r/>
          </w:p>
        </w:tc>
      </w:tr>
      <w:tr>
        <w:trPr>
          <w:cantSplit w:val="true"/>
        </w:trPr>
        <w:tc>
          <w:tcPr>
            <w:tcW w:w="3" w:type="dxa"/>
            <w:vAlign w:val="center"/>
          </w:tcPr>
          <w:p>
            <w:pPr>
              <w:pStyle w:val="TableTextBold"/>
              <w:jc w:val="left"/>
            </w:pPr>
            <w:r>
              <w:t>Silica-generating work — cutting, grinding, drilling, milling or crushing concrete, masonry, stone or engineered materials</w:t>
            </w:r>
            <w:r/>
          </w:p>
        </w:tc>
        <w:tc>
          <w:tcPr>
            <w:tcW w:w="2" w:type="dxa"/>
            <w:vAlign w:val="center"/>
          </w:tcPr>
          <w:p>
            <w:pPr>
              <w:pStyle w:val="TableTextCentre"/>
              <w:jc w:val="center"/>
            </w:pPr>
            <w:r>
              <w:t>Yes</w:t>
            </w:r>
            <w:r/>
          </w:p>
        </w:tc>
        <w:tc>
          <w:tcPr>
            <w:tcW w:w="3" w:type="dxa"/>
            <w:vAlign w:val="center"/>
          </w:tcPr>
          <w:p>
            <w:pPr>
              <w:pStyle w:val="TableTextCentre"/>
              <w:jc w:val="center"/>
            </w:pPr>
            <w:r>
              <w:t>1926.1153 — PEL 50 µg/m³ 8-hr TWA, action level 25 µg/m³</w:t>
            </w:r>
            <w:r/>
          </w:p>
        </w:tc>
        <w:tc>
          <w:tcPr>
            <w:tcW w:w="3" w:type="dxa"/>
            <w:vAlign w:val="center"/>
          </w:tcPr>
          <w:p>
            <w:pPr>
              <w:pStyle w:val="TableText"/>
              <w:jc w:val="left"/>
            </w:pPr>
            <w:r>
              <w:t>Written exposure control plan, reviewed at least annually — 1926.1153(g); Table 1 controls fully implemented, or an exposure assessment under (d)</w:t>
            </w:r>
            <w:r/>
          </w:p>
        </w:tc>
        <w:tc>
          <w:tcPr>
            <w:tcW w:w="3" w:type="dxa"/>
            <w:vAlign w:val="center"/>
          </w:tcPr>
          <w:p>
            <w:pPr>
              <w:pStyle w:val="TableText"/>
              <w:jc w:val="left"/>
            </w:pPr>
            <w:r>
              <w:t>Competent person designated to make frequent and regular inspections implementing the plan — 1926.1153(g)(4)</w:t>
            </w:r>
            <w:r/>
          </w:p>
        </w:tc>
        <w:tc>
          <w:tcPr>
            <w:tcW w:w="3" w:type="dxa"/>
            <w:vAlign w:val="center"/>
          </w:tcPr>
          <w:p>
            <w:pPr>
              <w:pStyle w:val="TableText"/>
              <w:jc w:val="left"/>
            </w:pPr>
            <w:r>
              <w:t>Table 1 method confirmed per task; water or on-tool extraction verified each shift</w:t>
            </w:r>
            <w:r/>
          </w:p>
        </w:tc>
      </w:tr>
      <w:tr>
        <w:trPr>
          <w:cantSplit w:val="true"/>
        </w:trPr>
        <w:tc>
          <w:tcPr>
            <w:tcW w:w="3" w:type="dxa"/>
            <w:vAlign w:val="center"/>
          </w:tcPr>
          <w:p>
            <w:pPr>
              <w:pStyle w:val="TableTextBold"/>
              <w:jc w:val="left"/>
            </w:pPr>
            <w:r>
              <w:t>Powered mobile equipment operating where workers are on foot</w:t>
            </w:r>
            <w:r/>
          </w:p>
        </w:tc>
        <w:tc>
          <w:tcPr>
            <w:tcW w:w="2" w:type="dxa"/>
            <w:vAlign w:val="center"/>
          </w:tcPr>
          <w:p>
            <w:pPr>
              <w:pStyle w:val="TableTextCentre"/>
              <w:jc w:val="center"/>
            </w:pPr>
            <w:r>
              <w:t>Yes</w:t>
            </w:r>
            <w:r/>
          </w:p>
        </w:tc>
        <w:tc>
          <w:tcPr>
            <w:tcW w:w="3" w:type="dxa"/>
            <w:vAlign w:val="center"/>
          </w:tcPr>
          <w:p>
            <w:pPr>
              <w:pStyle w:val="TableTextCentre"/>
              <w:jc w:val="center"/>
            </w:pPr>
            <w:r>
              <w:t>1926 Subpart O — 1926.600–.602; 1926.201 flaggers</w:t>
            </w:r>
            <w:r/>
          </w:p>
        </w:tc>
        <w:tc>
          <w:tcPr>
            <w:tcW w:w="3" w:type="dxa"/>
            <w:vAlign w:val="center"/>
          </w:tcPr>
          <w:p>
            <w:pPr>
              <w:pStyle w:val="TableText"/>
              <w:jc w:val="left"/>
            </w:pPr>
            <w:r>
              <w:t>Internal traffic control plan; site-specific separation plan</w:t>
            </w:r>
            <w:r/>
          </w:p>
        </w:tc>
        <w:tc>
          <w:tcPr>
            <w:tcW w:w="3" w:type="dxa"/>
            <w:vAlign w:val="center"/>
          </w:tcPr>
          <w:p>
            <w:pPr>
              <w:pStyle w:val="TableText"/>
              <w:jc w:val="left"/>
            </w:pPr>
            <w:r>
              <w:t>Designated flaggers trained; qualified operators</w:t>
            </w:r>
            <w:r/>
          </w:p>
        </w:tc>
        <w:tc>
          <w:tcPr>
            <w:tcW w:w="3" w:type="dxa"/>
            <w:vAlign w:val="center"/>
          </w:tcPr>
          <w:p>
            <w:pPr>
              <w:pStyle w:val="TableText"/>
              <w:jc w:val="left"/>
            </w:pPr>
            <w:r>
              <w:t>Pre-start records; separation plan checked daily; spotter posted for blind-side movement</w:t>
            </w:r>
            <w:r/>
          </w:p>
        </w:tc>
      </w:tr>
      <w:tr>
        <w:trPr>
          <w:cantSplit w:val="true"/>
        </w:trPr>
        <w:tc>
          <w:tcPr>
            <w:tcW w:w="3" w:type="dxa"/>
            <w:vAlign w:val="center"/>
          </w:tcPr>
          <w:p>
            <w:pPr>
              <w:pStyle w:val="TableTextBold"/>
              <w:jc w:val="left"/>
            </w:pPr>
            <w:r>
              <w:t>Crane, derrick or hoist operations</w:t>
            </w:r>
            <w:r/>
          </w:p>
        </w:tc>
        <w:tc>
          <w:tcPr>
            <w:tcW w:w="2" w:type="dxa"/>
            <w:vAlign w:val="center"/>
          </w:tcPr>
          <w:p>
            <w:pPr>
              <w:pStyle w:val="TableTextCentre"/>
              <w:jc w:val="center"/>
            </w:pPr>
            <w:r>
              <w:t>Yes</w:t>
            </w:r>
            <w:r/>
          </w:p>
        </w:tc>
        <w:tc>
          <w:tcPr>
            <w:tcW w:w="3" w:type="dxa"/>
            <w:vAlign w:val="center"/>
          </w:tcPr>
          <w:p>
            <w:pPr>
              <w:pStyle w:val="TableTextCentre"/>
              <w:jc w:val="center"/>
            </w:pPr>
            <w:r>
              <w:t>1926 Subpart CC — 1926.1400–.1443</w:t>
            </w:r>
            <w:r/>
          </w:p>
        </w:tc>
        <w:tc>
          <w:tcPr>
            <w:tcW w:w="3" w:type="dxa"/>
            <w:vAlign w:val="center"/>
          </w:tcPr>
          <w:p>
            <w:pPr>
              <w:pStyle w:val="TableText"/>
              <w:jc w:val="left"/>
            </w:pPr>
            <w:r>
              <w:t>Ground conditions confirmed in writing by the controlling entity — 1926.1402(e); lift plan for critical or multi-crane lifts</w:t>
            </w:r>
            <w:r/>
          </w:p>
        </w:tc>
        <w:tc>
          <w:tcPr>
            <w:tcW w:w="3" w:type="dxa"/>
            <w:vAlign w:val="center"/>
          </w:tcPr>
          <w:p>
            <w:pPr>
              <w:pStyle w:val="TableText"/>
              <w:jc w:val="left"/>
            </w:pPr>
            <w:r>
              <w:t>Certified crane operator plus the employer's own evaluation — 1926.1427; qualified rigger and signal person; A/D director meeting both competent AND qualified criteria</w:t>
            </w:r>
            <w:r/>
          </w:p>
        </w:tc>
        <w:tc>
          <w:tcPr>
            <w:tcW w:w="3" w:type="dxa"/>
            <w:vAlign w:val="center"/>
          </w:tcPr>
          <w:p>
            <w:pPr>
              <w:pStyle w:val="TableText"/>
              <w:jc w:val="left"/>
            </w:pPr>
            <w:r>
              <w:t>Shift and monthly inspections; power line clearance confirmed; lift plan approved</w:t>
            </w:r>
            <w:r/>
          </w:p>
        </w:tc>
      </w:tr>
      <w:tr>
        <w:trPr>
          <w:cantSplit w:val="true"/>
        </w:trPr>
        <w:tc>
          <w:tcPr>
            <w:tcW w:w="3" w:type="dxa"/>
            <w:vAlign w:val="center"/>
          </w:tcPr>
          <w:p>
            <w:pPr>
              <w:pStyle w:val="TableTextBold"/>
              <w:jc w:val="left"/>
            </w:pPr>
            <w:r>
              <w:t>Work on or near energized electrical equipment or power lines</w:t>
            </w:r>
            <w:r/>
          </w:p>
        </w:tc>
        <w:tc>
          <w:tcPr>
            <w:tcW w:w="2" w:type="dxa"/>
            <w:vAlign w:val="center"/>
          </w:tcPr>
          <w:p>
            <w:pPr>
              <w:pStyle w:val="TableTextCentre"/>
              <w:jc w:val="center"/>
            </w:pPr>
            <w:r>
              <w:t>Yes</w:t>
            </w:r>
            <w:r/>
          </w:p>
        </w:tc>
        <w:tc>
          <w:tcPr>
            <w:tcW w:w="3" w:type="dxa"/>
            <w:vAlign w:val="center"/>
          </w:tcPr>
          <w:p>
            <w:pPr>
              <w:pStyle w:val="TableTextCentre"/>
              <w:jc w:val="center"/>
            </w:pPr>
            <w:r>
              <w:t>1926 Subpart K — 1926.416, 1926.417; overhead lines 1926.1408 for cranes</w:t>
            </w:r>
            <w:r/>
          </w:p>
        </w:tc>
        <w:tc>
          <w:tcPr>
            <w:tcW w:w="3" w:type="dxa"/>
            <w:vAlign w:val="center"/>
          </w:tcPr>
          <w:p>
            <w:pPr>
              <w:pStyle w:val="TableText"/>
              <w:jc w:val="left"/>
            </w:pPr>
            <w:r>
              <w:t>Energy control procedure; assured equipment grounding conductor program or GFCI — 1926.404(b)(1)</w:t>
            </w:r>
            <w:r/>
          </w:p>
        </w:tc>
        <w:tc>
          <w:tcPr>
            <w:tcW w:w="3" w:type="dxa"/>
            <w:vAlign w:val="center"/>
          </w:tcPr>
          <w:p>
            <w:pPr>
              <w:pStyle w:val="TableText"/>
              <w:jc w:val="left"/>
            </w:pPr>
            <w:r>
              <w:t>Qualified person for energized work; competent person for the grounding program</w:t>
            </w:r>
            <w:r/>
          </w:p>
        </w:tc>
        <w:tc>
          <w:tcPr>
            <w:tcW w:w="3" w:type="dxa"/>
            <w:vAlign w:val="center"/>
          </w:tcPr>
          <w:p>
            <w:pPr>
              <w:pStyle w:val="TableText"/>
              <w:jc w:val="left"/>
            </w:pPr>
            <w:r>
              <w:t>Isolation and verification recorded; test before touch; clearance distances maintained</w:t>
            </w:r>
            <w:r/>
          </w:p>
        </w:tc>
      </w:tr>
      <w:tr>
        <w:trPr>
          <w:cantSplit w:val="true"/>
        </w:trPr>
        <w:tc>
          <w:tcPr>
            <w:tcW w:w="3" w:type="dxa"/>
            <w:vAlign w:val="center"/>
          </w:tcPr>
          <w:p>
            <w:pPr>
              <w:pStyle w:val="TableTextBold"/>
              <w:jc w:val="left"/>
            </w:pPr>
            <w:r>
              <w:t>Work on or near underground or overhead utilities and pressurized systems</w:t>
            </w:r>
            <w:r/>
          </w:p>
        </w:tc>
        <w:tc>
          <w:tcPr>
            <w:tcW w:w="2" w:type="dxa"/>
            <w:vAlign w:val="center"/>
          </w:tcPr>
          <w:p>
            <w:pPr>
              <w:pStyle w:val="TableTextCentre"/>
              <w:jc w:val="center"/>
            </w:pPr>
            <w:r>
              <w:t>Yes</w:t>
            </w:r>
            <w:r/>
          </w:p>
        </w:tc>
        <w:tc>
          <w:tcPr>
            <w:tcW w:w="3" w:type="dxa"/>
            <w:vAlign w:val="center"/>
          </w:tcPr>
          <w:p>
            <w:pPr>
              <w:pStyle w:val="TableTextCentre"/>
              <w:jc w:val="center"/>
            </w:pPr>
            <w:r>
              <w:t>1926.651(b) — utilities located before excavation and protected while exposed</w:t>
            </w:r>
            <w:r/>
          </w:p>
        </w:tc>
        <w:tc>
          <w:tcPr>
            <w:tcW w:w="3" w:type="dxa"/>
            <w:vAlign w:val="center"/>
          </w:tcPr>
          <w:p>
            <w:pPr>
              <w:pStyle w:val="TableText"/>
              <w:jc w:val="left"/>
            </w:pPr>
            <w:r>
              <w:t>One-call ticket current; utility owner clearance in writing</w:t>
            </w:r>
            <w:r/>
          </w:p>
        </w:tc>
        <w:tc>
          <w:tcPr>
            <w:tcW w:w="3" w:type="dxa"/>
            <w:vAlign w:val="center"/>
          </w:tcPr>
          <w:p>
            <w:pPr>
              <w:pStyle w:val="TableText"/>
              <w:jc w:val="left"/>
            </w:pPr>
            <w:r>
              <w:t>Competent person supervising exposure and support of utilities</w:t>
            </w:r>
            <w:r/>
          </w:p>
        </w:tc>
        <w:tc>
          <w:tcPr>
            <w:tcW w:w="3" w:type="dxa"/>
            <w:vAlign w:val="center"/>
          </w:tcPr>
          <w:p>
            <w:pPr>
              <w:pStyle w:val="TableText"/>
              <w:jc w:val="left"/>
            </w:pPr>
            <w:r>
              <w:t>Ticket sighted per dig; hand-dig zone enforced; asset owner attendance where required</w:t>
            </w:r>
            <w:r/>
          </w:p>
        </w:tc>
      </w:tr>
      <w:tr>
        <w:trPr>
          <w:cantSplit w:val="true"/>
        </w:trPr>
        <w:tc>
          <w:tcPr>
            <w:tcW w:w="3" w:type="dxa"/>
            <w:vAlign w:val="center"/>
          </w:tcPr>
          <w:p>
            <w:pPr>
              <w:pStyle w:val="TableTextBold"/>
              <w:jc w:val="left"/>
            </w:pPr>
            <w:r>
              <w:t>Hot work — welding, cutting, grinding, brazing, open flame</w:t>
            </w:r>
            <w:r/>
          </w:p>
        </w:tc>
        <w:tc>
          <w:tcPr>
            <w:tcW w:w="2" w:type="dxa"/>
            <w:vAlign w:val="center"/>
          </w:tcPr>
          <w:p>
            <w:pPr>
              <w:pStyle w:val="TableTextCentre"/>
              <w:jc w:val="center"/>
            </w:pPr>
            <w:r>
              <w:t>Yes</w:t>
            </w:r>
            <w:r/>
          </w:p>
        </w:tc>
        <w:tc>
          <w:tcPr>
            <w:tcW w:w="3" w:type="dxa"/>
            <w:vAlign w:val="center"/>
          </w:tcPr>
          <w:p>
            <w:pPr>
              <w:pStyle w:val="TableTextCentre"/>
              <w:jc w:val="center"/>
            </w:pPr>
            <w:r>
              <w:t>1926 Subpart J — 1926.350–.354; fire prevention 1926.24, 1926.150–.152</w:t>
            </w:r>
            <w:r/>
          </w:p>
        </w:tc>
        <w:tc>
          <w:tcPr>
            <w:tcW w:w="3" w:type="dxa"/>
            <w:vAlign w:val="center"/>
          </w:tcPr>
          <w:p>
            <w:pPr>
              <w:pStyle w:val="TableText"/>
              <w:jc w:val="left"/>
            </w:pPr>
            <w:r>
              <w:t>Hot work permit per shift; fire prevention and protection program</w:t>
            </w:r>
            <w:r/>
          </w:p>
        </w:tc>
        <w:tc>
          <w:tcPr>
            <w:tcW w:w="3" w:type="dxa"/>
            <w:vAlign w:val="center"/>
          </w:tcPr>
          <w:p>
            <w:pPr>
              <w:pStyle w:val="TableText"/>
              <w:jc w:val="left"/>
            </w:pPr>
            <w:r>
              <w:t>Trained fire watch; qualified welder for the procedure</w:t>
            </w:r>
            <w:r/>
          </w:p>
        </w:tc>
        <w:tc>
          <w:tcPr>
            <w:tcW w:w="3" w:type="dxa"/>
            <w:vAlign w:val="center"/>
          </w:tcPr>
          <w:p>
            <w:pPr>
              <w:pStyle w:val="TableText"/>
              <w:jc w:val="left"/>
            </w:pPr>
            <w:r>
              <w:t>Permit issued per shift; fire watch maintained during and 30 minutes after</w:t>
            </w:r>
            <w:r/>
          </w:p>
        </w:tc>
      </w:tr>
      <w:tr>
        <w:trPr>
          <w:cantSplit w:val="true"/>
        </w:trPr>
        <w:tc>
          <w:tcPr>
            <w:tcW w:w="3" w:type="dxa"/>
            <w:vAlign w:val="center"/>
          </w:tcPr>
          <w:p>
            <w:pPr>
              <w:pStyle w:val="TableTextBold"/>
              <w:jc w:val="left"/>
            </w:pPr>
            <w:r>
              <w:t>Work in or adjacent to a public roadway or work zone</w:t>
            </w:r>
            <w:r/>
          </w:p>
        </w:tc>
        <w:tc>
          <w:tcPr>
            <w:tcW w:w="2" w:type="dxa"/>
            <w:vAlign w:val="center"/>
          </w:tcPr>
          <w:p>
            <w:pPr>
              <w:pStyle w:val="TableTextCentre"/>
              <w:jc w:val="center"/>
            </w:pPr>
            <w:r>
              <w:t>Yes</w:t>
            </w:r>
            <w:r/>
          </w:p>
        </w:tc>
        <w:tc>
          <w:tcPr>
            <w:tcW w:w="3" w:type="dxa"/>
            <w:vAlign w:val="center"/>
          </w:tcPr>
          <w:p>
            <w:pPr>
              <w:pStyle w:val="TableTextCentre"/>
              <w:jc w:val="center"/>
            </w:pPr>
            <w:r>
              <w:t>1926 Subpart G — 1926.200–.203, which adopts the MUTCD; high-visibility apparel 1926.201(a)</w:t>
            </w:r>
            <w:r/>
          </w:p>
        </w:tc>
        <w:tc>
          <w:tcPr>
            <w:tcW w:w="3" w:type="dxa"/>
            <w:vAlign w:val="center"/>
          </w:tcPr>
          <w:p>
            <w:pPr>
              <w:pStyle w:val="TableText"/>
              <w:jc w:val="left"/>
            </w:pPr>
            <w:r>
              <w:t>Traffic control plan to the MUTCD</w:t>
            </w:r>
            <w:r/>
          </w:p>
        </w:tc>
        <w:tc>
          <w:tcPr>
            <w:tcW w:w="3" w:type="dxa"/>
            <w:vAlign w:val="center"/>
          </w:tcPr>
          <w:p>
            <w:pPr>
              <w:pStyle w:val="TableText"/>
              <w:jc w:val="left"/>
            </w:pPr>
            <w:r>
              <w:t>Trained flaggers; traffic control designer</w:t>
            </w:r>
            <w:r/>
          </w:p>
        </w:tc>
        <w:tc>
          <w:tcPr>
            <w:tcW w:w="3" w:type="dxa"/>
            <w:vAlign w:val="center"/>
          </w:tcPr>
          <w:p>
            <w:pPr>
              <w:pStyle w:val="TableText"/>
              <w:jc w:val="left"/>
            </w:pPr>
            <w:r>
              <w:t>Traffic control plan audited weekly; devices checked at each shift change</w:t>
            </w:r>
            <w:r/>
          </w:p>
        </w:tc>
      </w:tr>
      <w:tr>
        <w:trPr>
          <w:cantSplit w:val="true"/>
        </w:trPr>
        <w:tc>
          <w:tcPr>
            <w:tcW w:w="3" w:type="dxa"/>
            <w:vAlign w:val="center"/>
          </w:tcPr>
          <w:p>
            <w:pPr>
              <w:pStyle w:val="TableTextBold"/>
              <w:jc w:val="left"/>
            </w:pPr>
            <w:r>
              <w:t>Steel erection</w:t>
            </w:r>
            <w:r/>
          </w:p>
        </w:tc>
        <w:tc>
          <w:tcPr>
            <w:tcW w:w="2" w:type="dxa"/>
            <w:vAlign w:val="center"/>
          </w:tcPr>
          <w:p>
            <w:pPr>
              <w:pStyle w:val="TableTextCentre"/>
              <w:jc w:val="center"/>
            </w:pPr>
            <w:r>
              <w:t>Yes</w:t>
            </w:r>
            <w:r/>
          </w:p>
        </w:tc>
        <w:tc>
          <w:tcPr>
            <w:tcW w:w="3" w:type="dxa"/>
            <w:vAlign w:val="center"/>
          </w:tcPr>
          <w:p>
            <w:pPr>
              <w:pStyle w:val="TableTextCentre"/>
              <w:jc w:val="center"/>
            </w:pPr>
            <w:r>
              <w:t>1926 Subpart R — 1926.750–.761</w:t>
            </w:r>
            <w:r/>
          </w:p>
        </w:tc>
        <w:tc>
          <w:tcPr>
            <w:tcW w:w="3" w:type="dxa"/>
            <w:vAlign w:val="center"/>
          </w:tcPr>
          <w:p>
            <w:pPr>
              <w:pStyle w:val="TableText"/>
              <w:jc w:val="left"/>
            </w:pPr>
            <w:r>
              <w:t>Written notification from the controlling contractor that concrete has attained strength — 1926.752(a); site-specific erection plan where 1926.753(c)(5) or .761 requires</w:t>
            </w:r>
            <w:r/>
          </w:p>
        </w:tc>
        <w:tc>
          <w:tcPr>
            <w:tcW w:w="3" w:type="dxa"/>
            <w:vAlign w:val="center"/>
          </w:tcPr>
          <w:p>
            <w:pPr>
              <w:pStyle w:val="TableText"/>
              <w:jc w:val="left"/>
            </w:pPr>
            <w:r>
              <w:t>Qualified person for the erection plan; connectors and decking crews trained under 1926.761</w:t>
            </w:r>
            <w:r/>
          </w:p>
        </w:tc>
        <w:tc>
          <w:tcPr>
            <w:tcW w:w="3" w:type="dxa"/>
            <w:vAlign w:val="center"/>
          </w:tcPr>
          <w:p>
            <w:pPr>
              <w:pStyle w:val="TableText"/>
              <w:jc w:val="left"/>
            </w:pPr>
            <w:r>
              <w:t>Anchor bolt certification sighted; fall protection at 15 ft verified each shift</w:t>
            </w:r>
            <w:r/>
          </w:p>
        </w:tc>
      </w:tr>
      <w:tr>
        <w:trPr>
          <w:cantSplit w:val="true"/>
        </w:trPr>
        <w:tc>
          <w:tcPr>
            <w:tcW w:w="3" w:type="dxa"/>
            <w:vAlign w:val="center"/>
          </w:tcPr>
          <w:p>
            <w:pPr>
              <w:pStyle w:val="TableTextBold"/>
              <w:jc w:val="left"/>
            </w:pPr>
            <w:r>
              <w:t>Scaffold erection, alteration, moving or dismantling</w:t>
            </w:r>
            <w:r/>
          </w:p>
        </w:tc>
        <w:tc>
          <w:tcPr>
            <w:tcW w:w="2" w:type="dxa"/>
            <w:vAlign w:val="center"/>
          </w:tcPr>
          <w:p>
            <w:pPr>
              <w:pStyle w:val="TableTextCentre"/>
              <w:jc w:val="center"/>
            </w:pPr>
            <w:r>
              <w:t>Yes</w:t>
            </w:r>
            <w:r/>
          </w:p>
        </w:tc>
        <w:tc>
          <w:tcPr>
            <w:tcW w:w="3" w:type="dxa"/>
            <w:vAlign w:val="center"/>
          </w:tcPr>
          <w:p>
            <w:pPr>
              <w:pStyle w:val="TableTextCentre"/>
              <w:jc w:val="center"/>
            </w:pPr>
            <w:r>
              <w:t>1926 Subpart L — 1926.451, 1926.452, 1926.454</w:t>
            </w:r>
            <w:r/>
          </w:p>
        </w:tc>
        <w:tc>
          <w:tcPr>
            <w:tcW w:w="3" w:type="dxa"/>
            <w:vAlign w:val="center"/>
          </w:tcPr>
          <w:p>
            <w:pPr>
              <w:pStyle w:val="TableText"/>
              <w:jc w:val="left"/>
            </w:pPr>
            <w:r>
              <w:t>Scaffold design by a qualified person where 1926.451(a) requires</w:t>
            </w:r>
            <w:r/>
          </w:p>
        </w:tc>
        <w:tc>
          <w:tcPr>
            <w:tcW w:w="3" w:type="dxa"/>
            <w:vAlign w:val="center"/>
          </w:tcPr>
          <w:p>
            <w:pPr>
              <w:pStyle w:val="TableText"/>
              <w:jc w:val="left"/>
            </w:pPr>
            <w:r>
              <w:t>Competent person to supervise and direct; qualified person to design; trained erectors</w:t>
            </w:r>
            <w:r/>
          </w:p>
        </w:tc>
        <w:tc>
          <w:tcPr>
            <w:tcW w:w="3" w:type="dxa"/>
            <w:vAlign w:val="center"/>
          </w:tcPr>
          <w:p>
            <w:pPr>
              <w:pStyle w:val="TableText"/>
              <w:jc w:val="left"/>
            </w:pPr>
            <w:r>
              <w:t>Tagged before use and after any alteration; competent-person inspection before each shift</w:t>
            </w:r>
            <w:r/>
          </w:p>
        </w:tc>
      </w:tr>
      <w:tr>
        <w:trPr>
          <w:cantSplit w:val="true"/>
        </w:trPr>
        <w:tc>
          <w:tcPr>
            <w:tcW w:w="3" w:type="dxa"/>
            <w:vAlign w:val="center"/>
          </w:tcPr>
          <w:p>
            <w:pPr>
              <w:pStyle w:val="TableTextBold"/>
              <w:jc w:val="left"/>
            </w:pPr>
            <w:r>
              <w:t>Concrete formwork, shoring and reshoring; precast and tilt-up erection</w:t>
            </w:r>
            <w:r/>
          </w:p>
        </w:tc>
        <w:tc>
          <w:tcPr>
            <w:tcW w:w="2" w:type="dxa"/>
            <w:vAlign w:val="center"/>
          </w:tcPr>
          <w:p>
            <w:pPr>
              <w:pStyle w:val="TableTextCentre"/>
              <w:jc w:val="center"/>
            </w:pPr>
            <w:r>
              <w:t>No</w:t>
            </w:r>
            <w:r/>
          </w:p>
        </w:tc>
        <w:tc>
          <w:tcPr>
            <w:tcW w:w="3" w:type="dxa"/>
            <w:vAlign w:val="center"/>
          </w:tcPr>
          <w:p>
            <w:pPr>
              <w:pStyle w:val="TableTextCentre"/>
              <w:jc w:val="center"/>
            </w:pPr>
            <w:r>
              <w:t>1926 Subpart Q — 1926.701–.706</w:t>
            </w:r>
            <w:r/>
          </w:p>
        </w:tc>
        <w:tc>
          <w:tcPr>
            <w:tcW w:w="3" w:type="dxa"/>
            <w:vAlign w:val="center"/>
          </w:tcPr>
          <w:p>
            <w:pPr>
              <w:pStyle w:val="TableText"/>
              <w:jc w:val="left"/>
            </w:pPr>
            <w:r>
              <w:t>Formwork drawings and shoring design; lifting inserts and bracing designed for the loads</w:t>
            </w:r>
            <w:r/>
          </w:p>
        </w:tc>
        <w:tc>
          <w:tcPr>
            <w:tcW w:w="3" w:type="dxa"/>
            <w:vAlign w:val="center"/>
          </w:tcPr>
          <w:p>
            <w:pPr>
              <w:pStyle w:val="TableText"/>
              <w:jc w:val="left"/>
            </w:pPr>
            <w:r>
              <w:t>Qualified person (registered professional engineer where required) for formwork and bracing design</w:t>
            </w:r>
            <w:r/>
          </w:p>
        </w:tc>
        <w:tc>
          <w:tcPr>
            <w:tcW w:w="3" w:type="dxa"/>
            <w:vAlign w:val="center"/>
          </w:tcPr>
          <w:p>
            <w:pPr>
              <w:pStyle w:val="TableText"/>
              <w:jc w:val="left"/>
            </w:pPr>
            <w:r>
              <w:t>Design certification sighted; hold point before load transfer or release</w:t>
            </w:r>
            <w:r/>
          </w:p>
        </w:tc>
      </w:tr>
      <w:tr>
        <w:trPr>
          <w:cantSplit w:val="true"/>
        </w:trPr>
        <w:tc>
          <w:tcPr>
            <w:tcW w:w="3" w:type="dxa"/>
            <w:vAlign w:val="center"/>
          </w:tcPr>
          <w:p>
            <w:pPr>
              <w:pStyle w:val="TableTextBold"/>
              <w:jc w:val="left"/>
            </w:pPr>
            <w:r>
              <w:t>Aerial lifts and scissor lifts</w:t>
            </w:r>
            <w:r/>
          </w:p>
        </w:tc>
        <w:tc>
          <w:tcPr>
            <w:tcW w:w="2" w:type="dxa"/>
            <w:vAlign w:val="center"/>
          </w:tcPr>
          <w:p>
            <w:pPr>
              <w:pStyle w:val="TableTextCentre"/>
              <w:jc w:val="center"/>
            </w:pPr>
            <w:r>
              <w:t>Yes</w:t>
            </w:r>
            <w:r/>
          </w:p>
        </w:tc>
        <w:tc>
          <w:tcPr>
            <w:tcW w:w="3" w:type="dxa"/>
            <w:vAlign w:val="center"/>
          </w:tcPr>
          <w:p>
            <w:pPr>
              <w:pStyle w:val="TableTextCentre"/>
              <w:jc w:val="center"/>
            </w:pPr>
            <w:r>
              <w:t>1926.453; ANSI/SAIA A92.22 and A92.24 for safe use and training</w:t>
            </w:r>
            <w:r/>
          </w:p>
        </w:tc>
        <w:tc>
          <w:tcPr>
            <w:tcW w:w="3" w:type="dxa"/>
            <w:vAlign w:val="center"/>
          </w:tcPr>
          <w:p>
            <w:pPr>
              <w:pStyle w:val="TableText"/>
              <w:jc w:val="left"/>
            </w:pPr>
            <w:r>
              <w:t>Site-specific work plan for the lift; rescue arrangement</w:t>
            </w:r>
            <w:r/>
          </w:p>
        </w:tc>
        <w:tc>
          <w:tcPr>
            <w:tcW w:w="3" w:type="dxa"/>
            <w:vAlign w:val="center"/>
          </w:tcPr>
          <w:p>
            <w:pPr>
              <w:pStyle w:val="TableText"/>
              <w:jc w:val="left"/>
            </w:pPr>
            <w:r>
              <w:t>Trained and authorized operator for the class of machine</w:t>
            </w:r>
            <w:r/>
          </w:p>
        </w:tc>
        <w:tc>
          <w:tcPr>
            <w:tcW w:w="3" w:type="dxa"/>
            <w:vAlign w:val="center"/>
          </w:tcPr>
          <w:p>
            <w:pPr>
              <w:pStyle w:val="TableText"/>
              <w:jc w:val="left"/>
            </w:pPr>
            <w:r>
              <w:t>Pre-start recorded; harness and lanyard used in boom-type lifts; ground conditions checked</w:t>
            </w:r>
            <w:r/>
          </w:p>
        </w:tc>
      </w:tr>
      <w:tr>
        <w:trPr>
          <w:cantSplit w:val="true"/>
        </w:trPr>
        <w:tc>
          <w:tcPr>
            <w:tcW w:w="3" w:type="dxa"/>
            <w:vAlign w:val="center"/>
          </w:tcPr>
          <w:p>
            <w:pPr>
              <w:pStyle w:val="TableTextBold"/>
              <w:jc w:val="left"/>
            </w:pPr>
            <w:r>
              <w:t>Work over or adjacent to water with a drowning risk</w:t>
            </w:r>
            <w:r/>
          </w:p>
        </w:tc>
        <w:tc>
          <w:tcPr>
            <w:tcW w:w="2" w:type="dxa"/>
            <w:vAlign w:val="center"/>
          </w:tcPr>
          <w:p>
            <w:pPr>
              <w:pStyle w:val="TableTextCentre"/>
              <w:jc w:val="center"/>
            </w:pPr>
            <w:r>
              <w:t>No</w:t>
            </w:r>
            <w:r/>
          </w:p>
        </w:tc>
        <w:tc>
          <w:tcPr>
            <w:tcW w:w="3" w:type="dxa"/>
            <w:vAlign w:val="center"/>
          </w:tcPr>
          <w:p>
            <w:pPr>
              <w:pStyle w:val="TableTextCentre"/>
              <w:jc w:val="center"/>
            </w:pPr>
            <w:r>
              <w:t>1926.106</w:t>
            </w:r>
            <w:r/>
          </w:p>
        </w:tc>
        <w:tc>
          <w:tcPr>
            <w:tcW w:w="3" w:type="dxa"/>
            <w:vAlign w:val="center"/>
          </w:tcPr>
          <w:p>
            <w:pPr>
              <w:pStyle w:val="TableText"/>
              <w:jc w:val="left"/>
            </w:pPr>
            <w:r>
              <w:t>Rescue arrangement — a skiff immediately available</w:t>
            </w:r>
            <w:r/>
          </w:p>
        </w:tc>
        <w:tc>
          <w:tcPr>
            <w:tcW w:w="3" w:type="dxa"/>
            <w:vAlign w:val="center"/>
          </w:tcPr>
          <w:p>
            <w:pPr>
              <w:pStyle w:val="TableText"/>
              <w:jc w:val="left"/>
            </w:pPr>
            <w:r>
              <w:t>Trained rescue personnel</w:t>
            </w:r>
            <w:r/>
          </w:p>
        </w:tc>
        <w:tc>
          <w:tcPr>
            <w:tcW w:w="3" w:type="dxa"/>
            <w:vAlign w:val="center"/>
          </w:tcPr>
          <w:p>
            <w:pPr>
              <w:pStyle w:val="TableText"/>
              <w:jc w:val="left"/>
            </w:pPr>
            <w:r>
              <w:t>Life jackets inspected before each use; ring buoys posted</w:t>
            </w:r>
            <w:r/>
          </w:p>
        </w:tc>
      </w:tr>
      <w:tr>
        <w:trPr>
          <w:cantSplit w:val="true"/>
        </w:trPr>
        <w:tc>
          <w:tcPr>
            <w:tcW w:w="3" w:type="dxa"/>
            <w:vAlign w:val="center"/>
          </w:tcPr>
          <w:p>
            <w:pPr>
              <w:pStyle w:val="TableTextBold"/>
              <w:jc w:val="left"/>
            </w:pPr>
            <w:r>
              <w:t>Blasting and use of explosives</w:t>
            </w:r>
            <w:r/>
          </w:p>
        </w:tc>
        <w:tc>
          <w:tcPr>
            <w:tcW w:w="2" w:type="dxa"/>
            <w:vAlign w:val="center"/>
          </w:tcPr>
          <w:p>
            <w:pPr>
              <w:pStyle w:val="TableTextCentre"/>
              <w:jc w:val="center"/>
            </w:pPr>
            <w:r>
              <w:t>No</w:t>
            </w:r>
            <w:r/>
          </w:p>
        </w:tc>
        <w:tc>
          <w:tcPr>
            <w:tcW w:w="3" w:type="dxa"/>
            <w:vAlign w:val="center"/>
          </w:tcPr>
          <w:p>
            <w:pPr>
              <w:pStyle w:val="TableTextCentre"/>
              <w:jc w:val="center"/>
            </w:pPr>
            <w:r>
              <w:t>1926 Subpart U — 1926.900–.914</w:t>
            </w:r>
            <w:r/>
          </w:p>
        </w:tc>
        <w:tc>
          <w:tcPr>
            <w:tcW w:w="3" w:type="dxa"/>
            <w:vAlign w:val="center"/>
          </w:tcPr>
          <w:p>
            <w:pPr>
              <w:pStyle w:val="TableText"/>
              <w:jc w:val="left"/>
            </w:pPr>
            <w:r>
              <w:t>Blast plan; ATF licensing and storage; notification to the authority having jurisdiction</w:t>
            </w:r>
            <w:r/>
          </w:p>
        </w:tc>
        <w:tc>
          <w:tcPr>
            <w:tcW w:w="3" w:type="dxa"/>
            <w:vAlign w:val="center"/>
          </w:tcPr>
          <w:p>
            <w:pPr>
              <w:pStyle w:val="TableText"/>
              <w:jc w:val="left"/>
            </w:pPr>
            <w:r>
              <w:t>Licensed blaster in charge</w:t>
            </w:r>
            <w:r/>
          </w:p>
        </w:tc>
        <w:tc>
          <w:tcPr>
            <w:tcW w:w="3" w:type="dxa"/>
            <w:vAlign w:val="center"/>
          </w:tcPr>
          <w:p>
            <w:pPr>
              <w:pStyle w:val="TableText"/>
              <w:jc w:val="left"/>
            </w:pPr>
            <w:r>
              <w:t>Blast plan approved; misfire procedure briefed; seismograph records retained</w:t>
            </w:r>
            <w:r/>
          </w:p>
        </w:tc>
      </w:tr>
    </w:tbl>
    <w:p>
      <w:pPr>
        <w:spacing w:before="0" w:after="0" w:line="60" w:lineRule="exact"/>
      </w:pPr>
    </w:p>
    <w:p>
      <w:pPr>
        <w:pStyle w:val="Heading2"/>
      </w:pPr>
      <w:bookmarkStart w:id="9040" w:name="_Toc90040"/>
      <w:r>
        <w:t>7.2 Permit to work</w:t>
      </w:r>
      <w:bookmarkEnd w:id="9040"/>
    </w:p>
    <w:p>
      <w:pPr>
        <w:pStyle w:val="Body"/>
      </w:pPr>
      <w:r>
        <w:t>A permit is a control, not paperwork: one competent person confirms in writing, immediately before the work, that the conditions for that task at that location are in place. Where a permit is required no work may start until it is issued, and it expires at the end of the shift or its stated validity, whichever is sooner.</w:t>
      </w:r>
    </w:p>
    <w:p>
      <w:pPr>
        <w:pStyle w:val="BodyBullet"/>
      </w:pPr>
      <w:r>
        <w:rPr>
          <w:b/>
          <w:color w:val="1D3245"/>
        </w:rPr>
        <w:t xml:space="preserve">1.   </w:t>
      </w:r>
      <w:r>
        <w:t>The supervisor requests the permit, naming the task, location, crew and equipment.</w:t>
      </w:r>
    </w:p>
    <w:p>
      <w:pPr>
        <w:pStyle w:val="BodyBullet"/>
      </w:pPr>
      <w:r>
        <w:rPr>
          <w:b/>
          <w:color w:val="1D3245"/>
        </w:rPr>
        <w:t xml:space="preserve">2.   </w:t>
      </w:r>
      <w:r>
        <w:t>The permit issuer — a competent person appointed in writing and independent of the crew — attends the location, physically verifies each pre-condition and records the verification.</w:t>
      </w:r>
    </w:p>
    <w:p>
      <w:pPr>
        <w:pStyle w:val="BodyBullet"/>
      </w:pPr>
      <w:r>
        <w:rPr>
          <w:b/>
          <w:color w:val="1D3245"/>
        </w:rPr>
        <w:t xml:space="preserve">3.   </w:t>
      </w:r>
      <w:r>
        <w:t>The permit is issued with its validity, conditions and the isolations relied on; a copy is displayed at the work face and on the permit board, and interfacing supervisors are notified of the permit and its exclusion zone.</w:t>
      </w:r>
    </w:p>
    <w:p>
      <w:pPr>
        <w:pStyle w:val="BodyBullet"/>
      </w:pPr>
      <w:r>
        <w:rPr>
          <w:b/>
          <w:color w:val="1D3245"/>
        </w:rPr>
        <w:t xml:space="preserve">4.   </w:t>
      </w:r>
      <w:r>
        <w:t>On completion the crew makes the area safe, the issuer inspects, the permit is closed out and signed off and isolations are removed in a controlled sequence. Any change of scope, crew, equipment or condition voids the permit and a new one is required.</w:t>
      </w:r>
    </w:p>
    <w:p>
      <w:pPr>
        <w:pStyle w:val="Heading3"/>
      </w:pPr>
      <w:bookmarkStart w:id="9041" w:name="_Toc90041"/>
      <w:r>
        <w:t>Permit register</w:t>
      </w:r>
      <w:bookmarkEnd w:id="9041"/>
    </w:p>
    <w:p>
      <w:pPr>
        <w:pStyle w:val="Note"/>
      </w:pPr>
      <w:r>
        <w:t>Example rows shown in gray italic — delete before use. Add a row for every permit type marked Yes in the screening table above.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984"/>
        <w:gridCol w:w="963"/>
        <w:gridCol w:w="2097"/>
        <w:gridCol w:w="1984"/>
        <w:gridCol w:w="1247"/>
        <w:gridCol w:w="1363"/>
      </w:tblGrid>
      <w:tr>
        <w:trPr>
          <w:tblHeader w:val="true"/>
          <w:cantSplit w:val="true"/>
        </w:trPr>
        <w:tc>
          <w:tcPr>
            <w:tcW w:w="1984" w:type="dxa"/>
            <w:shd w:val="clear" w:color="auto" w:fill="1D3245"/>
            <w:vAlign w:val="center"/>
          </w:tcPr>
          <w:p>
            <w:pPr>
              <w:pStyle w:val="TableHeader"/>
              <w:jc w:val="left"/>
            </w:pPr>
            <w:r/>
            <w:r>
              <w:t>Permit type</w:t>
            </w:r>
          </w:p>
        </w:tc>
        <w:tc>
          <w:tcPr>
            <w:tcW w:w="963" w:type="dxa"/>
            <w:shd w:val="clear" w:color="auto" w:fill="1D3245"/>
            <w:vAlign w:val="center"/>
          </w:tcPr>
          <w:p>
            <w:pPr>
              <w:pStyle w:val="TableHeader"/>
              <w:jc w:val="center"/>
            </w:pPr>
            <w:r/>
            <w:r>
              <w:t>Applies</w:t>
            </w:r>
          </w:p>
        </w:tc>
        <w:tc>
          <w:tcPr>
            <w:tcW w:w="2097" w:type="dxa"/>
            <w:shd w:val="clear" w:color="auto" w:fill="1D3245"/>
            <w:vAlign w:val="center"/>
          </w:tcPr>
          <w:p>
            <w:pPr>
              <w:pStyle w:val="TableHeader"/>
              <w:jc w:val="left"/>
            </w:pPr>
            <w:r/>
            <w:r>
              <w:t>Issued by</w:t>
            </w:r>
          </w:p>
        </w:tc>
        <w:tc>
          <w:tcPr>
            <w:tcW w:w="1984" w:type="dxa"/>
            <w:shd w:val="clear" w:color="auto" w:fill="1D3245"/>
            <w:vAlign w:val="center"/>
          </w:tcPr>
          <w:p>
            <w:pPr>
              <w:pStyle w:val="TableHeader"/>
              <w:jc w:val="left"/>
            </w:pPr>
            <w:r/>
            <w:r>
              <w:t>Validity</w:t>
            </w:r>
          </w:p>
        </w:tc>
        <w:tc>
          <w:tcPr>
            <w:tcW w:w="1247" w:type="dxa"/>
            <w:shd w:val="clear" w:color="auto" w:fill="1D3245"/>
            <w:vAlign w:val="center"/>
          </w:tcPr>
          <w:p>
            <w:pPr>
              <w:pStyle w:val="TableHeader"/>
              <w:jc w:val="left"/>
            </w:pPr>
            <w:r/>
            <w:r>
              <w:t>Register ref.</w:t>
            </w:r>
          </w:p>
        </w:tc>
        <w:tc>
          <w:tcPr>
            <w:tcW w:w="1363" w:type="dxa"/>
            <w:shd w:val="clear" w:color="auto" w:fill="1D3245"/>
            <w:vAlign w:val="center"/>
          </w:tcPr>
          <w:p>
            <w:pPr>
              <w:pStyle w:val="TableHeader"/>
              <w:jc w:val="left"/>
            </w:pPr>
            <w:r/>
            <w:r>
              <w:t>Closed out by / date</w:t>
            </w:r>
          </w:p>
        </w:tc>
      </w:tr>
      <w:tr>
        <w:trPr>
          <w:cantSplit w:val="true"/>
        </w:trPr>
        <w:tc>
          <w:tcPr>
            <w:tcW w:w="1984" w:type="dxa"/>
            <w:vAlign w:val="center"/>
          </w:tcPr>
          <w:p>
            <w:pPr>
              <w:pStyle w:val="TableTextExample"/>
              <w:jc w:val="left"/>
            </w:pPr>
            <w:r/>
            <w:r>
              <w:t>Hot work</w:t>
            </w:r>
          </w:p>
        </w:tc>
        <w:tc>
          <w:tcPr>
            <w:tcW w:w="963" w:type="dxa"/>
            <w:vAlign w:val="center"/>
          </w:tcPr>
          <w:p>
            <w:pPr>
              <w:pStyle w:val="TableTextExample"/>
              <w:jc w:val="center"/>
            </w:pPr>
            <w:r/>
            <w:r>
              <w:t>Yes</w:t>
            </w:r>
          </w:p>
        </w:tc>
        <w:tc>
          <w:tcPr>
            <w:tcW w:w="2097" w:type="dxa"/>
            <w:vAlign w:val="center"/>
          </w:tcPr>
          <w:p>
            <w:pPr>
              <w:pStyle w:val="TableTextExample"/>
              <w:jc w:val="left"/>
            </w:pPr>
            <w:r/>
            <w:r>
              <w:t>Site permit issuer (appointed in writing)</w:t>
            </w:r>
          </w:p>
        </w:tc>
        <w:tc>
          <w:tcPr>
            <w:tcW w:w="1984" w:type="dxa"/>
            <w:vAlign w:val="center"/>
          </w:tcPr>
          <w:p>
            <w:pPr>
              <w:pStyle w:val="TableTextExample"/>
              <w:jc w:val="left"/>
            </w:pPr>
            <w:r/>
            <w:r>
              <w:t>Per shift; fire watch 60 min after cessation</w:t>
            </w:r>
          </w:p>
        </w:tc>
        <w:tc>
          <w:tcPr>
            <w:tcW w:w="1247" w:type="dxa"/>
            <w:vAlign w:val="center"/>
          </w:tcPr>
          <w:p>
            <w:pPr>
              <w:pStyle w:val="TableTextExample"/>
              <w:jc w:val="left"/>
            </w:pPr>
            <w:r/>
            <w:r>
              <w:t>HW-2026-0xx</w:t>
            </w:r>
          </w:p>
        </w:tc>
        <w:tc>
          <w:tcPr>
            <w:tcW w:w="1363" w:type="dxa"/>
            <w:vAlign w:val="center"/>
          </w:tcPr>
          <w:p>
            <w:pPr>
              <w:pStyle w:val="TableTextExample"/>
              <w:jc w:val="left"/>
            </w:pPr>
            <w:r/>
            <w:r>
              <w:t>[Name] / [MM/DD/YY]</w:t>
            </w:r>
          </w:p>
        </w:tc>
      </w:tr>
      <w:tr>
        <w:trPr>
          <w:cantSplit w:val="true"/>
        </w:trPr>
        <w:tc>
          <w:tcPr>
            <w:tcW w:w="1984" w:type="dxa"/>
            <w:vAlign w:val="center"/>
          </w:tcPr>
          <w:p>
            <w:pPr>
              <w:pStyle w:val="TableTextExample"/>
              <w:jc w:val="left"/>
            </w:pPr>
            <w:r/>
            <w:r>
              <w:t>Excavation and ground disturbance</w:t>
            </w:r>
          </w:p>
        </w:tc>
        <w:tc>
          <w:tcPr>
            <w:tcW w:w="963" w:type="dxa"/>
            <w:vAlign w:val="center"/>
          </w:tcPr>
          <w:p>
            <w:pPr>
              <w:pStyle w:val="TableTextExample"/>
              <w:jc w:val="center"/>
            </w:pPr>
            <w:r/>
            <w:r>
              <w:t>Yes</w:t>
            </w:r>
          </w:p>
        </w:tc>
        <w:tc>
          <w:tcPr>
            <w:tcW w:w="2097" w:type="dxa"/>
            <w:vAlign w:val="center"/>
          </w:tcPr>
          <w:p>
            <w:pPr>
              <w:pStyle w:val="TableTextExample"/>
              <w:jc w:val="left"/>
            </w:pPr>
            <w:r/>
            <w:r>
              <w:t>Project Engineer after competent-person inspection</w:t>
            </w:r>
          </w:p>
        </w:tc>
        <w:tc>
          <w:tcPr>
            <w:tcW w:w="1984" w:type="dxa"/>
            <w:vAlign w:val="center"/>
          </w:tcPr>
          <w:p>
            <w:pPr>
              <w:pStyle w:val="TableTextExample"/>
              <w:jc w:val="left"/>
            </w:pPr>
            <w:r/>
            <w:r>
              <w:t>Per shift, per excavation lift</w:t>
            </w:r>
          </w:p>
        </w:tc>
        <w:tc>
          <w:tcPr>
            <w:tcW w:w="1247" w:type="dxa"/>
            <w:vAlign w:val="center"/>
          </w:tcPr>
          <w:p>
            <w:pPr>
              <w:pStyle w:val="TableTextExample"/>
              <w:jc w:val="left"/>
            </w:pPr>
            <w:r/>
            <w:r>
              <w:t>EX-2026-0xx</w:t>
            </w:r>
          </w:p>
        </w:tc>
        <w:tc>
          <w:tcPr>
            <w:tcW w:w="1363" w:type="dxa"/>
            <w:vAlign w:val="center"/>
          </w:tcPr>
          <w:p>
            <w:pPr>
              <w:pStyle w:val="TableTextExample"/>
              <w:jc w:val="left"/>
            </w:pPr>
            <w:r/>
            <w:r>
              <w:t>[Name] / [MM/DD/YY]</w:t>
            </w:r>
          </w:p>
        </w:tc>
      </w:tr>
      <w:tr>
        <w:trPr>
          <w:cantSplit w:val="true"/>
        </w:trPr>
        <w:tc>
          <w:tcPr>
            <w:tcW w:w="1984" w:type="dxa"/>
            <w:vAlign w:val="center"/>
          </w:tcPr>
          <w:p>
            <w:pPr>
              <w:pStyle w:val="TableText"/>
              <w:jc w:val="left"/>
            </w:pPr>
            <w:r/>
          </w:p>
        </w:tc>
        <w:tc>
          <w:tcPr>
            <w:tcW w:w="963" w:type="dxa"/>
            <w:vAlign w:val="center"/>
          </w:tcPr>
          <w:p>
            <w:pPr>
              <w:pStyle w:val="TableTextCentre"/>
              <w:jc w:val="center"/>
            </w:pPr>
            <w:r/>
          </w:p>
        </w:tc>
        <w:tc>
          <w:tcPr>
            <w:tcW w:w="2097" w:type="dxa"/>
            <w:vAlign w:val="center"/>
          </w:tcPr>
          <w:p>
            <w:pPr>
              <w:pStyle w:val="TableText"/>
              <w:jc w:val="left"/>
            </w:pPr>
            <w:r/>
          </w:p>
        </w:tc>
        <w:tc>
          <w:tcPr>
            <w:tcW w:w="1984" w:type="dxa"/>
            <w:vAlign w:val="center"/>
          </w:tcPr>
          <w:p>
            <w:pPr>
              <w:pStyle w:val="TableText"/>
              <w:jc w:val="left"/>
            </w:pPr>
            <w:r/>
          </w:p>
        </w:tc>
        <w:tc>
          <w:tcPr>
            <w:tcW w:w="1247" w:type="dxa"/>
            <w:vAlign w:val="center"/>
          </w:tcPr>
          <w:p>
            <w:pPr>
              <w:pStyle w:val="TableText"/>
              <w:jc w:val="left"/>
            </w:pPr>
            <w:r/>
          </w:p>
        </w:tc>
        <w:tc>
          <w:tcPr>
            <w:tcW w:w="1363" w:type="dxa"/>
            <w:vAlign w:val="center"/>
          </w:tcPr>
          <w:p>
            <w:pPr>
              <w:pStyle w:val="TableText"/>
              <w:jc w:val="left"/>
            </w:pPr>
            <w:r/>
          </w:p>
        </w:tc>
      </w:tr>
      <w:tr>
        <w:trPr>
          <w:cantSplit w:val="true"/>
        </w:trPr>
        <w:tc>
          <w:tcPr>
            <w:tcW w:w="1984" w:type="dxa"/>
            <w:vAlign w:val="center"/>
          </w:tcPr>
          <w:p>
            <w:pPr>
              <w:pStyle w:val="TableText"/>
              <w:jc w:val="left"/>
            </w:pPr>
            <w:r/>
          </w:p>
        </w:tc>
        <w:tc>
          <w:tcPr>
            <w:tcW w:w="963" w:type="dxa"/>
            <w:vAlign w:val="center"/>
          </w:tcPr>
          <w:p>
            <w:pPr>
              <w:pStyle w:val="TableTextCentre"/>
              <w:jc w:val="center"/>
            </w:pPr>
            <w:r/>
          </w:p>
        </w:tc>
        <w:tc>
          <w:tcPr>
            <w:tcW w:w="2097" w:type="dxa"/>
            <w:vAlign w:val="center"/>
          </w:tcPr>
          <w:p>
            <w:pPr>
              <w:pStyle w:val="TableText"/>
              <w:jc w:val="left"/>
            </w:pPr>
            <w:r/>
          </w:p>
        </w:tc>
        <w:tc>
          <w:tcPr>
            <w:tcW w:w="1984" w:type="dxa"/>
            <w:vAlign w:val="center"/>
          </w:tcPr>
          <w:p>
            <w:pPr>
              <w:pStyle w:val="TableText"/>
              <w:jc w:val="left"/>
            </w:pPr>
            <w:r/>
          </w:p>
        </w:tc>
        <w:tc>
          <w:tcPr>
            <w:tcW w:w="1247" w:type="dxa"/>
            <w:vAlign w:val="center"/>
          </w:tcPr>
          <w:p>
            <w:pPr>
              <w:pStyle w:val="TableText"/>
              <w:jc w:val="left"/>
            </w:pPr>
            <w:r/>
          </w:p>
        </w:tc>
        <w:tc>
          <w:tcPr>
            <w:tcW w:w="1363" w:type="dxa"/>
            <w:vAlign w:val="center"/>
          </w:tcPr>
          <w:p>
            <w:pPr>
              <w:pStyle w:val="TableText"/>
              <w:jc w:val="left"/>
            </w:pPr>
            <w:r/>
          </w:p>
        </w:tc>
      </w:tr>
    </w:tbl>
    <w:p>
      <w:pPr>
        <w:spacing w:before="0" w:after="0" w:line="60" w:lineRule="exact"/>
      </w:pPr>
    </w:p>
    <w:p>
      <w:pPr>
        <w:pStyle w:val="Heading1"/>
      </w:pPr>
      <w:bookmarkStart w:id="9042" w:name="_Toc90042"/>
      <w:r>
        <w:t>8. Competency, Training and Induction</w:t>
      </w:r>
      <w:bookmarkEnd w:id="9042"/>
    </w:p>
    <w:p>
      <w:pPr>
        <w:pStyle w:val="BodyLead"/>
      </w:pPr>
      <w:r>
        <w:t>Competency is evidence, not assertion. Sight the original document, record its number and expiry, and verify that the person can actually do the task on this site with this equipment. A license held is not the same as a task performed competently.</w:t>
      </w:r>
    </w:p>
    <w:p>
      <w:pPr>
        <w:pStyle w:val="Heading2"/>
      </w:pPr>
      <w:bookmarkStart w:id="9043" w:name="_Toc90043"/>
      <w:r>
        <w:t>8.1 Induction hierarchy</w:t>
      </w:r>
      <w:bookmarkEnd w:id="9043"/>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642"/>
        <w:gridCol w:w="1752"/>
        <w:gridCol w:w="3066"/>
        <w:gridCol w:w="1642"/>
        <w:gridCol w:w="1536"/>
      </w:tblGrid>
      <w:tr>
        <w:trPr>
          <w:tblHeader w:val="true"/>
          <w:cantSplit w:val="true"/>
        </w:trPr>
        <w:tc>
          <w:tcPr>
            <w:tcW w:w="1642" w:type="dxa"/>
            <w:shd w:val="clear" w:color="auto" w:fill="1D3245"/>
            <w:vAlign w:val="center"/>
          </w:tcPr>
          <w:p>
            <w:pPr>
              <w:pStyle w:val="TableHeader"/>
              <w:jc w:val="left"/>
            </w:pPr>
            <w:r/>
            <w:r>
              <w:t>Induction</w:t>
            </w:r>
          </w:p>
        </w:tc>
        <w:tc>
          <w:tcPr>
            <w:tcW w:w="1752" w:type="dxa"/>
            <w:shd w:val="clear" w:color="auto" w:fill="1D3245"/>
            <w:vAlign w:val="center"/>
          </w:tcPr>
          <w:p>
            <w:pPr>
              <w:pStyle w:val="TableHeader"/>
              <w:jc w:val="left"/>
            </w:pPr>
            <w:r/>
            <w:r>
              <w:t>Who must hold it</w:t>
            </w:r>
          </w:p>
        </w:tc>
        <w:tc>
          <w:tcPr>
            <w:tcW w:w="3066" w:type="dxa"/>
            <w:shd w:val="clear" w:color="auto" w:fill="1D3245"/>
            <w:vAlign w:val="center"/>
          </w:tcPr>
          <w:p>
            <w:pPr>
              <w:pStyle w:val="TableHeader"/>
              <w:jc w:val="left"/>
            </w:pPr>
            <w:r/>
            <w:r>
              <w:t>What it covers</w:t>
            </w:r>
          </w:p>
        </w:tc>
        <w:tc>
          <w:tcPr>
            <w:tcW w:w="1642" w:type="dxa"/>
            <w:shd w:val="clear" w:color="auto" w:fill="1D3245"/>
            <w:vAlign w:val="center"/>
          </w:tcPr>
          <w:p>
            <w:pPr>
              <w:pStyle w:val="TableHeader"/>
              <w:jc w:val="left"/>
            </w:pPr>
            <w:r/>
            <w:r>
              <w:t>When</w:t>
            </w:r>
          </w:p>
        </w:tc>
        <w:tc>
          <w:tcPr>
            <w:tcW w:w="1536" w:type="dxa"/>
            <w:shd w:val="clear" w:color="auto" w:fill="1D3245"/>
            <w:vAlign w:val="center"/>
          </w:tcPr>
          <w:p>
            <w:pPr>
              <w:pStyle w:val="TableHeader"/>
              <w:jc w:val="left"/>
            </w:pPr>
            <w:r/>
            <w:r>
              <w:t>Record</w:t>
            </w:r>
          </w:p>
        </w:tc>
      </w:tr>
      <w:tr>
        <w:trPr>
          <w:cantSplit w:val="true"/>
        </w:trPr>
        <w:tc>
          <w:tcPr>
            <w:tcW w:w="1642" w:type="dxa"/>
            <w:vAlign w:val="center"/>
          </w:tcPr>
          <w:p>
            <w:pPr>
              <w:pStyle w:val="TableTextBold"/>
              <w:jc w:val="left"/>
            </w:pPr>
            <w:r/>
            <w:r>
              <w:t>General construction induction</w:t>
            </w:r>
          </w:p>
        </w:tc>
        <w:tc>
          <w:tcPr>
            <w:tcW w:w="1752" w:type="dxa"/>
            <w:vAlign w:val="center"/>
          </w:tcPr>
          <w:p>
            <w:pPr>
              <w:pStyle w:val="TableText"/>
              <w:jc w:val="left"/>
            </w:pPr>
            <w:r/>
            <w:r>
              <w:t>Every worker before first entry, without exception</w:t>
            </w:r>
          </w:p>
        </w:tc>
        <w:tc>
          <w:tcPr>
            <w:tcW w:w="3066" w:type="dxa"/>
            <w:vAlign w:val="center"/>
          </w:tcPr>
          <w:p>
            <w:pPr>
              <w:pStyle w:val="TableText"/>
              <w:jc w:val="left"/>
            </w:pPr>
            <w:r/>
            <w:r>
              <w:t>The Focus Four hazards, worker rights under the OSH Act, and the employer's duties — typically discharged by the OSHA 10-hour construction course</w:t>
            </w:r>
          </w:p>
        </w:tc>
        <w:tc>
          <w:tcPr>
            <w:tcW w:w="1642" w:type="dxa"/>
            <w:vAlign w:val="center"/>
          </w:tcPr>
          <w:p>
            <w:pPr>
              <w:pStyle w:val="TableText"/>
              <w:jc w:val="left"/>
            </w:pPr>
            <w:r/>
            <w:r>
              <w:t>Before first entry; validity as the issuing body sets</w:t>
            </w:r>
          </w:p>
        </w:tc>
        <w:tc>
          <w:tcPr>
            <w:tcW w:w="1536" w:type="dxa"/>
            <w:vAlign w:val="center"/>
          </w:tcPr>
          <w:p>
            <w:pPr>
              <w:pStyle w:val="TableText"/>
              <w:jc w:val="left"/>
            </w:pPr>
            <w:r/>
            <w:r>
              <w:t>Card number and issue date in the competency register</w:t>
            </w:r>
          </w:p>
        </w:tc>
      </w:tr>
      <w:tr>
        <w:trPr>
          <w:cantSplit w:val="true"/>
        </w:trPr>
        <w:tc>
          <w:tcPr>
            <w:tcW w:w="1642" w:type="dxa"/>
            <w:vAlign w:val="center"/>
          </w:tcPr>
          <w:p>
            <w:pPr>
              <w:pStyle w:val="TableTextBold"/>
              <w:jc w:val="left"/>
            </w:pPr>
            <w:r/>
            <w:r>
              <w:t>Site-specific induction</w:t>
            </w:r>
          </w:p>
        </w:tc>
        <w:tc>
          <w:tcPr>
            <w:tcW w:w="1752" w:type="dxa"/>
            <w:vAlign w:val="center"/>
          </w:tcPr>
          <w:p>
            <w:pPr>
              <w:pStyle w:val="TableText"/>
              <w:jc w:val="left"/>
            </w:pPr>
            <w:r/>
            <w:r>
              <w:t>Every worker, before first entry to this site</w:t>
            </w:r>
          </w:p>
        </w:tc>
        <w:tc>
          <w:tcPr>
            <w:tcW w:w="3066" w:type="dxa"/>
            <w:vAlign w:val="center"/>
          </w:tcPr>
          <w:p>
            <w:pPr>
              <w:pStyle w:val="TableText"/>
              <w:jc w:val="left"/>
            </w:pPr>
            <w:r/>
            <w:r>
              <w:t>This plan in summary; site rules; layout and boundary; emergency and evacuation arrangements; assembly points; first aiders and wardens; the hospital interface and its constraints; traffic and pedestrian rules; hazard and incident reporting; the stop-work authority; consultation; welfare facilities</w:t>
            </w:r>
          </w:p>
        </w:tc>
        <w:tc>
          <w:tcPr>
            <w:tcW w:w="1642" w:type="dxa"/>
            <w:vAlign w:val="center"/>
          </w:tcPr>
          <w:p>
            <w:pPr>
              <w:pStyle w:val="TableText"/>
              <w:jc w:val="left"/>
            </w:pPr>
            <w:r/>
            <w:r>
              <w:t>Before first entry; repeated on material change to the site or this plan</w:t>
            </w:r>
          </w:p>
        </w:tc>
        <w:tc>
          <w:tcPr>
            <w:tcW w:w="1536" w:type="dxa"/>
            <w:vAlign w:val="center"/>
          </w:tcPr>
          <w:p>
            <w:pPr>
              <w:pStyle w:val="TableText"/>
              <w:jc w:val="left"/>
            </w:pPr>
            <w:r/>
            <w:r>
              <w:t>Signed induction register; site access card issued</w:t>
            </w:r>
          </w:p>
        </w:tc>
      </w:tr>
      <w:tr>
        <w:trPr>
          <w:cantSplit w:val="true"/>
        </w:trPr>
        <w:tc>
          <w:tcPr>
            <w:tcW w:w="1642" w:type="dxa"/>
            <w:vAlign w:val="center"/>
          </w:tcPr>
          <w:p>
            <w:pPr>
              <w:pStyle w:val="TableTextBold"/>
              <w:jc w:val="left"/>
            </w:pPr>
            <w:r/>
            <w:r>
              <w:t>Task and high-hazard work induction</w:t>
            </w:r>
          </w:p>
        </w:tc>
        <w:tc>
          <w:tcPr>
            <w:tcW w:w="1752" w:type="dxa"/>
            <w:vAlign w:val="center"/>
          </w:tcPr>
          <w:p>
            <w:pPr>
              <w:pStyle w:val="TableText"/>
              <w:jc w:val="left"/>
            </w:pPr>
            <w:r/>
            <w:r>
              <w:t>Every worker performing a high-hazard activity under section 7</w:t>
            </w:r>
          </w:p>
        </w:tc>
        <w:tc>
          <w:tcPr>
            <w:tcW w:w="3066" w:type="dxa"/>
            <w:vAlign w:val="center"/>
          </w:tcPr>
          <w:p>
            <w:pPr>
              <w:pStyle w:val="TableText"/>
              <w:jc w:val="left"/>
            </w:pPr>
            <w:r/>
            <w:r>
              <w:t>The accepted JHA; the permits that apply; the rescue plan; the verification the supervisor will perform</w:t>
            </w:r>
          </w:p>
        </w:tc>
        <w:tc>
          <w:tcPr>
            <w:tcW w:w="1642" w:type="dxa"/>
            <w:vAlign w:val="center"/>
          </w:tcPr>
          <w:p>
            <w:pPr>
              <w:pStyle w:val="TableText"/>
              <w:jc w:val="left"/>
            </w:pPr>
            <w:r/>
            <w:r>
              <w:t>Before the activity starts; repeated at each JHA revision</w:t>
            </w:r>
          </w:p>
        </w:tc>
        <w:tc>
          <w:tcPr>
            <w:tcW w:w="1536" w:type="dxa"/>
            <w:vAlign w:val="center"/>
          </w:tcPr>
          <w:p>
            <w:pPr>
              <w:pStyle w:val="TableText"/>
              <w:jc w:val="left"/>
            </w:pPr>
            <w:r/>
            <w:r>
              <w:t>JHA sign-on register</w:t>
            </w:r>
          </w:p>
        </w:tc>
      </w:tr>
      <w:tr>
        <w:trPr>
          <w:cantSplit w:val="true"/>
        </w:trPr>
        <w:tc>
          <w:tcPr>
            <w:tcW w:w="1642" w:type="dxa"/>
            <w:vAlign w:val="center"/>
          </w:tcPr>
          <w:p>
            <w:pPr>
              <w:pStyle w:val="TableTextBold"/>
              <w:jc w:val="left"/>
            </w:pPr>
            <w:r/>
            <w:r>
              <w:t>Visitor induction</w:t>
            </w:r>
          </w:p>
        </w:tc>
        <w:tc>
          <w:tcPr>
            <w:tcW w:w="1752" w:type="dxa"/>
            <w:vAlign w:val="center"/>
          </w:tcPr>
          <w:p>
            <w:pPr>
              <w:pStyle w:val="TableText"/>
              <w:jc w:val="left"/>
            </w:pPr>
            <w:r/>
            <w:r>
              <w:t>Every visitor, including Owner, consultants and OSHAs</w:t>
            </w:r>
          </w:p>
        </w:tc>
        <w:tc>
          <w:tcPr>
            <w:tcW w:w="3066" w:type="dxa"/>
            <w:vAlign w:val="center"/>
          </w:tcPr>
          <w:p>
            <w:pPr>
              <w:pStyle w:val="TableText"/>
              <w:jc w:val="left"/>
            </w:pPr>
            <w:r/>
            <w:r>
              <w:t>Escort requirement; PPE issued; assembly point; the alarm signal; what not to touch; how to report a concern</w:t>
            </w:r>
          </w:p>
        </w:tc>
        <w:tc>
          <w:tcPr>
            <w:tcW w:w="1642" w:type="dxa"/>
            <w:vAlign w:val="center"/>
          </w:tcPr>
          <w:p>
            <w:pPr>
              <w:pStyle w:val="TableText"/>
              <w:jc w:val="left"/>
            </w:pPr>
            <w:r/>
            <w:r>
              <w:t>Each visit unless a current site induction is held</w:t>
            </w:r>
          </w:p>
        </w:tc>
        <w:tc>
          <w:tcPr>
            <w:tcW w:w="1536" w:type="dxa"/>
            <w:vAlign w:val="center"/>
          </w:tcPr>
          <w:p>
            <w:pPr>
              <w:pStyle w:val="TableText"/>
              <w:jc w:val="left"/>
            </w:pPr>
            <w:r/>
            <w:r>
              <w:t>Visitor register with escort named</w:t>
            </w:r>
          </w:p>
        </w:tc>
      </w:tr>
    </w:tbl>
    <w:p>
      <w:pPr>
        <w:spacing w:before="0" w:after="0" w:line="60" w:lineRule="exact"/>
      </w:pPr>
    </w:p>
    <w:p>
      <w:pPr>
        <w:pStyle w:val="Heading2"/>
      </w:pPr>
      <w:bookmarkStart w:id="9044" w:name="_Toc90044"/>
      <w:r>
        <w:t>8.2 Verification of competency</w:t>
      </w:r>
      <w:bookmarkEnd w:id="9044"/>
    </w:p>
    <w:p>
      <w:pPr>
        <w:pStyle w:val="BodyBullet"/>
      </w:pPr>
      <w:r>
        <w:rPr>
          <w:b/>
          <w:color w:val="1D3245"/>
        </w:rPr>
        <w:t xml:space="preserve">1.   </w:t>
      </w:r>
      <w:r>
        <w:t>Sight the original license, certificate or card — not a photograph of a photograph — and record its number, class and expiry. Confirm the class matches the task and the specific item of equipment, including capacity and configuration limits.</w:t>
      </w:r>
    </w:p>
    <w:p>
      <w:pPr>
        <w:pStyle w:val="BodyBullet"/>
      </w:pPr>
      <w:r>
        <w:rPr>
          <w:b/>
          <w:color w:val="1D3245"/>
        </w:rPr>
        <w:t xml:space="preserve">2.   </w:t>
      </w:r>
      <w:r>
        <w:t>Observe the person performing the task, or a representative part of it, under supervision; record the observation, and ask three or four questions about the hazards, the limits of the equipment and what they would do if a control failed.</w:t>
      </w:r>
    </w:p>
    <w:p>
      <w:pPr>
        <w:pStyle w:val="BodyBullet"/>
      </w:pPr>
      <w:r>
        <w:rPr>
          <w:b/>
          <w:color w:val="1D3245"/>
        </w:rPr>
        <w:t xml:space="preserve">3.   </w:t>
      </w:r>
      <w:r>
        <w:t>Record the outcome, the assessor and the date, and set the re-verification interval — a verification with no assessor named is not a verification. Re-verify on any change of equipment, method or site conditions, after any incident involving the person, and after an absence long enough for skills to decay.</w:t>
      </w:r>
    </w:p>
    <w:p>
      <w:pPr>
        <w:pStyle w:val="Note"/>
      </w:pPr>
      <w:r>
        <w:t>A certification expiring within 30 days is flagged and the holder notified. An expired certification removes the authorization to perform the task on the day it expires, regardless of the schedule. Note that OSHA 10-hour and 30-hour cards do not expire federally, but several states and many owner contracts set their own currency period — record whichever is shorter.</w:t>
      </w:r>
    </w:p>
    <w:p>
      <w:pPr>
        <w:pStyle w:val="Heading2"/>
      </w:pPr>
      <w:bookmarkStart w:id="9045" w:name="_Toc90045"/>
      <w:r>
        <w:t>8.3 Young, inexperienced and staffing-agency workers</w:t>
      </w:r>
      <w:bookmarkEnd w:id="9045"/>
    </w:p>
    <w:p>
      <w:pPr>
        <w:pStyle w:val="Body"/>
      </w:pPr>
      <w:r>
        <w:t>Young workers, apprentices and new hires are over-represented in serious construction injuries. Identify them at orientation, pair them with a named experienced worker, give directly supervised exposure to any high-hazard activity before they work on it, and tell them explicitly that they are expected to stop work and ask. Supervisors are accountable for checking understanding, not for asking whether it is understood.</w:t>
      </w:r>
    </w:p>
    <w:p>
      <w:pPr>
        <w:pStyle w:val="Body"/>
      </w:pPr>
      <w:r>
        <w:t>Temporary workers supplied by a staffing agency are covered by this plan in the same way as direct employees. OSHA treats the staffing agency and the host employer as JOINT employers: both are responsible for the worker's safety and health, and OSHA may cite either or both. The agency is generally responsible for generic safety training and for not supplying a worker who lacks the competency required; the host is responsible for site-specific training, supervision, hazard control and the same PPE it provides its own employees. Confirm in writing before each placement which party has done what, and record it — a contract that is silent does not divide the duty, it leaves both parties holding all of it.</w:t>
      </w:r>
    </w:p>
    <w:p>
      <w:pPr>
        <w:pStyle w:val="Heading2"/>
      </w:pPr>
      <w:bookmarkStart w:id="9046" w:name="_Toc90046"/>
      <w:r>
        <w:t>8.4 Training matrix</w:t>
      </w:r>
      <w:bookmarkEnd w:id="9046"/>
    </w:p>
    <w:p>
      <w:pPr>
        <w:pStyle w:val="Body"/>
      </w:pPr>
      <w:r>
        <w:t>The matrix records what each role must hold before it may work on this project. Add a row for every role actually engaged — crane operator, dogger and rigger, aerial lift operator, scaffolder, electrician, traffic controller, concreter, formworker, services fitter, supervisor, first aider, warden, permit issuer — and a column for any license class the standard requires that is not shown.</w:t>
      </w:r>
    </w:p>
    <w:p>
      <w:pPr>
        <w:pStyle w:val="Note"/>
      </w:pPr>
      <w:r>
        <w:t>Example rows shown in gray italic — delete before use.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303"/>
        <w:gridCol w:w="1474"/>
        <w:gridCol w:w="1927"/>
        <w:gridCol w:w="1814"/>
        <w:gridCol w:w="1417"/>
        <w:gridCol w:w="1703"/>
      </w:tblGrid>
      <w:tr>
        <w:trPr>
          <w:tblHeader w:val="true"/>
          <w:cantSplit w:val="true"/>
        </w:trPr>
        <w:tc>
          <w:tcPr>
            <w:tcW w:w="1303" w:type="dxa"/>
            <w:shd w:val="clear" w:color="auto" w:fill="1D3245"/>
            <w:vAlign w:val="center"/>
          </w:tcPr>
          <w:p>
            <w:pPr>
              <w:pStyle w:val="TableHeader"/>
              <w:jc w:val="left"/>
            </w:pPr>
            <w:r/>
            <w:r>
              <w:t>Role</w:t>
            </w:r>
          </w:p>
        </w:tc>
        <w:tc>
          <w:tcPr>
            <w:tcW w:w="1474" w:type="dxa"/>
            <w:shd w:val="clear" w:color="auto" w:fill="1D3245"/>
            <w:vAlign w:val="center"/>
          </w:tcPr>
          <w:p>
            <w:pPr>
              <w:pStyle w:val="TableHeader"/>
              <w:jc w:val="left"/>
            </w:pPr>
            <w:r/>
            <w:r>
              <w:t>Induction required</w:t>
            </w:r>
          </w:p>
        </w:tc>
        <w:tc>
          <w:tcPr>
            <w:tcW w:w="1927" w:type="dxa"/>
            <w:shd w:val="clear" w:color="auto" w:fill="1D3245"/>
            <w:vAlign w:val="center"/>
          </w:tcPr>
          <w:p>
            <w:pPr>
              <w:pStyle w:val="TableHeader"/>
              <w:jc w:val="left"/>
            </w:pPr>
            <w:r/>
            <w:r>
              <w:t>Licenses and tickets required</w:t>
            </w:r>
          </w:p>
        </w:tc>
        <w:tc>
          <w:tcPr>
            <w:tcW w:w="1814" w:type="dxa"/>
            <w:shd w:val="clear" w:color="auto" w:fill="1D3245"/>
            <w:vAlign w:val="center"/>
          </w:tcPr>
          <w:p>
            <w:pPr>
              <w:pStyle w:val="TableHeader"/>
              <w:jc w:val="left"/>
            </w:pPr>
            <w:r/>
            <w:r>
              <w:t>High-risk and task training</w:t>
            </w:r>
          </w:p>
        </w:tc>
        <w:tc>
          <w:tcPr>
            <w:tcW w:w="1417" w:type="dxa"/>
            <w:shd w:val="clear" w:color="auto" w:fill="1D3245"/>
            <w:vAlign w:val="center"/>
          </w:tcPr>
          <w:p>
            <w:pPr>
              <w:pStyle w:val="TableHeader"/>
              <w:jc w:val="left"/>
            </w:pPr>
            <w:r/>
            <w:r>
              <w:t>Refresher interval</w:t>
            </w:r>
          </w:p>
        </w:tc>
        <w:tc>
          <w:tcPr>
            <w:tcW w:w="1703" w:type="dxa"/>
            <w:shd w:val="clear" w:color="auto" w:fill="1D3245"/>
            <w:vAlign w:val="center"/>
          </w:tcPr>
          <w:p>
            <w:pPr>
              <w:pStyle w:val="TableHeader"/>
              <w:jc w:val="left"/>
            </w:pPr>
            <w:r/>
            <w:r>
              <w:t>Verification method and evidence held</w:t>
            </w:r>
          </w:p>
        </w:tc>
      </w:tr>
      <w:tr>
        <w:trPr>
          <w:cantSplit w:val="true"/>
        </w:trPr>
        <w:tc>
          <w:tcPr>
            <w:tcW w:w="1303" w:type="dxa"/>
            <w:vAlign w:val="center"/>
          </w:tcPr>
          <w:p>
            <w:pPr>
              <w:pStyle w:val="TableTextExample"/>
              <w:jc w:val="left"/>
            </w:pPr>
            <w:r/>
            <w:r>
              <w:t>Steel erector</w:t>
            </w:r>
          </w:p>
        </w:tc>
        <w:tc>
          <w:tcPr>
            <w:tcW w:w="1474" w:type="dxa"/>
            <w:vAlign w:val="center"/>
          </w:tcPr>
          <w:p>
            <w:pPr>
              <w:pStyle w:val="TableTextExample"/>
              <w:jc w:val="left"/>
            </w:pPr>
            <w:r/>
            <w:r>
              <w:t>General construction; site-specific; JHA sign-on</w:t>
            </w:r>
          </w:p>
        </w:tc>
        <w:tc>
          <w:tcPr>
            <w:tcW w:w="1927" w:type="dxa"/>
            <w:vAlign w:val="center"/>
          </w:tcPr>
          <w:p>
            <w:pPr>
              <w:pStyle w:val="TableTextExample"/>
              <w:jc w:val="left"/>
            </w:pPr>
            <w:r/>
            <w:r>
              <w:t>Dogging; rigging intermediate or advanced; aerial lift (boom over 36 ft)</w:t>
            </w:r>
          </w:p>
        </w:tc>
        <w:tc>
          <w:tcPr>
            <w:tcW w:w="1814" w:type="dxa"/>
            <w:vAlign w:val="center"/>
          </w:tcPr>
          <w:p>
            <w:pPr>
              <w:pStyle w:val="TableTextExample"/>
              <w:jc w:val="left"/>
            </w:pPr>
            <w:r/>
            <w:r>
              <w:t>Working at heights; aerial lift rescue and emergency lowering; structural bolting VOC</w:t>
            </w:r>
          </w:p>
        </w:tc>
        <w:tc>
          <w:tcPr>
            <w:tcW w:w="1417" w:type="dxa"/>
            <w:vAlign w:val="center"/>
          </w:tcPr>
          <w:p>
            <w:pPr>
              <w:pStyle w:val="TableTextExample"/>
              <w:jc w:val="left"/>
            </w:pPr>
            <w:r/>
            <w:r>
              <w:t>Heights 2-yearly; VOC on change of equipment or method</w:t>
            </w:r>
          </w:p>
        </w:tc>
        <w:tc>
          <w:tcPr>
            <w:tcW w:w="1703" w:type="dxa"/>
            <w:vAlign w:val="center"/>
          </w:tcPr>
          <w:p>
            <w:pPr>
              <w:pStyle w:val="TableTextExample"/>
              <w:jc w:val="left"/>
            </w:pPr>
            <w:r/>
            <w:r>
              <w:t>Original license sighted and copied; practical VOC on the first connection; competency register</w:t>
            </w:r>
          </w:p>
        </w:tc>
      </w:tr>
      <w:tr>
        <w:trPr>
          <w:cantSplit w:val="true"/>
        </w:trPr>
        <w:tc>
          <w:tcPr>
            <w:tcW w:w="1303" w:type="dxa"/>
            <w:vAlign w:val="center"/>
          </w:tcPr>
          <w:p>
            <w:pPr>
              <w:pStyle w:val="TableTextExample"/>
              <w:jc w:val="left"/>
            </w:pPr>
            <w:r/>
            <w:r>
              <w:t>Excavator operator</w:t>
            </w:r>
          </w:p>
        </w:tc>
        <w:tc>
          <w:tcPr>
            <w:tcW w:w="1474" w:type="dxa"/>
            <w:vAlign w:val="center"/>
          </w:tcPr>
          <w:p>
            <w:pPr>
              <w:pStyle w:val="TableTextExample"/>
              <w:jc w:val="left"/>
            </w:pPr>
            <w:r/>
            <w:r>
              <w:t>General construction; site-specific; JHA sign-on</w:t>
            </w:r>
          </w:p>
        </w:tc>
        <w:tc>
          <w:tcPr>
            <w:tcW w:w="1927" w:type="dxa"/>
            <w:vAlign w:val="center"/>
          </w:tcPr>
          <w:p>
            <w:pPr>
              <w:pStyle w:val="TableTextExample"/>
              <w:jc w:val="left"/>
            </w:pPr>
            <w:r/>
            <w:r>
              <w:t>Excavator / earthmoving equipment license or equivalent competency; spotter training</w:t>
            </w:r>
          </w:p>
        </w:tc>
        <w:tc>
          <w:tcPr>
            <w:tcW w:w="1814" w:type="dxa"/>
            <w:vAlign w:val="center"/>
          </w:tcPr>
          <w:p>
            <w:pPr>
              <w:pStyle w:val="TableTextExample"/>
              <w:jc w:val="left"/>
            </w:pPr>
            <w:r/>
            <w:r>
              <w:t>Service location awareness; excavation permit; trench-support awareness</w:t>
            </w:r>
          </w:p>
        </w:tc>
        <w:tc>
          <w:tcPr>
            <w:tcW w:w="1417" w:type="dxa"/>
            <w:vAlign w:val="center"/>
          </w:tcPr>
          <w:p>
            <w:pPr>
              <w:pStyle w:val="TableTextExample"/>
              <w:jc w:val="left"/>
            </w:pPr>
            <w:r/>
            <w:r>
              <w:t>VOC annually and on change of machine</w:t>
            </w:r>
          </w:p>
        </w:tc>
        <w:tc>
          <w:tcPr>
            <w:tcW w:w="1703" w:type="dxa"/>
            <w:vAlign w:val="center"/>
          </w:tcPr>
          <w:p>
            <w:pPr>
              <w:pStyle w:val="TableTextExample"/>
              <w:jc w:val="left"/>
            </w:pPr>
            <w:r/>
            <w:r>
              <w:t>License sighted; VOC on the machine to be used; equipment register cross-reference</w:t>
            </w:r>
          </w:p>
        </w:tc>
      </w:tr>
      <w:tr>
        <w:trPr>
          <w:cantSplit w:val="true"/>
        </w:trPr>
        <w:tc>
          <w:tcPr>
            <w:tcW w:w="1303" w:type="dxa"/>
            <w:vAlign w:val="center"/>
          </w:tcPr>
          <w:p>
            <w:pPr>
              <w:pStyle w:val="TableText"/>
              <w:jc w:val="left"/>
            </w:pPr>
            <w:r/>
          </w:p>
        </w:tc>
        <w:tc>
          <w:tcPr>
            <w:tcW w:w="1474" w:type="dxa"/>
            <w:vAlign w:val="center"/>
          </w:tcPr>
          <w:p>
            <w:pPr>
              <w:pStyle w:val="TableText"/>
              <w:jc w:val="left"/>
            </w:pPr>
            <w:r/>
          </w:p>
        </w:tc>
        <w:tc>
          <w:tcPr>
            <w:tcW w:w="1927" w:type="dxa"/>
            <w:vAlign w:val="center"/>
          </w:tcPr>
          <w:p>
            <w:pPr>
              <w:pStyle w:val="TableText"/>
              <w:jc w:val="left"/>
            </w:pPr>
            <w:r/>
          </w:p>
        </w:tc>
        <w:tc>
          <w:tcPr>
            <w:tcW w:w="1814" w:type="dxa"/>
            <w:vAlign w:val="center"/>
          </w:tcPr>
          <w:p>
            <w:pPr>
              <w:pStyle w:val="TableText"/>
              <w:jc w:val="left"/>
            </w:pPr>
            <w:r/>
          </w:p>
        </w:tc>
        <w:tc>
          <w:tcPr>
            <w:tcW w:w="1417" w:type="dxa"/>
            <w:vAlign w:val="center"/>
          </w:tcPr>
          <w:p>
            <w:pPr>
              <w:pStyle w:val="TableText"/>
              <w:jc w:val="left"/>
            </w:pPr>
            <w:r/>
          </w:p>
        </w:tc>
        <w:tc>
          <w:tcPr>
            <w:tcW w:w="1703" w:type="dxa"/>
            <w:vAlign w:val="center"/>
          </w:tcPr>
          <w:p>
            <w:pPr>
              <w:pStyle w:val="TableText"/>
              <w:jc w:val="left"/>
            </w:pPr>
            <w:r/>
          </w:p>
        </w:tc>
      </w:tr>
      <w:tr>
        <w:trPr>
          <w:cantSplit w:val="true"/>
        </w:trPr>
        <w:tc>
          <w:tcPr>
            <w:tcW w:w="1303" w:type="dxa"/>
            <w:vAlign w:val="center"/>
          </w:tcPr>
          <w:p>
            <w:pPr>
              <w:pStyle w:val="TableText"/>
              <w:jc w:val="left"/>
            </w:pPr>
            <w:r/>
          </w:p>
        </w:tc>
        <w:tc>
          <w:tcPr>
            <w:tcW w:w="1474" w:type="dxa"/>
            <w:vAlign w:val="center"/>
          </w:tcPr>
          <w:p>
            <w:pPr>
              <w:pStyle w:val="TableText"/>
              <w:jc w:val="left"/>
            </w:pPr>
            <w:r/>
          </w:p>
        </w:tc>
        <w:tc>
          <w:tcPr>
            <w:tcW w:w="1927" w:type="dxa"/>
            <w:vAlign w:val="center"/>
          </w:tcPr>
          <w:p>
            <w:pPr>
              <w:pStyle w:val="TableText"/>
              <w:jc w:val="left"/>
            </w:pPr>
            <w:r/>
          </w:p>
        </w:tc>
        <w:tc>
          <w:tcPr>
            <w:tcW w:w="1814" w:type="dxa"/>
            <w:vAlign w:val="center"/>
          </w:tcPr>
          <w:p>
            <w:pPr>
              <w:pStyle w:val="TableText"/>
              <w:jc w:val="left"/>
            </w:pPr>
            <w:r/>
          </w:p>
        </w:tc>
        <w:tc>
          <w:tcPr>
            <w:tcW w:w="1417" w:type="dxa"/>
            <w:vAlign w:val="center"/>
          </w:tcPr>
          <w:p>
            <w:pPr>
              <w:pStyle w:val="TableText"/>
              <w:jc w:val="left"/>
            </w:pPr>
            <w:r/>
          </w:p>
        </w:tc>
        <w:tc>
          <w:tcPr>
            <w:tcW w:w="1703" w:type="dxa"/>
            <w:vAlign w:val="center"/>
          </w:tcPr>
          <w:p>
            <w:pPr>
              <w:pStyle w:val="TableText"/>
              <w:jc w:val="left"/>
            </w:pPr>
            <w:r/>
          </w:p>
        </w:tc>
      </w:tr>
    </w:tbl>
    <w:p>
      <w:pPr>
        <w:spacing w:before="0" w:after="0" w:line="60" w:lineRule="exact"/>
      </w:pPr>
    </w:p>
    <w:p>
      <w:pPr>
        <w:pStyle w:val="Heading1"/>
      </w:pPr>
      <w:bookmarkStart w:id="9047" w:name="_Toc90047"/>
      <w:r>
        <w:t>9. Equipment and Hazardous Substances</w:t>
      </w:r>
      <w:bookmarkEnd w:id="9047"/>
    </w:p>
    <w:p>
      <w:pPr>
        <w:pStyle w:val="BodyLead"/>
      </w:pPr>
      <w:r>
        <w:t>Every item of equipment and every chemical is registered before it is used, and no item is used past its inspection or certification date. The registers are the evidence; the pre-start check is the control.</w:t>
      </w:r>
    </w:p>
    <w:p>
      <w:pPr>
        <w:pStyle w:val="Heading2"/>
      </w:pPr>
      <w:bookmarkStart w:id="9048" w:name="_Toc90048"/>
      <w:r>
        <w:t>9.1 Acceptance, registration and inspection</w:t>
      </w:r>
      <w:bookmarkEnd w:id="9048"/>
    </w:p>
    <w:p>
      <w:pPr>
        <w:pStyle w:val="BodyBullet"/>
      </w:pPr>
      <w:r>
        <w:rPr>
          <w:color w:val="3480BC"/>
        </w:rPr>
        <w:t xml:space="preserve">—   </w:t>
      </w:r>
      <w:r>
        <w:t>No item of equipment enters the site until its register entry is complete: identification, owner, certification or registration, last inspection, next inspection due and the operator competency required. Equipment requiring design or item registration must have that registration verified before first use — 29 CFR Part 1926, plus any OSHA-approved State Plan requirement that exceeds it.</w:t>
      </w:r>
    </w:p>
    <w:p>
      <w:pPr>
        <w:pStyle w:val="BodyBullet"/>
      </w:pPr>
      <w:r>
        <w:rPr>
          <w:color w:val="3480BC"/>
        </w:rPr>
        <w:t xml:space="preserve">—   </w:t>
      </w:r>
      <w:r>
        <w:t>Every powered item receives a documented operator pre-start check each shift; the record stays with the machine and is collected weekly. Electrical equipment and leads are inspected, tested and tagged at the interval the standard requires for construction sites, and residual current devices are tested and logged.</w:t>
      </w:r>
    </w:p>
    <w:p>
      <w:pPr>
        <w:pStyle w:val="BodyBullet"/>
      </w:pPr>
      <w:r>
        <w:rPr>
          <w:color w:val="3480BC"/>
        </w:rPr>
        <w:t xml:space="preserve">—   </w:t>
      </w:r>
      <w:r>
        <w:t>Lifting gear and height safety equipment are inspected before each use and formally at the periodic interval, with color-code tagging so an out-of-date item is obvious. Any defective item is tagged out and physically removed from service the same shift — "do not use" tape is not removal. Hired and subcontractor-owned equipment is registered and inspected on the same terms as owned equipment; the hire agreement does not transfer the duty to verify.</w:t>
      </w:r>
    </w:p>
    <w:p>
      <w:pPr>
        <w:pStyle w:val="Heading2"/>
      </w:pPr>
      <w:bookmarkStart w:id="9049" w:name="_Toc90049"/>
      <w:r>
        <w:t>9.2 Equipment register</w:t>
      </w:r>
      <w:bookmarkEnd w:id="9049"/>
    </w:p>
    <w:p>
      <w:pPr>
        <w:pStyle w:val="Note"/>
      </w:pPr>
      <w:r>
        <w:t>Example rows shown in gray italic — delete before use.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827"/>
        <w:gridCol w:w="1329"/>
        <w:gridCol w:w="1661"/>
        <w:gridCol w:w="1827"/>
        <w:gridCol w:w="1218"/>
        <w:gridCol w:w="1776"/>
      </w:tblGrid>
      <w:tr>
        <w:trPr>
          <w:tblHeader w:val="true"/>
          <w:cantSplit w:val="true"/>
        </w:trPr>
        <w:tc>
          <w:tcPr>
            <w:tcW w:w="1827" w:type="dxa"/>
            <w:shd w:val="clear" w:color="auto" w:fill="1D3245"/>
            <w:vAlign w:val="center"/>
          </w:tcPr>
          <w:p>
            <w:pPr>
              <w:pStyle w:val="TableHeader"/>
              <w:jc w:val="left"/>
            </w:pPr>
            <w:r/>
            <w:r>
              <w:t>Item and description</w:t>
            </w:r>
          </w:p>
        </w:tc>
        <w:tc>
          <w:tcPr>
            <w:tcW w:w="1329" w:type="dxa"/>
            <w:shd w:val="clear" w:color="auto" w:fill="1D3245"/>
            <w:vAlign w:val="center"/>
          </w:tcPr>
          <w:p>
            <w:pPr>
              <w:pStyle w:val="TableHeader"/>
              <w:jc w:val="left"/>
            </w:pPr>
            <w:r/>
            <w:r>
              <w:t>ID / owner</w:t>
            </w:r>
          </w:p>
        </w:tc>
        <w:tc>
          <w:tcPr>
            <w:tcW w:w="1661" w:type="dxa"/>
            <w:shd w:val="clear" w:color="auto" w:fill="1D3245"/>
            <w:vAlign w:val="center"/>
          </w:tcPr>
          <w:p>
            <w:pPr>
              <w:pStyle w:val="TableHeader"/>
              <w:jc w:val="left"/>
            </w:pPr>
            <w:r/>
            <w:r>
              <w:t>Certification or registration held</w:t>
            </w:r>
          </w:p>
        </w:tc>
        <w:tc>
          <w:tcPr>
            <w:tcW w:w="1827" w:type="dxa"/>
            <w:shd w:val="clear" w:color="auto" w:fill="1D3245"/>
            <w:vAlign w:val="center"/>
          </w:tcPr>
          <w:p>
            <w:pPr>
              <w:pStyle w:val="TableHeader"/>
              <w:jc w:val="left"/>
            </w:pPr>
            <w:r/>
            <w:r>
              <w:t>Pre-start and periodic inspection</w:t>
            </w:r>
          </w:p>
        </w:tc>
        <w:tc>
          <w:tcPr>
            <w:tcW w:w="1218" w:type="dxa"/>
            <w:shd w:val="clear" w:color="auto" w:fill="1D3245"/>
            <w:vAlign w:val="center"/>
          </w:tcPr>
          <w:p>
            <w:pPr>
              <w:pStyle w:val="TableHeader"/>
              <w:jc w:val="left"/>
            </w:pPr>
            <w:r/>
            <w:r>
              <w:t>Next due</w:t>
            </w:r>
          </w:p>
        </w:tc>
        <w:tc>
          <w:tcPr>
            <w:tcW w:w="1776" w:type="dxa"/>
            <w:shd w:val="clear" w:color="auto" w:fill="1D3245"/>
            <w:vAlign w:val="center"/>
          </w:tcPr>
          <w:p>
            <w:pPr>
              <w:pStyle w:val="TableHeader"/>
              <w:jc w:val="left"/>
            </w:pPr>
            <w:r/>
            <w:r>
              <w:t>Operator competency required</w:t>
            </w:r>
          </w:p>
        </w:tc>
      </w:tr>
      <w:tr>
        <w:trPr>
          <w:cantSplit w:val="true"/>
        </w:trPr>
        <w:tc>
          <w:tcPr>
            <w:tcW w:w="1827" w:type="dxa"/>
            <w:vAlign w:val="center"/>
          </w:tcPr>
          <w:p>
            <w:pPr>
              <w:pStyle w:val="TableTextExample"/>
              <w:jc w:val="left"/>
            </w:pPr>
            <w:r>
              <w:t>Crawler crane, 250 tonon, luffing jib — steel erection</w:t>
            </w:r>
            <w:r/>
          </w:p>
        </w:tc>
        <w:tc>
          <w:tcPr>
            <w:tcW w:w="1329" w:type="dxa"/>
            <w:vAlign w:val="center"/>
          </w:tcPr>
          <w:p>
            <w:pPr>
              <w:pStyle w:val="TableTextExample"/>
              <w:jc w:val="left"/>
            </w:pPr>
            <w:r/>
            <w:r>
              <w:t>CR-01 · hired, [supplier]</w:t>
            </w:r>
          </w:p>
        </w:tc>
        <w:tc>
          <w:tcPr>
            <w:tcW w:w="1661" w:type="dxa"/>
            <w:vAlign w:val="center"/>
          </w:tcPr>
          <w:p>
            <w:pPr>
              <w:pStyle w:val="TableTextExample"/>
              <w:jc w:val="left"/>
            </w:pPr>
            <w:r/>
            <w:r>
              <w:t>Design and item registration; annual major inspection; ISO 4309 rope inspection</w:t>
            </w:r>
          </w:p>
        </w:tc>
        <w:tc>
          <w:tcPr>
            <w:tcW w:w="1827" w:type="dxa"/>
            <w:vAlign w:val="center"/>
          </w:tcPr>
          <w:p>
            <w:pPr>
              <w:pStyle w:val="TableTextExample"/>
              <w:jc w:val="left"/>
            </w:pPr>
            <w:r/>
            <w:r>
              <w:t>Operator pre-start each shift; weekly supervisor check; 10-yearly major inspection current</w:t>
            </w:r>
          </w:p>
        </w:tc>
        <w:tc>
          <w:tcPr>
            <w:tcW w:w="1218" w:type="dxa"/>
            <w:vAlign w:val="center"/>
          </w:tcPr>
          <w:p>
            <w:pPr>
              <w:pStyle w:val="TableTextExample"/>
              <w:jc w:val="left"/>
            </w:pPr>
            <w:r/>
            <w:r>
              <w:t>[MM/DD/YY]</w:t>
            </w:r>
          </w:p>
        </w:tc>
        <w:tc>
          <w:tcPr>
            <w:tcW w:w="1776" w:type="dxa"/>
            <w:vAlign w:val="center"/>
          </w:tcPr>
          <w:p>
            <w:pPr>
              <w:pStyle w:val="TableTextExample"/>
              <w:jc w:val="left"/>
            </w:pPr>
            <w:r/>
            <w:r>
              <w:t>Crane license for the class; appointed lift supervisor; dogger for every lift</w:t>
            </w:r>
          </w:p>
        </w:tc>
      </w:tr>
      <w:tr>
        <w:trPr>
          <w:cantSplit w:val="true"/>
        </w:trPr>
        <w:tc>
          <w:tcPr>
            <w:tcW w:w="1827" w:type="dxa"/>
            <w:vAlign w:val="center"/>
          </w:tcPr>
          <w:p>
            <w:pPr>
              <w:pStyle w:val="TableTextExample"/>
              <w:jc w:val="left"/>
            </w:pPr>
            <w:r/>
            <w:r>
              <w:t>Telescopic boom lift, 110 ft</w:t>
            </w:r>
          </w:p>
        </w:tc>
        <w:tc>
          <w:tcPr>
            <w:tcW w:w="1329" w:type="dxa"/>
            <w:vAlign w:val="center"/>
          </w:tcPr>
          <w:p>
            <w:pPr>
              <w:pStyle w:val="TableTextExample"/>
              <w:jc w:val="left"/>
            </w:pPr>
            <w:r/>
            <w:r>
              <w:t>aerial lift-03 · subcontractor-owned (Apex Structural Erectors)</w:t>
            </w:r>
          </w:p>
        </w:tc>
        <w:tc>
          <w:tcPr>
            <w:tcW w:w="1661" w:type="dxa"/>
            <w:vAlign w:val="center"/>
          </w:tcPr>
          <w:p>
            <w:pPr>
              <w:pStyle w:val="TableTextExample"/>
              <w:jc w:val="left"/>
            </w:pPr>
            <w:r/>
            <w:r>
              <w:t>Annual inspection certificate; 10-yearly major inspection</w:t>
            </w:r>
          </w:p>
        </w:tc>
        <w:tc>
          <w:tcPr>
            <w:tcW w:w="1827" w:type="dxa"/>
            <w:vAlign w:val="center"/>
          </w:tcPr>
          <w:p>
            <w:pPr>
              <w:pStyle w:val="TableTextExample"/>
              <w:jc w:val="left"/>
            </w:pPr>
            <w:r/>
            <w:r>
              <w:t>Operator pre-start each shift; monthly inspection; harness anchor points verified</w:t>
            </w:r>
          </w:p>
        </w:tc>
        <w:tc>
          <w:tcPr>
            <w:tcW w:w="1218" w:type="dxa"/>
            <w:vAlign w:val="center"/>
          </w:tcPr>
          <w:p>
            <w:pPr>
              <w:pStyle w:val="TableTextExample"/>
              <w:jc w:val="left"/>
            </w:pPr>
            <w:r/>
            <w:r>
              <w:t>[MM/DD/YY]</w:t>
            </w:r>
          </w:p>
        </w:tc>
        <w:tc>
          <w:tcPr>
            <w:tcW w:w="1776" w:type="dxa"/>
            <w:vAlign w:val="center"/>
          </w:tcPr>
          <w:p>
            <w:pPr>
              <w:pStyle w:val="TableTextExample"/>
              <w:jc w:val="left"/>
            </w:pPr>
            <w:r/>
            <w:r>
              <w:t>aerial lift certification (boom-type over 36 ft); trained rescue and emergency lowering person at ground level</w:t>
            </w:r>
          </w:p>
        </w:tc>
      </w:tr>
      <w:tr>
        <w:trPr>
          <w:cantSplit w:val="true"/>
        </w:trPr>
        <w:tc>
          <w:tcPr>
            <w:tcW w:w="1827" w:type="dxa"/>
            <w:vAlign w:val="center"/>
          </w:tcPr>
          <w:p>
            <w:pPr>
              <w:pStyle w:val="TableText"/>
              <w:jc w:val="left"/>
            </w:pPr>
            <w:r/>
          </w:p>
        </w:tc>
        <w:tc>
          <w:tcPr>
            <w:tcW w:w="1329" w:type="dxa"/>
            <w:vAlign w:val="center"/>
          </w:tcPr>
          <w:p>
            <w:pPr>
              <w:pStyle w:val="TableText"/>
              <w:jc w:val="left"/>
            </w:pPr>
            <w:r/>
          </w:p>
        </w:tc>
        <w:tc>
          <w:tcPr>
            <w:tcW w:w="1661" w:type="dxa"/>
            <w:vAlign w:val="center"/>
          </w:tcPr>
          <w:p>
            <w:pPr>
              <w:pStyle w:val="TableText"/>
              <w:jc w:val="left"/>
            </w:pPr>
            <w:r/>
          </w:p>
        </w:tc>
        <w:tc>
          <w:tcPr>
            <w:tcW w:w="1827" w:type="dxa"/>
            <w:vAlign w:val="center"/>
          </w:tcPr>
          <w:p>
            <w:pPr>
              <w:pStyle w:val="TableText"/>
              <w:jc w:val="left"/>
            </w:pPr>
            <w:r/>
          </w:p>
        </w:tc>
        <w:tc>
          <w:tcPr>
            <w:tcW w:w="1218" w:type="dxa"/>
            <w:vAlign w:val="center"/>
          </w:tcPr>
          <w:p>
            <w:pPr>
              <w:pStyle w:val="TableText"/>
              <w:jc w:val="left"/>
            </w:pPr>
            <w:r/>
          </w:p>
        </w:tc>
        <w:tc>
          <w:tcPr>
            <w:tcW w:w="1776" w:type="dxa"/>
            <w:vAlign w:val="center"/>
          </w:tcPr>
          <w:p>
            <w:pPr>
              <w:pStyle w:val="TableText"/>
              <w:jc w:val="left"/>
            </w:pPr>
            <w:r/>
          </w:p>
        </w:tc>
      </w:tr>
      <w:tr>
        <w:trPr>
          <w:cantSplit w:val="true"/>
        </w:trPr>
        <w:tc>
          <w:tcPr>
            <w:tcW w:w="1827" w:type="dxa"/>
            <w:vAlign w:val="center"/>
          </w:tcPr>
          <w:p>
            <w:pPr>
              <w:pStyle w:val="TableText"/>
              <w:jc w:val="left"/>
            </w:pPr>
            <w:r/>
          </w:p>
        </w:tc>
        <w:tc>
          <w:tcPr>
            <w:tcW w:w="1329" w:type="dxa"/>
            <w:vAlign w:val="center"/>
          </w:tcPr>
          <w:p>
            <w:pPr>
              <w:pStyle w:val="TableText"/>
              <w:jc w:val="left"/>
            </w:pPr>
            <w:r/>
          </w:p>
        </w:tc>
        <w:tc>
          <w:tcPr>
            <w:tcW w:w="1661" w:type="dxa"/>
            <w:vAlign w:val="center"/>
          </w:tcPr>
          <w:p>
            <w:pPr>
              <w:pStyle w:val="TableText"/>
              <w:jc w:val="left"/>
            </w:pPr>
            <w:r/>
          </w:p>
        </w:tc>
        <w:tc>
          <w:tcPr>
            <w:tcW w:w="1827" w:type="dxa"/>
            <w:vAlign w:val="center"/>
          </w:tcPr>
          <w:p>
            <w:pPr>
              <w:pStyle w:val="TableText"/>
              <w:jc w:val="left"/>
            </w:pPr>
            <w:r/>
          </w:p>
        </w:tc>
        <w:tc>
          <w:tcPr>
            <w:tcW w:w="1218" w:type="dxa"/>
            <w:vAlign w:val="center"/>
          </w:tcPr>
          <w:p>
            <w:pPr>
              <w:pStyle w:val="TableText"/>
              <w:jc w:val="left"/>
            </w:pPr>
            <w:r/>
          </w:p>
        </w:tc>
        <w:tc>
          <w:tcPr>
            <w:tcW w:w="1776" w:type="dxa"/>
            <w:vAlign w:val="center"/>
          </w:tcPr>
          <w:p>
            <w:pPr>
              <w:pStyle w:val="TableText"/>
              <w:jc w:val="left"/>
            </w:pPr>
            <w:r/>
          </w:p>
        </w:tc>
      </w:tr>
    </w:tbl>
    <w:p>
      <w:pPr>
        <w:spacing w:before="0" w:after="0" w:line="60" w:lineRule="exact"/>
      </w:pPr>
    </w:p>
    <w:p>
      <w:pPr>
        <w:pStyle w:val="Heading2"/>
      </w:pPr>
      <w:bookmarkStart w:id="9050" w:name="_Toc90050"/>
      <w:r>
        <w:t>9.3 Hazardous substances and chemicals</w:t>
      </w:r>
      <w:bookmarkEnd w:id="9050"/>
    </w:p>
    <w:p>
      <w:pPr>
        <w:pStyle w:val="Body"/>
      </w:pPr>
      <w:r>
        <w:t>A chemical may only be brought on site after its Safety Data Sheet has been reviewed and the substance entered in the register below. Hazard Communication for construction is 29 CFR 1926.59, which adopts 1910.1200 in full: a written hazard communication program, labels, SDSs readily accessible to employees on every shift, and training before assignment. Substitute a less hazardous product wherever one will do the job — that decision belongs at design and procurement, not at the point of use.</w:t>
      </w:r>
    </w:p>
    <w:p>
      <w:pPr>
        <w:pStyle w:val="Note"/>
      </w:pPr>
      <w:r>
        <w:t>Example rows shown in gray italic — delete before use. Any row with "SDS held = No" is a stop condition for that substance.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530"/>
        <w:gridCol w:w="963"/>
        <w:gridCol w:w="1190"/>
        <w:gridCol w:w="1077"/>
        <w:gridCol w:w="1303"/>
        <w:gridCol w:w="2154"/>
        <w:gridCol w:w="1421"/>
      </w:tblGrid>
      <w:tr>
        <w:trPr>
          <w:tblHeader w:val="true"/>
          <w:cantSplit w:val="true"/>
        </w:trPr>
        <w:tc>
          <w:tcPr>
            <w:tcW w:w="1530" w:type="dxa"/>
            <w:shd w:val="clear" w:color="auto" w:fill="1D3245"/>
            <w:vAlign w:val="center"/>
          </w:tcPr>
          <w:p>
            <w:pPr>
              <w:pStyle w:val="TableHeader"/>
              <w:jc w:val="left"/>
            </w:pPr>
            <w:r/>
            <w:r>
              <w:t>Substance and use</w:t>
            </w:r>
          </w:p>
        </w:tc>
        <w:tc>
          <w:tcPr>
            <w:tcW w:w="963" w:type="dxa"/>
            <w:shd w:val="clear" w:color="auto" w:fill="1D3245"/>
            <w:vAlign w:val="center"/>
          </w:tcPr>
          <w:p>
            <w:pPr>
              <w:pStyle w:val="TableHeader"/>
              <w:jc w:val="left"/>
            </w:pPr>
            <w:r/>
            <w:r>
              <w:t>SDS held</w:t>
            </w:r>
          </w:p>
        </w:tc>
        <w:tc>
          <w:tcPr>
            <w:tcW w:w="1190" w:type="dxa"/>
            <w:shd w:val="clear" w:color="auto" w:fill="1D3245"/>
            <w:vAlign w:val="center"/>
          </w:tcPr>
          <w:p>
            <w:pPr>
              <w:pStyle w:val="TableHeader"/>
              <w:jc w:val="left"/>
            </w:pPr>
            <w:r/>
            <w:r>
              <w:t>SDS date</w:t>
            </w:r>
          </w:p>
        </w:tc>
        <w:tc>
          <w:tcPr>
            <w:tcW w:w="1077" w:type="dxa"/>
            <w:shd w:val="clear" w:color="auto" w:fill="1D3245"/>
            <w:vAlign w:val="center"/>
          </w:tcPr>
          <w:p>
            <w:pPr>
              <w:pStyle w:val="TableHeader"/>
              <w:jc w:val="left"/>
            </w:pPr>
            <w:r/>
            <w:r>
              <w:t>Quantity</w:t>
            </w:r>
          </w:p>
        </w:tc>
        <w:tc>
          <w:tcPr>
            <w:tcW w:w="1303" w:type="dxa"/>
            <w:shd w:val="clear" w:color="auto" w:fill="1D3245"/>
            <w:vAlign w:val="center"/>
          </w:tcPr>
          <w:p>
            <w:pPr>
              <w:pStyle w:val="TableHeader"/>
              <w:jc w:val="left"/>
            </w:pPr>
            <w:r/>
            <w:r>
              <w:t>Storage</w:t>
            </w:r>
          </w:p>
        </w:tc>
        <w:tc>
          <w:tcPr>
            <w:tcW w:w="2154" w:type="dxa"/>
            <w:shd w:val="clear" w:color="auto" w:fill="1D3245"/>
            <w:vAlign w:val="center"/>
          </w:tcPr>
          <w:p>
            <w:pPr>
              <w:pStyle w:val="TableHeader"/>
              <w:jc w:val="left"/>
            </w:pPr>
            <w:r/>
            <w:r>
              <w:t>Controls applied</w:t>
            </w:r>
          </w:p>
        </w:tc>
        <w:tc>
          <w:tcPr>
            <w:tcW w:w="1421" w:type="dxa"/>
            <w:shd w:val="clear" w:color="auto" w:fill="1D3245"/>
            <w:vAlign w:val="center"/>
          </w:tcPr>
          <w:p>
            <w:pPr>
              <w:pStyle w:val="TableHeader"/>
              <w:jc w:val="left"/>
            </w:pPr>
            <w:r/>
            <w:r>
              <w:t>Exposure standard</w:t>
            </w:r>
          </w:p>
        </w:tc>
      </w:tr>
      <w:tr>
        <w:trPr>
          <w:cantSplit w:val="true"/>
        </w:trPr>
        <w:tc>
          <w:tcPr>
            <w:tcW w:w="1530" w:type="dxa"/>
            <w:vAlign w:val="center"/>
          </w:tcPr>
          <w:p>
            <w:pPr>
              <w:pStyle w:val="TableTextExample"/>
              <w:jc w:val="left"/>
            </w:pPr>
            <w:r/>
            <w:r>
              <w:t>Solvent-based form release agent — substructure formwork</w:t>
            </w:r>
          </w:p>
        </w:tc>
        <w:tc>
          <w:tcPr>
            <w:tcW w:w="963" w:type="dxa"/>
            <w:vAlign w:val="center"/>
          </w:tcPr>
          <w:p>
            <w:pPr>
              <w:pStyle w:val="TableTextExample"/>
              <w:jc w:val="left"/>
            </w:pPr>
            <w:r/>
            <w:r>
              <w:t>Yes</w:t>
            </w:r>
          </w:p>
        </w:tc>
        <w:tc>
          <w:tcPr>
            <w:tcW w:w="1190" w:type="dxa"/>
            <w:vAlign w:val="center"/>
          </w:tcPr>
          <w:p>
            <w:pPr>
              <w:pStyle w:val="TableTextExample"/>
              <w:jc w:val="left"/>
            </w:pPr>
            <w:r/>
            <w:r>
              <w:t>[MM/DD/YY]</w:t>
            </w:r>
          </w:p>
        </w:tc>
        <w:tc>
          <w:tcPr>
            <w:tcW w:w="1077" w:type="dxa"/>
            <w:vAlign w:val="center"/>
          </w:tcPr>
          <w:p>
            <w:pPr>
              <w:pStyle w:val="TableTextExample"/>
              <w:jc w:val="left"/>
            </w:pPr>
            <w:r/>
            <w:r>
              <w:t>60 L in 20 L drums</w:t>
            </w:r>
          </w:p>
        </w:tc>
        <w:tc>
          <w:tcPr>
            <w:tcW w:w="1303" w:type="dxa"/>
            <w:vAlign w:val="center"/>
          </w:tcPr>
          <w:p>
            <w:pPr>
              <w:pStyle w:val="TableTextExample"/>
              <w:jc w:val="left"/>
            </w:pPr>
            <w:r/>
            <w:r>
              <w:t>Bunded flammables cabinet; segregated from oxidisers</w:t>
            </w:r>
          </w:p>
        </w:tc>
        <w:tc>
          <w:tcPr>
            <w:tcW w:w="2154" w:type="dxa"/>
            <w:vAlign w:val="center"/>
          </w:tcPr>
          <w:p>
            <w:pPr>
              <w:pStyle w:val="TableTextExample"/>
              <w:jc w:val="left"/>
            </w:pPr>
            <w:r/>
            <w:r>
              <w:t>Substituted to a water-based product within 100 ft of the hospital air intake; local exhaust in enclosed areas; nitrile gloves and eye protection; spill kit at the store</w:t>
            </w:r>
          </w:p>
        </w:tc>
        <w:tc>
          <w:tcPr>
            <w:tcW w:w="1421" w:type="dxa"/>
            <w:vAlign w:val="center"/>
          </w:tcPr>
          <w:p>
            <w:pPr>
              <w:pStyle w:val="TableTextExample"/>
              <w:jc w:val="left"/>
            </w:pPr>
            <w:r/>
            <w:r>
              <w:t>[Insert the OSHA PEL from 1910.1000 Tables Z-1 to Z-3, or the ACGIH TLV where no PEL exists — note many PELs date from 1971 and the TLV is often the lower figure]</w:t>
            </w:r>
          </w:p>
        </w:tc>
      </w:tr>
      <w:tr>
        <w:trPr>
          <w:cantSplit w:val="true"/>
        </w:trPr>
        <w:tc>
          <w:tcPr>
            <w:tcW w:w="1530" w:type="dxa"/>
            <w:vAlign w:val="center"/>
          </w:tcPr>
          <w:p>
            <w:pPr>
              <w:pStyle w:val="TableTextExample"/>
              <w:jc w:val="left"/>
            </w:pPr>
            <w:r/>
            <w:r>
              <w:t>Crystalline silica — dust from concrete cutting and grinding</w:t>
            </w:r>
          </w:p>
        </w:tc>
        <w:tc>
          <w:tcPr>
            <w:tcW w:w="963" w:type="dxa"/>
            <w:vAlign w:val="center"/>
          </w:tcPr>
          <w:p>
            <w:pPr>
              <w:pStyle w:val="TableTextExample"/>
              <w:jc w:val="left"/>
            </w:pPr>
            <w:r/>
            <w:r>
              <w:t>Yes — product and silica sheets</w:t>
            </w:r>
          </w:p>
        </w:tc>
        <w:tc>
          <w:tcPr>
            <w:tcW w:w="1190" w:type="dxa"/>
            <w:vAlign w:val="center"/>
          </w:tcPr>
          <w:p>
            <w:pPr>
              <w:pStyle w:val="TableTextExample"/>
              <w:jc w:val="left"/>
            </w:pPr>
            <w:r/>
            <w:r>
              <w:t>[MM/DD/YY]</w:t>
            </w:r>
          </w:p>
        </w:tc>
        <w:tc>
          <w:tcPr>
            <w:tcW w:w="1077" w:type="dxa"/>
            <w:vAlign w:val="center"/>
          </w:tcPr>
          <w:p>
            <w:pPr>
              <w:pStyle w:val="TableTextExample"/>
              <w:jc w:val="left"/>
            </w:pPr>
            <w:r/>
            <w:r>
              <w:t>Generated in situ</w:t>
            </w:r>
          </w:p>
        </w:tc>
        <w:tc>
          <w:tcPr>
            <w:tcW w:w="1303" w:type="dxa"/>
            <w:vAlign w:val="center"/>
          </w:tcPr>
          <w:p>
            <w:pPr>
              <w:pStyle w:val="TableTextExample"/>
              <w:jc w:val="left"/>
            </w:pPr>
            <w:r/>
            <w:r>
              <w:t>Not applicable</w:t>
            </w:r>
          </w:p>
        </w:tc>
        <w:tc>
          <w:tcPr>
            <w:tcW w:w="2154" w:type="dxa"/>
            <w:vAlign w:val="center"/>
          </w:tcPr>
          <w:p>
            <w:pPr>
              <w:pStyle w:val="TableTextExample"/>
              <w:jc w:val="left"/>
            </w:pPr>
            <w:r/>
            <w:r>
              <w:t>Elimination by pre-cut and pre-formed penetrations where practicable; water suppression and H-class on-tool extraction mandatory; exclusion zone; fit-tested P2/P3 respiratory protection; independent air monitoring</w:t>
            </w:r>
          </w:p>
        </w:tc>
        <w:tc>
          <w:tcPr>
            <w:tcW w:w="1421" w:type="dxa"/>
            <w:vAlign w:val="center"/>
          </w:tcPr>
          <w:p>
            <w:pPr>
              <w:pStyle w:val="TableTextExample"/>
              <w:jc w:val="left"/>
            </w:pPr>
            <w:r/>
            <w:r>
              <w:t>50 µg/m³ as an 8-hour TWA — 1926.1153(d)(1); action level 25 µg/m³</w:t>
            </w:r>
          </w:p>
        </w:tc>
      </w:tr>
      <w:tr>
        <w:trPr>
          <w:cantSplit w:val="true"/>
        </w:trPr>
        <w:tc>
          <w:tcPr>
            <w:tcW w:w="1530" w:type="dxa"/>
            <w:vAlign w:val="center"/>
          </w:tcPr>
          <w:p>
            <w:pPr>
              <w:pStyle w:val="TableText"/>
              <w:jc w:val="left"/>
            </w:pPr>
            <w:r/>
          </w:p>
        </w:tc>
        <w:tc>
          <w:tcPr>
            <w:tcW w:w="963" w:type="dxa"/>
            <w:vAlign w:val="center"/>
          </w:tcPr>
          <w:p>
            <w:pPr>
              <w:pStyle w:val="TableText"/>
              <w:jc w:val="left"/>
            </w:pPr>
            <w:r/>
          </w:p>
        </w:tc>
        <w:tc>
          <w:tcPr>
            <w:tcW w:w="1190" w:type="dxa"/>
            <w:vAlign w:val="center"/>
          </w:tcPr>
          <w:p>
            <w:pPr>
              <w:pStyle w:val="TableText"/>
              <w:jc w:val="left"/>
            </w:pPr>
            <w:r/>
          </w:p>
        </w:tc>
        <w:tc>
          <w:tcPr>
            <w:tcW w:w="1077" w:type="dxa"/>
            <w:vAlign w:val="center"/>
          </w:tcPr>
          <w:p>
            <w:pPr>
              <w:pStyle w:val="TableText"/>
              <w:jc w:val="left"/>
            </w:pPr>
            <w:r/>
          </w:p>
        </w:tc>
        <w:tc>
          <w:tcPr>
            <w:tcW w:w="1303" w:type="dxa"/>
            <w:vAlign w:val="center"/>
          </w:tcPr>
          <w:p>
            <w:pPr>
              <w:pStyle w:val="TableText"/>
              <w:jc w:val="left"/>
            </w:pPr>
            <w:r/>
          </w:p>
        </w:tc>
        <w:tc>
          <w:tcPr>
            <w:tcW w:w="2154" w:type="dxa"/>
            <w:vAlign w:val="center"/>
          </w:tcPr>
          <w:p>
            <w:pPr>
              <w:pStyle w:val="TableText"/>
              <w:jc w:val="left"/>
            </w:pPr>
            <w:r/>
          </w:p>
        </w:tc>
        <w:tc>
          <w:tcPr>
            <w:tcW w:w="1421" w:type="dxa"/>
            <w:vAlign w:val="center"/>
          </w:tcPr>
          <w:p>
            <w:pPr>
              <w:pStyle w:val="TableText"/>
              <w:jc w:val="left"/>
            </w:pPr>
            <w:r/>
          </w:p>
        </w:tc>
      </w:tr>
      <w:tr>
        <w:trPr>
          <w:cantSplit w:val="true"/>
        </w:trPr>
        <w:tc>
          <w:tcPr>
            <w:tcW w:w="1530" w:type="dxa"/>
            <w:vAlign w:val="center"/>
          </w:tcPr>
          <w:p>
            <w:pPr>
              <w:pStyle w:val="TableText"/>
              <w:jc w:val="left"/>
            </w:pPr>
            <w:r/>
          </w:p>
        </w:tc>
        <w:tc>
          <w:tcPr>
            <w:tcW w:w="963" w:type="dxa"/>
            <w:vAlign w:val="center"/>
          </w:tcPr>
          <w:p>
            <w:pPr>
              <w:pStyle w:val="TableText"/>
              <w:jc w:val="left"/>
            </w:pPr>
            <w:r/>
          </w:p>
        </w:tc>
        <w:tc>
          <w:tcPr>
            <w:tcW w:w="1190" w:type="dxa"/>
            <w:vAlign w:val="center"/>
          </w:tcPr>
          <w:p>
            <w:pPr>
              <w:pStyle w:val="TableText"/>
              <w:jc w:val="left"/>
            </w:pPr>
            <w:r/>
          </w:p>
        </w:tc>
        <w:tc>
          <w:tcPr>
            <w:tcW w:w="1077" w:type="dxa"/>
            <w:vAlign w:val="center"/>
          </w:tcPr>
          <w:p>
            <w:pPr>
              <w:pStyle w:val="TableText"/>
              <w:jc w:val="left"/>
            </w:pPr>
            <w:r/>
          </w:p>
        </w:tc>
        <w:tc>
          <w:tcPr>
            <w:tcW w:w="1303" w:type="dxa"/>
            <w:vAlign w:val="center"/>
          </w:tcPr>
          <w:p>
            <w:pPr>
              <w:pStyle w:val="TableText"/>
              <w:jc w:val="left"/>
            </w:pPr>
            <w:r/>
          </w:p>
        </w:tc>
        <w:tc>
          <w:tcPr>
            <w:tcW w:w="2154" w:type="dxa"/>
            <w:vAlign w:val="center"/>
          </w:tcPr>
          <w:p>
            <w:pPr>
              <w:pStyle w:val="TableText"/>
              <w:jc w:val="left"/>
            </w:pPr>
            <w:r/>
          </w:p>
        </w:tc>
        <w:tc>
          <w:tcPr>
            <w:tcW w:w="1421" w:type="dxa"/>
            <w:vAlign w:val="center"/>
          </w:tcPr>
          <w:p>
            <w:pPr>
              <w:pStyle w:val="TableText"/>
              <w:jc w:val="left"/>
            </w:pPr>
            <w:r/>
          </w:p>
        </w:tc>
      </w:tr>
    </w:tbl>
    <w:p>
      <w:pPr>
        <w:spacing w:before="0" w:after="0" w:line="60" w:lineRule="exact"/>
      </w:pP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rPr>
          <w:cantSplit/>
        </w:trPr>
        <w:tc>
          <w:tcPr>
            <w:tcW w:w="9638" w:type="dxa"/>
            <w:shd w:val="clear" w:color="auto" w:fill="FDF3DC"/>
            <w:tcBorders>
              <w:left w:val="single" w:sz="4" w:space="0" w:color="C98A0E"/>
            </w:tcBorders>
          </w:tcPr>
          <w:p>
            <w:pPr>
              <w:pStyle w:val="Body"/>
            </w:pPr>
            <w:r/>
            <w:r>
              <w:t>A current safety data sheet — issued or revised within the period the standard requires, and in any case reissued whenever significant new information about the substance emerges — must be held on site and be readily accessible to every worker who may be exposed, at the point of use as well as in the site office. A substance whose SDS is missing or out of date is removed from site until one is obtained.</w:t>
            </w:r>
          </w:p>
        </w:tc>
      </w:tr>
    </w:tbl>
    <w:p>
      <w:pPr>
        <w:spacing w:before="0" w:after="0" w:line="160" w:lineRule="exact"/>
      </w:pPr>
    </w:p>
    <w:p>
      <w:pPr>
        <w:pStyle w:val="Heading2"/>
      </w:pPr>
      <w:bookmarkStart w:id="9051" w:name="_Toc90051"/>
      <w:r>
        <w:t>9.4 Hazardous manual tasks</w:t>
      </w:r>
      <w:bookmarkEnd w:id="9051"/>
    </w:p>
    <w:p>
      <w:pPr>
        <w:pStyle w:val="Body"/>
      </w:pPr>
      <w:r>
        <w:t>Assess manual tasks for repetition, sustained or high force, awkward posture and vibration — not simply weight. Control at the top of the hierarchy: design out the lift, order materials in a handleable size and to the point of use, provide mechanical aids, set out laydown so materials are handled once. Where two-person handling is nominated it must be enforced rather than advertised. Record manual tasks and hand-arm vibration limits in the JHA for the activity.</w:t>
      </w:r>
    </w:p>
    <w:p>
      <w:pPr>
        <w:pStyle w:val="Heading1"/>
      </w:pPr>
      <w:bookmarkStart w:id="9052" w:name="_Toc90052"/>
      <w:r>
        <w:t>10. Site Establishment, Sanitation and Security</w:t>
      </w:r>
      <w:bookmarkEnd w:id="9052"/>
    </w:p>
    <w:p>
      <w:pPr>
        <w:pStyle w:val="BodyLead"/>
      </w:pPr>
      <w:r>
        <w:t>Most of what keeps a site safe is decided before the first excavation: where people walk, where equipment travels, where materials land and where the public is kept out. Complete this section during site establishment planning, with the layout drawing at Appendix A.</w:t>
      </w:r>
    </w:p>
    <w:p>
      <w:pPr>
        <w:pStyle w:val="Heading2"/>
      </w:pPr>
      <w:bookmarkStart w:id="9053" w:name="_Toc90053"/>
      <w:r>
        <w:t>10.1 Site layout, sanitation and welfare facilities</w:t>
      </w:r>
      <w:bookmarkEnd w:id="9053"/>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644"/>
        <w:gridCol w:w="2778"/>
        <w:gridCol w:w="1984"/>
        <w:gridCol w:w="1417"/>
        <w:gridCol w:w="1815"/>
      </w:tblGrid>
      <w:tr>
        <w:trPr>
          <w:tblHeader w:val="true"/>
          <w:cantSplit w:val="true"/>
        </w:trPr>
        <w:tc>
          <w:tcPr>
            <w:tcW w:w="1644" w:type="dxa"/>
            <w:shd w:val="clear" w:color="auto" w:fill="1D3245"/>
            <w:vAlign w:val="center"/>
          </w:tcPr>
          <w:p>
            <w:pPr>
              <w:pStyle w:val="TableHeader"/>
              <w:jc w:val="left"/>
            </w:pPr>
            <w:r/>
            <w:r>
              <w:t>Facility or control</w:t>
            </w:r>
          </w:p>
        </w:tc>
        <w:tc>
          <w:tcPr>
            <w:tcW w:w="2778" w:type="dxa"/>
            <w:shd w:val="clear" w:color="auto" w:fill="1D3245"/>
            <w:vAlign w:val="center"/>
          </w:tcPr>
          <w:p>
            <w:pPr>
              <w:pStyle w:val="TableHeader"/>
              <w:jc w:val="left"/>
            </w:pPr>
            <w:r/>
            <w:r>
              <w:t>Requirement</w:t>
            </w:r>
          </w:p>
        </w:tc>
        <w:tc>
          <w:tcPr>
            <w:tcW w:w="1984" w:type="dxa"/>
            <w:shd w:val="clear" w:color="auto" w:fill="1D3245"/>
            <w:vAlign w:val="center"/>
          </w:tcPr>
          <w:p>
            <w:pPr>
              <w:pStyle w:val="TableHeader"/>
              <w:jc w:val="left"/>
            </w:pPr>
            <w:r/>
            <w:r>
              <w:t>Provision on this project</w:t>
            </w:r>
          </w:p>
        </w:tc>
        <w:tc>
          <w:tcPr>
            <w:tcW w:w="1417" w:type="dxa"/>
            <w:shd w:val="clear" w:color="auto" w:fill="1D3245"/>
            <w:vAlign w:val="center"/>
          </w:tcPr>
          <w:p>
            <w:pPr>
              <w:pStyle w:val="TableHeader"/>
              <w:jc w:val="left"/>
            </w:pPr>
            <w:r/>
            <w:r>
              <w:t>Responsible</w:t>
            </w:r>
          </w:p>
        </w:tc>
        <w:tc>
          <w:tcPr>
            <w:tcW w:w="1815" w:type="dxa"/>
            <w:shd w:val="clear" w:color="auto" w:fill="1D3245"/>
            <w:vAlign w:val="center"/>
          </w:tcPr>
          <w:p>
            <w:pPr>
              <w:pStyle w:val="TableHeader"/>
              <w:jc w:val="left"/>
            </w:pPr>
            <w:r/>
            <w:r>
              <w:t>Verification</w:t>
            </w:r>
          </w:p>
        </w:tc>
      </w:tr>
      <w:tr>
        <w:trPr>
          <w:cantSplit w:val="true"/>
        </w:trPr>
        <w:tc>
          <w:tcPr>
            <w:tcW w:w="1644" w:type="dxa"/>
            <w:vAlign w:val="center"/>
          </w:tcPr>
          <w:p>
            <w:pPr>
              <w:pStyle w:val="TableTextBold"/>
              <w:jc w:val="left"/>
            </w:pPr>
            <w:r/>
            <w:r>
              <w:t>Site office and meeting space</w:t>
            </w:r>
          </w:p>
        </w:tc>
        <w:tc>
          <w:tcPr>
            <w:tcW w:w="2778" w:type="dxa"/>
            <w:vAlign w:val="center"/>
          </w:tcPr>
          <w:p>
            <w:pPr>
              <w:pStyle w:val="TableText"/>
              <w:jc w:val="left"/>
            </w:pPr>
            <w:r/>
            <w:r>
              <w:t>Sufficient for the peak workforce; space for inductions and the safety committee; a first aid area</w:t>
            </w:r>
          </w:p>
        </w:tc>
        <w:tc>
          <w:tcPr>
            <w:tcW w:w="1984" w:type="dxa"/>
            <w:vAlign w:val="center"/>
          </w:tcPr>
          <w:p>
            <w:pPr>
              <w:pStyle w:val="TableText"/>
              <w:jc w:val="left"/>
            </w:pPr>
            <w:r/>
            <w:r>
              <w:t>[Insert provision, location and capacity]</w:t>
            </w:r>
          </w:p>
        </w:tc>
        <w:tc>
          <w:tcPr>
            <w:tcW w:w="1417" w:type="dxa"/>
            <w:vAlign w:val="center"/>
          </w:tcPr>
          <w:p>
            <w:pPr>
              <w:pStyle w:val="TableText"/>
              <w:jc w:val="left"/>
            </w:pPr>
            <w:r/>
            <w:r>
              <w:t>Site Manager</w:t>
            </w:r>
          </w:p>
        </w:tc>
        <w:tc>
          <w:tcPr>
            <w:tcW w:w="1815" w:type="dxa"/>
            <w:vAlign w:val="center"/>
          </w:tcPr>
          <w:p>
            <w:pPr>
              <w:pStyle w:val="TableText"/>
              <w:jc w:val="left"/>
            </w:pPr>
            <w:r/>
            <w:r>
              <w:t>Weekly site inspection</w:t>
            </w:r>
          </w:p>
        </w:tc>
      </w:tr>
      <w:tr>
        <w:trPr>
          <w:cantSplit w:val="true"/>
        </w:trPr>
        <w:tc>
          <w:tcPr>
            <w:tcW w:w="1644" w:type="dxa"/>
            <w:vAlign w:val="center"/>
          </w:tcPr>
          <w:p>
            <w:pPr>
              <w:pStyle w:val="TableTextBold"/>
              <w:jc w:val="left"/>
            </w:pPr>
            <w:r/>
            <w:r>
              <w:t>Toilets and hand washing</w:t>
            </w:r>
          </w:p>
        </w:tc>
        <w:tc>
          <w:tcPr>
            <w:tcW w:w="2778" w:type="dxa"/>
            <w:vAlign w:val="center"/>
          </w:tcPr>
          <w:p>
            <w:pPr>
              <w:pStyle w:val="TableText"/>
              <w:jc w:val="left"/>
            </w:pPr>
            <w:r/>
            <w:r>
              <w:t>Clean, lit, lockable and adequate in number for the peak workforce; separate provision as required; hot water and soap</w:t>
            </w:r>
          </w:p>
        </w:tc>
        <w:tc>
          <w:tcPr>
            <w:tcW w:w="1984" w:type="dxa"/>
            <w:vAlign w:val="center"/>
          </w:tcPr>
          <w:p>
            <w:pPr>
              <w:pStyle w:val="TableText"/>
              <w:jc w:val="left"/>
            </w:pPr>
            <w:r/>
            <w:r>
              <w:t>[Insert number, type, location and cleaning frequency]</w:t>
            </w:r>
          </w:p>
        </w:tc>
        <w:tc>
          <w:tcPr>
            <w:tcW w:w="1417" w:type="dxa"/>
            <w:vAlign w:val="center"/>
          </w:tcPr>
          <w:p>
            <w:pPr>
              <w:pStyle w:val="TableText"/>
              <w:jc w:val="left"/>
            </w:pPr>
            <w:r/>
            <w:r>
              <w:t>Site Manager</w:t>
            </w:r>
          </w:p>
        </w:tc>
        <w:tc>
          <w:tcPr>
            <w:tcW w:w="1815" w:type="dxa"/>
            <w:vAlign w:val="center"/>
          </w:tcPr>
          <w:p>
            <w:pPr>
              <w:pStyle w:val="TableText"/>
              <w:jc w:val="left"/>
            </w:pPr>
            <w:r/>
            <w:r>
              <w:t>Daily cleaning record; weekly inspection</w:t>
            </w:r>
          </w:p>
        </w:tc>
      </w:tr>
      <w:tr>
        <w:trPr>
          <w:cantSplit w:val="true"/>
        </w:trPr>
        <w:tc>
          <w:tcPr>
            <w:tcW w:w="1644" w:type="dxa"/>
            <w:vAlign w:val="center"/>
          </w:tcPr>
          <w:p>
            <w:pPr>
              <w:pStyle w:val="TableTextBold"/>
              <w:jc w:val="left"/>
            </w:pPr>
            <w:r/>
            <w:r>
              <w:t>Drinking water, break area and change facilities</w:t>
            </w:r>
          </w:p>
        </w:tc>
        <w:tc>
          <w:tcPr>
            <w:tcW w:w="2778" w:type="dxa"/>
            <w:vAlign w:val="center"/>
          </w:tcPr>
          <w:p>
            <w:pPr>
              <w:pStyle w:val="TableText"/>
              <w:jc w:val="left"/>
            </w:pPr>
            <w:r/>
            <w:r>
              <w:t>Cool potable water at every level and work front; shaded, weather-protected seating, tables, hand washing, refrigeration and boiling water; somewhere to change and store belongings and PPE dry</w:t>
            </w:r>
          </w:p>
        </w:tc>
        <w:tc>
          <w:tcPr>
            <w:tcW w:w="1984" w:type="dxa"/>
            <w:vAlign w:val="center"/>
          </w:tcPr>
          <w:p>
            <w:pPr>
              <w:pStyle w:val="TableText"/>
              <w:jc w:val="left"/>
            </w:pPr>
            <w:r/>
            <w:r>
              <w:t>[Insert locations and capacity]</w:t>
            </w:r>
          </w:p>
        </w:tc>
        <w:tc>
          <w:tcPr>
            <w:tcW w:w="1417" w:type="dxa"/>
            <w:vAlign w:val="center"/>
          </w:tcPr>
          <w:p>
            <w:pPr>
              <w:pStyle w:val="TableText"/>
              <w:jc w:val="left"/>
            </w:pPr>
            <w:r/>
            <w:r>
              <w:t>Site Manager</w:t>
            </w:r>
          </w:p>
        </w:tc>
        <w:tc>
          <w:tcPr>
            <w:tcW w:w="1815" w:type="dxa"/>
            <w:vAlign w:val="center"/>
          </w:tcPr>
          <w:p>
            <w:pPr>
              <w:pStyle w:val="TableText"/>
              <w:jc w:val="left"/>
            </w:pPr>
            <w:r/>
            <w:r>
              <w:t>Daily site diary check; weekly inspection</w:t>
            </w:r>
          </w:p>
        </w:tc>
      </w:tr>
      <w:tr>
        <w:trPr>
          <w:cantSplit w:val="true"/>
        </w:trPr>
        <w:tc>
          <w:tcPr>
            <w:tcW w:w="1644" w:type="dxa"/>
            <w:vAlign w:val="center"/>
          </w:tcPr>
          <w:p>
            <w:pPr>
              <w:pStyle w:val="TableTextBold"/>
              <w:jc w:val="left"/>
            </w:pPr>
            <w:r/>
            <w:r>
              <w:t>Lighting</w:t>
            </w:r>
          </w:p>
        </w:tc>
        <w:tc>
          <w:tcPr>
            <w:tcW w:w="2778" w:type="dxa"/>
            <w:vAlign w:val="center"/>
          </w:tcPr>
          <w:p>
            <w:pPr>
              <w:pStyle w:val="TableText"/>
              <w:jc w:val="left"/>
            </w:pPr>
            <w:r/>
            <w:r>
              <w:t>Task and access lighting to the level the work requires; emergency and egress lighting where enclosed or out of hours</w:t>
            </w:r>
          </w:p>
        </w:tc>
        <w:tc>
          <w:tcPr>
            <w:tcW w:w="1984" w:type="dxa"/>
            <w:vAlign w:val="center"/>
          </w:tcPr>
          <w:p>
            <w:pPr>
              <w:pStyle w:val="TableText"/>
              <w:jc w:val="left"/>
            </w:pPr>
            <w:r/>
            <w:r>
              <w:t>[Insert provision; state any night work]</w:t>
            </w:r>
          </w:p>
        </w:tc>
        <w:tc>
          <w:tcPr>
            <w:tcW w:w="1417" w:type="dxa"/>
            <w:vAlign w:val="center"/>
          </w:tcPr>
          <w:p>
            <w:pPr>
              <w:pStyle w:val="TableText"/>
              <w:jc w:val="left"/>
            </w:pPr>
            <w:r/>
            <w:r>
              <w:t>Site Manager</w:t>
            </w:r>
          </w:p>
        </w:tc>
        <w:tc>
          <w:tcPr>
            <w:tcW w:w="1815" w:type="dxa"/>
            <w:vAlign w:val="center"/>
          </w:tcPr>
          <w:p>
            <w:pPr>
              <w:pStyle w:val="TableText"/>
              <w:jc w:val="left"/>
            </w:pPr>
            <w:r/>
            <w:r>
              <w:t>Illuminance check at commissioning and on change</w:t>
            </w:r>
          </w:p>
        </w:tc>
      </w:tr>
      <w:tr>
        <w:trPr>
          <w:cantSplit w:val="true"/>
        </w:trPr>
        <w:tc>
          <w:tcPr>
            <w:tcW w:w="1644" w:type="dxa"/>
            <w:vAlign w:val="center"/>
          </w:tcPr>
          <w:p>
            <w:pPr>
              <w:pStyle w:val="TableTextBold"/>
              <w:jc w:val="left"/>
            </w:pPr>
            <w:r/>
            <w:r>
              <w:t>First aid facilities</w:t>
            </w:r>
          </w:p>
        </w:tc>
        <w:tc>
          <w:tcPr>
            <w:tcW w:w="2778" w:type="dxa"/>
            <w:vAlign w:val="center"/>
          </w:tcPr>
          <w:p>
            <w:pPr>
              <w:pStyle w:val="TableText"/>
              <w:jc w:val="left"/>
            </w:pPr>
            <w:r/>
            <w:r>
              <w:t>Kits proportionate to the workforce and hazards; defibrillator; trained first aiders each shift; eye wash where chemicals are used</w:t>
            </w:r>
          </w:p>
        </w:tc>
        <w:tc>
          <w:tcPr>
            <w:tcW w:w="1984" w:type="dxa"/>
            <w:vAlign w:val="center"/>
          </w:tcPr>
          <w:p>
            <w:pPr>
              <w:pStyle w:val="TableText"/>
              <w:jc w:val="left"/>
            </w:pPr>
            <w:r/>
            <w:r>
              <w:t>[Insert locations — see section 11]</w:t>
            </w:r>
          </w:p>
        </w:tc>
        <w:tc>
          <w:tcPr>
            <w:tcW w:w="1417" w:type="dxa"/>
            <w:vAlign w:val="center"/>
          </w:tcPr>
          <w:p>
            <w:pPr>
              <w:pStyle w:val="TableText"/>
              <w:jc w:val="left"/>
            </w:pPr>
            <w:r/>
            <w:r>
              <w:t>Safety Manager</w:t>
            </w:r>
          </w:p>
        </w:tc>
        <w:tc>
          <w:tcPr>
            <w:tcW w:w="1815" w:type="dxa"/>
            <w:vAlign w:val="center"/>
          </w:tcPr>
          <w:p>
            <w:pPr>
              <w:pStyle w:val="TableText"/>
              <w:jc w:val="left"/>
            </w:pPr>
            <w:r/>
            <w:r>
              <w:t>Monthly kit audit</w:t>
            </w:r>
          </w:p>
        </w:tc>
      </w:tr>
      <w:tr>
        <w:trPr>
          <w:cantSplit w:val="true"/>
        </w:trPr>
        <w:tc>
          <w:tcPr>
            <w:tcW w:w="1644" w:type="dxa"/>
            <w:vAlign w:val="center"/>
          </w:tcPr>
          <w:p>
            <w:pPr>
              <w:pStyle w:val="TableTextBold"/>
              <w:jc w:val="left"/>
            </w:pPr>
            <w:r/>
            <w:r>
              <w:t>Access control and identification</w:t>
            </w:r>
          </w:p>
        </w:tc>
        <w:tc>
          <w:tcPr>
            <w:tcW w:w="2778" w:type="dxa"/>
            <w:vAlign w:val="center"/>
          </w:tcPr>
          <w:p>
            <w:pPr>
              <w:pStyle w:val="TableText"/>
              <w:jc w:val="left"/>
            </w:pPr>
            <w:r/>
            <w:r>
              <w:t>Single controlled entry; induction verified at entry; visitor register; nobody on site unaccounted for</w:t>
            </w:r>
          </w:p>
        </w:tc>
        <w:tc>
          <w:tcPr>
            <w:tcW w:w="1984" w:type="dxa"/>
            <w:vAlign w:val="center"/>
          </w:tcPr>
          <w:p>
            <w:pPr>
              <w:pStyle w:val="TableText"/>
              <w:jc w:val="left"/>
            </w:pPr>
            <w:r/>
            <w:r>
              <w:t>[Insert gate arrangements and access system]</w:t>
            </w:r>
          </w:p>
        </w:tc>
        <w:tc>
          <w:tcPr>
            <w:tcW w:w="1417" w:type="dxa"/>
            <w:vAlign w:val="center"/>
          </w:tcPr>
          <w:p>
            <w:pPr>
              <w:pStyle w:val="TableText"/>
              <w:jc w:val="left"/>
            </w:pPr>
            <w:r/>
            <w:r>
              <w:t>Site Manager</w:t>
            </w:r>
          </w:p>
        </w:tc>
        <w:tc>
          <w:tcPr>
            <w:tcW w:w="1815" w:type="dxa"/>
            <w:vAlign w:val="center"/>
          </w:tcPr>
          <w:p>
            <w:pPr>
              <w:pStyle w:val="TableText"/>
              <w:jc w:val="left"/>
            </w:pPr>
            <w:r/>
            <w:r>
              <w:t>Daily reconciliation of the site count</w:t>
            </w:r>
          </w:p>
        </w:tc>
      </w:tr>
      <w:tr>
        <w:trPr>
          <w:cantSplit w:val="true"/>
        </w:trPr>
        <w:tc>
          <w:tcPr>
            <w:tcW w:w="1644" w:type="dxa"/>
            <w:vAlign w:val="center"/>
          </w:tcPr>
          <w:p>
            <w:pPr>
              <w:pStyle w:val="TableTextBold"/>
              <w:jc w:val="left"/>
            </w:pPr>
            <w:r/>
            <w:r>
              <w:t>Perimeter, perimeter fence and signage</w:t>
            </w:r>
          </w:p>
        </w:tc>
        <w:tc>
          <w:tcPr>
            <w:tcW w:w="2778" w:type="dxa"/>
            <w:vAlign w:val="center"/>
          </w:tcPr>
          <w:p>
            <w:pPr>
              <w:pStyle w:val="TableText"/>
              <w:jc w:val="left"/>
            </w:pPr>
            <w:r/>
            <w:r>
              <w:t>Secure perimeter appropriate to the setting; hazard, mandatory and emergency information signage at every entry</w:t>
            </w:r>
          </w:p>
        </w:tc>
        <w:tc>
          <w:tcPr>
            <w:tcW w:w="1984" w:type="dxa"/>
            <w:vAlign w:val="center"/>
          </w:tcPr>
          <w:p>
            <w:pPr>
              <w:pStyle w:val="TableText"/>
              <w:jc w:val="left"/>
            </w:pPr>
            <w:r/>
            <w:r>
              <w:t>[Insert perimeter fence type, height and signage schedule]</w:t>
            </w:r>
          </w:p>
        </w:tc>
        <w:tc>
          <w:tcPr>
            <w:tcW w:w="1417" w:type="dxa"/>
            <w:vAlign w:val="center"/>
          </w:tcPr>
          <w:p>
            <w:pPr>
              <w:pStyle w:val="TableText"/>
              <w:jc w:val="left"/>
            </w:pPr>
            <w:r/>
            <w:r>
              <w:t>Site Manager</w:t>
            </w:r>
          </w:p>
        </w:tc>
        <w:tc>
          <w:tcPr>
            <w:tcW w:w="1815" w:type="dxa"/>
            <w:vAlign w:val="center"/>
          </w:tcPr>
          <w:p>
            <w:pPr>
              <w:pStyle w:val="TableText"/>
              <w:jc w:val="left"/>
            </w:pPr>
            <w:r/>
            <w:r>
              <w:t>Weekly perimeter walk</w:t>
            </w:r>
          </w:p>
        </w:tc>
      </w:tr>
      <w:tr>
        <w:trPr>
          <w:cantSplit w:val="true"/>
        </w:trPr>
        <w:tc>
          <w:tcPr>
            <w:tcW w:w="1644" w:type="dxa"/>
            <w:vAlign w:val="center"/>
          </w:tcPr>
          <w:p>
            <w:pPr>
              <w:pStyle w:val="TableTextBold"/>
              <w:jc w:val="left"/>
            </w:pPr>
            <w:r/>
            <w:r>
              <w:t>Exclusion zones</w:t>
            </w:r>
          </w:p>
        </w:tc>
        <w:tc>
          <w:tcPr>
            <w:tcW w:w="2778" w:type="dxa"/>
            <w:vAlign w:val="center"/>
          </w:tcPr>
          <w:p>
            <w:pPr>
              <w:pStyle w:val="TableText"/>
              <w:jc w:val="left"/>
            </w:pPr>
            <w:r/>
            <w:r>
              <w:t>Marked, hard-barriered where the consequence is severe, controlled by a named person — drop zones, equipment zones, shoring zones of influence</w:t>
            </w:r>
          </w:p>
        </w:tc>
        <w:tc>
          <w:tcPr>
            <w:tcW w:w="1984" w:type="dxa"/>
            <w:vAlign w:val="center"/>
          </w:tcPr>
          <w:p>
            <w:pPr>
              <w:pStyle w:val="TableText"/>
              <w:jc w:val="left"/>
            </w:pPr>
            <w:r/>
            <w:r>
              <w:t>[Insert the zones and how each is enforced]</w:t>
            </w:r>
          </w:p>
        </w:tc>
        <w:tc>
          <w:tcPr>
            <w:tcW w:w="1417" w:type="dxa"/>
            <w:vAlign w:val="center"/>
          </w:tcPr>
          <w:p>
            <w:pPr>
              <w:pStyle w:val="TableText"/>
              <w:jc w:val="left"/>
            </w:pPr>
            <w:r/>
            <w:r>
              <w:t>Supervisors</w:t>
            </w:r>
          </w:p>
        </w:tc>
        <w:tc>
          <w:tcPr>
            <w:tcW w:w="1815" w:type="dxa"/>
            <w:vAlign w:val="center"/>
          </w:tcPr>
          <w:p>
            <w:pPr>
              <w:pStyle w:val="TableText"/>
              <w:jc w:val="left"/>
            </w:pPr>
            <w:r/>
            <w:r>
              <w:t>Verified each shift at pre-start</w:t>
            </w:r>
          </w:p>
        </w:tc>
      </w:tr>
      <w:tr>
        <w:trPr>
          <w:cantSplit w:val="true"/>
        </w:trPr>
        <w:tc>
          <w:tcPr>
            <w:tcW w:w="1644" w:type="dxa"/>
            <w:vAlign w:val="center"/>
          </w:tcPr>
          <w:p>
            <w:pPr>
              <w:pStyle w:val="TableTextBold"/>
              <w:jc w:val="left"/>
            </w:pPr>
            <w:r/>
            <w:r>
              <w:t>Housekeeping and waste</w:t>
            </w:r>
          </w:p>
        </w:tc>
        <w:tc>
          <w:tcPr>
            <w:tcW w:w="2778" w:type="dxa"/>
            <w:vAlign w:val="center"/>
          </w:tcPr>
          <w:p>
            <w:pPr>
              <w:pStyle w:val="TableText"/>
              <w:jc w:val="left"/>
            </w:pPr>
            <w:r/>
            <w:r>
              <w:t>Clear access and egress at all times; materials stacked stably within design loads; waste removed continuously; penetrations covered and marked</w:t>
            </w:r>
          </w:p>
        </w:tc>
        <w:tc>
          <w:tcPr>
            <w:tcW w:w="1984" w:type="dxa"/>
            <w:vAlign w:val="center"/>
          </w:tcPr>
          <w:p>
            <w:pPr>
              <w:pStyle w:val="TableText"/>
              <w:jc w:val="left"/>
            </w:pPr>
            <w:r/>
            <w:r>
              <w:t>[Insert bin locations and clean-up regime]</w:t>
            </w:r>
          </w:p>
        </w:tc>
        <w:tc>
          <w:tcPr>
            <w:tcW w:w="1417" w:type="dxa"/>
            <w:vAlign w:val="center"/>
          </w:tcPr>
          <w:p>
            <w:pPr>
              <w:pStyle w:val="TableText"/>
              <w:jc w:val="left"/>
            </w:pPr>
            <w:r/>
            <w:r>
              <w:t>Supervisors</w:t>
            </w:r>
          </w:p>
        </w:tc>
        <w:tc>
          <w:tcPr>
            <w:tcW w:w="1815" w:type="dxa"/>
            <w:vAlign w:val="center"/>
          </w:tcPr>
          <w:p>
            <w:pPr>
              <w:pStyle w:val="TableText"/>
              <w:jc w:val="left"/>
            </w:pPr>
            <w:r/>
            <w:r>
              <w:t>Daily supervisor check; weekly inspection score</w:t>
            </w:r>
          </w:p>
        </w:tc>
      </w:tr>
      <w:tr>
        <w:trPr>
          <w:cantSplit w:val="true"/>
        </w:trPr>
        <w:tc>
          <w:tcPr>
            <w:tcW w:w="1644" w:type="dxa"/>
            <w:vAlign w:val="center"/>
          </w:tcPr>
          <w:p>
            <w:pPr>
              <w:pStyle w:val="TableTextBold"/>
              <w:jc w:val="left"/>
            </w:pPr>
            <w:r/>
            <w:r>
              <w:t>Working hours and out-of-hours work</w:t>
            </w:r>
          </w:p>
        </w:tc>
        <w:tc>
          <w:tcPr>
            <w:tcW w:w="2778" w:type="dxa"/>
            <w:vAlign w:val="center"/>
          </w:tcPr>
          <w:p>
            <w:pPr>
              <w:pStyle w:val="TableText"/>
              <w:jc w:val="left"/>
            </w:pPr>
            <w:r/>
            <w:r>
              <w:t>Stated hours; approval required outside them; no lifting or high-hazard work outside approved hours (13.2)</w:t>
            </w:r>
          </w:p>
        </w:tc>
        <w:tc>
          <w:tcPr>
            <w:tcW w:w="1984" w:type="dxa"/>
            <w:vAlign w:val="center"/>
          </w:tcPr>
          <w:p>
            <w:pPr>
              <w:pStyle w:val="TableText"/>
              <w:jc w:val="left"/>
            </w:pPr>
            <w:r/>
            <w:r>
              <w:t>[Insert approved hours and the approval route]</w:t>
            </w:r>
          </w:p>
        </w:tc>
        <w:tc>
          <w:tcPr>
            <w:tcW w:w="1417" w:type="dxa"/>
            <w:vAlign w:val="center"/>
          </w:tcPr>
          <w:p>
            <w:pPr>
              <w:pStyle w:val="TableText"/>
              <w:jc w:val="left"/>
            </w:pPr>
            <w:r/>
            <w:r>
              <w:t>Project Manager</w:t>
            </w:r>
          </w:p>
        </w:tc>
        <w:tc>
          <w:tcPr>
            <w:tcW w:w="1815" w:type="dxa"/>
            <w:vAlign w:val="center"/>
          </w:tcPr>
          <w:p>
            <w:pPr>
              <w:pStyle w:val="TableText"/>
              <w:jc w:val="left"/>
            </w:pPr>
            <w:r/>
            <w:r>
              <w:t>Site diary; out-of-hours permits</w:t>
            </w:r>
          </w:p>
        </w:tc>
      </w:tr>
      <w:tr>
        <w:trPr>
          <w:cantSplit w:val="true"/>
        </w:trPr>
        <w:tc>
          <w:tcPr>
            <w:tcW w:w="1644" w:type="dxa"/>
            <w:vAlign w:val="center"/>
          </w:tcPr>
          <w:p>
            <w:pPr>
              <w:pStyle w:val="TableTextBold"/>
              <w:jc w:val="left"/>
            </w:pPr>
            <w:r/>
            <w:r>
              <w:t>Public and neighbor protection</w:t>
            </w:r>
          </w:p>
        </w:tc>
        <w:tc>
          <w:tcPr>
            <w:tcW w:w="2778" w:type="dxa"/>
            <w:vAlign w:val="center"/>
          </w:tcPr>
          <w:p>
            <w:pPr>
              <w:pStyle w:val="TableText"/>
              <w:jc w:val="left"/>
            </w:pPr>
            <w:r/>
            <w:r>
              <w:t>Overhead protection where the public passes below work; sidewalk and road closures under permit; dust, noise and light controls; notification before disruptive activity; a named complaints contact</w:t>
            </w:r>
          </w:p>
        </w:tc>
        <w:tc>
          <w:tcPr>
            <w:tcW w:w="1984" w:type="dxa"/>
            <w:vAlign w:val="center"/>
          </w:tcPr>
          <w:p>
            <w:pPr>
              <w:pStyle w:val="TableText"/>
              <w:jc w:val="left"/>
            </w:pPr>
            <w:r/>
            <w:r>
              <w:t>[Insert protection measures and notification protocol]</w:t>
            </w:r>
          </w:p>
        </w:tc>
        <w:tc>
          <w:tcPr>
            <w:tcW w:w="1417" w:type="dxa"/>
            <w:vAlign w:val="center"/>
          </w:tcPr>
          <w:p>
            <w:pPr>
              <w:pStyle w:val="TableText"/>
              <w:jc w:val="left"/>
            </w:pPr>
            <w:r/>
            <w:r>
              <w:t>Site Manager</w:t>
            </w:r>
          </w:p>
        </w:tc>
        <w:tc>
          <w:tcPr>
            <w:tcW w:w="1815" w:type="dxa"/>
            <w:vAlign w:val="center"/>
          </w:tcPr>
          <w:p>
            <w:pPr>
              <w:pStyle w:val="TableText"/>
              <w:jc w:val="left"/>
            </w:pPr>
            <w:r/>
            <w:r>
              <w:t>Weekly public interface inspection; complaints register</w:t>
            </w:r>
          </w:p>
        </w:tc>
      </w:tr>
    </w:tbl>
    <w:p>
      <w:pPr>
        <w:spacing w:before="0" w:after="0" w:line="60" w:lineRule="exact"/>
      </w:pPr>
    </w:p>
    <w:p>
      <w:pPr>
        <w:pStyle w:val="Heading2"/>
      </w:pPr>
      <w:bookmarkStart w:id="9054" w:name="_Toc90054"/>
      <w:r>
        <w:t>10.2 Traffic, pedestrians and site rules</w:t>
      </w:r>
      <w:bookmarkEnd w:id="9054"/>
    </w:p>
    <w:p>
      <w:pPr>
        <w:pStyle w:val="Body"/>
      </w:pPr>
      <w:r>
        <w:t>Powered mobile equipment and people in the same space is one of the few hazards on a construction site that reliably kills. Separate them physically wherever the site allows: dedicated pedestrian routes, barriered and continuous from the gate to each work front; equipment routes that do not cross those paths; a loading area away from pedestrian movement; reversing eliminated by design rather than managed by spotters; and a spotter only where elimination is genuinely not practicable.</w:t>
      </w: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rPr>
          <w:cantSplit/>
        </w:trPr>
        <w:tc>
          <w:tcPr>
            <w:tcW w:w="9638" w:type="dxa"/>
            <w:shd w:val="clear" w:color="auto" w:fill="F6F9FC"/>
            <w:tcBorders>
              <w:left w:val="single" w:sz="4" w:space="0" w:color="3480BC"/>
            </w:tcBorders>
          </w:tcPr>
          <w:p>
            <w:pPr>
              <w:pStyle w:val="Body"/>
            </w:pPr>
            <w:r/>
            <w:r>
              <w:t>Detailed traffic arrangements — internal circulation, delivery booking, road and sidewalk occupancy, pedestrian diversions, emergency vehicle access and the interface with the existing hospital emergency route — are set out in the project Traffic Management Plan. That plan is subordinate to this one: where it is silent or inconsistent this plan governs and the more protective requirement applies. Reissue it whenever the site layout, the crane position or the approved road occupancy changes.</w:t>
            </w:r>
          </w:p>
        </w:tc>
      </w:tr>
    </w:tbl>
    <w:p>
      <w:pPr>
        <w:spacing w:before="0" w:after="0" w:line="160" w:lineRule="exact"/>
      </w:pPr>
    </w:p>
    <w:p>
      <w:pPr>
        <w:pStyle w:val="Placeholder"/>
      </w:pPr>
      <w:r>
        <w:t>[Insert or attach the site rules issued at induction — short enough to be read and specific enough to be enforced: no entry without induction and a site pass; PPE minimums by area; no person under the influence of alcohol or drugs; no mobile phone use while operating equipment or in a equipment zone; report every incident and near miss before the end of the shift; no unauthorised removal of edge protection, penetration covers, barriers or tags; no work outside an accepted JHA; nobody works alone on a high-risk task. State the consequence of a breach and apply it consistently.]</w:t>
      </w:r>
    </w:p>
    <w:p>
      <w:pPr>
        <w:pStyle w:val="Heading1"/>
      </w:pPr>
      <w:bookmarkStart w:id="9055" w:name="_Toc90055"/>
      <w:r>
        <w:t>11. Emergency Preparedness and Response</w:t>
      </w:r>
      <w:bookmarkEnd w:id="9055"/>
    </w:p>
    <w:p>
      <w:pPr>
        <w:pStyle w:val="BodyLead"/>
      </w:pPr>
      <w:r>
        <w:t>Emergency arrangements are tested, not assumed. A plan never walked through fails at the first attempt, and the failure is almost always the same: nobody knows who is in charge, or the address given to emergency services is the project name rather than a street address.</w:t>
      </w:r>
    </w:p>
    <w:p>
      <w:pPr>
        <w:pStyle w:val="Heading2"/>
      </w:pPr>
      <w:bookmarkStart w:id="9056" w:name="_Toc90056"/>
      <w:r>
        <w:t>11.1 Emergency scenarios and response</w:t>
      </w:r>
      <w:bookmarkEnd w:id="9056"/>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772"/>
        <w:gridCol w:w="2991"/>
        <w:gridCol w:w="1661"/>
        <w:gridCol w:w="1329"/>
        <w:gridCol w:w="1885"/>
      </w:tblGrid>
      <w:tr>
        <w:trPr>
          <w:tblHeader w:val="true"/>
          <w:cantSplit w:val="true"/>
        </w:trPr>
        <w:tc>
          <w:tcPr>
            <w:tcW w:w="1772" w:type="dxa"/>
            <w:shd w:val="clear" w:color="auto" w:fill="1D3245"/>
            <w:vAlign w:val="center"/>
          </w:tcPr>
          <w:p>
            <w:pPr>
              <w:pStyle w:val="TableHeader"/>
              <w:jc w:val="left"/>
            </w:pPr>
            <w:r/>
            <w:r>
              <w:t>Scenario</w:t>
            </w:r>
          </w:p>
        </w:tc>
        <w:tc>
          <w:tcPr>
            <w:tcW w:w="2991" w:type="dxa"/>
            <w:shd w:val="clear" w:color="auto" w:fill="1D3245"/>
            <w:vAlign w:val="center"/>
          </w:tcPr>
          <w:p>
            <w:pPr>
              <w:pStyle w:val="TableHeader"/>
              <w:jc w:val="left"/>
            </w:pPr>
            <w:r/>
            <w:r>
              <w:t>Immediate response</w:t>
            </w:r>
          </w:p>
        </w:tc>
        <w:tc>
          <w:tcPr>
            <w:tcW w:w="1661" w:type="dxa"/>
            <w:shd w:val="clear" w:color="auto" w:fill="1D3245"/>
            <w:vAlign w:val="center"/>
          </w:tcPr>
          <w:p>
            <w:pPr>
              <w:pStyle w:val="TableHeader"/>
              <w:jc w:val="left"/>
            </w:pPr>
            <w:r/>
            <w:r>
              <w:t>Who is in charge</w:t>
            </w:r>
          </w:p>
        </w:tc>
        <w:tc>
          <w:tcPr>
            <w:tcW w:w="1329" w:type="dxa"/>
            <w:shd w:val="clear" w:color="auto" w:fill="1D3245"/>
            <w:vAlign w:val="center"/>
          </w:tcPr>
          <w:p>
            <w:pPr>
              <w:pStyle w:val="TableHeader"/>
              <w:jc w:val="left"/>
            </w:pPr>
            <w:r/>
            <w:r>
              <w:t>Assembly point</w:t>
            </w:r>
          </w:p>
        </w:tc>
        <w:tc>
          <w:tcPr>
            <w:tcW w:w="1885" w:type="dxa"/>
            <w:shd w:val="clear" w:color="auto" w:fill="1D3245"/>
            <w:vAlign w:val="center"/>
          </w:tcPr>
          <w:p>
            <w:pPr>
              <w:pStyle w:val="TableHeader"/>
              <w:jc w:val="left"/>
            </w:pPr>
            <w:r/>
            <w:r>
              <w:t>Notification</w:t>
            </w:r>
          </w:p>
        </w:tc>
      </w:tr>
      <w:tr>
        <w:trPr>
          <w:cantSplit w:val="true"/>
        </w:trPr>
        <w:tc>
          <w:tcPr>
            <w:tcW w:w="1772" w:type="dxa"/>
            <w:vAlign w:val="center"/>
          </w:tcPr>
          <w:p>
            <w:pPr>
              <w:pStyle w:val="TableTextBold"/>
              <w:jc w:val="left"/>
            </w:pPr>
            <w:r/>
            <w:r>
              <w:t>Serious injury or fatality</w:t>
            </w:r>
          </w:p>
        </w:tc>
        <w:tc>
          <w:tcPr>
            <w:tcW w:w="2991" w:type="dxa"/>
            <w:vAlign w:val="center"/>
          </w:tcPr>
          <w:p>
            <w:pPr>
              <w:pStyle w:val="TableText"/>
              <w:jc w:val="left"/>
            </w:pPr>
            <w:r/>
            <w:r>
              <w:t>Make the area safe without creating a second casualty; first aid; call emergency services with the street address; preserve the scene; stand down adjacent work</w:t>
            </w:r>
          </w:p>
        </w:tc>
        <w:tc>
          <w:tcPr>
            <w:tcW w:w="1661" w:type="dxa"/>
            <w:vAlign w:val="center"/>
          </w:tcPr>
          <w:p>
            <w:pPr>
              <w:pStyle w:val="TableText"/>
              <w:jc w:val="left"/>
            </w:pPr>
            <w:r/>
            <w:r>
              <w:t>Chief Warden (Site Manager); clinical control passes to the responders on arrival</w:t>
            </w:r>
          </w:p>
        </w:tc>
        <w:tc>
          <w:tcPr>
            <w:tcW w:w="1329" w:type="dxa"/>
            <w:vAlign w:val="center"/>
          </w:tcPr>
          <w:p>
            <w:pPr>
              <w:pStyle w:val="TableText"/>
              <w:jc w:val="left"/>
            </w:pPr>
            <w:r/>
            <w:r>
              <w:t>Not evacuated unless the hazard persists</w:t>
            </w:r>
          </w:p>
        </w:tc>
        <w:tc>
          <w:tcPr>
            <w:tcW w:w="1885" w:type="dxa"/>
            <w:vAlign w:val="center"/>
          </w:tcPr>
          <w:p>
            <w:pPr>
              <w:pStyle w:val="TableText"/>
              <w:jc w:val="left"/>
            </w:pPr>
            <w:r/>
            <w:r>
              <w:t>Emergency services; Safety Manager immediately; OSHA per 12.4; Owner</w:t>
            </w:r>
          </w:p>
        </w:tc>
      </w:tr>
      <w:tr>
        <w:trPr>
          <w:cantSplit w:val="true"/>
        </w:trPr>
        <w:tc>
          <w:tcPr>
            <w:tcW w:w="1772" w:type="dxa"/>
            <w:vAlign w:val="center"/>
          </w:tcPr>
          <w:p>
            <w:pPr>
              <w:pStyle w:val="TableTextBold"/>
              <w:jc w:val="left"/>
            </w:pPr>
            <w:r/>
            <w:r>
              <w:t>Fire or explosion</w:t>
            </w:r>
          </w:p>
        </w:tc>
        <w:tc>
          <w:tcPr>
            <w:tcW w:w="2991" w:type="dxa"/>
            <w:vAlign w:val="center"/>
          </w:tcPr>
          <w:p>
            <w:pPr>
              <w:pStyle w:val="TableText"/>
              <w:jc w:val="left"/>
            </w:pPr>
            <w:r/>
            <w:r>
              <w:t>Raise the alarm; attack only a small fire, only if trained and with an escape route; evacuate; isolate gas and electrical supplies; wardens sweep and account for people</w:t>
            </w:r>
          </w:p>
        </w:tc>
        <w:tc>
          <w:tcPr>
            <w:tcW w:w="1661" w:type="dxa"/>
            <w:vAlign w:val="center"/>
          </w:tcPr>
          <w:p>
            <w:pPr>
              <w:pStyle w:val="TableText"/>
              <w:jc w:val="left"/>
            </w:pPr>
            <w:r/>
            <w:r>
              <w:t>Chief Warden</w:t>
            </w:r>
          </w:p>
        </w:tc>
        <w:tc>
          <w:tcPr>
            <w:tcW w:w="1329" w:type="dxa"/>
            <w:vAlign w:val="center"/>
          </w:tcPr>
          <w:p>
            <w:pPr>
              <w:pStyle w:val="TableText"/>
              <w:jc w:val="left"/>
            </w:pPr>
            <w:r/>
            <w:r>
              <w:t>Primary — [insert]; secondary — [insert]</w:t>
            </w:r>
          </w:p>
        </w:tc>
        <w:tc>
          <w:tcPr>
            <w:tcW w:w="1885" w:type="dxa"/>
            <w:vAlign w:val="center"/>
          </w:tcPr>
          <w:p>
            <w:pPr>
              <w:pStyle w:val="TableText"/>
              <w:jc w:val="left"/>
            </w:pPr>
            <w:r/>
            <w:r>
              <w:t>Emergency services; Owner; adjacent facility manager where smoke may enter</w:t>
            </w:r>
          </w:p>
        </w:tc>
      </w:tr>
      <w:tr>
        <w:trPr>
          <w:cantSplit w:val="true"/>
        </w:trPr>
        <w:tc>
          <w:tcPr>
            <w:tcW w:w="1772" w:type="dxa"/>
            <w:vAlign w:val="center"/>
          </w:tcPr>
          <w:p>
            <w:pPr>
              <w:pStyle w:val="TableTextBold"/>
              <w:jc w:val="left"/>
            </w:pPr>
            <w:r/>
            <w:r>
              <w:t>Structural collapse, shoring failure or crane incident</w:t>
            </w:r>
          </w:p>
        </w:tc>
        <w:tc>
          <w:tcPr>
            <w:tcW w:w="2991" w:type="dxa"/>
            <w:vAlign w:val="center"/>
          </w:tcPr>
          <w:p>
            <w:pPr>
              <w:pStyle w:val="TableText"/>
              <w:jc w:val="left"/>
            </w:pPr>
            <w:r/>
            <w:r>
              <w:t>Evacuate the zone of influence widely; cordon at a distance set by the engineer, not by eye; account for people; no re-entry until assessed</w:t>
            </w:r>
          </w:p>
        </w:tc>
        <w:tc>
          <w:tcPr>
            <w:tcW w:w="1661" w:type="dxa"/>
            <w:vAlign w:val="center"/>
          </w:tcPr>
          <w:p>
            <w:pPr>
              <w:pStyle w:val="TableText"/>
              <w:jc w:val="left"/>
            </w:pPr>
            <w:r/>
            <w:r>
              <w:t>Chief Warden, advised by the Project Engineer</w:t>
            </w:r>
          </w:p>
        </w:tc>
        <w:tc>
          <w:tcPr>
            <w:tcW w:w="1329" w:type="dxa"/>
            <w:vAlign w:val="center"/>
          </w:tcPr>
          <w:p>
            <w:pPr>
              <w:pStyle w:val="TableText"/>
              <w:jc w:val="left"/>
            </w:pPr>
            <w:r/>
            <w:r>
              <w:t>Secondary point where the primary is inside the cordon</w:t>
            </w:r>
          </w:p>
        </w:tc>
        <w:tc>
          <w:tcPr>
            <w:tcW w:w="1885" w:type="dxa"/>
            <w:vAlign w:val="center"/>
          </w:tcPr>
          <w:p>
            <w:pPr>
              <w:pStyle w:val="TableText"/>
              <w:jc w:val="left"/>
            </w:pPr>
            <w:r/>
            <w:r>
              <w:t>Emergency services; OSHA; the designer; Owner and neighbors</w:t>
            </w:r>
          </w:p>
        </w:tc>
      </w:tr>
      <w:tr>
        <w:trPr>
          <w:cantSplit w:val="true"/>
        </w:trPr>
        <w:tc>
          <w:tcPr>
            <w:tcW w:w="1772" w:type="dxa"/>
            <w:vAlign w:val="center"/>
          </w:tcPr>
          <w:p>
            <w:pPr>
              <w:pStyle w:val="TableTextBold"/>
              <w:jc w:val="left"/>
            </w:pPr>
            <w:r/>
            <w:r>
              <w:t>Person suspended at height or fall arrested</w:t>
            </w:r>
          </w:p>
        </w:tc>
        <w:tc>
          <w:tcPr>
            <w:tcW w:w="2991" w:type="dxa"/>
            <w:vAlign w:val="center"/>
          </w:tcPr>
          <w:p>
            <w:pPr>
              <w:pStyle w:val="TableText"/>
              <w:jc w:val="left"/>
            </w:pPr>
            <w:r/>
            <w:r>
              <w:t>Rescue within minutes — suspension trauma is time-critical; use the pre-planned method for that location; waiting for emergency services is not a primary plan</w:t>
            </w:r>
          </w:p>
        </w:tc>
        <w:tc>
          <w:tcPr>
            <w:tcW w:w="1661" w:type="dxa"/>
            <w:vAlign w:val="center"/>
          </w:tcPr>
          <w:p>
            <w:pPr>
              <w:pStyle w:val="TableText"/>
              <w:jc w:val="left"/>
            </w:pPr>
            <w:r/>
            <w:r>
              <w:t>Rescue-trained person nominated in the JHA</w:t>
            </w:r>
          </w:p>
        </w:tc>
        <w:tc>
          <w:tcPr>
            <w:tcW w:w="1329" w:type="dxa"/>
            <w:vAlign w:val="center"/>
          </w:tcPr>
          <w:p>
            <w:pPr>
              <w:pStyle w:val="TableText"/>
              <w:jc w:val="left"/>
            </w:pPr>
            <w:r/>
            <w:r>
              <w:t>Not evacuated</w:t>
            </w:r>
          </w:p>
        </w:tc>
        <w:tc>
          <w:tcPr>
            <w:tcW w:w="1885" w:type="dxa"/>
            <w:vAlign w:val="center"/>
          </w:tcPr>
          <w:p>
            <w:pPr>
              <w:pStyle w:val="TableText"/>
              <w:jc w:val="left"/>
            </w:pPr>
            <w:r/>
            <w:r>
              <w:t>Emergency services; Safety Manager immediately</w:t>
            </w:r>
          </w:p>
        </w:tc>
      </w:tr>
      <w:tr>
        <w:trPr>
          <w:cantSplit w:val="true"/>
        </w:trPr>
        <w:tc>
          <w:tcPr>
            <w:tcW w:w="1772" w:type="dxa"/>
            <w:vAlign w:val="center"/>
          </w:tcPr>
          <w:p>
            <w:pPr>
              <w:pStyle w:val="TableTextBold"/>
              <w:jc w:val="left"/>
            </w:pPr>
            <w:r/>
            <w:r>
              <w:t>Confined space emergency</w:t>
            </w:r>
          </w:p>
        </w:tc>
        <w:tc>
          <w:tcPr>
            <w:tcW w:w="2991" w:type="dxa"/>
            <w:vAlign w:val="center"/>
          </w:tcPr>
          <w:p>
            <w:pPr>
              <w:pStyle w:val="TableText"/>
              <w:jc w:val="left"/>
            </w:pPr>
            <w:r/>
            <w:r>
              <w:t>Do not enter. The stand-by person raises the alarm and attempts non-entry retrieval; entry rescue only by trained rescuers with breathing apparatus</w:t>
            </w:r>
          </w:p>
        </w:tc>
        <w:tc>
          <w:tcPr>
            <w:tcW w:w="1661" w:type="dxa"/>
            <w:vAlign w:val="center"/>
          </w:tcPr>
          <w:p>
            <w:pPr>
              <w:pStyle w:val="TableText"/>
              <w:jc w:val="left"/>
            </w:pPr>
            <w:r/>
            <w:r>
              <w:t>Stand-by person, then the rescue team leader</w:t>
            </w:r>
          </w:p>
        </w:tc>
        <w:tc>
          <w:tcPr>
            <w:tcW w:w="1329" w:type="dxa"/>
            <w:vAlign w:val="center"/>
          </w:tcPr>
          <w:p>
            <w:pPr>
              <w:pStyle w:val="TableText"/>
              <w:jc w:val="left"/>
            </w:pPr>
            <w:r/>
            <w:r>
              <w:t>Not evacuated</w:t>
            </w:r>
          </w:p>
        </w:tc>
        <w:tc>
          <w:tcPr>
            <w:tcW w:w="1885" w:type="dxa"/>
            <w:vAlign w:val="center"/>
          </w:tcPr>
          <w:p>
            <w:pPr>
              <w:pStyle w:val="TableText"/>
              <w:jc w:val="left"/>
            </w:pPr>
            <w:r/>
            <w:r>
              <w:t>Emergency services; Safety Manager</w:t>
            </w:r>
          </w:p>
        </w:tc>
      </w:tr>
      <w:tr>
        <w:trPr>
          <w:cantSplit w:val="true"/>
        </w:trPr>
        <w:tc>
          <w:tcPr>
            <w:tcW w:w="1772" w:type="dxa"/>
            <w:vAlign w:val="center"/>
          </w:tcPr>
          <w:p>
            <w:pPr>
              <w:pStyle w:val="TableTextBold"/>
              <w:jc w:val="left"/>
            </w:pPr>
            <w:r/>
            <w:r>
              <w:t>Electric shock, arc flash or service strike</w:t>
            </w:r>
          </w:p>
        </w:tc>
        <w:tc>
          <w:tcPr>
            <w:tcW w:w="2991" w:type="dxa"/>
            <w:vAlign w:val="center"/>
          </w:tcPr>
          <w:p>
            <w:pPr>
              <w:pStyle w:val="TableText"/>
              <w:jc w:val="left"/>
            </w:pPr>
            <w:r/>
            <w:r>
              <w:t>Do not touch the person until isolation is confirmed; isolate at the source; low-voltage rescue by a trained person only; every shock victim goes to hospital</w:t>
            </w:r>
          </w:p>
        </w:tc>
        <w:tc>
          <w:tcPr>
            <w:tcW w:w="1661" w:type="dxa"/>
            <w:vAlign w:val="center"/>
          </w:tcPr>
          <w:p>
            <w:pPr>
              <w:pStyle w:val="TableText"/>
              <w:jc w:val="left"/>
            </w:pPr>
            <w:r/>
            <w:r>
              <w:t>Chief Warden, advised by the authorized electrical person</w:t>
            </w:r>
          </w:p>
        </w:tc>
        <w:tc>
          <w:tcPr>
            <w:tcW w:w="1329" w:type="dxa"/>
            <w:vAlign w:val="center"/>
          </w:tcPr>
          <w:p>
            <w:pPr>
              <w:pStyle w:val="TableText"/>
              <w:jc w:val="left"/>
            </w:pPr>
            <w:r/>
            <w:r>
              <w:t>As directed</w:t>
            </w:r>
          </w:p>
        </w:tc>
        <w:tc>
          <w:tcPr>
            <w:tcW w:w="1885" w:type="dxa"/>
            <w:vAlign w:val="center"/>
          </w:tcPr>
          <w:p>
            <w:pPr>
              <w:pStyle w:val="TableText"/>
              <w:jc w:val="left"/>
            </w:pPr>
            <w:r/>
            <w:r>
              <w:t>Emergency services; asset owner; OSHA; facility engineering where supply is affected</w:t>
            </w:r>
          </w:p>
        </w:tc>
      </w:tr>
      <w:tr>
        <w:trPr>
          <w:cantSplit w:val="true"/>
        </w:trPr>
        <w:tc>
          <w:tcPr>
            <w:tcW w:w="1772" w:type="dxa"/>
            <w:vAlign w:val="center"/>
          </w:tcPr>
          <w:p>
            <w:pPr>
              <w:pStyle w:val="TableTextBold"/>
              <w:jc w:val="left"/>
            </w:pPr>
            <w:r/>
            <w:r>
              <w:t>Hazardous substance, medical gas or pressurised system release</w:t>
            </w:r>
          </w:p>
        </w:tc>
        <w:tc>
          <w:tcPr>
            <w:tcW w:w="2991" w:type="dxa"/>
            <w:vAlign w:val="center"/>
          </w:tcPr>
          <w:p>
            <w:pPr>
              <w:pStyle w:val="TableText"/>
              <w:jc w:val="left"/>
            </w:pPr>
            <w:r/>
            <w:r>
              <w:t>Evacuate upwind and cordon; contain only if trained and safe; consult the SDS before clean-up; prevent entry to drains and do not hose; eliminate ignition sources for oxidising or flammable gas; notify the adjacent facility's engineering immediately, as clinical areas may be affected</w:t>
            </w:r>
          </w:p>
        </w:tc>
        <w:tc>
          <w:tcPr>
            <w:tcW w:w="1661" w:type="dxa"/>
            <w:vAlign w:val="center"/>
          </w:tcPr>
          <w:p>
            <w:pPr>
              <w:pStyle w:val="TableText"/>
              <w:jc w:val="left"/>
            </w:pPr>
            <w:r/>
            <w:r>
              <w:t>Chief Warden, advised by the Safety Manager and, at the facility interface, the facility manager</w:t>
            </w:r>
          </w:p>
        </w:tc>
        <w:tc>
          <w:tcPr>
            <w:tcW w:w="1329" w:type="dxa"/>
            <w:vAlign w:val="center"/>
          </w:tcPr>
          <w:p>
            <w:pPr>
              <w:pStyle w:val="TableText"/>
              <w:jc w:val="left"/>
            </w:pPr>
            <w:r/>
            <w:r>
              <w:t>Upwind point</w:t>
            </w:r>
          </w:p>
        </w:tc>
        <w:tc>
          <w:tcPr>
            <w:tcW w:w="1885" w:type="dxa"/>
            <w:vAlign w:val="center"/>
          </w:tcPr>
          <w:p>
            <w:pPr>
              <w:pStyle w:val="TableText"/>
              <w:jc w:val="left"/>
            </w:pPr>
            <w:r/>
            <w:r>
              <w:t>Emergency services if uncontrolled; EPA or the state environmental agency; asset owner; facility engineering; Owner</w:t>
            </w:r>
          </w:p>
        </w:tc>
      </w:tr>
      <w:tr>
        <w:trPr>
          <w:cantSplit w:val="true"/>
        </w:trPr>
        <w:tc>
          <w:tcPr>
            <w:tcW w:w="1772" w:type="dxa"/>
            <w:vAlign w:val="center"/>
          </w:tcPr>
          <w:p>
            <w:pPr>
              <w:pStyle w:val="TableTextBold"/>
              <w:jc w:val="left"/>
            </w:pPr>
            <w:r/>
            <w:r>
              <w:t>Severe weather, high wind or lightning</w:t>
            </w:r>
          </w:p>
        </w:tc>
        <w:tc>
          <w:tcPr>
            <w:tcW w:w="2991" w:type="dxa"/>
            <w:vAlign w:val="center"/>
          </w:tcPr>
          <w:p>
            <w:pPr>
              <w:pStyle w:val="TableText"/>
              <w:jc w:val="left"/>
            </w:pPr>
            <w:r/>
            <w:r>
              <w:t>Cease crane, aerial lift and height work at the stated thresholds; secure loose materials, sheeting and scaffold; evacuate elevated positions; inspect before restarting</w:t>
            </w:r>
          </w:p>
        </w:tc>
        <w:tc>
          <w:tcPr>
            <w:tcW w:w="1661" w:type="dxa"/>
            <w:vAlign w:val="center"/>
          </w:tcPr>
          <w:p>
            <w:pPr>
              <w:pStyle w:val="TableText"/>
              <w:jc w:val="left"/>
            </w:pPr>
            <w:r/>
            <w:r>
              <w:t>Site Manager</w:t>
            </w:r>
          </w:p>
        </w:tc>
        <w:tc>
          <w:tcPr>
            <w:tcW w:w="1329" w:type="dxa"/>
            <w:vAlign w:val="center"/>
          </w:tcPr>
          <w:p>
            <w:pPr>
              <w:pStyle w:val="TableText"/>
              <w:jc w:val="left"/>
            </w:pPr>
            <w:r/>
            <w:r>
              <w:t>Break area rooms, or off site if directed</w:t>
            </w:r>
          </w:p>
        </w:tc>
        <w:tc>
          <w:tcPr>
            <w:tcW w:w="1885" w:type="dxa"/>
            <w:vAlign w:val="center"/>
          </w:tcPr>
          <w:p>
            <w:pPr>
              <w:pStyle w:val="TableText"/>
              <w:jc w:val="left"/>
            </w:pPr>
            <w:r/>
            <w:r>
              <w:t>Owner where the schedule or the public interface is affected</w:t>
            </w:r>
          </w:p>
        </w:tc>
      </w:tr>
      <w:tr>
        <w:trPr>
          <w:cantSplit w:val="true"/>
        </w:trPr>
        <w:tc>
          <w:tcPr>
            <w:tcW w:w="1772" w:type="dxa"/>
            <w:vAlign w:val="center"/>
          </w:tcPr>
          <w:p>
            <w:pPr>
              <w:pStyle w:val="TableTextBold"/>
              <w:jc w:val="left"/>
            </w:pPr>
            <w:r/>
            <w:r>
              <w:t>Evacuation for an external cause — threat, neighboring incident, evacuation of the adjacent facility</w:t>
            </w:r>
          </w:p>
        </w:tc>
        <w:tc>
          <w:tcPr>
            <w:tcW w:w="2991" w:type="dxa"/>
            <w:vAlign w:val="center"/>
          </w:tcPr>
          <w:p>
            <w:pPr>
              <w:pStyle w:val="TableText"/>
              <w:jc w:val="left"/>
            </w:pPr>
            <w:r/>
            <w:r>
              <w:t>Evacuate to the secondary point away from the source; do not use the affected route; account for people</w:t>
            </w:r>
          </w:p>
        </w:tc>
        <w:tc>
          <w:tcPr>
            <w:tcW w:w="1661" w:type="dxa"/>
            <w:vAlign w:val="center"/>
          </w:tcPr>
          <w:p>
            <w:pPr>
              <w:pStyle w:val="TableText"/>
              <w:jc w:val="left"/>
            </w:pPr>
            <w:r/>
            <w:r>
              <w:t>Chief Warden, in liaison with the Owner</w:t>
            </w:r>
          </w:p>
        </w:tc>
        <w:tc>
          <w:tcPr>
            <w:tcW w:w="1329" w:type="dxa"/>
            <w:vAlign w:val="center"/>
          </w:tcPr>
          <w:p>
            <w:pPr>
              <w:pStyle w:val="TableText"/>
              <w:jc w:val="left"/>
            </w:pPr>
            <w:r/>
            <w:r>
              <w:t>Secondary — [insert]</w:t>
            </w:r>
          </w:p>
        </w:tc>
        <w:tc>
          <w:tcPr>
            <w:tcW w:w="1885" w:type="dxa"/>
            <w:vAlign w:val="center"/>
          </w:tcPr>
          <w:p>
            <w:pPr>
              <w:pStyle w:val="TableText"/>
              <w:jc w:val="left"/>
            </w:pPr>
            <w:r/>
            <w:r>
              <w:t>Emergency services; Owner; neighbors as directed</w:t>
            </w:r>
          </w:p>
        </w:tc>
      </w:tr>
    </w:tbl>
    <w:p>
      <w:pPr>
        <w:spacing w:before="0" w:after="0" w:line="60" w:lineRule="exact"/>
      </w:pPr>
    </w:p>
    <w:p>
      <w:pPr>
        <w:pStyle w:val="Heading2"/>
      </w:pPr>
      <w:bookmarkStart w:id="9057" w:name="_Toc90057"/>
      <w:r>
        <w:t>11.2 Emergency contacts</w:t>
      </w:r>
      <w:bookmarkEnd w:id="9057"/>
    </w:p>
    <w:p>
      <w:pPr>
        <w:pStyle w:val="Note"/>
      </w:pPr>
      <w:r>
        <w:t>Example rows shown in gray italic — delete before use. Add the Owner contact, the utility asset owners' emergency lines, OSHA, the poisons information line, the crane and shoring designers, and — where the site adjoins an operating facility — that facility's after-hours engineering contact.</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211"/>
        <w:gridCol w:w="1870"/>
        <w:gridCol w:w="1417"/>
        <w:gridCol w:w="1190"/>
        <w:gridCol w:w="2950"/>
      </w:tblGrid>
      <w:tr>
        <w:trPr>
          <w:tblHeader w:val="true"/>
          <w:cantSplit w:val="true"/>
        </w:trPr>
        <w:tc>
          <w:tcPr>
            <w:tcW w:w="2211" w:type="dxa"/>
            <w:shd w:val="clear" w:color="auto" w:fill="1D3245"/>
            <w:vAlign w:val="center"/>
          </w:tcPr>
          <w:p>
            <w:pPr>
              <w:pStyle w:val="TableHeader"/>
              <w:jc w:val="left"/>
            </w:pPr>
            <w:r/>
            <w:r>
              <w:t>Role or service</w:t>
            </w:r>
          </w:p>
        </w:tc>
        <w:tc>
          <w:tcPr>
            <w:tcW w:w="1870" w:type="dxa"/>
            <w:shd w:val="clear" w:color="auto" w:fill="1D3245"/>
            <w:vAlign w:val="center"/>
          </w:tcPr>
          <w:p>
            <w:pPr>
              <w:pStyle w:val="TableHeader"/>
              <w:jc w:val="left"/>
            </w:pPr>
            <w:r/>
            <w:r>
              <w:t>Name</w:t>
            </w:r>
          </w:p>
        </w:tc>
        <w:tc>
          <w:tcPr>
            <w:tcW w:w="1417" w:type="dxa"/>
            <w:shd w:val="clear" w:color="auto" w:fill="1D3245"/>
            <w:vAlign w:val="center"/>
          </w:tcPr>
          <w:p>
            <w:pPr>
              <w:pStyle w:val="TableHeader"/>
              <w:jc w:val="left"/>
            </w:pPr>
            <w:r/>
            <w:r>
              <w:t>Contact</w:t>
            </w:r>
          </w:p>
        </w:tc>
        <w:tc>
          <w:tcPr>
            <w:tcW w:w="1190" w:type="dxa"/>
            <w:shd w:val="clear" w:color="auto" w:fill="1D3245"/>
            <w:vAlign w:val="center"/>
          </w:tcPr>
          <w:p>
            <w:pPr>
              <w:pStyle w:val="TableHeader"/>
              <w:jc w:val="left"/>
            </w:pPr>
            <w:r/>
            <w:r>
              <w:t>Available</w:t>
            </w:r>
          </w:p>
        </w:tc>
        <w:tc>
          <w:tcPr>
            <w:tcW w:w="2950" w:type="dxa"/>
            <w:shd w:val="clear" w:color="auto" w:fill="1D3245"/>
            <w:vAlign w:val="center"/>
          </w:tcPr>
          <w:p>
            <w:pPr>
              <w:pStyle w:val="TableHeader"/>
              <w:jc w:val="left"/>
            </w:pPr>
            <w:r/>
            <w:r>
              <w:t>Notes</w:t>
            </w:r>
          </w:p>
        </w:tc>
      </w:tr>
      <w:tr>
        <w:trPr>
          <w:cantSplit w:val="true"/>
        </w:trPr>
        <w:tc>
          <w:tcPr>
            <w:tcW w:w="2211" w:type="dxa"/>
            <w:vAlign w:val="center"/>
          </w:tcPr>
          <w:p>
            <w:pPr>
              <w:pStyle w:val="TableTextExample"/>
              <w:jc w:val="left"/>
            </w:pPr>
            <w:r/>
            <w:r>
              <w:t>Emergency services</w:t>
            </w:r>
          </w:p>
        </w:tc>
        <w:tc>
          <w:tcPr>
            <w:tcW w:w="1870" w:type="dxa"/>
            <w:vAlign w:val="center"/>
          </w:tcPr>
          <w:p>
            <w:pPr>
              <w:pStyle w:val="TableTextExample"/>
              <w:jc w:val="left"/>
            </w:pPr>
            <w:r/>
            <w:r>
              <w:t>[Insert local emergency number]</w:t>
            </w:r>
          </w:p>
        </w:tc>
        <w:tc>
          <w:tcPr>
            <w:tcW w:w="1417" w:type="dxa"/>
            <w:vAlign w:val="center"/>
          </w:tcPr>
          <w:p>
            <w:pPr>
              <w:pStyle w:val="TableTextExample"/>
              <w:jc w:val="left"/>
            </w:pPr>
            <w:r/>
            <w:r>
              <w:t>[Number]</w:t>
            </w:r>
          </w:p>
        </w:tc>
        <w:tc>
          <w:tcPr>
            <w:tcW w:w="1190" w:type="dxa"/>
            <w:vAlign w:val="center"/>
          </w:tcPr>
          <w:p>
            <w:pPr>
              <w:pStyle w:val="TableTextExample"/>
              <w:jc w:val="left"/>
            </w:pPr>
            <w:r/>
            <w:r>
              <w:t>24 h</w:t>
            </w:r>
          </w:p>
        </w:tc>
        <w:tc>
          <w:tcPr>
            <w:tcW w:w="2950" w:type="dxa"/>
            <w:vAlign w:val="center"/>
          </w:tcPr>
          <w:p>
            <w:pPr>
              <w:pStyle w:val="TableTextExample"/>
              <w:jc w:val="left"/>
            </w:pPr>
            <w:r/>
            <w:r>
              <w:t>Give the street address, the nearest gate and the access route — not the project name</w:t>
            </w:r>
          </w:p>
        </w:tc>
      </w:tr>
      <w:tr>
        <w:trPr>
          <w:cantSplit w:val="true"/>
        </w:trPr>
        <w:tc>
          <w:tcPr>
            <w:tcW w:w="2211" w:type="dxa"/>
            <w:vAlign w:val="center"/>
          </w:tcPr>
          <w:p>
            <w:pPr>
              <w:pStyle w:val="TableTextExample"/>
              <w:jc w:val="left"/>
            </w:pPr>
            <w:r/>
            <w:r>
              <w:t>Site emergency contact / Chief Warden</w:t>
            </w:r>
          </w:p>
        </w:tc>
        <w:tc>
          <w:tcPr>
            <w:tcW w:w="1870" w:type="dxa"/>
            <w:vAlign w:val="center"/>
          </w:tcPr>
          <w:p>
            <w:pPr>
              <w:pStyle w:val="TableTextExample"/>
              <w:jc w:val="left"/>
            </w:pPr>
            <w:r/>
            <w:r>
              <w:t>S. Haddad — Site Manager</w:t>
            </w:r>
          </w:p>
        </w:tc>
        <w:tc>
          <w:tcPr>
            <w:tcW w:w="1417" w:type="dxa"/>
            <w:vAlign w:val="center"/>
          </w:tcPr>
          <w:p>
            <w:pPr>
              <w:pStyle w:val="TableTextExample"/>
              <w:jc w:val="left"/>
            </w:pPr>
            <w:r/>
            <w:r>
              <w:t>+00 000 000 000</w:t>
            </w:r>
          </w:p>
        </w:tc>
        <w:tc>
          <w:tcPr>
            <w:tcW w:w="1190" w:type="dxa"/>
            <w:vAlign w:val="center"/>
          </w:tcPr>
          <w:p>
            <w:pPr>
              <w:pStyle w:val="TableTextExample"/>
              <w:jc w:val="left"/>
            </w:pPr>
            <w:r/>
            <w:r>
              <w:t>24 h</w:t>
            </w:r>
          </w:p>
        </w:tc>
        <w:tc>
          <w:tcPr>
            <w:tcW w:w="2950" w:type="dxa"/>
            <w:vAlign w:val="center"/>
          </w:tcPr>
          <w:p>
            <w:pPr>
              <w:pStyle w:val="TableTextExample"/>
              <w:jc w:val="left"/>
            </w:pPr>
            <w:r/>
            <w:r>
              <w:t>First point of contact for any incident</w:t>
            </w:r>
          </w:p>
        </w:tc>
      </w:tr>
      <w:tr>
        <w:trPr>
          <w:cantSplit w:val="true"/>
        </w:trPr>
        <w:tc>
          <w:tcPr>
            <w:tcW w:w="2211" w:type="dxa"/>
            <w:vAlign w:val="center"/>
          </w:tcPr>
          <w:p>
            <w:pPr>
              <w:pStyle w:val="TableTextExample"/>
              <w:jc w:val="left"/>
            </w:pPr>
            <w:r/>
            <w:r>
              <w:t>Safety Manager</w:t>
            </w:r>
          </w:p>
        </w:tc>
        <w:tc>
          <w:tcPr>
            <w:tcW w:w="1870" w:type="dxa"/>
            <w:vAlign w:val="center"/>
          </w:tcPr>
          <w:p>
            <w:pPr>
              <w:pStyle w:val="TableTextExample"/>
              <w:jc w:val="left"/>
            </w:pPr>
            <w:r/>
            <w:r>
              <w:t>T. Bianchi</w:t>
            </w:r>
          </w:p>
        </w:tc>
        <w:tc>
          <w:tcPr>
            <w:tcW w:w="1417" w:type="dxa"/>
            <w:vAlign w:val="center"/>
          </w:tcPr>
          <w:p>
            <w:pPr>
              <w:pStyle w:val="TableTextExample"/>
              <w:jc w:val="left"/>
            </w:pPr>
            <w:r/>
            <w:r>
              <w:t>+00 000 000 000</w:t>
            </w:r>
          </w:p>
        </w:tc>
        <w:tc>
          <w:tcPr>
            <w:tcW w:w="1190" w:type="dxa"/>
            <w:vAlign w:val="center"/>
          </w:tcPr>
          <w:p>
            <w:pPr>
              <w:pStyle w:val="TableTextExample"/>
              <w:jc w:val="left"/>
            </w:pPr>
            <w:r/>
            <w:r>
              <w:t>24 h</w:t>
            </w:r>
          </w:p>
        </w:tc>
        <w:tc>
          <w:tcPr>
            <w:tcW w:w="2950" w:type="dxa"/>
            <w:vAlign w:val="center"/>
          </w:tcPr>
          <w:p>
            <w:pPr>
              <w:pStyle w:val="TableTextExample"/>
              <w:jc w:val="left"/>
            </w:pPr>
            <w:r/>
            <w:r>
              <w:t>Notifies OSHA and preserves the scene</w:t>
            </w:r>
          </w:p>
        </w:tc>
      </w:tr>
      <w:tr>
        <w:trPr>
          <w:cantSplit w:val="true"/>
        </w:trPr>
        <w:tc>
          <w:tcPr>
            <w:tcW w:w="2211" w:type="dxa"/>
            <w:vAlign w:val="center"/>
          </w:tcPr>
          <w:p>
            <w:pPr>
              <w:pStyle w:val="TableTextExample"/>
              <w:jc w:val="left"/>
            </w:pPr>
            <w:r/>
            <w:r>
              <w:t>Nearest hospital with an emergency department</w:t>
            </w:r>
          </w:p>
        </w:tc>
        <w:tc>
          <w:tcPr>
            <w:tcW w:w="1870" w:type="dxa"/>
            <w:vAlign w:val="center"/>
          </w:tcPr>
          <w:p>
            <w:pPr>
              <w:pStyle w:val="TableTextExample"/>
              <w:jc w:val="left"/>
            </w:pPr>
            <w:r/>
            <w:r>
              <w:t>Northbank General Hospital</w:t>
            </w:r>
          </w:p>
        </w:tc>
        <w:tc>
          <w:tcPr>
            <w:tcW w:w="1417" w:type="dxa"/>
            <w:vAlign w:val="center"/>
          </w:tcPr>
          <w:p>
            <w:pPr>
              <w:pStyle w:val="TableTextExample"/>
              <w:jc w:val="left"/>
            </w:pPr>
            <w:r/>
            <w:r>
              <w:t>[Number]</w:t>
            </w:r>
          </w:p>
        </w:tc>
        <w:tc>
          <w:tcPr>
            <w:tcW w:w="1190" w:type="dxa"/>
            <w:vAlign w:val="center"/>
          </w:tcPr>
          <w:p>
            <w:pPr>
              <w:pStyle w:val="TableTextExample"/>
              <w:jc w:val="left"/>
            </w:pPr>
            <w:r/>
            <w:r>
              <w:t>24 h</w:t>
            </w:r>
          </w:p>
        </w:tc>
        <w:tc>
          <w:tcPr>
            <w:tcW w:w="2950" w:type="dxa"/>
            <w:vAlign w:val="center"/>
          </w:tcPr>
          <w:p>
            <w:pPr>
              <w:pStyle w:val="TableTextExample"/>
              <w:jc w:val="left"/>
            </w:pPr>
            <w:r/>
            <w:r>
              <w:t>4.2 km; route map posted in the site office and at each gate</w:t>
            </w:r>
          </w:p>
        </w:tc>
      </w:tr>
      <w:tr>
        <w:trPr>
          <w:cantSplit w:val="true"/>
        </w:trPr>
        <w:tc>
          <w:tcPr>
            <w:tcW w:w="2211" w:type="dxa"/>
            <w:vAlign w:val="center"/>
          </w:tcPr>
          <w:p>
            <w:pPr>
              <w:pStyle w:val="TableText"/>
              <w:jc w:val="left"/>
            </w:pPr>
            <w:r/>
          </w:p>
        </w:tc>
        <w:tc>
          <w:tcPr>
            <w:tcW w:w="1870" w:type="dxa"/>
            <w:vAlign w:val="center"/>
          </w:tcPr>
          <w:p>
            <w:pPr>
              <w:pStyle w:val="TableText"/>
              <w:jc w:val="left"/>
            </w:pPr>
            <w:r/>
          </w:p>
        </w:tc>
        <w:tc>
          <w:tcPr>
            <w:tcW w:w="1417" w:type="dxa"/>
            <w:vAlign w:val="center"/>
          </w:tcPr>
          <w:p>
            <w:pPr>
              <w:pStyle w:val="TableText"/>
              <w:jc w:val="left"/>
            </w:pPr>
            <w:r/>
          </w:p>
        </w:tc>
        <w:tc>
          <w:tcPr>
            <w:tcW w:w="1190" w:type="dxa"/>
            <w:vAlign w:val="center"/>
          </w:tcPr>
          <w:p>
            <w:pPr>
              <w:pStyle w:val="TableText"/>
              <w:jc w:val="left"/>
            </w:pPr>
            <w:r/>
          </w:p>
        </w:tc>
        <w:tc>
          <w:tcPr>
            <w:tcW w:w="2950" w:type="dxa"/>
            <w:vAlign w:val="center"/>
          </w:tcPr>
          <w:p>
            <w:pPr>
              <w:pStyle w:val="TableText"/>
              <w:jc w:val="left"/>
            </w:pPr>
            <w:r/>
          </w:p>
        </w:tc>
      </w:tr>
      <w:tr>
        <w:trPr>
          <w:cantSplit w:val="true"/>
        </w:trPr>
        <w:tc>
          <w:tcPr>
            <w:tcW w:w="2211" w:type="dxa"/>
            <w:vAlign w:val="center"/>
          </w:tcPr>
          <w:p>
            <w:pPr>
              <w:pStyle w:val="TableText"/>
              <w:jc w:val="left"/>
            </w:pPr>
            <w:r/>
          </w:p>
        </w:tc>
        <w:tc>
          <w:tcPr>
            <w:tcW w:w="1870" w:type="dxa"/>
            <w:vAlign w:val="center"/>
          </w:tcPr>
          <w:p>
            <w:pPr>
              <w:pStyle w:val="TableText"/>
              <w:jc w:val="left"/>
            </w:pPr>
            <w:r/>
          </w:p>
        </w:tc>
        <w:tc>
          <w:tcPr>
            <w:tcW w:w="1417" w:type="dxa"/>
            <w:vAlign w:val="center"/>
          </w:tcPr>
          <w:p>
            <w:pPr>
              <w:pStyle w:val="TableText"/>
              <w:jc w:val="left"/>
            </w:pPr>
            <w:r/>
          </w:p>
        </w:tc>
        <w:tc>
          <w:tcPr>
            <w:tcW w:w="1190" w:type="dxa"/>
            <w:vAlign w:val="center"/>
          </w:tcPr>
          <w:p>
            <w:pPr>
              <w:pStyle w:val="TableText"/>
              <w:jc w:val="left"/>
            </w:pPr>
            <w:r/>
          </w:p>
        </w:tc>
        <w:tc>
          <w:tcPr>
            <w:tcW w:w="2950" w:type="dxa"/>
            <w:vAlign w:val="center"/>
          </w:tcPr>
          <w:p>
            <w:pPr>
              <w:pStyle w:val="TableText"/>
              <w:jc w:val="left"/>
            </w:pPr>
            <w:r/>
          </w:p>
        </w:tc>
      </w:tr>
    </w:tbl>
    <w:p>
      <w:pPr>
        <w:spacing w:before="0" w:after="0" w:line="60" w:lineRule="exact"/>
      </w:pPr>
    </w:p>
    <w:p>
      <w:pPr>
        <w:pStyle w:val="Heading2"/>
      </w:pPr>
      <w:bookmarkStart w:id="9058" w:name="_Toc90058"/>
      <w:r>
        <w:t>11.3 First aid provision</w:t>
      </w:r>
      <w:bookmarkEnd w:id="9058"/>
    </w:p>
    <w:p>
      <w:pPr>
        <w:pStyle w:val="Body"/>
      </w:pPr>
      <w:r>
        <w:t>Provide first aid proportionate to the workforce, the hazards and the distance to definitive care: trained first aiders every shift, named on the notice board; kits at the site office, the break area and each work front, stocked to ANSI/ISEA Z308.1 Class B and to 1926.50 and audited monthly; a defibrillator within a few minutes of any work position, pads and battery in date; eye-wash and emergency shower where chemicals or dust warrant it; a private space for treatment; and a confidential treatment register. Record every treatment, including the trivial — the first aid record is the earliest leading indicator the project has.</w:t>
      </w:r>
    </w:p>
    <w:p>
      <w:pPr>
        <w:pStyle w:val="Heading2"/>
      </w:pPr>
      <w:bookmarkStart w:id="9059" w:name="_Toc90059"/>
      <w:r>
        <w:t>11.4 Emergency equipment register</w:t>
      </w:r>
      <w:bookmarkEnd w:id="9059"/>
    </w:p>
    <w:p>
      <w:pPr>
        <w:pStyle w:val="Note"/>
      </w:pPr>
      <w:r>
        <w:t>Example rows shown in gray italic — delete before use. Include extinguishers and fire blankets, spill kits, gas detectors, confined space retrieval equipment, stretchers, alarms and emergency lighting.</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267"/>
        <w:gridCol w:w="2154"/>
        <w:gridCol w:w="963"/>
        <w:gridCol w:w="1757"/>
        <w:gridCol w:w="1190"/>
        <w:gridCol w:w="1307"/>
      </w:tblGrid>
      <w:tr>
        <w:trPr>
          <w:tblHeader w:val="true"/>
          <w:cantSplit w:val="true"/>
        </w:trPr>
        <w:tc>
          <w:tcPr>
            <w:tcW w:w="2267" w:type="dxa"/>
            <w:shd w:val="clear" w:color="auto" w:fill="1D3245"/>
            <w:vAlign w:val="center"/>
          </w:tcPr>
          <w:p>
            <w:pPr>
              <w:pStyle w:val="TableHeader"/>
              <w:jc w:val="left"/>
            </w:pPr>
            <w:r/>
            <w:r>
              <w:t>Equipment</w:t>
            </w:r>
          </w:p>
        </w:tc>
        <w:tc>
          <w:tcPr>
            <w:tcW w:w="2154" w:type="dxa"/>
            <w:shd w:val="clear" w:color="auto" w:fill="1D3245"/>
            <w:vAlign w:val="center"/>
          </w:tcPr>
          <w:p>
            <w:pPr>
              <w:pStyle w:val="TableHeader"/>
              <w:jc w:val="left"/>
            </w:pPr>
            <w:r/>
            <w:r>
              <w:t>Location</w:t>
            </w:r>
          </w:p>
        </w:tc>
        <w:tc>
          <w:tcPr>
            <w:tcW w:w="963" w:type="dxa"/>
            <w:shd w:val="clear" w:color="auto" w:fill="1D3245"/>
            <w:vAlign w:val="center"/>
          </w:tcPr>
          <w:p>
            <w:pPr>
              <w:pStyle w:val="TableHeader"/>
              <w:jc w:val="left"/>
            </w:pPr>
            <w:r/>
            <w:r>
              <w:t>Quantity</w:t>
            </w:r>
          </w:p>
        </w:tc>
        <w:tc>
          <w:tcPr>
            <w:tcW w:w="1757" w:type="dxa"/>
            <w:shd w:val="clear" w:color="auto" w:fill="1D3245"/>
            <w:vAlign w:val="center"/>
          </w:tcPr>
          <w:p>
            <w:pPr>
              <w:pStyle w:val="TableHeader"/>
              <w:jc w:val="left"/>
            </w:pPr>
            <w:r/>
            <w:r>
              <w:t>Inspection interval</w:t>
            </w:r>
          </w:p>
        </w:tc>
        <w:tc>
          <w:tcPr>
            <w:tcW w:w="1190" w:type="dxa"/>
            <w:shd w:val="clear" w:color="auto" w:fill="1D3245"/>
            <w:vAlign w:val="center"/>
          </w:tcPr>
          <w:p>
            <w:pPr>
              <w:pStyle w:val="TableHeader"/>
              <w:jc w:val="left"/>
            </w:pPr>
            <w:r/>
            <w:r>
              <w:t>Last checked</w:t>
            </w:r>
          </w:p>
        </w:tc>
        <w:tc>
          <w:tcPr>
            <w:tcW w:w="1307" w:type="dxa"/>
            <w:shd w:val="clear" w:color="auto" w:fill="1D3245"/>
            <w:vAlign w:val="center"/>
          </w:tcPr>
          <w:p>
            <w:pPr>
              <w:pStyle w:val="TableHeader"/>
              <w:jc w:val="left"/>
            </w:pPr>
            <w:r/>
            <w:r>
              <w:t>Responsible</w:t>
            </w:r>
          </w:p>
        </w:tc>
      </w:tr>
      <w:tr>
        <w:trPr>
          <w:cantSplit w:val="true"/>
        </w:trPr>
        <w:tc>
          <w:tcPr>
            <w:tcW w:w="2267" w:type="dxa"/>
            <w:vAlign w:val="center"/>
          </w:tcPr>
          <w:p>
            <w:pPr>
              <w:pStyle w:val="TableTextExample"/>
              <w:jc w:val="left"/>
            </w:pPr>
            <w:r/>
            <w:r>
              <w:t>Automated external defibrillator</w:t>
            </w:r>
          </w:p>
        </w:tc>
        <w:tc>
          <w:tcPr>
            <w:tcW w:w="2154" w:type="dxa"/>
            <w:vAlign w:val="center"/>
          </w:tcPr>
          <w:p>
            <w:pPr>
              <w:pStyle w:val="TableTextExample"/>
              <w:jc w:val="left"/>
            </w:pPr>
            <w:r/>
            <w:r>
              <w:t>Site office entry, adjacent to the induction room</w:t>
            </w:r>
          </w:p>
        </w:tc>
        <w:tc>
          <w:tcPr>
            <w:tcW w:w="963" w:type="dxa"/>
            <w:vAlign w:val="center"/>
          </w:tcPr>
          <w:p>
            <w:pPr>
              <w:pStyle w:val="TableTextExample"/>
              <w:jc w:val="left"/>
            </w:pPr>
            <w:r/>
            <w:r>
              <w:t>1</w:t>
            </w:r>
          </w:p>
        </w:tc>
        <w:tc>
          <w:tcPr>
            <w:tcW w:w="1757" w:type="dxa"/>
            <w:vAlign w:val="center"/>
          </w:tcPr>
          <w:p>
            <w:pPr>
              <w:pStyle w:val="TableTextExample"/>
              <w:jc w:val="left"/>
            </w:pPr>
            <w:r/>
            <w:r>
              <w:t>Monthly self-test check; pad and battery expiry recorded</w:t>
            </w:r>
          </w:p>
        </w:tc>
        <w:tc>
          <w:tcPr>
            <w:tcW w:w="1190" w:type="dxa"/>
            <w:vAlign w:val="center"/>
          </w:tcPr>
          <w:p>
            <w:pPr>
              <w:pStyle w:val="TableTextExample"/>
              <w:jc w:val="left"/>
            </w:pPr>
            <w:r/>
            <w:r>
              <w:t>[MM/DD/YY]</w:t>
            </w:r>
          </w:p>
        </w:tc>
        <w:tc>
          <w:tcPr>
            <w:tcW w:w="1307" w:type="dxa"/>
            <w:vAlign w:val="center"/>
          </w:tcPr>
          <w:p>
            <w:pPr>
              <w:pStyle w:val="TableTextExample"/>
              <w:jc w:val="left"/>
            </w:pPr>
            <w:r/>
            <w:r>
              <w:t>Safety Manager</w:t>
            </w:r>
          </w:p>
        </w:tc>
      </w:tr>
      <w:tr>
        <w:trPr>
          <w:cantSplit w:val="true"/>
        </w:trPr>
        <w:tc>
          <w:tcPr>
            <w:tcW w:w="2267" w:type="dxa"/>
            <w:vAlign w:val="center"/>
          </w:tcPr>
          <w:p>
            <w:pPr>
              <w:pStyle w:val="TableTextExample"/>
              <w:jc w:val="left"/>
            </w:pPr>
            <w:r/>
            <w:r>
              <w:t>Rescue kit for retrieval from height, plus a second aerial lift kept available for rescue</w:t>
            </w:r>
          </w:p>
        </w:tc>
        <w:tc>
          <w:tcPr>
            <w:tcW w:w="2154" w:type="dxa"/>
            <w:vAlign w:val="center"/>
          </w:tcPr>
          <w:p>
            <w:pPr>
              <w:pStyle w:val="TableTextExample"/>
              <w:jc w:val="left"/>
            </w:pPr>
            <w:r/>
            <w:r>
              <w:t>Level 1 lift landing; aerial lift-04 on site whenever a basket is elevated</w:t>
            </w:r>
          </w:p>
        </w:tc>
        <w:tc>
          <w:tcPr>
            <w:tcW w:w="963" w:type="dxa"/>
            <w:vAlign w:val="center"/>
          </w:tcPr>
          <w:p>
            <w:pPr>
              <w:pStyle w:val="TableTextExample"/>
              <w:jc w:val="left"/>
            </w:pPr>
            <w:r/>
            <w:r>
              <w:t>1 kit / 1 aerial lift</w:t>
            </w:r>
          </w:p>
        </w:tc>
        <w:tc>
          <w:tcPr>
            <w:tcW w:w="1757" w:type="dxa"/>
            <w:vAlign w:val="center"/>
          </w:tcPr>
          <w:p>
            <w:pPr>
              <w:pStyle w:val="TableTextExample"/>
              <w:jc w:val="left"/>
            </w:pPr>
            <w:r/>
            <w:r>
              <w:t>Before each use; monthly formal inspection</w:t>
            </w:r>
          </w:p>
        </w:tc>
        <w:tc>
          <w:tcPr>
            <w:tcW w:w="1190" w:type="dxa"/>
            <w:vAlign w:val="center"/>
          </w:tcPr>
          <w:p>
            <w:pPr>
              <w:pStyle w:val="TableTextExample"/>
              <w:jc w:val="left"/>
            </w:pPr>
            <w:r/>
            <w:r>
              <w:t>[MM/DD/YY]</w:t>
            </w:r>
          </w:p>
        </w:tc>
        <w:tc>
          <w:tcPr>
            <w:tcW w:w="1307" w:type="dxa"/>
            <w:vAlign w:val="center"/>
          </w:tcPr>
          <w:p>
            <w:pPr>
              <w:pStyle w:val="TableTextExample"/>
              <w:jc w:val="left"/>
            </w:pPr>
            <w:r/>
            <w:r>
              <w:t>Steel Erection Supervisor</w:t>
            </w:r>
          </w:p>
        </w:tc>
      </w:tr>
      <w:tr>
        <w:trPr>
          <w:cantSplit w:val="true"/>
        </w:trPr>
        <w:tc>
          <w:tcPr>
            <w:tcW w:w="2267" w:type="dxa"/>
            <w:vAlign w:val="center"/>
          </w:tcPr>
          <w:p>
            <w:pPr>
              <w:pStyle w:val="TableText"/>
              <w:jc w:val="left"/>
            </w:pPr>
            <w:r/>
          </w:p>
        </w:tc>
        <w:tc>
          <w:tcPr>
            <w:tcW w:w="2154" w:type="dxa"/>
            <w:vAlign w:val="center"/>
          </w:tcPr>
          <w:p>
            <w:pPr>
              <w:pStyle w:val="TableText"/>
              <w:jc w:val="left"/>
            </w:pPr>
            <w:r/>
          </w:p>
        </w:tc>
        <w:tc>
          <w:tcPr>
            <w:tcW w:w="963" w:type="dxa"/>
            <w:vAlign w:val="center"/>
          </w:tcPr>
          <w:p>
            <w:pPr>
              <w:pStyle w:val="TableText"/>
              <w:jc w:val="left"/>
            </w:pPr>
            <w:r/>
          </w:p>
        </w:tc>
        <w:tc>
          <w:tcPr>
            <w:tcW w:w="1757" w:type="dxa"/>
            <w:vAlign w:val="center"/>
          </w:tcPr>
          <w:p>
            <w:pPr>
              <w:pStyle w:val="TableText"/>
              <w:jc w:val="left"/>
            </w:pPr>
            <w:r/>
          </w:p>
        </w:tc>
        <w:tc>
          <w:tcPr>
            <w:tcW w:w="1190" w:type="dxa"/>
            <w:vAlign w:val="center"/>
          </w:tcPr>
          <w:p>
            <w:pPr>
              <w:pStyle w:val="TableText"/>
              <w:jc w:val="left"/>
            </w:pPr>
            <w:r/>
          </w:p>
        </w:tc>
        <w:tc>
          <w:tcPr>
            <w:tcW w:w="1307" w:type="dxa"/>
            <w:vAlign w:val="center"/>
          </w:tcPr>
          <w:p>
            <w:pPr>
              <w:pStyle w:val="TableText"/>
              <w:jc w:val="left"/>
            </w:pPr>
            <w:r/>
          </w:p>
        </w:tc>
      </w:tr>
      <w:tr>
        <w:trPr>
          <w:cantSplit w:val="true"/>
        </w:trPr>
        <w:tc>
          <w:tcPr>
            <w:tcW w:w="2267" w:type="dxa"/>
            <w:vAlign w:val="center"/>
          </w:tcPr>
          <w:p>
            <w:pPr>
              <w:pStyle w:val="TableText"/>
              <w:jc w:val="left"/>
            </w:pPr>
            <w:r/>
          </w:p>
        </w:tc>
        <w:tc>
          <w:tcPr>
            <w:tcW w:w="2154" w:type="dxa"/>
            <w:vAlign w:val="center"/>
          </w:tcPr>
          <w:p>
            <w:pPr>
              <w:pStyle w:val="TableText"/>
              <w:jc w:val="left"/>
            </w:pPr>
            <w:r/>
          </w:p>
        </w:tc>
        <w:tc>
          <w:tcPr>
            <w:tcW w:w="963" w:type="dxa"/>
            <w:vAlign w:val="center"/>
          </w:tcPr>
          <w:p>
            <w:pPr>
              <w:pStyle w:val="TableText"/>
              <w:jc w:val="left"/>
            </w:pPr>
            <w:r/>
          </w:p>
        </w:tc>
        <w:tc>
          <w:tcPr>
            <w:tcW w:w="1757" w:type="dxa"/>
            <w:vAlign w:val="center"/>
          </w:tcPr>
          <w:p>
            <w:pPr>
              <w:pStyle w:val="TableText"/>
              <w:jc w:val="left"/>
            </w:pPr>
            <w:r/>
          </w:p>
        </w:tc>
        <w:tc>
          <w:tcPr>
            <w:tcW w:w="1190" w:type="dxa"/>
            <w:vAlign w:val="center"/>
          </w:tcPr>
          <w:p>
            <w:pPr>
              <w:pStyle w:val="TableText"/>
              <w:jc w:val="left"/>
            </w:pPr>
            <w:r/>
          </w:p>
        </w:tc>
        <w:tc>
          <w:tcPr>
            <w:tcW w:w="1307" w:type="dxa"/>
            <w:vAlign w:val="center"/>
          </w:tcPr>
          <w:p>
            <w:pPr>
              <w:pStyle w:val="TableText"/>
              <w:jc w:val="left"/>
            </w:pPr>
            <w:r/>
          </w:p>
        </w:tc>
      </w:tr>
    </w:tbl>
    <w:p>
      <w:pPr>
        <w:spacing w:before="0" w:after="0" w:line="60" w:lineRule="exact"/>
      </w:pPr>
    </w:p>
    <w:p>
      <w:pPr>
        <w:pStyle w:val="Heading2"/>
      </w:pPr>
      <w:bookmarkStart w:id="9060" w:name="_Toc90060"/>
      <w:r>
        <w:t>11.5 Evacuation and rescue arrangements</w:t>
      </w:r>
      <w:bookmarkEnd w:id="9060"/>
    </w:p>
    <w:p>
      <w:pPr>
        <w:pStyle w:val="BodyBullet"/>
      </w:pPr>
      <w:r>
        <w:rPr>
          <w:color w:val="3480BC"/>
        </w:rPr>
        <w:t xml:space="preserve">—   </w:t>
      </w:r>
      <w:r>
        <w:t>Alarm and signal: [insert the alarm — for example an air horn, three long blasts, plus a broadcast on radio channel 1]. Every worker is told the signal at induction and hears it during a drill.</w:t>
      </w:r>
    </w:p>
    <w:p>
      <w:pPr>
        <w:pStyle w:val="BodyBullet"/>
      </w:pPr>
      <w:r>
        <w:rPr>
          <w:color w:val="3480BC"/>
        </w:rPr>
        <w:t xml:space="preserve">—   </w:t>
      </w:r>
      <w:r>
        <w:t>Wardens are appointed in writing by area and shift, identifiable by a colored vest or helmet, with a named alternate; areas are swept in a defined order and reported to the Chief Warden. People are accounted for against the site access record, not against memory, each subcontractor supervisor accounting for their own crew.</w:t>
      </w:r>
    </w:p>
    <w:p>
      <w:pPr>
        <w:pStyle w:val="BodyBullet"/>
      </w:pPr>
      <w:r>
        <w:rPr>
          <w:color w:val="3480BC"/>
        </w:rPr>
        <w:t xml:space="preserve">—   </w:t>
      </w:r>
      <w:r>
        <w:t>Rescue from height: a documented method for every position a person could be suspended — a trained ground-level operator with emergency lowering, a second aerial lift, or a rated rescue system. Suspension trauma makes this a minutes problem, so waiting for emergency services is not an acceptable primary plan.</w:t>
      </w:r>
    </w:p>
    <w:p>
      <w:pPr>
        <w:pStyle w:val="BodyBullet"/>
      </w:pPr>
      <w:r>
        <w:rPr>
          <w:color w:val="3480BC"/>
        </w:rPr>
        <w:t xml:space="preserve">—   </w:t>
      </w:r>
      <w:r>
        <w:t>Rescue from a confined space: a stand-by person outside at all times, non-entry retrieval as the first method, entry rescue only by trained rescuers with breathing apparatus, tested before first entry. Rescue from an excavation: a means of egress every 9 m or as the standard requires, and an extraction plan that does not require a second person to enter an unsupported excavation. Emergency vehicle access is kept clear at all times, checked daily and — where the site adjoins an operating facility — coordinated with that facility's emergency routes in writing.</w:t>
      </w:r>
    </w:p>
    <w:p>
      <w:pPr>
        <w:pStyle w:val="Heading2"/>
      </w:pPr>
      <w:bookmarkStart w:id="9061" w:name="_Toc90061"/>
      <w:r>
        <w:t>11.6 Drills</w:t>
      </w:r>
      <w:bookmarkEnd w:id="9061"/>
    </w:p>
    <w:p>
      <w:pPr>
        <w:pStyle w:val="Note"/>
      </w:pPr>
      <w:r>
        <w:t>Example rows shown in gray italic — delete before use.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661"/>
        <w:gridCol w:w="2547"/>
        <w:gridCol w:w="1883"/>
        <w:gridCol w:w="1661"/>
        <w:gridCol w:w="1886"/>
      </w:tblGrid>
      <w:tr>
        <w:trPr>
          <w:tblHeader w:val="true"/>
          <w:cantSplit w:val="true"/>
        </w:trPr>
        <w:tc>
          <w:tcPr>
            <w:tcW w:w="1661" w:type="dxa"/>
            <w:shd w:val="clear" w:color="auto" w:fill="1D3245"/>
            <w:vAlign w:val="center"/>
          </w:tcPr>
          <w:p>
            <w:pPr>
              <w:pStyle w:val="TableHeader"/>
              <w:jc w:val="left"/>
            </w:pPr>
            <w:r/>
            <w:r>
              <w:t>Drill</w:t>
            </w:r>
          </w:p>
        </w:tc>
        <w:tc>
          <w:tcPr>
            <w:tcW w:w="2547" w:type="dxa"/>
            <w:shd w:val="clear" w:color="auto" w:fill="1D3245"/>
            <w:vAlign w:val="center"/>
          </w:tcPr>
          <w:p>
            <w:pPr>
              <w:pStyle w:val="TableHeader"/>
              <w:jc w:val="left"/>
            </w:pPr>
            <w:r/>
            <w:r>
              <w:t>Scenario tested</w:t>
            </w:r>
          </w:p>
        </w:tc>
        <w:tc>
          <w:tcPr>
            <w:tcW w:w="1883" w:type="dxa"/>
            <w:shd w:val="clear" w:color="auto" w:fill="1D3245"/>
            <w:vAlign w:val="center"/>
          </w:tcPr>
          <w:p>
            <w:pPr>
              <w:pStyle w:val="TableHeader"/>
              <w:jc w:val="left"/>
            </w:pPr>
            <w:r/>
            <w:r>
              <w:t>Frequency</w:t>
            </w:r>
          </w:p>
        </w:tc>
        <w:tc>
          <w:tcPr>
            <w:tcW w:w="1661" w:type="dxa"/>
            <w:shd w:val="clear" w:color="auto" w:fill="1D3245"/>
            <w:vAlign w:val="center"/>
          </w:tcPr>
          <w:p>
            <w:pPr>
              <w:pStyle w:val="TableHeader"/>
              <w:jc w:val="left"/>
            </w:pPr>
            <w:r/>
            <w:r>
              <w:t>Participants</w:t>
            </w:r>
          </w:p>
        </w:tc>
        <w:tc>
          <w:tcPr>
            <w:tcW w:w="1886" w:type="dxa"/>
            <w:shd w:val="clear" w:color="auto" w:fill="1D3245"/>
            <w:vAlign w:val="center"/>
          </w:tcPr>
          <w:p>
            <w:pPr>
              <w:pStyle w:val="TableHeader"/>
              <w:jc w:val="left"/>
            </w:pPr>
            <w:r/>
            <w:r>
              <w:t>Record and review</w:t>
            </w:r>
          </w:p>
        </w:tc>
      </w:tr>
      <w:tr>
        <w:trPr>
          <w:cantSplit w:val="true"/>
        </w:trPr>
        <w:tc>
          <w:tcPr>
            <w:tcW w:w="1661" w:type="dxa"/>
            <w:vAlign w:val="center"/>
          </w:tcPr>
          <w:p>
            <w:pPr>
              <w:pStyle w:val="TableTextExample"/>
              <w:jc w:val="left"/>
            </w:pPr>
            <w:r/>
            <w:r>
              <w:t>Full site evacuation</w:t>
            </w:r>
          </w:p>
        </w:tc>
        <w:tc>
          <w:tcPr>
            <w:tcW w:w="2547" w:type="dxa"/>
            <w:vAlign w:val="center"/>
          </w:tcPr>
          <w:p>
            <w:pPr>
              <w:pStyle w:val="TableTextExample"/>
              <w:jc w:val="left"/>
            </w:pPr>
            <w:r/>
            <w:r>
              <w:t>Fire in the substructure; primary assembly point unavailable so the secondary point is used</w:t>
            </w:r>
          </w:p>
        </w:tc>
        <w:tc>
          <w:tcPr>
            <w:tcW w:w="1883" w:type="dxa"/>
            <w:vAlign w:val="center"/>
          </w:tcPr>
          <w:p>
            <w:pPr>
              <w:pStyle w:val="TableTextExample"/>
              <w:jc w:val="left"/>
            </w:pPr>
            <w:r/>
            <w:r>
              <w:t>Within two weeks of site establishment, then six-monthly and after any material change to the layout</w:t>
            </w:r>
          </w:p>
        </w:tc>
        <w:tc>
          <w:tcPr>
            <w:tcW w:w="1661" w:type="dxa"/>
            <w:vAlign w:val="center"/>
          </w:tcPr>
          <w:p>
            <w:pPr>
              <w:pStyle w:val="TableTextExample"/>
              <w:jc w:val="left"/>
            </w:pPr>
            <w:r/>
            <w:r>
              <w:t>All persons on site</w:t>
            </w:r>
          </w:p>
        </w:tc>
        <w:tc>
          <w:tcPr>
            <w:tcW w:w="1886" w:type="dxa"/>
            <w:vAlign w:val="center"/>
          </w:tcPr>
          <w:p>
            <w:pPr>
              <w:pStyle w:val="TableTextExample"/>
              <w:jc w:val="left"/>
            </w:pPr>
            <w:r/>
            <w:r>
              <w:t>Timed roll-call; debrief within 24 h; corrective actions raised</w:t>
            </w:r>
          </w:p>
        </w:tc>
      </w:tr>
      <w:tr>
        <w:trPr>
          <w:cantSplit w:val="true"/>
        </w:trPr>
        <w:tc>
          <w:tcPr>
            <w:tcW w:w="1661" w:type="dxa"/>
            <w:vAlign w:val="center"/>
          </w:tcPr>
          <w:p>
            <w:pPr>
              <w:pStyle w:val="TableTextExample"/>
              <w:jc w:val="left"/>
            </w:pPr>
            <w:r/>
            <w:r>
              <w:t>Rescue from height</w:t>
            </w:r>
          </w:p>
        </w:tc>
        <w:tc>
          <w:tcPr>
            <w:tcW w:w="2547" w:type="dxa"/>
            <w:vAlign w:val="center"/>
          </w:tcPr>
          <w:p>
            <w:pPr>
              <w:pStyle w:val="TableTextExample"/>
              <w:jc w:val="left"/>
            </w:pPr>
            <w:r/>
            <w:r>
              <w:t>Worker suspended in a harness in an aerial lift basket at Level 3</w:t>
            </w:r>
          </w:p>
        </w:tc>
        <w:tc>
          <w:tcPr>
            <w:tcW w:w="1883" w:type="dxa"/>
            <w:vAlign w:val="center"/>
          </w:tcPr>
          <w:p>
            <w:pPr>
              <w:pStyle w:val="TableTextExample"/>
              <w:jc w:val="left"/>
            </w:pPr>
            <w:r/>
            <w:r>
              <w:t>Before elevated work starts, then quarterly and on any change of rescue method</w:t>
            </w:r>
          </w:p>
        </w:tc>
        <w:tc>
          <w:tcPr>
            <w:tcW w:w="1661" w:type="dxa"/>
            <w:vAlign w:val="center"/>
          </w:tcPr>
          <w:p>
            <w:pPr>
              <w:pStyle w:val="TableTextExample"/>
              <w:jc w:val="left"/>
            </w:pPr>
            <w:r/>
            <w:r>
              <w:t>Steel erection crew; nominated rescue operators; first aiders</w:t>
            </w:r>
          </w:p>
        </w:tc>
        <w:tc>
          <w:tcPr>
            <w:tcW w:w="1886" w:type="dxa"/>
            <w:vAlign w:val="center"/>
          </w:tcPr>
          <w:p>
            <w:pPr>
              <w:pStyle w:val="TableTextExample"/>
              <w:jc w:val="left"/>
            </w:pPr>
            <w:r/>
            <w:r>
              <w:t>Timed rescue; debrief; JHA updated if the method proved slow</w:t>
            </w:r>
          </w:p>
        </w:tc>
      </w:tr>
      <w:tr>
        <w:trPr>
          <w:cantSplit w:val="true"/>
        </w:trPr>
        <w:tc>
          <w:tcPr>
            <w:tcW w:w="1661" w:type="dxa"/>
            <w:vAlign w:val="center"/>
          </w:tcPr>
          <w:p>
            <w:pPr>
              <w:pStyle w:val="TableText"/>
              <w:jc w:val="left"/>
            </w:pPr>
            <w:r/>
          </w:p>
        </w:tc>
        <w:tc>
          <w:tcPr>
            <w:tcW w:w="2547" w:type="dxa"/>
            <w:vAlign w:val="center"/>
          </w:tcPr>
          <w:p>
            <w:pPr>
              <w:pStyle w:val="TableText"/>
              <w:jc w:val="left"/>
            </w:pPr>
            <w:r/>
          </w:p>
        </w:tc>
        <w:tc>
          <w:tcPr>
            <w:tcW w:w="1883" w:type="dxa"/>
            <w:vAlign w:val="center"/>
          </w:tcPr>
          <w:p>
            <w:pPr>
              <w:pStyle w:val="TableText"/>
              <w:jc w:val="left"/>
            </w:pPr>
            <w:r/>
          </w:p>
        </w:tc>
        <w:tc>
          <w:tcPr>
            <w:tcW w:w="1661" w:type="dxa"/>
            <w:vAlign w:val="center"/>
          </w:tcPr>
          <w:p>
            <w:pPr>
              <w:pStyle w:val="TableText"/>
              <w:jc w:val="left"/>
            </w:pPr>
            <w:r/>
          </w:p>
        </w:tc>
        <w:tc>
          <w:tcPr>
            <w:tcW w:w="1886" w:type="dxa"/>
            <w:vAlign w:val="center"/>
          </w:tcPr>
          <w:p>
            <w:pPr>
              <w:pStyle w:val="TableText"/>
              <w:jc w:val="left"/>
            </w:pPr>
            <w:r/>
          </w:p>
        </w:tc>
      </w:tr>
      <w:tr>
        <w:trPr>
          <w:cantSplit w:val="true"/>
        </w:trPr>
        <w:tc>
          <w:tcPr>
            <w:tcW w:w="1661" w:type="dxa"/>
            <w:vAlign w:val="center"/>
          </w:tcPr>
          <w:p>
            <w:pPr>
              <w:pStyle w:val="TableText"/>
              <w:jc w:val="left"/>
            </w:pPr>
            <w:r/>
          </w:p>
        </w:tc>
        <w:tc>
          <w:tcPr>
            <w:tcW w:w="2547" w:type="dxa"/>
            <w:vAlign w:val="center"/>
          </w:tcPr>
          <w:p>
            <w:pPr>
              <w:pStyle w:val="TableText"/>
              <w:jc w:val="left"/>
            </w:pPr>
            <w:r/>
          </w:p>
        </w:tc>
        <w:tc>
          <w:tcPr>
            <w:tcW w:w="1883" w:type="dxa"/>
            <w:vAlign w:val="center"/>
          </w:tcPr>
          <w:p>
            <w:pPr>
              <w:pStyle w:val="TableText"/>
              <w:jc w:val="left"/>
            </w:pPr>
            <w:r/>
          </w:p>
        </w:tc>
        <w:tc>
          <w:tcPr>
            <w:tcW w:w="1661" w:type="dxa"/>
            <w:vAlign w:val="center"/>
          </w:tcPr>
          <w:p>
            <w:pPr>
              <w:pStyle w:val="TableText"/>
              <w:jc w:val="left"/>
            </w:pPr>
            <w:r/>
          </w:p>
        </w:tc>
        <w:tc>
          <w:tcPr>
            <w:tcW w:w="1886" w:type="dxa"/>
            <w:vAlign w:val="center"/>
          </w:tcPr>
          <w:p>
            <w:pPr>
              <w:pStyle w:val="TableText"/>
              <w:jc w:val="left"/>
            </w:pPr>
            <w:r/>
          </w:p>
        </w:tc>
      </w:tr>
    </w:tbl>
    <w:p>
      <w:pPr>
        <w:spacing w:before="0" w:after="0" w:line="60" w:lineRule="exact"/>
      </w:pP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rPr>
          <w:cantSplit/>
        </w:trPr>
        <w:tc>
          <w:tcPr>
            <w:tcW w:w="9638" w:type="dxa"/>
            <w:shd w:val="clear" w:color="auto" w:fill="FDF3DC"/>
            <w:tcBorders>
              <w:left w:val="single" w:sz="4" w:space="0" w:color="C98A0E"/>
            </w:tcBorders>
          </w:tcPr>
          <w:p>
            <w:pPr>
              <w:pStyle w:val="Body"/>
            </w:pPr>
            <w:r/>
            <w:r>
              <w:t>Every drill is recorded: date, scenario, who took part, the time taken to account for all persons, what failed, and the corrective actions raised with owners and dates. An undocumented drill did not happen as far as a OSHA is concerned, and a drill that goes perfectly first time was probably too easy — test the scenario the site would actually find hard.</w:t>
            </w:r>
          </w:p>
        </w:tc>
      </w:tr>
    </w:tbl>
    <w:p>
      <w:pPr>
        <w:spacing w:before="0" w:after="0" w:line="160" w:lineRule="exact"/>
      </w:pPr>
    </w:p>
    <w:p>
      <w:pPr>
        <w:pStyle w:val="Heading1"/>
      </w:pPr>
      <w:bookmarkStart w:id="9062" w:name="_Toc90062"/>
      <w:r>
        <w:t>12. Incident Reporting, Investigation and Notification</w:t>
      </w:r>
      <w:bookmarkEnd w:id="9062"/>
    </w:p>
    <w:p>
      <w:pPr>
        <w:pStyle w:val="BodyLead"/>
      </w:pPr>
      <w:r>
        <w:t>The purpose of investigation is to find and remove the conditions that allowed the event, not to allocate blame. Projects that discipline first stop hearing about near misses, and then lose the only free warnings they get.</w:t>
      </w:r>
    </w:p>
    <w:p>
      <w:pPr>
        <w:pStyle w:val="Heading2"/>
      </w:pPr>
      <w:bookmarkStart w:id="9063" w:name="_Toc90063"/>
      <w:r>
        <w:t>12.1 Reporting timeframes</w:t>
      </w:r>
      <w:bookmarkEnd w:id="9063"/>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505"/>
        <w:gridCol w:w="2313"/>
        <w:gridCol w:w="2698"/>
        <w:gridCol w:w="2122"/>
      </w:tblGrid>
      <w:tr>
        <w:trPr>
          <w:tblHeader w:val="true"/>
          <w:cantSplit w:val="true"/>
        </w:trPr>
        <w:tc>
          <w:tcPr>
            <w:tcW w:w="4" w:type="dxa"/>
            <w:shd w:val="clear" w:color="auto" w:fill="1D3245"/>
            <w:vAlign w:val="center"/>
          </w:tcPr>
          <w:p>
            <w:pPr>
              <w:pStyle w:val="TableHeader"/>
              <w:jc w:val="left"/>
            </w:pPr>
            <w:r>
              <w:t>Event type</w:t>
            </w:r>
            <w:r/>
          </w:p>
        </w:tc>
        <w:tc>
          <w:tcPr>
            <w:tcW w:w="4" w:type="dxa"/>
            <w:shd w:val="clear" w:color="auto" w:fill="1D3245"/>
            <w:vAlign w:val="center"/>
          </w:tcPr>
          <w:p>
            <w:pPr>
              <w:pStyle w:val="TableHeader"/>
              <w:jc w:val="left"/>
            </w:pPr>
            <w:r>
              <w:t>Report to whom</w:t>
            </w:r>
            <w:r/>
          </w:p>
        </w:tc>
        <w:tc>
          <w:tcPr>
            <w:tcW w:w="4" w:type="dxa"/>
            <w:shd w:val="clear" w:color="auto" w:fill="1D3245"/>
            <w:vAlign w:val="center"/>
          </w:tcPr>
          <w:p>
            <w:pPr>
              <w:pStyle w:val="TableHeader"/>
              <w:jc w:val="left"/>
            </w:pPr>
            <w:r>
              <w:t>Within</w:t>
            </w:r>
            <w:r/>
          </w:p>
        </w:tc>
        <w:tc>
          <w:tcPr>
            <w:tcW w:w="3" w:type="dxa"/>
            <w:shd w:val="clear" w:color="auto" w:fill="1D3245"/>
            <w:vAlign w:val="center"/>
          </w:tcPr>
          <w:p>
            <w:pPr>
              <w:pStyle w:val="TableHeader"/>
              <w:jc w:val="left"/>
            </w:pPr>
            <w:r>
              <w:t>Record created</w:t>
            </w:r>
            <w:r/>
          </w:p>
        </w:tc>
      </w:tr>
      <w:tr>
        <w:trPr>
          <w:cantSplit w:val="true"/>
        </w:trPr>
        <w:tc>
          <w:tcPr>
            <w:tcW w:w="4" w:type="dxa"/>
            <w:vAlign w:val="center"/>
          </w:tcPr>
          <w:p>
            <w:pPr>
              <w:pStyle w:val="TableTextBold"/>
              <w:jc w:val="left"/>
            </w:pPr>
            <w:r>
              <w:t>Any injury, illness, near miss, dangerous occurrence or property damage</w:t>
            </w:r>
            <w:r/>
          </w:p>
        </w:tc>
        <w:tc>
          <w:tcPr>
            <w:tcW w:w="4" w:type="dxa"/>
            <w:vAlign w:val="center"/>
          </w:tcPr>
          <w:p>
            <w:pPr>
              <w:pStyle w:val="TableText"/>
              <w:jc w:val="left"/>
            </w:pPr>
            <w:r>
              <w:t>The worker's supervisor</w:t>
            </w:r>
            <w:r/>
          </w:p>
        </w:tc>
        <w:tc>
          <w:tcPr>
            <w:tcW w:w="4" w:type="dxa"/>
            <w:vAlign w:val="center"/>
          </w:tcPr>
          <w:p>
            <w:pPr>
              <w:pStyle w:val="TableText"/>
              <w:jc w:val="left"/>
            </w:pPr>
            <w:r>
              <w:t>Immediately — before the end of the shift in every case</w:t>
            </w:r>
            <w:r/>
          </w:p>
        </w:tc>
        <w:tc>
          <w:tcPr>
            <w:tcW w:w="3" w:type="dxa"/>
            <w:vAlign w:val="center"/>
          </w:tcPr>
          <w:p>
            <w:pPr>
              <w:pStyle w:val="TableText"/>
              <w:jc w:val="left"/>
            </w:pPr>
            <w:r>
              <w:t>Incident report form; site diary entry</w:t>
            </w:r>
            <w:r/>
          </w:p>
        </w:tc>
      </w:tr>
      <w:tr>
        <w:trPr>
          <w:cantSplit w:val="true"/>
        </w:trPr>
        <w:tc>
          <w:tcPr>
            <w:tcW w:w="4" w:type="dxa"/>
            <w:vAlign w:val="center"/>
          </w:tcPr>
          <w:p>
            <w:pPr>
              <w:pStyle w:val="TableTextBold"/>
              <w:jc w:val="left"/>
            </w:pPr>
            <w:r>
              <w:t>WORK-RELATED FATALITY</w:t>
            </w:r>
            <w:r/>
          </w:p>
        </w:tc>
        <w:tc>
          <w:tcPr>
            <w:tcW w:w="4" w:type="dxa"/>
            <w:vAlign w:val="center"/>
          </w:tcPr>
          <w:p>
            <w:pPr>
              <w:pStyle w:val="TableText"/>
              <w:jc w:val="left"/>
            </w:pPr>
            <w:r>
              <w:t>Site Manager and Safety Manager, who report to OSHA — Area Office, 1-800-321-OSHA, or the online reporting application</w:t>
            </w:r>
            <w:r/>
          </w:p>
        </w:tc>
        <w:tc>
          <w:tcPr>
            <w:tcW w:w="4" w:type="dxa"/>
            <w:vAlign w:val="center"/>
          </w:tcPr>
          <w:p>
            <w:pPr>
              <w:pStyle w:val="TableText"/>
              <w:jc w:val="left"/>
            </w:pPr>
            <w:r>
              <w:t>OSHA WITHIN 8 HOURS of the death — 1904.39(a)(1). Reportable where the death occurs within 30 days of the incident</w:t>
            </w:r>
            <w:r/>
          </w:p>
        </w:tc>
        <w:tc>
          <w:tcPr>
            <w:tcW w:w="3" w:type="dxa"/>
            <w:vAlign w:val="center"/>
          </w:tcPr>
          <w:p>
            <w:pPr>
              <w:pStyle w:val="TableText"/>
              <w:jc w:val="left"/>
            </w:pPr>
            <w:r>
              <w:t>OSHA report reference; scene preservation log; notification to the Owner</w:t>
            </w:r>
            <w:r/>
          </w:p>
        </w:tc>
      </w:tr>
      <w:tr>
        <w:trPr>
          <w:cantSplit w:val="true"/>
        </w:trPr>
        <w:tc>
          <w:tcPr>
            <w:tcW w:w="4" w:type="dxa"/>
            <w:vAlign w:val="center"/>
          </w:tcPr>
          <w:p>
            <w:pPr>
              <w:pStyle w:val="TableTextBold"/>
              <w:jc w:val="left"/>
            </w:pPr>
            <w:r>
              <w:t>IN-PATIENT HOSPITALIZATION, AMPUTATION, OR LOSS OF AN EYE</w:t>
            </w:r>
            <w:r/>
          </w:p>
        </w:tc>
        <w:tc>
          <w:tcPr>
            <w:tcW w:w="4" w:type="dxa"/>
            <w:vAlign w:val="center"/>
          </w:tcPr>
          <w:p>
            <w:pPr>
              <w:pStyle w:val="TableText"/>
              <w:jc w:val="left"/>
            </w:pPr>
            <w:r>
              <w:t>Site Manager and Safety Manager, who report to OSHA as above</w:t>
            </w:r>
            <w:r/>
          </w:p>
        </w:tc>
        <w:tc>
          <w:tcPr>
            <w:tcW w:w="4" w:type="dxa"/>
            <w:vAlign w:val="center"/>
          </w:tcPr>
          <w:p>
            <w:pPr>
              <w:pStyle w:val="TableText"/>
              <w:jc w:val="left"/>
            </w:pPr>
            <w:r>
              <w:t>OSHA WITHIN 24 HOURS — 1904.39(a)(2). Reportable where it occurs within 24 hours of the incident. Observation or diagnostic testing alone is not in-patient hospitalization</w:t>
            </w:r>
            <w:r/>
          </w:p>
        </w:tc>
        <w:tc>
          <w:tcPr>
            <w:tcW w:w="3" w:type="dxa"/>
            <w:vAlign w:val="center"/>
          </w:tcPr>
          <w:p>
            <w:pPr>
              <w:pStyle w:val="TableText"/>
              <w:jc w:val="left"/>
            </w:pPr>
            <w:r>
              <w:t>OSHA report reference; incident file</w:t>
            </w:r>
            <w:r/>
          </w:p>
        </w:tc>
      </w:tr>
      <w:tr>
        <w:trPr>
          <w:cantSplit w:val="true"/>
        </w:trPr>
        <w:tc>
          <w:tcPr>
            <w:tcW w:w="4" w:type="dxa"/>
            <w:vAlign w:val="center"/>
          </w:tcPr>
          <w:p>
            <w:pPr>
              <w:pStyle w:val="TableTextBold"/>
              <w:jc w:val="left"/>
            </w:pPr>
            <w:r>
              <w:t>High-potential incident — the event could have caused a fatality</w:t>
            </w:r>
            <w:r/>
          </w:p>
        </w:tc>
        <w:tc>
          <w:tcPr>
            <w:tcW w:w="4" w:type="dxa"/>
            <w:vAlign w:val="center"/>
          </w:tcPr>
          <w:p>
            <w:pPr>
              <w:pStyle w:val="TableText"/>
              <w:jc w:val="left"/>
            </w:pPr>
            <w:r>
              <w:t>Safety Manager and Project Director</w:t>
            </w:r>
            <w:r/>
          </w:p>
        </w:tc>
        <w:tc>
          <w:tcPr>
            <w:tcW w:w="4" w:type="dxa"/>
            <w:vAlign w:val="center"/>
          </w:tcPr>
          <w:p>
            <w:pPr>
              <w:pStyle w:val="TableText"/>
              <w:jc w:val="left"/>
            </w:pPr>
            <w:r>
              <w:t>Within 1 hour</w:t>
            </w:r>
            <w:r/>
          </w:p>
        </w:tc>
        <w:tc>
          <w:tcPr>
            <w:tcW w:w="3" w:type="dxa"/>
            <w:vAlign w:val="center"/>
          </w:tcPr>
          <w:p>
            <w:pPr>
              <w:pStyle w:val="TableText"/>
              <w:jc w:val="left"/>
            </w:pPr>
            <w:r>
              <w:t>Flash report within 24 h; investigation opened</w:t>
            </w:r>
            <w:r/>
          </w:p>
        </w:tc>
      </w:tr>
      <w:tr>
        <w:trPr>
          <w:cantSplit w:val="true"/>
        </w:trPr>
        <w:tc>
          <w:tcPr>
            <w:tcW w:w="4" w:type="dxa"/>
            <w:vAlign w:val="center"/>
          </w:tcPr>
          <w:p>
            <w:pPr>
              <w:pStyle w:val="TableTextBold"/>
              <w:jc w:val="left"/>
            </w:pPr>
            <w:r>
              <w:t>Recordable case — days away, restricted work or transfer, medical treatment beyond first aid, loss of consciousness, or a significant diagnosis</w:t>
            </w:r>
            <w:r/>
          </w:p>
        </w:tc>
        <w:tc>
          <w:tcPr>
            <w:tcW w:w="4" w:type="dxa"/>
            <w:vAlign w:val="center"/>
          </w:tcPr>
          <w:p>
            <w:pPr>
              <w:pStyle w:val="TableText"/>
              <w:jc w:val="left"/>
            </w:pPr>
            <w:r>
              <w:t>Safety Manager; the Owner as the contract requires</w:t>
            </w:r>
            <w:r/>
          </w:p>
        </w:tc>
        <w:tc>
          <w:tcPr>
            <w:tcW w:w="4" w:type="dxa"/>
            <w:vAlign w:val="center"/>
          </w:tcPr>
          <w:p>
            <w:pPr>
              <w:pStyle w:val="TableText"/>
              <w:jc w:val="left"/>
            </w:pPr>
            <w:r>
              <w:t>Same day; entered on the OSHA 300 Log within 7 calendar days of learning of it — 1904.29(b)(3)</w:t>
            </w:r>
            <w:r/>
          </w:p>
        </w:tc>
        <w:tc>
          <w:tcPr>
            <w:tcW w:w="3" w:type="dxa"/>
            <w:vAlign w:val="center"/>
          </w:tcPr>
          <w:p>
            <w:pPr>
              <w:pStyle w:val="TableText"/>
              <w:jc w:val="left"/>
            </w:pPr>
            <w:r>
              <w:t>OSHA 300 Log and 301 Incident Report; monthly statistics</w:t>
            </w:r>
            <w:r/>
          </w:p>
        </w:tc>
      </w:tr>
      <w:tr>
        <w:trPr>
          <w:cantSplit w:val="true"/>
        </w:trPr>
        <w:tc>
          <w:tcPr>
            <w:tcW w:w="4" w:type="dxa"/>
            <w:vAlign w:val="center"/>
          </w:tcPr>
          <w:p>
            <w:pPr>
              <w:pStyle w:val="TableTextBold"/>
              <w:jc w:val="left"/>
            </w:pPr>
            <w:r>
              <w:t>First aid treatment; near miss and hazard report</w:t>
            </w:r>
            <w:r/>
          </w:p>
        </w:tc>
        <w:tc>
          <w:tcPr>
            <w:tcW w:w="4" w:type="dxa"/>
            <w:vAlign w:val="center"/>
          </w:tcPr>
          <w:p>
            <w:pPr>
              <w:pStyle w:val="TableText"/>
              <w:jc w:val="left"/>
            </w:pPr>
            <w:r>
              <w:t>First aid provider, supervisor and Safety Manager</w:t>
            </w:r>
            <w:r/>
          </w:p>
        </w:tc>
        <w:tc>
          <w:tcPr>
            <w:tcW w:w="4" w:type="dxa"/>
            <w:vAlign w:val="center"/>
          </w:tcPr>
          <w:p>
            <w:pPr>
              <w:pStyle w:val="TableText"/>
              <w:jc w:val="left"/>
            </w:pPr>
            <w:r>
              <w:t>Same shift</w:t>
            </w:r>
            <w:r/>
          </w:p>
        </w:tc>
        <w:tc>
          <w:tcPr>
            <w:tcW w:w="3" w:type="dxa"/>
            <w:vAlign w:val="center"/>
          </w:tcPr>
          <w:p>
            <w:pPr>
              <w:pStyle w:val="TableText"/>
              <w:jc w:val="left"/>
            </w:pPr>
            <w:r>
              <w:t>First aid register; hazard register, acknowledged within 24 h</w:t>
            </w:r>
            <w:r/>
          </w:p>
        </w:tc>
      </w:tr>
      <w:tr>
        <w:trPr>
          <w:cantSplit w:val="true"/>
        </w:trPr>
        <w:tc>
          <w:tcPr>
            <w:tcW w:w="4" w:type="dxa"/>
            <w:vAlign w:val="center"/>
          </w:tcPr>
          <w:p>
            <w:pPr>
              <w:pStyle w:val="TableTextBold"/>
              <w:jc w:val="left"/>
            </w:pPr>
            <w:r>
              <w:t>Environmental incident or spill</w:t>
            </w:r>
            <w:r/>
          </w:p>
        </w:tc>
        <w:tc>
          <w:tcPr>
            <w:tcW w:w="4" w:type="dxa"/>
            <w:vAlign w:val="center"/>
          </w:tcPr>
          <w:p>
            <w:pPr>
              <w:pStyle w:val="TableText"/>
              <w:jc w:val="left"/>
            </w:pPr>
            <w:r>
              <w:t>Site Manager and Environmental Advisor; the National Response Center on 1-800-424-8802 where a reportable quantity is released</w:t>
            </w:r>
            <w:r/>
          </w:p>
        </w:tc>
        <w:tc>
          <w:tcPr>
            <w:tcW w:w="4" w:type="dxa"/>
            <w:vAlign w:val="center"/>
          </w:tcPr>
          <w:p>
            <w:pPr>
              <w:pStyle w:val="TableText"/>
              <w:jc w:val="left"/>
            </w:pPr>
            <w:r>
              <w:t>Immediately</w:t>
            </w:r>
            <w:r/>
          </w:p>
        </w:tc>
        <w:tc>
          <w:tcPr>
            <w:tcW w:w="3" w:type="dxa"/>
            <w:vAlign w:val="center"/>
          </w:tcPr>
          <w:p>
            <w:pPr>
              <w:pStyle w:val="TableText"/>
              <w:jc w:val="left"/>
            </w:pPr>
            <w:r>
              <w:t>Environmental incident report; agency reference</w:t>
            </w:r>
            <w:r/>
          </w:p>
        </w:tc>
      </w:tr>
      <w:tr>
        <w:trPr>
          <w:cantSplit w:val="true"/>
        </w:trPr>
        <w:tc>
          <w:tcPr>
            <w:tcW w:w="4" w:type="dxa"/>
            <w:vAlign w:val="center"/>
          </w:tcPr>
          <w:p>
            <w:pPr>
              <w:pStyle w:val="TableTextBold"/>
              <w:jc w:val="left"/>
            </w:pPr>
            <w:r>
              <w:t>Exercise of stop-work authority</w:t>
            </w:r>
            <w:r/>
          </w:p>
        </w:tc>
        <w:tc>
          <w:tcPr>
            <w:tcW w:w="4" w:type="dxa"/>
            <w:vAlign w:val="center"/>
          </w:tcPr>
          <w:p>
            <w:pPr>
              <w:pStyle w:val="TableText"/>
              <w:jc w:val="left"/>
            </w:pPr>
            <w:r>
              <w:t>Site Manager and Safety Manager</w:t>
            </w:r>
            <w:r/>
          </w:p>
        </w:tc>
        <w:tc>
          <w:tcPr>
            <w:tcW w:w="4" w:type="dxa"/>
            <w:vAlign w:val="center"/>
          </w:tcPr>
          <w:p>
            <w:pPr>
              <w:pStyle w:val="TableText"/>
              <w:jc w:val="left"/>
            </w:pPr>
            <w:r>
              <w:t>Immediately</w:t>
            </w:r>
            <w:r/>
          </w:p>
        </w:tc>
        <w:tc>
          <w:tcPr>
            <w:tcW w:w="3" w:type="dxa"/>
            <w:vAlign w:val="center"/>
          </w:tcPr>
          <w:p>
            <w:pPr>
              <w:pStyle w:val="TableText"/>
              <w:jc w:val="left"/>
            </w:pPr>
            <w:r>
              <w:t>Stop-work log; corrective action raised</w:t>
            </w:r>
            <w:r/>
          </w:p>
        </w:tc>
      </w:tr>
      <w:tr>
        <w:trPr>
          <w:cantSplit w:val="true"/>
        </w:trPr>
        <w:tc>
          <w:tcPr>
            <w:tcW w:w="4" w:type="dxa"/>
            <w:vAlign w:val="center"/>
          </w:tcPr>
          <w:p>
            <w:pPr>
              <w:pStyle w:val="TableTextBold"/>
              <w:jc w:val="left"/>
            </w:pPr>
            <w:r>
              <w:t>OSHA inspection, citation or notice</w:t>
            </w:r>
            <w:r/>
          </w:p>
        </w:tc>
        <w:tc>
          <w:tcPr>
            <w:tcW w:w="4" w:type="dxa"/>
            <w:vAlign w:val="center"/>
          </w:tcPr>
          <w:p>
            <w:pPr>
              <w:pStyle w:val="TableText"/>
              <w:jc w:val="left"/>
            </w:pPr>
            <w:r>
              <w:t>Project Director and Safety Manager</w:t>
            </w:r>
            <w:r/>
          </w:p>
        </w:tc>
        <w:tc>
          <w:tcPr>
            <w:tcW w:w="4" w:type="dxa"/>
            <w:vAlign w:val="center"/>
          </w:tcPr>
          <w:p>
            <w:pPr>
              <w:pStyle w:val="TableText"/>
              <w:jc w:val="left"/>
            </w:pPr>
            <w:r>
              <w:t>Immediately, on the compliance officer's arrival</w:t>
            </w:r>
            <w:r/>
          </w:p>
        </w:tc>
        <w:tc>
          <w:tcPr>
            <w:tcW w:w="3" w:type="dxa"/>
            <w:vAlign w:val="center"/>
          </w:tcPr>
          <w:p>
            <w:pPr>
              <w:pStyle w:val="TableText"/>
              <w:jc w:val="left"/>
            </w:pPr>
            <w:r>
              <w:t>Opening conference notes; copy of the citation; abatement plan and posting record</w:t>
            </w:r>
            <w:r/>
          </w:p>
        </w:tc>
      </w:tr>
    </w:tbl>
    <w:p>
      <w:pPr>
        <w:spacing w:before="0" w:after="0" w:line="60" w:lineRule="exact"/>
      </w:pPr>
    </w:p>
    <w:p>
      <w:pPr>
        <w:pStyle w:val="Heading2"/>
      </w:pPr>
      <w:bookmarkStart w:id="9064" w:name="_Toc90064"/>
      <w:r>
        <w:t>12.2 Classification</w:t>
      </w:r>
      <w:bookmarkEnd w:id="9064"/>
    </w:p>
    <w:p>
      <w:pPr>
        <w:pStyle w:val="Body"/>
      </w:pPr>
      <w:r>
        <w:t>Classify consistently, because the classification drives the statistics in section 15 and the statistics drive attention. Classify on the medical outcome and the facts, never on the effect the classification will have on a reported number.</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927"/>
        <w:gridCol w:w="3614"/>
        <w:gridCol w:w="2168"/>
        <w:gridCol w:w="1929"/>
      </w:tblGrid>
      <w:tr>
        <w:trPr>
          <w:tblHeader w:val="true"/>
          <w:cantSplit w:val="true"/>
        </w:trPr>
        <w:tc>
          <w:tcPr>
            <w:tcW w:w="1927" w:type="dxa"/>
            <w:shd w:val="clear" w:color="auto" w:fill="1D3245"/>
            <w:vAlign w:val="center"/>
          </w:tcPr>
          <w:p>
            <w:pPr>
              <w:pStyle w:val="TableHeader"/>
              <w:jc w:val="left"/>
            </w:pPr>
            <w:r/>
            <w:r>
              <w:t>Classification</w:t>
            </w:r>
          </w:p>
        </w:tc>
        <w:tc>
          <w:tcPr>
            <w:tcW w:w="3614" w:type="dxa"/>
            <w:shd w:val="clear" w:color="auto" w:fill="1D3245"/>
            <w:vAlign w:val="center"/>
          </w:tcPr>
          <w:p>
            <w:pPr>
              <w:pStyle w:val="TableHeader"/>
              <w:jc w:val="left"/>
            </w:pPr>
            <w:r/>
            <w:r>
              <w:t>Definition used on this project</w:t>
            </w:r>
          </w:p>
        </w:tc>
        <w:tc>
          <w:tcPr>
            <w:tcW w:w="2168" w:type="dxa"/>
            <w:shd w:val="clear" w:color="auto" w:fill="1D3245"/>
            <w:vAlign w:val="center"/>
          </w:tcPr>
          <w:p>
            <w:pPr>
              <w:pStyle w:val="TableHeader"/>
              <w:jc w:val="left"/>
            </w:pPr>
            <w:r/>
            <w:r>
              <w:t>Reportable to</w:t>
            </w:r>
          </w:p>
        </w:tc>
        <w:tc>
          <w:tcPr>
            <w:tcW w:w="1929" w:type="dxa"/>
            <w:shd w:val="clear" w:color="auto" w:fill="1D3245"/>
            <w:vAlign w:val="center"/>
          </w:tcPr>
          <w:p>
            <w:pPr>
              <w:pStyle w:val="TableHeader"/>
              <w:jc w:val="left"/>
            </w:pPr>
            <w:r/>
            <w:r>
              <w:t>Counts toward</w:t>
            </w:r>
          </w:p>
        </w:tc>
      </w:tr>
      <w:tr>
        <w:trPr>
          <w:cantSplit w:val="true"/>
        </w:trPr>
        <w:tc>
          <w:tcPr>
            <w:tcW w:w="1927" w:type="dxa"/>
            <w:vAlign w:val="center"/>
          </w:tcPr>
          <w:p>
            <w:pPr>
              <w:pStyle w:val="TableTextBold"/>
              <w:jc w:val="left"/>
            </w:pPr>
            <w:r/>
            <w:r>
              <w:t>Fatality</w:t>
            </w:r>
          </w:p>
        </w:tc>
        <w:tc>
          <w:tcPr>
            <w:tcW w:w="3614" w:type="dxa"/>
            <w:vAlign w:val="center"/>
          </w:tcPr>
          <w:p>
            <w:pPr>
              <w:pStyle w:val="TableText"/>
              <w:jc w:val="left"/>
            </w:pPr>
            <w:r/>
            <w:r>
              <w:t>Death of a worker or any other person arising from the conduct of the work</w:t>
            </w:r>
          </w:p>
        </w:tc>
        <w:tc>
          <w:tcPr>
            <w:tcW w:w="2168" w:type="dxa"/>
            <w:vAlign w:val="center"/>
          </w:tcPr>
          <w:p>
            <w:pPr>
              <w:pStyle w:val="TableText"/>
              <w:jc w:val="left"/>
            </w:pPr>
            <w:r/>
            <w:r>
              <w:t>OSHA immediately; Owner; police as required</w:t>
            </w:r>
          </w:p>
        </w:tc>
        <w:tc>
          <w:tcPr>
            <w:tcW w:w="1929" w:type="dxa"/>
            <w:vAlign w:val="center"/>
          </w:tcPr>
          <w:p>
            <w:pPr>
              <w:pStyle w:val="TableText"/>
              <w:jc w:val="left"/>
            </w:pPr>
            <w:r/>
            <w:r>
              <w:t>Reported separately; never aggregated into a rate</w:t>
            </w:r>
          </w:p>
        </w:tc>
      </w:tr>
      <w:tr>
        <w:trPr>
          <w:cantSplit w:val="true"/>
        </w:trPr>
        <w:tc>
          <w:tcPr>
            <w:tcW w:w="1927" w:type="dxa"/>
            <w:vAlign w:val="center"/>
          </w:tcPr>
          <w:p>
            <w:pPr>
              <w:pStyle w:val="TableTextBold"/>
              <w:jc w:val="left"/>
            </w:pPr>
            <w:r/>
            <w:r>
              <w:t>Reportable event</w:t>
            </w:r>
          </w:p>
        </w:tc>
        <w:tc>
          <w:tcPr>
            <w:tcW w:w="3614" w:type="dxa"/>
            <w:vAlign w:val="center"/>
          </w:tcPr>
          <w:p>
            <w:pPr>
              <w:pStyle w:val="TableText"/>
              <w:jc w:val="left"/>
            </w:pPr>
            <w:r/>
            <w:r>
              <w:t>An event the standard requires to be notified whether or not anyone was injured — commonly a serious injury or illness, an uncontrolled collapse, release, electric shock, fall of equipment or explosion</w:t>
            </w:r>
          </w:p>
        </w:tc>
        <w:tc>
          <w:tcPr>
            <w:tcW w:w="2168" w:type="dxa"/>
            <w:vAlign w:val="center"/>
          </w:tcPr>
          <w:p>
            <w:pPr>
              <w:pStyle w:val="TableText"/>
              <w:jc w:val="left"/>
            </w:pPr>
            <w:r/>
            <w:r>
              <w:t>OSHA immediately; Owner</w:t>
            </w:r>
          </w:p>
        </w:tc>
        <w:tc>
          <w:tcPr>
            <w:tcW w:w="1929" w:type="dxa"/>
            <w:vAlign w:val="center"/>
          </w:tcPr>
          <w:p>
            <w:pPr>
              <w:pStyle w:val="TableText"/>
              <w:jc w:val="left"/>
            </w:pPr>
            <w:r/>
            <w:r>
              <w:t>Reportable event count; OSHA liaison log</w:t>
            </w:r>
          </w:p>
        </w:tc>
      </w:tr>
      <w:tr>
        <w:trPr>
          <w:cantSplit w:val="true"/>
        </w:trPr>
        <w:tc>
          <w:tcPr>
            <w:tcW w:w="1927" w:type="dxa"/>
            <w:vAlign w:val="center"/>
          </w:tcPr>
          <w:p>
            <w:pPr>
              <w:pStyle w:val="TableTextBold"/>
              <w:jc w:val="left"/>
            </w:pPr>
            <w:r/>
            <w:r>
              <w:t>Lost time injury (LTI)</w:t>
            </w:r>
          </w:p>
        </w:tc>
        <w:tc>
          <w:tcPr>
            <w:tcW w:w="3614" w:type="dxa"/>
            <w:vAlign w:val="center"/>
          </w:tcPr>
          <w:p>
            <w:pPr>
              <w:pStyle w:val="TableText"/>
              <w:jc w:val="left"/>
            </w:pPr>
            <w:r/>
            <w:r>
              <w:t>A work-related injury or illness leaving the worker unfit for one or more complete shifts after the shift it occurred</w:t>
            </w:r>
          </w:p>
        </w:tc>
        <w:tc>
          <w:tcPr>
            <w:tcW w:w="2168" w:type="dxa"/>
            <w:vAlign w:val="center"/>
          </w:tcPr>
          <w:p>
            <w:pPr>
              <w:pStyle w:val="TableText"/>
              <w:jc w:val="left"/>
            </w:pPr>
            <w:r/>
            <w:r>
              <w:t>OSHA where required; Owner; insurer</w:t>
            </w:r>
          </w:p>
        </w:tc>
        <w:tc>
          <w:tcPr>
            <w:tcW w:w="1929" w:type="dxa"/>
            <w:vAlign w:val="center"/>
          </w:tcPr>
          <w:p>
            <w:pPr>
              <w:pStyle w:val="TableText"/>
              <w:jc w:val="left"/>
            </w:pPr>
            <w:r/>
            <w:r>
              <w:t>LTIFR; TRIFR</w:t>
            </w:r>
          </w:p>
        </w:tc>
      </w:tr>
      <w:tr>
        <w:trPr>
          <w:cantSplit w:val="true"/>
        </w:trPr>
        <w:tc>
          <w:tcPr>
            <w:tcW w:w="1927" w:type="dxa"/>
            <w:vAlign w:val="center"/>
          </w:tcPr>
          <w:p>
            <w:pPr>
              <w:pStyle w:val="TableTextBold"/>
              <w:jc w:val="left"/>
            </w:pPr>
            <w:r/>
            <w:r>
              <w:t>Medical treatment injury (MTI)</w:t>
            </w:r>
          </w:p>
        </w:tc>
        <w:tc>
          <w:tcPr>
            <w:tcW w:w="3614" w:type="dxa"/>
            <w:vAlign w:val="center"/>
          </w:tcPr>
          <w:p>
            <w:pPr>
              <w:pStyle w:val="TableText"/>
              <w:jc w:val="left"/>
            </w:pPr>
            <w:r/>
            <w:r>
              <w:t>Treatment by a medical practitioner beyond first aid, no lost time</w:t>
            </w:r>
          </w:p>
        </w:tc>
        <w:tc>
          <w:tcPr>
            <w:tcW w:w="2168" w:type="dxa"/>
            <w:vAlign w:val="center"/>
          </w:tcPr>
          <w:p>
            <w:pPr>
              <w:pStyle w:val="TableText"/>
              <w:jc w:val="left"/>
            </w:pPr>
            <w:r/>
            <w:r>
              <w:t>Owner</w:t>
            </w:r>
          </w:p>
        </w:tc>
        <w:tc>
          <w:tcPr>
            <w:tcW w:w="1929" w:type="dxa"/>
            <w:vAlign w:val="center"/>
          </w:tcPr>
          <w:p>
            <w:pPr>
              <w:pStyle w:val="TableText"/>
              <w:jc w:val="left"/>
            </w:pPr>
            <w:r/>
            <w:r>
              <w:t>TRIFR</w:t>
            </w:r>
          </w:p>
        </w:tc>
      </w:tr>
      <w:tr>
        <w:trPr>
          <w:cantSplit w:val="true"/>
        </w:trPr>
        <w:tc>
          <w:tcPr>
            <w:tcW w:w="1927" w:type="dxa"/>
            <w:vAlign w:val="center"/>
          </w:tcPr>
          <w:p>
            <w:pPr>
              <w:pStyle w:val="TableTextBold"/>
              <w:jc w:val="left"/>
            </w:pPr>
            <w:r/>
            <w:r>
              <w:t>Restricted work / alternate duties</w:t>
            </w:r>
          </w:p>
        </w:tc>
        <w:tc>
          <w:tcPr>
            <w:tcW w:w="3614" w:type="dxa"/>
            <w:vAlign w:val="center"/>
          </w:tcPr>
          <w:p>
            <w:pPr>
              <w:pStyle w:val="TableText"/>
              <w:jc w:val="left"/>
            </w:pPr>
            <w:r/>
            <w:r>
              <w:t>The worker returns but cannot perform full pre-injury duties</w:t>
            </w:r>
          </w:p>
        </w:tc>
        <w:tc>
          <w:tcPr>
            <w:tcW w:w="2168" w:type="dxa"/>
            <w:vAlign w:val="center"/>
          </w:tcPr>
          <w:p>
            <w:pPr>
              <w:pStyle w:val="TableText"/>
              <w:jc w:val="left"/>
            </w:pPr>
            <w:r/>
            <w:r>
              <w:t>Owner; insurer</w:t>
            </w:r>
          </w:p>
        </w:tc>
        <w:tc>
          <w:tcPr>
            <w:tcW w:w="1929" w:type="dxa"/>
            <w:vAlign w:val="center"/>
          </w:tcPr>
          <w:p>
            <w:pPr>
              <w:pStyle w:val="TableText"/>
              <w:jc w:val="left"/>
            </w:pPr>
            <w:r/>
            <w:r>
              <w:t>TRIFR; injury management reporting</w:t>
            </w:r>
          </w:p>
        </w:tc>
      </w:tr>
      <w:tr>
        <w:trPr>
          <w:cantSplit w:val="true"/>
        </w:trPr>
        <w:tc>
          <w:tcPr>
            <w:tcW w:w="1927" w:type="dxa"/>
            <w:vAlign w:val="center"/>
          </w:tcPr>
          <w:p>
            <w:pPr>
              <w:pStyle w:val="TableTextBold"/>
              <w:jc w:val="left"/>
            </w:pPr>
            <w:r/>
            <w:r>
              <w:t>First aid injury</w:t>
            </w:r>
          </w:p>
        </w:tc>
        <w:tc>
          <w:tcPr>
            <w:tcW w:w="3614" w:type="dxa"/>
            <w:vAlign w:val="center"/>
          </w:tcPr>
          <w:p>
            <w:pPr>
              <w:pStyle w:val="TableText"/>
              <w:jc w:val="left"/>
            </w:pPr>
            <w:r/>
            <w:r>
              <w:t>Treatment fully within the site first aid kit, no referral</w:t>
            </w:r>
          </w:p>
        </w:tc>
        <w:tc>
          <w:tcPr>
            <w:tcW w:w="2168" w:type="dxa"/>
            <w:vAlign w:val="center"/>
          </w:tcPr>
          <w:p>
            <w:pPr>
              <w:pStyle w:val="TableText"/>
              <w:jc w:val="left"/>
            </w:pPr>
            <w:r/>
            <w:r>
              <w:t>Internal</w:t>
            </w:r>
          </w:p>
        </w:tc>
        <w:tc>
          <w:tcPr>
            <w:tcW w:w="1929" w:type="dxa"/>
            <w:vAlign w:val="center"/>
          </w:tcPr>
          <w:p>
            <w:pPr>
              <w:pStyle w:val="TableText"/>
              <w:jc w:val="left"/>
            </w:pPr>
            <w:r/>
            <w:r>
              <w:t>First aid frequency; leading indicators</w:t>
            </w:r>
          </w:p>
        </w:tc>
      </w:tr>
      <w:tr>
        <w:trPr>
          <w:cantSplit w:val="true"/>
        </w:trPr>
        <w:tc>
          <w:tcPr>
            <w:tcW w:w="1927" w:type="dxa"/>
            <w:vAlign w:val="center"/>
          </w:tcPr>
          <w:p>
            <w:pPr>
              <w:pStyle w:val="TableTextBold"/>
              <w:jc w:val="left"/>
            </w:pPr>
            <w:r/>
            <w:r>
              <w:t>Near miss</w:t>
            </w:r>
          </w:p>
        </w:tc>
        <w:tc>
          <w:tcPr>
            <w:tcW w:w="3614" w:type="dxa"/>
            <w:vAlign w:val="center"/>
          </w:tcPr>
          <w:p>
            <w:pPr>
              <w:pStyle w:val="TableText"/>
              <w:jc w:val="left"/>
            </w:pPr>
            <w:r/>
            <w:r>
              <w:t>An event with the potential to cause injury, illness or damage but which did not</w:t>
            </w:r>
          </w:p>
        </w:tc>
        <w:tc>
          <w:tcPr>
            <w:tcW w:w="2168" w:type="dxa"/>
            <w:vAlign w:val="center"/>
          </w:tcPr>
          <w:p>
            <w:pPr>
              <w:pStyle w:val="TableText"/>
              <w:jc w:val="left"/>
            </w:pPr>
            <w:r/>
            <w:r>
              <w:t>Internal; shared as a lesson</w:t>
            </w:r>
          </w:p>
        </w:tc>
        <w:tc>
          <w:tcPr>
            <w:tcW w:w="1929" w:type="dxa"/>
            <w:vAlign w:val="center"/>
          </w:tcPr>
          <w:p>
            <w:pPr>
              <w:pStyle w:val="TableText"/>
              <w:jc w:val="left"/>
            </w:pPr>
            <w:r/>
            <w:r>
              <w:t>Near-miss reporting rate — a leading indicator</w:t>
            </w:r>
          </w:p>
        </w:tc>
      </w:tr>
      <w:tr>
        <w:trPr>
          <w:cantSplit w:val="true"/>
        </w:trPr>
        <w:tc>
          <w:tcPr>
            <w:tcW w:w="1927" w:type="dxa"/>
            <w:vAlign w:val="center"/>
          </w:tcPr>
          <w:p>
            <w:pPr>
              <w:pStyle w:val="TableTextBold"/>
              <w:jc w:val="left"/>
            </w:pPr>
            <w:r/>
            <w:r>
              <w:t>Dangerous occurrence</w:t>
            </w:r>
          </w:p>
        </w:tc>
        <w:tc>
          <w:tcPr>
            <w:tcW w:w="3614" w:type="dxa"/>
            <w:vAlign w:val="center"/>
          </w:tcPr>
          <w:p>
            <w:pPr>
              <w:pStyle w:val="TableText"/>
              <w:jc w:val="left"/>
            </w:pPr>
            <w:r/>
            <w:r>
              <w:t>An event exposing a person to serious risk — a dropped load, a service strike, scaffold or shoring movement, a fall-arrest activation</w:t>
            </w:r>
          </w:p>
        </w:tc>
        <w:tc>
          <w:tcPr>
            <w:tcW w:w="2168" w:type="dxa"/>
            <w:vAlign w:val="center"/>
          </w:tcPr>
          <w:p>
            <w:pPr>
              <w:pStyle w:val="TableText"/>
              <w:jc w:val="left"/>
            </w:pPr>
            <w:r/>
            <w:r>
              <w:t>OSHA where reportable; Owner</w:t>
            </w:r>
          </w:p>
        </w:tc>
        <w:tc>
          <w:tcPr>
            <w:tcW w:w="1929" w:type="dxa"/>
            <w:vAlign w:val="center"/>
          </w:tcPr>
          <w:p>
            <w:pPr>
              <w:pStyle w:val="TableText"/>
              <w:jc w:val="left"/>
            </w:pPr>
            <w:r/>
            <w:r>
              <w:t>High-potential incident count</w:t>
            </w:r>
          </w:p>
        </w:tc>
      </w:tr>
      <w:tr>
        <w:trPr>
          <w:cantSplit w:val="true"/>
        </w:trPr>
        <w:tc>
          <w:tcPr>
            <w:tcW w:w="1927" w:type="dxa"/>
            <w:vAlign w:val="center"/>
          </w:tcPr>
          <w:p>
            <w:pPr>
              <w:pStyle w:val="TableTextBold"/>
              <w:jc w:val="left"/>
            </w:pPr>
            <w:r/>
            <w:r>
              <w:t>Property or equipment damage</w:t>
            </w:r>
          </w:p>
        </w:tc>
        <w:tc>
          <w:tcPr>
            <w:tcW w:w="3614" w:type="dxa"/>
            <w:vAlign w:val="center"/>
          </w:tcPr>
          <w:p>
            <w:pPr>
              <w:pStyle w:val="TableText"/>
              <w:jc w:val="left"/>
            </w:pPr>
            <w:r/>
            <w:r>
              <w:t>Damage to equipment, the work or third-party property, no injury</w:t>
            </w:r>
          </w:p>
        </w:tc>
        <w:tc>
          <w:tcPr>
            <w:tcW w:w="2168" w:type="dxa"/>
            <w:vAlign w:val="center"/>
          </w:tcPr>
          <w:p>
            <w:pPr>
              <w:pStyle w:val="TableText"/>
              <w:jc w:val="left"/>
            </w:pPr>
            <w:r/>
            <w:r>
              <w:t>Owner; insurer above the threshold</w:t>
            </w:r>
          </w:p>
        </w:tc>
        <w:tc>
          <w:tcPr>
            <w:tcW w:w="1929" w:type="dxa"/>
            <w:vAlign w:val="center"/>
          </w:tcPr>
          <w:p>
            <w:pPr>
              <w:pStyle w:val="TableText"/>
              <w:jc w:val="left"/>
            </w:pPr>
            <w:r/>
            <w:r>
              <w:t>Damage frequency; cost of incidents</w:t>
            </w:r>
          </w:p>
        </w:tc>
      </w:tr>
      <w:tr>
        <w:trPr>
          <w:cantSplit w:val="true"/>
        </w:trPr>
        <w:tc>
          <w:tcPr>
            <w:tcW w:w="1927" w:type="dxa"/>
            <w:vAlign w:val="center"/>
          </w:tcPr>
          <w:p>
            <w:pPr>
              <w:pStyle w:val="TableTextBold"/>
              <w:jc w:val="left"/>
            </w:pPr>
            <w:r/>
            <w:r>
              <w:t>Environmental incident</w:t>
            </w:r>
          </w:p>
        </w:tc>
        <w:tc>
          <w:tcPr>
            <w:tcW w:w="3614" w:type="dxa"/>
            <w:vAlign w:val="center"/>
          </w:tcPr>
          <w:p>
            <w:pPr>
              <w:pStyle w:val="TableText"/>
              <w:jc w:val="left"/>
            </w:pPr>
            <w:r/>
            <w:r>
              <w:t>An uncontrolled release, exceedance or breach of an approval condition</w:t>
            </w:r>
          </w:p>
        </w:tc>
        <w:tc>
          <w:tcPr>
            <w:tcW w:w="2168" w:type="dxa"/>
            <w:vAlign w:val="center"/>
          </w:tcPr>
          <w:p>
            <w:pPr>
              <w:pStyle w:val="TableText"/>
              <w:jc w:val="left"/>
            </w:pPr>
            <w:r/>
            <w:r>
              <w:t>EPA or the state environmental agency where reportable; Owner</w:t>
            </w:r>
          </w:p>
        </w:tc>
        <w:tc>
          <w:tcPr>
            <w:tcW w:w="1929" w:type="dxa"/>
            <w:vAlign w:val="center"/>
          </w:tcPr>
          <w:p>
            <w:pPr>
              <w:pStyle w:val="TableText"/>
              <w:jc w:val="left"/>
            </w:pPr>
            <w:r/>
            <w:r>
              <w:t>Environmental incident count</w:t>
            </w:r>
          </w:p>
        </w:tc>
      </w:tr>
    </w:tbl>
    <w:p>
      <w:pPr>
        <w:spacing w:before="0" w:after="0" w:line="60" w:lineRule="exact"/>
      </w:pPr>
    </w:p>
    <w:p>
      <w:pPr>
        <w:pStyle w:val="Heading2"/>
      </w:pPr>
      <w:bookmarkStart w:id="9065" w:name="_Toc90065"/>
      <w:r>
        <w:t>12.3 Investigation process</w:t>
      </w:r>
      <w:bookmarkEnd w:id="9065"/>
    </w:p>
    <w:p>
      <w:pPr>
        <w:pStyle w:val="BodyBullet"/>
      </w:pPr>
      <w:r>
        <w:rPr>
          <w:b/>
          <w:color w:val="1D3245"/>
        </w:rPr>
        <w:t xml:space="preserve">1.   </w:t>
      </w:r>
      <w:r>
        <w:t>Immediate response — treat the injured, make the area safe, prevent a second casualty, stop any work that shares the failed control.</w:t>
      </w:r>
    </w:p>
    <w:p>
      <w:pPr>
        <w:pStyle w:val="BodyBullet"/>
      </w:pPr>
      <w:r>
        <w:rPr>
          <w:b/>
          <w:color w:val="1D3245"/>
        </w:rPr>
        <w:t xml:space="preserve">2.   </w:t>
      </w:r>
      <w:r>
        <w:t>Preserve the scene — do not disturb equipment, materials, guarding or the position of things beyond what treatment and making safe require; photograph before moving anything. Where the standard requires it the scene stays undisturbed until OSHA permits.</w:t>
      </w:r>
    </w:p>
    <w:p>
      <w:pPr>
        <w:pStyle w:val="BodyBullet"/>
      </w:pPr>
      <w:r>
        <w:rPr>
          <w:b/>
          <w:color w:val="1D3245"/>
        </w:rPr>
        <w:t xml:space="preserve">3.   </w:t>
      </w:r>
      <w:r>
        <w:t>Notify and investigate — internally per 12.1 and to OSHA per 12.4, recording the time and reference given, then collect evidence within 24 hours: interviews conducted separately and without leading, photographs, measurements, the JHA and permits in force, pre-start records, equipment logs, training records, weather and rosters.</w:t>
      </w:r>
    </w:p>
    <w:p>
      <w:pPr>
        <w:pStyle w:val="BodyBullet"/>
      </w:pPr>
      <w:r>
        <w:rPr>
          <w:b/>
          <w:color w:val="1D3245"/>
        </w:rPr>
        <w:t xml:space="preserve">4.   </w:t>
      </w:r>
      <w:r>
        <w:t>Determine causes — separate the immediate cause from contributing factors and root causes. Ask why the control was absent, not why the worker acted; "failed to follow the JHA" is an observation, not a root cause.</w:t>
      </w:r>
    </w:p>
    <w:p>
      <w:pPr>
        <w:pStyle w:val="BodyBullet"/>
      </w:pPr>
      <w:r>
        <w:rPr>
          <w:b/>
          <w:color w:val="1D3245"/>
        </w:rPr>
        <w:t xml:space="preserve">5.   </w:t>
      </w:r>
      <w:r>
        <w:t>Corrective action — assign at the highest practicable level of the hierarchy, with a named owner and a due date, and check whether the same failure exists elsewhere on the project.</w:t>
      </w:r>
    </w:p>
    <w:p>
      <w:pPr>
        <w:pStyle w:val="BodyBullet"/>
      </w:pPr>
      <w:r>
        <w:rPr>
          <w:b/>
          <w:color w:val="1D3245"/>
        </w:rPr>
        <w:t xml:space="preserve">6.   </w:t>
      </w:r>
      <w:r>
        <w:t>Verify effectiveness, then share the lesson — confirm the action worked and created no new risk, close only on verified evidence, then issue a safety alert, brief it at pre-start across every affected crew and revise the JHA and this plan where needed.</w:t>
      </w:r>
    </w:p>
    <w:p>
      <w:pPr>
        <w:pStyle w:val="Note"/>
      </w:pPr>
      <w:r>
        <w:t>Root cause methods, proportionate to the event: five whys for a simple sequence; cause-and-effect (fishbone) where several factors combine; an events and causal factors chart for a complex sequence; barrier or bow-tie analysis where the question is which control was meant to stop the event and why it did not. Test each candidate cause by asking whether removing it would have prevented the event.</w:t>
      </w:r>
    </w:p>
    <w:p>
      <w:pPr>
        <w:pStyle w:val="Heading2"/>
      </w:pPr>
      <w:bookmarkStart w:id="9066" w:name="_Toc90066"/>
      <w:r>
        <w:t>12.4 Reporting to OSHA</w:t>
      </w:r>
      <w:bookmarkEnd w:id="9066"/>
    </w:p>
    <w:p>
      <w:pPr>
        <w:pStyle w:val="Body"/>
      </w:pPr>
      <w:r>
        <w:t>Notification requirements, the reportable event categories, the timeframe and the scene-preservation duty are set by OSHA or the State Plan — 29 CFR Part 1926, plus any OSHA-approved State Plan requirement that exceeds it. Record the detail below before work begins; do not research it during an emergency.</w:t>
      </w:r>
    </w:p>
    <w:p>
      <w:pPr>
        <w:pStyle w:val="Placeholder"/>
      </w:pPr>
      <w:r>
        <w:t>[Insert OSHA's name, notification telephone number and online form, the prescribed reportable event categories, the required timeframe, the record OSHA requires and for how long, and the names and after-hours contacts of the two people authorized to notify on behalf of the project.]</w:t>
      </w:r>
    </w:p>
    <w:p>
      <w:pPr>
        <w:pStyle w:val="Heading2"/>
      </w:pPr>
      <w:bookmarkStart w:id="9067" w:name="_Toc90067"/>
      <w:r>
        <w:t>12.5 Corrective action register</w:t>
      </w:r>
      <w:bookmarkEnd w:id="9067"/>
    </w:p>
    <w:p>
      <w:pPr>
        <w:pStyle w:val="Note"/>
      </w:pPr>
      <w:r>
        <w:t>Example row shown in gray italic — delete before use. Every action from an incident, inspection, audit, drill, WORKER REPRESENTATIVE inspection, OSHA notice or management review is tracked in this one register — not in separate lists per source.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815"/>
        <w:gridCol w:w="1172"/>
        <w:gridCol w:w="1835"/>
        <w:gridCol w:w="2039"/>
        <w:gridCol w:w="866"/>
        <w:gridCol w:w="1172"/>
        <w:gridCol w:w="1739"/>
      </w:tblGrid>
      <w:tr>
        <w:trPr>
          <w:tblHeader w:val="true"/>
          <w:cantSplit w:val="true"/>
        </w:trPr>
        <w:tc>
          <w:tcPr>
            <w:tcW w:w="815" w:type="dxa"/>
            <w:shd w:val="clear" w:color="auto" w:fill="1D3245"/>
            <w:vAlign w:val="center"/>
          </w:tcPr>
          <w:p>
            <w:pPr>
              <w:pStyle w:val="TableHeader"/>
              <w:jc w:val="left"/>
            </w:pPr>
            <w:r/>
            <w:r>
              <w:t>Ref</w:t>
            </w:r>
          </w:p>
        </w:tc>
        <w:tc>
          <w:tcPr>
            <w:tcW w:w="1172" w:type="dxa"/>
            <w:shd w:val="clear" w:color="auto" w:fill="1D3245"/>
            <w:vAlign w:val="center"/>
          </w:tcPr>
          <w:p>
            <w:pPr>
              <w:pStyle w:val="TableHeader"/>
              <w:jc w:val="left"/>
            </w:pPr>
            <w:r/>
            <w:r>
              <w:t>Source</w:t>
            </w:r>
          </w:p>
        </w:tc>
        <w:tc>
          <w:tcPr>
            <w:tcW w:w="1835" w:type="dxa"/>
            <w:shd w:val="clear" w:color="auto" w:fill="1D3245"/>
            <w:vAlign w:val="center"/>
          </w:tcPr>
          <w:p>
            <w:pPr>
              <w:pStyle w:val="TableHeader"/>
              <w:jc w:val="left"/>
            </w:pPr>
            <w:r/>
            <w:r>
              <w:t>Finding and cause</w:t>
            </w:r>
          </w:p>
        </w:tc>
        <w:tc>
          <w:tcPr>
            <w:tcW w:w="2039" w:type="dxa"/>
            <w:shd w:val="clear" w:color="auto" w:fill="1D3245"/>
            <w:vAlign w:val="center"/>
          </w:tcPr>
          <w:p>
            <w:pPr>
              <w:pStyle w:val="TableHeader"/>
              <w:jc w:val="left"/>
            </w:pPr>
            <w:r/>
            <w:r>
              <w:t>Corrective action and hierarchy level</w:t>
            </w:r>
          </w:p>
        </w:tc>
        <w:tc>
          <w:tcPr>
            <w:tcW w:w="866" w:type="dxa"/>
            <w:shd w:val="clear" w:color="auto" w:fill="1D3245"/>
            <w:vAlign w:val="center"/>
          </w:tcPr>
          <w:p>
            <w:pPr>
              <w:pStyle w:val="TableHeader"/>
              <w:jc w:val="left"/>
            </w:pPr>
            <w:r/>
            <w:r>
              <w:t>Owner</w:t>
            </w:r>
          </w:p>
        </w:tc>
        <w:tc>
          <w:tcPr>
            <w:tcW w:w="1172" w:type="dxa"/>
            <w:shd w:val="clear" w:color="auto" w:fill="1D3245"/>
            <w:vAlign w:val="center"/>
          </w:tcPr>
          <w:p>
            <w:pPr>
              <w:pStyle w:val="TableHeader"/>
              <w:jc w:val="left"/>
            </w:pPr>
            <w:r/>
            <w:r>
              <w:t>Due</w:t>
            </w:r>
          </w:p>
        </w:tc>
        <w:tc>
          <w:tcPr>
            <w:tcW w:w="1739" w:type="dxa"/>
            <w:shd w:val="clear" w:color="auto" w:fill="1D3245"/>
            <w:vAlign w:val="center"/>
          </w:tcPr>
          <w:p>
            <w:pPr>
              <w:pStyle w:val="TableHeader"/>
              <w:jc w:val="left"/>
            </w:pPr>
            <w:r/>
            <w:r>
              <w:t>Verification and closeout</w:t>
            </w:r>
          </w:p>
        </w:tc>
      </w:tr>
      <w:tr>
        <w:trPr>
          <w:cantSplit w:val="true"/>
        </w:trPr>
        <w:tc>
          <w:tcPr>
            <w:tcW w:w="815" w:type="dxa"/>
            <w:vAlign w:val="center"/>
          </w:tcPr>
          <w:p>
            <w:pPr>
              <w:pStyle w:val="TableTextExample"/>
              <w:jc w:val="left"/>
            </w:pPr>
            <w:r/>
            <w:r>
              <w:t>CA-014</w:t>
            </w:r>
          </w:p>
        </w:tc>
        <w:tc>
          <w:tcPr>
            <w:tcW w:w="1172" w:type="dxa"/>
            <w:vAlign w:val="center"/>
          </w:tcPr>
          <w:p>
            <w:pPr>
              <w:pStyle w:val="TableTextExample"/>
              <w:jc w:val="left"/>
            </w:pPr>
            <w:r/>
            <w:r>
              <w:t>Investigation — dropped spanner from Level 2, no injury</w:t>
            </w:r>
          </w:p>
        </w:tc>
        <w:tc>
          <w:tcPr>
            <w:tcW w:w="1835" w:type="dxa"/>
            <w:vAlign w:val="center"/>
          </w:tcPr>
          <w:p>
            <w:pPr>
              <w:pStyle w:val="TableTextExample"/>
              <w:jc w:val="left"/>
            </w:pPr>
            <w:r/>
            <w:r>
              <w:t>Tool lanyard policy applied at height but not enforced for hand tools carried up ladders; root cause — no controlled means of carrying tools to the deck</w:t>
            </w:r>
          </w:p>
        </w:tc>
        <w:tc>
          <w:tcPr>
            <w:tcW w:w="2039" w:type="dxa"/>
            <w:vAlign w:val="center"/>
          </w:tcPr>
          <w:p>
            <w:pPr>
              <w:pStyle w:val="TableTextExample"/>
              <w:jc w:val="left"/>
            </w:pPr>
            <w:r/>
            <w:r>
              <w:t>Engineering (level 4): closed tool pouches and a lifting bag issued to every erector; ladders replaced by the stair tower for tool transport</w:t>
            </w:r>
          </w:p>
        </w:tc>
        <w:tc>
          <w:tcPr>
            <w:tcW w:w="866" w:type="dxa"/>
            <w:vAlign w:val="center"/>
          </w:tcPr>
          <w:p>
            <w:pPr>
              <w:pStyle w:val="TableTextExample"/>
              <w:jc w:val="left"/>
            </w:pPr>
            <w:r/>
            <w:r>
              <w:t>M. Okafor</w:t>
            </w:r>
          </w:p>
        </w:tc>
        <w:tc>
          <w:tcPr>
            <w:tcW w:w="1172" w:type="dxa"/>
            <w:vAlign w:val="center"/>
          </w:tcPr>
          <w:p>
            <w:pPr>
              <w:pStyle w:val="TableTextExample"/>
              <w:jc w:val="left"/>
            </w:pPr>
            <w:r/>
            <w:r>
              <w:t>[MM/DD/YY]</w:t>
            </w:r>
          </w:p>
        </w:tc>
        <w:tc>
          <w:tcPr>
            <w:tcW w:w="1739" w:type="dxa"/>
            <w:vAlign w:val="center"/>
          </w:tcPr>
          <w:p>
            <w:pPr>
              <w:pStyle w:val="TableTextExample"/>
              <w:jc w:val="left"/>
            </w:pPr>
            <w:r/>
            <w:r>
              <w:t>Safety Manager observation over two shifts; drop-zone inspection closed 0 findings</w:t>
            </w:r>
          </w:p>
        </w:tc>
      </w:tr>
      <w:tr>
        <w:trPr>
          <w:cantSplit w:val="true"/>
        </w:trPr>
        <w:tc>
          <w:tcPr>
            <w:tcW w:w="815" w:type="dxa"/>
            <w:vAlign w:val="center"/>
          </w:tcPr>
          <w:p>
            <w:pPr>
              <w:pStyle w:val="TableText"/>
              <w:jc w:val="left"/>
            </w:pPr>
            <w:r/>
          </w:p>
        </w:tc>
        <w:tc>
          <w:tcPr>
            <w:tcW w:w="1172" w:type="dxa"/>
            <w:vAlign w:val="center"/>
          </w:tcPr>
          <w:p>
            <w:pPr>
              <w:pStyle w:val="TableText"/>
              <w:jc w:val="left"/>
            </w:pPr>
            <w:r/>
          </w:p>
        </w:tc>
        <w:tc>
          <w:tcPr>
            <w:tcW w:w="1835" w:type="dxa"/>
            <w:vAlign w:val="center"/>
          </w:tcPr>
          <w:p>
            <w:pPr>
              <w:pStyle w:val="TableText"/>
              <w:jc w:val="left"/>
            </w:pPr>
            <w:r/>
          </w:p>
        </w:tc>
        <w:tc>
          <w:tcPr>
            <w:tcW w:w="2039" w:type="dxa"/>
            <w:vAlign w:val="center"/>
          </w:tcPr>
          <w:p>
            <w:pPr>
              <w:pStyle w:val="TableText"/>
              <w:jc w:val="left"/>
            </w:pPr>
            <w:r/>
          </w:p>
        </w:tc>
        <w:tc>
          <w:tcPr>
            <w:tcW w:w="866" w:type="dxa"/>
            <w:vAlign w:val="center"/>
          </w:tcPr>
          <w:p>
            <w:pPr>
              <w:pStyle w:val="TableText"/>
              <w:jc w:val="left"/>
            </w:pPr>
            <w:r/>
          </w:p>
        </w:tc>
        <w:tc>
          <w:tcPr>
            <w:tcW w:w="1172" w:type="dxa"/>
            <w:vAlign w:val="center"/>
          </w:tcPr>
          <w:p>
            <w:pPr>
              <w:pStyle w:val="TableText"/>
              <w:jc w:val="left"/>
            </w:pPr>
            <w:r/>
          </w:p>
        </w:tc>
        <w:tc>
          <w:tcPr>
            <w:tcW w:w="1739" w:type="dxa"/>
            <w:vAlign w:val="center"/>
          </w:tcPr>
          <w:p>
            <w:pPr>
              <w:pStyle w:val="TableText"/>
              <w:jc w:val="left"/>
            </w:pPr>
            <w:r/>
          </w:p>
        </w:tc>
      </w:tr>
      <w:tr>
        <w:trPr>
          <w:cantSplit w:val="true"/>
        </w:trPr>
        <w:tc>
          <w:tcPr>
            <w:tcW w:w="815" w:type="dxa"/>
            <w:vAlign w:val="center"/>
          </w:tcPr>
          <w:p>
            <w:pPr>
              <w:pStyle w:val="TableText"/>
              <w:jc w:val="left"/>
            </w:pPr>
            <w:r/>
          </w:p>
        </w:tc>
        <w:tc>
          <w:tcPr>
            <w:tcW w:w="1172" w:type="dxa"/>
            <w:vAlign w:val="center"/>
          </w:tcPr>
          <w:p>
            <w:pPr>
              <w:pStyle w:val="TableText"/>
              <w:jc w:val="left"/>
            </w:pPr>
            <w:r/>
          </w:p>
        </w:tc>
        <w:tc>
          <w:tcPr>
            <w:tcW w:w="1835" w:type="dxa"/>
            <w:vAlign w:val="center"/>
          </w:tcPr>
          <w:p>
            <w:pPr>
              <w:pStyle w:val="TableText"/>
              <w:jc w:val="left"/>
            </w:pPr>
            <w:r/>
          </w:p>
        </w:tc>
        <w:tc>
          <w:tcPr>
            <w:tcW w:w="2039" w:type="dxa"/>
            <w:vAlign w:val="center"/>
          </w:tcPr>
          <w:p>
            <w:pPr>
              <w:pStyle w:val="TableText"/>
              <w:jc w:val="left"/>
            </w:pPr>
            <w:r/>
          </w:p>
        </w:tc>
        <w:tc>
          <w:tcPr>
            <w:tcW w:w="866" w:type="dxa"/>
            <w:vAlign w:val="center"/>
          </w:tcPr>
          <w:p>
            <w:pPr>
              <w:pStyle w:val="TableText"/>
              <w:jc w:val="left"/>
            </w:pPr>
            <w:r/>
          </w:p>
        </w:tc>
        <w:tc>
          <w:tcPr>
            <w:tcW w:w="1172" w:type="dxa"/>
            <w:vAlign w:val="center"/>
          </w:tcPr>
          <w:p>
            <w:pPr>
              <w:pStyle w:val="TableText"/>
              <w:jc w:val="left"/>
            </w:pPr>
            <w:r/>
          </w:p>
        </w:tc>
        <w:tc>
          <w:tcPr>
            <w:tcW w:w="1739" w:type="dxa"/>
            <w:vAlign w:val="center"/>
          </w:tcPr>
          <w:p>
            <w:pPr>
              <w:pStyle w:val="TableText"/>
              <w:jc w:val="left"/>
            </w:pPr>
            <w:r/>
          </w:p>
        </w:tc>
      </w:tr>
    </w:tbl>
    <w:p>
      <w:pPr>
        <w:spacing w:before="0" w:after="0" w:line="60" w:lineRule="exact"/>
      </w:pPr>
    </w:p>
    <w:p>
      <w:pPr>
        <w:pStyle w:val="Heading1"/>
      </w:pPr>
      <w:bookmarkStart w:id="9068" w:name="_Toc90068"/>
      <w:r>
        <w:t>13. Health and Wellbeing</w:t>
      </w:r>
      <w:bookmarkEnd w:id="9068"/>
    </w:p>
    <w:p>
      <w:pPr>
        <w:pStyle w:val="BodyLead"/>
      </w:pPr>
      <w:r>
        <w:t>Occupational illness is slower and quieter than injury, and it is where construction still does badly: dust, noise, vibration, chemicals, heat and psychosocial harm. Manage them with the same hierarchy and verification as any physical hazard — measurement, control and follow-up, not alarm.</w:t>
      </w:r>
    </w:p>
    <w:p>
      <w:pPr>
        <w:pStyle w:val="Heading2"/>
      </w:pPr>
      <w:bookmarkStart w:id="9069" w:name="_Toc90069"/>
      <w:r>
        <w:t>13.1 Health monitoring and fitness for work</w:t>
      </w:r>
      <w:bookmarkEnd w:id="9069"/>
    </w:p>
    <w:p>
      <w:pPr>
        <w:pStyle w:val="Body"/>
      </w:pPr>
      <w:r>
        <w:t>Health monitoring is required where workers are exposed to a hazard with a known health effect and a valid monitoring method exists — typically respirable crystalline silica and other dusts, isocyanates and other sensitizers, lead, noise, hand-arm vibration and, where relevant, asbestos. Establish a baseline before exposure begins, monitor at the interval the exposure warrants, use a registered medical practitioner with occupational hygiene experience, and act on the result. Workers receive their own results; the project receives de-identified summaries and the fact of fitness, not the clinical detail (17.3).</w:t>
      </w:r>
    </w:p>
    <w:p>
      <w:pPr>
        <w:pStyle w:val="Body"/>
      </w:pPr>
      <w:r>
        <w:t>Fitness for work covers anything that would prevent a worker performing their task safely on the day: fatigue, alcohol and other drugs, illness, medication, injury and acute personal stress. It is assessed at pre-start by the supervisor and by the worker themselves, and the culture must make it easier to declare unfitness than to conceal it. A worker who declares unfitness is reassigned or stood down without penalty.</w:t>
      </w:r>
    </w:p>
    <w:p>
      <w:pPr>
        <w:pStyle w:val="Heading2"/>
      </w:pPr>
      <w:bookmarkStart w:id="9070" w:name="_Toc90070"/>
      <w:r>
        <w:t>13.2 Fatigue management</w:t>
      </w:r>
      <w:bookmarkEnd w:id="9070"/>
    </w:p>
    <w:p>
      <w:pPr>
        <w:pStyle w:val="Note"/>
      </w:pPr>
      <w:r>
        <w:t>Overtime and long rosters are a schedule decision with a safety consequence. Where the schedule requires hours beyond these limits the correct response is more resources, not longer shifts. Record every escalation approval — a pattern of approvals is itself a finding for management review.</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927"/>
        <w:gridCol w:w="2040"/>
        <w:gridCol w:w="2607"/>
        <w:gridCol w:w="3064"/>
      </w:tblGrid>
      <w:tr>
        <w:trPr>
          <w:tblHeader w:val="true"/>
          <w:cantSplit w:val="true"/>
        </w:trPr>
        <w:tc>
          <w:tcPr>
            <w:tcW w:w="1927" w:type="dxa"/>
            <w:shd w:val="clear" w:color="auto" w:fill="1D3245"/>
            <w:vAlign w:val="center"/>
          </w:tcPr>
          <w:p>
            <w:pPr>
              <w:pStyle w:val="TableHeader"/>
              <w:jc w:val="left"/>
            </w:pPr>
            <w:r/>
            <w:r>
              <w:t>Parameter</w:t>
            </w:r>
          </w:p>
        </w:tc>
        <w:tc>
          <w:tcPr>
            <w:tcW w:w="2040" w:type="dxa"/>
            <w:shd w:val="clear" w:color="auto" w:fill="1D3245"/>
            <w:vAlign w:val="center"/>
          </w:tcPr>
          <w:p>
            <w:pPr>
              <w:pStyle w:val="TableHeader"/>
              <w:jc w:val="left"/>
            </w:pPr>
            <w:r/>
            <w:r>
              <w:t>Standard limit on this project</w:t>
            </w:r>
          </w:p>
        </w:tc>
        <w:tc>
          <w:tcPr>
            <w:tcW w:w="2607" w:type="dxa"/>
            <w:shd w:val="clear" w:color="auto" w:fill="1D3245"/>
            <w:vAlign w:val="center"/>
          </w:tcPr>
          <w:p>
            <w:pPr>
              <w:pStyle w:val="TableHeader"/>
              <w:jc w:val="left"/>
            </w:pPr>
            <w:r/>
            <w:r>
              <w:t>Escalation requiring written approval</w:t>
            </w:r>
          </w:p>
        </w:tc>
        <w:tc>
          <w:tcPr>
            <w:tcW w:w="3064" w:type="dxa"/>
            <w:shd w:val="clear" w:color="auto" w:fill="1D3245"/>
            <w:vAlign w:val="center"/>
          </w:tcPr>
          <w:p>
            <w:pPr>
              <w:pStyle w:val="TableHeader"/>
              <w:jc w:val="left"/>
            </w:pPr>
            <w:r/>
            <w:r>
              <w:t>Control applied</w:t>
            </w:r>
          </w:p>
        </w:tc>
      </w:tr>
      <w:tr>
        <w:trPr>
          <w:cantSplit w:val="true"/>
        </w:trPr>
        <w:tc>
          <w:tcPr>
            <w:tcW w:w="1927" w:type="dxa"/>
            <w:vAlign w:val="center"/>
          </w:tcPr>
          <w:p>
            <w:pPr>
              <w:pStyle w:val="TableTextBold"/>
              <w:jc w:val="left"/>
            </w:pPr>
            <w:r/>
            <w:r>
              <w:t>Ordinary shift length</w:t>
            </w:r>
          </w:p>
        </w:tc>
        <w:tc>
          <w:tcPr>
            <w:tcW w:w="2040" w:type="dxa"/>
            <w:vAlign w:val="center"/>
          </w:tcPr>
          <w:p>
            <w:pPr>
              <w:pStyle w:val="TableText"/>
              <w:jc w:val="left"/>
            </w:pPr>
            <w:r/>
            <w:r>
              <w:t>Up to 10 hours</w:t>
            </w:r>
          </w:p>
        </w:tc>
        <w:tc>
          <w:tcPr>
            <w:tcW w:w="2607" w:type="dxa"/>
            <w:vAlign w:val="center"/>
          </w:tcPr>
          <w:p>
            <w:pPr>
              <w:pStyle w:val="TableText"/>
              <w:jc w:val="left"/>
            </w:pPr>
            <w:r/>
            <w:r>
              <w:t>10 to 12 hours — Site Manager approval, recorded</w:t>
            </w:r>
          </w:p>
        </w:tc>
        <w:tc>
          <w:tcPr>
            <w:tcW w:w="3064" w:type="dxa"/>
            <w:vAlign w:val="center"/>
          </w:tcPr>
          <w:p>
            <w:pPr>
              <w:pStyle w:val="TableText"/>
              <w:jc w:val="left"/>
            </w:pPr>
            <w:r/>
            <w:r>
              <w:t>Rostered breaks; no high-hazard work in the final hour</w:t>
            </w:r>
          </w:p>
        </w:tc>
      </w:tr>
      <w:tr>
        <w:trPr>
          <w:cantSplit w:val="true"/>
        </w:trPr>
        <w:tc>
          <w:tcPr>
            <w:tcW w:w="1927" w:type="dxa"/>
            <w:vAlign w:val="center"/>
          </w:tcPr>
          <w:p>
            <w:pPr>
              <w:pStyle w:val="TableTextBold"/>
              <w:jc w:val="left"/>
            </w:pPr>
            <w:r/>
            <w:r>
              <w:t>Maximum shift length</w:t>
            </w:r>
          </w:p>
        </w:tc>
        <w:tc>
          <w:tcPr>
            <w:tcW w:w="2040" w:type="dxa"/>
            <w:vAlign w:val="center"/>
          </w:tcPr>
          <w:p>
            <w:pPr>
              <w:pStyle w:val="TableText"/>
              <w:jc w:val="left"/>
            </w:pPr>
            <w:r/>
            <w:r>
              <w:t>12 hours including breaks</w:t>
            </w:r>
          </w:p>
        </w:tc>
        <w:tc>
          <w:tcPr>
            <w:tcW w:w="2607" w:type="dxa"/>
            <w:vAlign w:val="center"/>
          </w:tcPr>
          <w:p>
            <w:pPr>
              <w:pStyle w:val="TableText"/>
              <w:jc w:val="left"/>
            </w:pPr>
            <w:r/>
            <w:r>
              <w:t>Beyond 12 hours — Project Manager approval and a documented fatigue assessment</w:t>
            </w:r>
          </w:p>
        </w:tc>
        <w:tc>
          <w:tcPr>
            <w:tcW w:w="3064" w:type="dxa"/>
            <w:vAlign w:val="center"/>
          </w:tcPr>
          <w:p>
            <w:pPr>
              <w:pStyle w:val="TableText"/>
              <w:jc w:val="left"/>
            </w:pPr>
            <w:r/>
            <w:r>
              <w:t>Task reassignment; supervised rest; no driving without a break</w:t>
            </w:r>
          </w:p>
        </w:tc>
      </w:tr>
      <w:tr>
        <w:trPr>
          <w:cantSplit w:val="true"/>
        </w:trPr>
        <w:tc>
          <w:tcPr>
            <w:tcW w:w="1927" w:type="dxa"/>
            <w:vAlign w:val="center"/>
          </w:tcPr>
          <w:p>
            <w:pPr>
              <w:pStyle w:val="TableTextBold"/>
              <w:jc w:val="left"/>
            </w:pPr>
            <w:r/>
            <w:r>
              <w:t>Minimum break between shifts</w:t>
            </w:r>
          </w:p>
        </w:tc>
        <w:tc>
          <w:tcPr>
            <w:tcW w:w="2040" w:type="dxa"/>
            <w:vAlign w:val="center"/>
          </w:tcPr>
          <w:p>
            <w:pPr>
              <w:pStyle w:val="TableText"/>
              <w:jc w:val="left"/>
            </w:pPr>
            <w:r/>
            <w:r>
              <w:t>10 continuous hours</w:t>
            </w:r>
          </w:p>
        </w:tc>
        <w:tc>
          <w:tcPr>
            <w:tcW w:w="2607" w:type="dxa"/>
            <w:vAlign w:val="center"/>
          </w:tcPr>
          <w:p>
            <w:pPr>
              <w:pStyle w:val="TableText"/>
              <w:jc w:val="left"/>
            </w:pPr>
            <w:r/>
            <w:r>
              <w:t>Less than 10 hours — Project Manager approval</w:t>
            </w:r>
          </w:p>
        </w:tc>
        <w:tc>
          <w:tcPr>
            <w:tcW w:w="3064" w:type="dxa"/>
            <w:vAlign w:val="center"/>
          </w:tcPr>
          <w:p>
            <w:pPr>
              <w:pStyle w:val="TableText"/>
              <w:jc w:val="left"/>
            </w:pPr>
            <w:r/>
            <w:r>
              <w:t>Travel time counted; start delayed rather than shortened</w:t>
            </w:r>
          </w:p>
        </w:tc>
      </w:tr>
      <w:tr>
        <w:trPr>
          <w:cantSplit w:val="true"/>
        </w:trPr>
        <w:tc>
          <w:tcPr>
            <w:tcW w:w="1927" w:type="dxa"/>
            <w:vAlign w:val="center"/>
          </w:tcPr>
          <w:p>
            <w:pPr>
              <w:pStyle w:val="TableTextBold"/>
              <w:jc w:val="left"/>
            </w:pPr>
            <w:r/>
            <w:r>
              <w:t>Maximum consecutive days worked</w:t>
            </w:r>
          </w:p>
        </w:tc>
        <w:tc>
          <w:tcPr>
            <w:tcW w:w="2040" w:type="dxa"/>
            <w:vAlign w:val="center"/>
          </w:tcPr>
          <w:p>
            <w:pPr>
              <w:pStyle w:val="TableText"/>
              <w:jc w:val="left"/>
            </w:pPr>
            <w:r/>
            <w:r>
              <w:t>6 days</w:t>
            </w:r>
          </w:p>
        </w:tc>
        <w:tc>
          <w:tcPr>
            <w:tcW w:w="2607" w:type="dxa"/>
            <w:vAlign w:val="center"/>
          </w:tcPr>
          <w:p>
            <w:pPr>
              <w:pStyle w:val="TableText"/>
              <w:jc w:val="left"/>
            </w:pPr>
            <w:r/>
            <w:r>
              <w:t>7 or more — Project Manager approval and a fatigue assessment</w:t>
            </w:r>
          </w:p>
        </w:tc>
        <w:tc>
          <w:tcPr>
            <w:tcW w:w="3064" w:type="dxa"/>
            <w:vAlign w:val="center"/>
          </w:tcPr>
          <w:p>
            <w:pPr>
              <w:pStyle w:val="TableText"/>
              <w:jc w:val="left"/>
            </w:pPr>
            <w:r/>
            <w:r>
              <w:t>Mandatory rest day scheduled; roster reviewed</w:t>
            </w:r>
          </w:p>
        </w:tc>
      </w:tr>
      <w:tr>
        <w:trPr>
          <w:cantSplit w:val="true"/>
        </w:trPr>
        <w:tc>
          <w:tcPr>
            <w:tcW w:w="1927" w:type="dxa"/>
            <w:vAlign w:val="center"/>
          </w:tcPr>
          <w:p>
            <w:pPr>
              <w:pStyle w:val="TableTextBold"/>
              <w:jc w:val="left"/>
            </w:pPr>
            <w:r/>
            <w:r>
              <w:t>Maximum hours in a 7-day period</w:t>
            </w:r>
          </w:p>
        </w:tc>
        <w:tc>
          <w:tcPr>
            <w:tcW w:w="2040" w:type="dxa"/>
            <w:vAlign w:val="center"/>
          </w:tcPr>
          <w:p>
            <w:pPr>
              <w:pStyle w:val="TableText"/>
              <w:jc w:val="left"/>
            </w:pPr>
            <w:r/>
            <w:r>
              <w:t>60 hours</w:t>
            </w:r>
          </w:p>
        </w:tc>
        <w:tc>
          <w:tcPr>
            <w:tcW w:w="2607" w:type="dxa"/>
            <w:vAlign w:val="center"/>
          </w:tcPr>
          <w:p>
            <w:pPr>
              <w:pStyle w:val="TableText"/>
              <w:jc w:val="left"/>
            </w:pPr>
            <w:r/>
            <w:r>
              <w:t>Beyond 60 hours — Project Director approval</w:t>
            </w:r>
          </w:p>
        </w:tc>
        <w:tc>
          <w:tcPr>
            <w:tcW w:w="3064" w:type="dxa"/>
            <w:vAlign w:val="center"/>
          </w:tcPr>
          <w:p>
            <w:pPr>
              <w:pStyle w:val="TableText"/>
              <w:jc w:val="left"/>
            </w:pPr>
            <w:r/>
            <w:r>
              <w:t>Additional resources rather than additional hours</w:t>
            </w:r>
          </w:p>
        </w:tc>
      </w:tr>
      <w:tr>
        <w:trPr>
          <w:cantSplit w:val="true"/>
        </w:trPr>
        <w:tc>
          <w:tcPr>
            <w:tcW w:w="1927" w:type="dxa"/>
            <w:vAlign w:val="center"/>
          </w:tcPr>
          <w:p>
            <w:pPr>
              <w:pStyle w:val="TableTextBold"/>
              <w:jc w:val="left"/>
            </w:pPr>
            <w:r/>
            <w:r>
              <w:t>Night work; high-risk task after 10 hours worked</w:t>
            </w:r>
          </w:p>
        </w:tc>
        <w:tc>
          <w:tcPr>
            <w:tcW w:w="2040" w:type="dxa"/>
            <w:vAlign w:val="center"/>
          </w:tcPr>
          <w:p>
            <w:pPr>
              <w:pStyle w:val="TableText"/>
              <w:jc w:val="left"/>
            </w:pPr>
            <w:r/>
            <w:r>
              <w:t>Night work not planned; high-hazard work after 10 hours not permitted</w:t>
            </w:r>
          </w:p>
        </w:tc>
        <w:tc>
          <w:tcPr>
            <w:tcW w:w="2607" w:type="dxa"/>
            <w:vAlign w:val="center"/>
          </w:tcPr>
          <w:p>
            <w:pPr>
              <w:pStyle w:val="TableText"/>
              <w:jc w:val="left"/>
            </w:pPr>
            <w:r/>
            <w:r>
              <w:t>Any night shift — Project Manager approval with a fatigue and lighting assessment. No escalation is available for the 10-hour high-risk limit — it is fixed</w:t>
            </w:r>
          </w:p>
        </w:tc>
        <w:tc>
          <w:tcPr>
            <w:tcW w:w="3064" w:type="dxa"/>
            <w:vAlign w:val="center"/>
          </w:tcPr>
          <w:p>
            <w:pPr>
              <w:pStyle w:val="TableText"/>
              <w:jc w:val="left"/>
            </w:pPr>
            <w:r/>
            <w:r>
              <w:t>Shorter shifts; buddy system; no lone working; task deferred to the next shift</w:t>
            </w:r>
          </w:p>
        </w:tc>
      </w:tr>
    </w:tbl>
    <w:p>
      <w:pPr>
        <w:spacing w:before="0" w:after="0" w:line="60" w:lineRule="exact"/>
      </w:pPr>
    </w:p>
    <w:p>
      <w:pPr>
        <w:pStyle w:val="Heading2"/>
      </w:pPr>
      <w:bookmarkStart w:id="9071" w:name="_Toc90071"/>
      <w:r>
        <w:t>13.3 Alcohol and other drugs</w:t>
      </w:r>
      <w:bookmarkEnd w:id="9071"/>
    </w:p>
    <w:p>
      <w:pPr>
        <w:pStyle w:val="Body"/>
      </w:pPr>
      <w:r>
        <w:t>No person may enter or remain on site while impaired by alcohol or other drugs, including prescribed and over-the-counter medication that affects alertness or judgment. Workers must declare medication carrying a warning about operating machinery; the declaration is confidential and results in task adjustment, not exclusion. Testing — pre-employment, random, for cause or post-incident — must comply with the applicable law and industrial instrument and the recognized sampling standard, be carried out by an accredited provider, and follow a documented procedure with a confirmatory test before any consequence. Support and referral are offered alongside any disciplinary process.</w:t>
      </w:r>
    </w:p>
    <w:p>
      <w:pPr>
        <w:pStyle w:val="Heading2"/>
      </w:pPr>
      <w:bookmarkStart w:id="9072" w:name="_Toc90072"/>
      <w:r>
        <w:t>13.4 Heat and cold stress</w:t>
      </w:r>
      <w:bookmarkEnd w:id="9072"/>
    </w:p>
    <w:p>
      <w:pPr>
        <w:pStyle w:val="Note"/>
      </w:pPr>
      <w:r>
        <w:t>THERE IS NO FEDERAL OSHA HEAT STANDARD. As at August 2026 the Heat Injury and Illness Prevention rule (RIN 1218-AD39) is a proposed rule only — published August 30, 2024, hearings closed, not finalized. Federal enforcement is under the General Duty Clause, section 5(a)(1), plus 1926.51 potable water and 1926.21 training. Several State Plans DO have a standard and they are more specific than this table: California 8 CCR 3395 (outdoor, shade at 80°F, high-heat procedures at 95°F) and 3396 (indoor, from 82°F); Oregon OAR 437-002-0156 (heat index 80°F, high-heat practices above 90°F); Washington WAC 296-62-095 (80°F, paid cool-down every two hours at 90°F and every hour at 100°F); Maryland COMAR 09.12.32 (heat index 80°F); Nevada NAC 618 (job hazard analysis, no temperature trigger). Set the project's index and thresholds against whichever applies, and record who measures it, where, and the value at which each band starts. ANSI/ASSP A10.50-2024 is the consensus standard. Acclimatization matters: a new worker, a worker back from leave and a worker in new PPE all carry more risk at the same temperature.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700"/>
        <w:gridCol w:w="2381"/>
        <w:gridCol w:w="3174"/>
        <w:gridCol w:w="2383"/>
      </w:tblGrid>
      <w:tr>
        <w:trPr>
          <w:tblHeader w:val="true"/>
          <w:cantSplit w:val="true"/>
        </w:trPr>
        <w:tc>
          <w:tcPr>
            <w:tcW w:w="1700" w:type="dxa"/>
            <w:shd w:val="clear" w:color="auto" w:fill="1D3245"/>
            <w:vAlign w:val="center"/>
          </w:tcPr>
          <w:p>
            <w:pPr>
              <w:pStyle w:val="TableHeader"/>
              <w:jc w:val="left"/>
            </w:pPr>
            <w:r/>
            <w:r>
              <w:t>Condition band</w:t>
            </w:r>
          </w:p>
        </w:tc>
        <w:tc>
          <w:tcPr>
            <w:tcW w:w="2381" w:type="dxa"/>
            <w:shd w:val="clear" w:color="auto" w:fill="1D3245"/>
            <w:vAlign w:val="center"/>
          </w:tcPr>
          <w:p>
            <w:pPr>
              <w:pStyle w:val="TableHeader"/>
              <w:jc w:val="left"/>
            </w:pPr>
            <w:r/>
            <w:r>
              <w:t>Work / rest regime</w:t>
            </w:r>
          </w:p>
        </w:tc>
        <w:tc>
          <w:tcPr>
            <w:tcW w:w="3174" w:type="dxa"/>
            <w:shd w:val="clear" w:color="auto" w:fill="1D3245"/>
            <w:vAlign w:val="center"/>
          </w:tcPr>
          <w:p>
            <w:pPr>
              <w:pStyle w:val="TableHeader"/>
              <w:jc w:val="left"/>
            </w:pPr>
            <w:r/>
            <w:r>
              <w:t>Controls applied at this band</w:t>
            </w:r>
          </w:p>
        </w:tc>
        <w:tc>
          <w:tcPr>
            <w:tcW w:w="2383" w:type="dxa"/>
            <w:shd w:val="clear" w:color="auto" w:fill="1D3245"/>
            <w:vAlign w:val="center"/>
          </w:tcPr>
          <w:p>
            <w:pPr>
              <w:pStyle w:val="TableHeader"/>
              <w:jc w:val="left"/>
            </w:pPr>
            <w:r/>
            <w:r>
              <w:t>Who decides and how</w:t>
            </w:r>
          </w:p>
        </w:tc>
      </w:tr>
      <w:tr>
        <w:trPr>
          <w:cantSplit w:val="true"/>
        </w:trPr>
        <w:tc>
          <w:tcPr>
            <w:tcW w:w="1700" w:type="dxa"/>
            <w:vAlign w:val="center"/>
          </w:tcPr>
          <w:p>
            <w:pPr>
              <w:pStyle w:val="TableTextBold"/>
              <w:jc w:val="left"/>
            </w:pPr>
            <w:r/>
            <w:r>
              <w:t>Low — comfortable conditions</w:t>
            </w:r>
          </w:p>
        </w:tc>
        <w:tc>
          <w:tcPr>
            <w:tcW w:w="2381" w:type="dxa"/>
            <w:vAlign w:val="center"/>
          </w:tcPr>
          <w:p>
            <w:pPr>
              <w:pStyle w:val="TableText"/>
              <w:jc w:val="left"/>
            </w:pPr>
            <w:r/>
            <w:r>
              <w:t>Normal work; normal breaks</w:t>
            </w:r>
          </w:p>
        </w:tc>
        <w:tc>
          <w:tcPr>
            <w:tcW w:w="3174" w:type="dxa"/>
            <w:vAlign w:val="center"/>
          </w:tcPr>
          <w:p>
            <w:pPr>
              <w:pStyle w:val="TableText"/>
              <w:jc w:val="left"/>
            </w:pPr>
            <w:r/>
            <w:r>
              <w:t>Water at every work front; sun protection for outdoor work</w:t>
            </w:r>
          </w:p>
        </w:tc>
        <w:tc>
          <w:tcPr>
            <w:tcW w:w="2383" w:type="dxa"/>
            <w:vAlign w:val="center"/>
          </w:tcPr>
          <w:p>
            <w:pPr>
              <w:pStyle w:val="TableText"/>
              <w:jc w:val="left"/>
            </w:pPr>
            <w:r/>
            <w:r>
              <w:t>Supervisor at pre-start, from the forecast</w:t>
            </w:r>
          </w:p>
        </w:tc>
      </w:tr>
      <w:tr>
        <w:trPr>
          <w:cantSplit w:val="true"/>
        </w:trPr>
        <w:tc>
          <w:tcPr>
            <w:tcW w:w="1700" w:type="dxa"/>
            <w:vAlign w:val="center"/>
          </w:tcPr>
          <w:p>
            <w:pPr>
              <w:pStyle w:val="TableTextBold"/>
              <w:jc w:val="left"/>
            </w:pPr>
            <w:r/>
            <w:r>
              <w:t>Moderate — warm, or moderate humidity</w:t>
            </w:r>
          </w:p>
        </w:tc>
        <w:tc>
          <w:tcPr>
            <w:tcW w:w="2381" w:type="dxa"/>
            <w:vAlign w:val="center"/>
          </w:tcPr>
          <w:p>
            <w:pPr>
              <w:pStyle w:val="TableText"/>
              <w:jc w:val="left"/>
            </w:pPr>
            <w:r/>
            <w:r>
              <w:t>Normal work with an additional short break each half-shift; self-pacing encouraged</w:t>
            </w:r>
          </w:p>
        </w:tc>
        <w:tc>
          <w:tcPr>
            <w:tcW w:w="3174" w:type="dxa"/>
            <w:vAlign w:val="center"/>
          </w:tcPr>
          <w:p>
            <w:pPr>
              <w:pStyle w:val="TableText"/>
              <w:jc w:val="left"/>
            </w:pPr>
            <w:r/>
            <w:r>
              <w:t>Shade at the work front; cool water within 100 ft; heavy tasks moved to the cooler part of the day</w:t>
            </w:r>
          </w:p>
        </w:tc>
        <w:tc>
          <w:tcPr>
            <w:tcW w:w="2383" w:type="dxa"/>
            <w:vAlign w:val="center"/>
          </w:tcPr>
          <w:p>
            <w:pPr>
              <w:pStyle w:val="TableText"/>
              <w:jc w:val="left"/>
            </w:pPr>
            <w:r/>
            <w:r>
              <w:t>Supervisor at pre-start; reassessed at midday</w:t>
            </w:r>
          </w:p>
        </w:tc>
      </w:tr>
      <w:tr>
        <w:trPr>
          <w:cantSplit w:val="true"/>
        </w:trPr>
        <w:tc>
          <w:tcPr>
            <w:tcW w:w="1700" w:type="dxa"/>
            <w:vAlign w:val="center"/>
          </w:tcPr>
          <w:p>
            <w:pPr>
              <w:pStyle w:val="TableTextBold"/>
              <w:jc w:val="left"/>
            </w:pPr>
            <w:r/>
            <w:r>
              <w:t>High — hot, humid, or radiant heat from equipment or a roof</w:t>
            </w:r>
          </w:p>
        </w:tc>
        <w:tc>
          <w:tcPr>
            <w:tcW w:w="2381" w:type="dxa"/>
            <w:vAlign w:val="center"/>
          </w:tcPr>
          <w:p>
            <w:pPr>
              <w:pStyle w:val="TableText"/>
              <w:jc w:val="left"/>
            </w:pPr>
            <w:r/>
            <w:r>
              <w:t>Rotate work and rest — for example 45 minutes work, 15 minutes rest in shade; buddy system for symptom watch</w:t>
            </w:r>
          </w:p>
        </w:tc>
        <w:tc>
          <w:tcPr>
            <w:tcW w:w="3174" w:type="dxa"/>
            <w:vAlign w:val="center"/>
          </w:tcPr>
          <w:p>
            <w:pPr>
              <w:pStyle w:val="TableText"/>
              <w:jc w:val="left"/>
            </w:pPr>
            <w:r/>
            <w:r>
              <w:t>Mechanical aids to reduce metabolic load; cooling vests or misting; reschedule non-essential heavy work; extra supervision</w:t>
            </w:r>
          </w:p>
        </w:tc>
        <w:tc>
          <w:tcPr>
            <w:tcW w:w="2383" w:type="dxa"/>
            <w:vAlign w:val="center"/>
          </w:tcPr>
          <w:p>
            <w:pPr>
              <w:pStyle w:val="TableText"/>
              <w:jc w:val="left"/>
            </w:pPr>
            <w:r/>
            <w:r>
              <w:t>Site Manager, on the measured index or the forecast</w:t>
            </w:r>
          </w:p>
        </w:tc>
      </w:tr>
      <w:tr>
        <w:trPr>
          <w:cantSplit w:val="true"/>
        </w:trPr>
        <w:tc>
          <w:tcPr>
            <w:tcW w:w="1700" w:type="dxa"/>
            <w:vAlign w:val="center"/>
          </w:tcPr>
          <w:p>
            <w:pPr>
              <w:pStyle w:val="TableTextBold"/>
              <w:jc w:val="left"/>
            </w:pPr>
            <w:r/>
            <w:r>
              <w:t>Extreme — beyond the project threshold</w:t>
            </w:r>
          </w:p>
        </w:tc>
        <w:tc>
          <w:tcPr>
            <w:tcW w:w="2381" w:type="dxa"/>
            <w:vAlign w:val="center"/>
          </w:tcPr>
          <w:p>
            <w:pPr>
              <w:pStyle w:val="TableText"/>
              <w:jc w:val="left"/>
            </w:pPr>
            <w:r/>
            <w:r>
              <w:t>Cease non-essential outdoor and heavy work; essential work only under a documented assessment</w:t>
            </w:r>
          </w:p>
        </w:tc>
        <w:tc>
          <w:tcPr>
            <w:tcW w:w="3174" w:type="dxa"/>
            <w:vAlign w:val="center"/>
          </w:tcPr>
          <w:p>
            <w:pPr>
              <w:pStyle w:val="TableText"/>
              <w:jc w:val="left"/>
            </w:pPr>
            <w:r/>
            <w:r>
              <w:t>Reschedule to another day or to night; if work must proceed, continuous supervision, hydration monitoring and a shortened shift</w:t>
            </w:r>
          </w:p>
        </w:tc>
        <w:tc>
          <w:tcPr>
            <w:tcW w:w="2383" w:type="dxa"/>
            <w:vAlign w:val="center"/>
          </w:tcPr>
          <w:p>
            <w:pPr>
              <w:pStyle w:val="TableText"/>
              <w:jc w:val="left"/>
            </w:pPr>
            <w:r/>
            <w:r>
              <w:t>Project Manager, in writing, on the Safety Manager's advice</w:t>
            </w:r>
          </w:p>
        </w:tc>
      </w:tr>
      <w:tr>
        <w:trPr>
          <w:cantSplit w:val="true"/>
        </w:trPr>
        <w:tc>
          <w:tcPr>
            <w:tcW w:w="1700" w:type="dxa"/>
            <w:vAlign w:val="center"/>
          </w:tcPr>
          <w:p>
            <w:pPr>
              <w:pStyle w:val="TableTextBold"/>
              <w:jc w:val="left"/>
            </w:pPr>
            <w:r/>
            <w:r>
              <w:t>Cold, wet or high wind</w:t>
            </w:r>
          </w:p>
        </w:tc>
        <w:tc>
          <w:tcPr>
            <w:tcW w:w="2381" w:type="dxa"/>
            <w:vAlign w:val="center"/>
          </w:tcPr>
          <w:p>
            <w:pPr>
              <w:pStyle w:val="TableText"/>
              <w:jc w:val="left"/>
            </w:pPr>
            <w:r/>
            <w:r>
              <w:t>Cease height, crane and aerial lift work at the stated thresholds; rotate out of the wet and cold</w:t>
            </w:r>
          </w:p>
        </w:tc>
        <w:tc>
          <w:tcPr>
            <w:tcW w:w="3174" w:type="dxa"/>
            <w:vAlign w:val="center"/>
          </w:tcPr>
          <w:p>
            <w:pPr>
              <w:pStyle w:val="TableText"/>
              <w:jc w:val="left"/>
            </w:pPr>
            <w:r/>
            <w:r>
              <w:t>Weatherproof clothing and gloves; heated break area space; hot drinks; watch for reduced dexterity and grip on ladders and steel</w:t>
            </w:r>
          </w:p>
        </w:tc>
        <w:tc>
          <w:tcPr>
            <w:tcW w:w="2383" w:type="dxa"/>
            <w:vAlign w:val="center"/>
          </w:tcPr>
          <w:p>
            <w:pPr>
              <w:pStyle w:val="TableText"/>
              <w:jc w:val="left"/>
            </w:pPr>
            <w:r/>
            <w:r>
              <w:t>Supervisor, on the measured wind speed and the forecast</w:t>
            </w:r>
          </w:p>
        </w:tc>
      </w:tr>
    </w:tbl>
    <w:p>
      <w:pPr>
        <w:spacing w:before="0" w:after="0" w:line="60" w:lineRule="exact"/>
      </w:pPr>
    </w:p>
    <w:p>
      <w:pPr>
        <w:pStyle w:val="Heading2"/>
      </w:pPr>
      <w:bookmarkStart w:id="9073" w:name="_Toc90073"/>
      <w:r>
        <w:t>13.5 Noise, silica, dust and vibration</w:t>
      </w:r>
      <w:bookmarkEnd w:id="9073"/>
    </w:p>
    <w:p>
      <w:pPr>
        <w:pStyle w:val="BodyBullet"/>
      </w:pPr>
      <w:r>
        <w:rPr>
          <w:color w:val="3480BC"/>
        </w:rPr>
        <w:t>—   Noise: 29 CFR 1926.52 sets the permissible exposures and 1926.101 the protection duty. Control at the source first — quieter methods, equipment selection, enclosure, separation of noisy work from other trades. Survey actual levels rather than assuming, select hearing protection to the measured level rather than to habit, and run audiometric testing where exposure warrants it. ANSI/ASSP A10.46-2020 is the consensus standard for hearing loss prevention in construction.</w:t>
      </w:r>
      <w:r/>
    </w:p>
    <w:p>
      <w:pPr>
        <w:pStyle w:val="BodyBullet"/>
      </w:pPr>
      <w:r>
        <w:rPr>
          <w:color w:val="3480BC"/>
        </w:rPr>
        <w:t>—   Respirable crystalline silica: 29 CFR 1926.1153 governs, and it carries a WRITTEN EXPOSURE CONTROL PLAN duty (paragraph (g)) plus a designated competent person to inspect against it (paragraph (g)(4)). PEL 50 µg/m³ as an 8-hour TWA; action level 25 µg/m³. Either implement Table 1 fully for the task — the specified control and respirator for each of the eighteen listed operations — or run an exposure assessment under paragraph (d). Eliminate the cutting where the design allows (pre-cut penetrations, prefabricated elements), then water suppression and on-tool extraction, then exclusion zones, then fit-tested respiratory protection. Dry cutting without suppression or extraction is not permitted. Housekeeping under paragraph (f) forbids dry sweeping and compressed air where a wet or HEPA method is feasible.</w:t>
      </w:r>
      <w:r/>
    </w:p>
    <w:p>
      <w:pPr>
        <w:pStyle w:val="BodyBullet"/>
      </w:pPr>
      <w:r>
        <w:rPr>
          <w:color w:val="3480BC"/>
        </w:rPr>
        <w:t xml:space="preserve">—   </w:t>
      </w:r>
      <w:r>
        <w:t>Welding fume, isocyanates and other sensitizers: local exhaust ventilation at the point of release rather than general dilution; respiratory protection matched to the contaminant; health monitoring for sensitizers. Vibration and ultraviolet exposure: low-vibration tools, trigger time limited by rotation, tools and consumables maintained (a blunt disc doubles the exposure), shade at fixed work positions, long sleeves and brimmed cover, and sunscreen at every break area.</w:t>
      </w:r>
    </w:p>
    <w:p>
      <w:pPr>
        <w:pStyle w:val="Heading2"/>
      </w:pPr>
      <w:bookmarkStart w:id="9074" w:name="_Toc90074"/>
      <w:r>
        <w:t>13.6 Psychosocial risk and mental health</w:t>
      </w:r>
      <w:bookmarkEnd w:id="9074"/>
    </w:p>
    <w:p>
      <w:pPr>
        <w:pStyle w:val="Body"/>
      </w:pPr>
      <w:r>
        <w:t>Psychosocial hazards are managed as work-design problems, using the same hierarchy of controls, consistent with ISO 45003:2021. The recurring construction hazards are excessive workload and unrealistic schedule pressure, long hours and low control over time away from work, job insecurity at the end of a package, poor support or unclear expectations, exposure to a traumatic event, and bullying, harassment, sexual harassment or exclusion. Control them by changing the work rather than by asking people to be more resilient: realistic schedules, adequate resourcing, predictable rosters, clear roles and decision authority, competent and trained supervision, a functioning complaint process with visible outcomes, and a harassment standard applied to senior people as readily as to junior ones.</w:t>
      </w:r>
    </w:p>
    <w:p>
      <w:pPr>
        <w:pStyle w:val="Body"/>
      </w:pPr>
      <w:r>
        <w:t>Provide practical support: an employee assistance schedule with the number posted where people actually look; trained peer supporters or mental health first aiders on site; a structured response after a traumatic incident, with a debrief and follow-up at two weeks; and reasonable adjustment for a worker returning after psychological injury. Include psychosocial hazards in the risk register, in consultation and in monitoring, and report them at management review.</w:t>
      </w:r>
    </w:p>
    <w:p>
      <w:pPr>
        <w:pStyle w:val="Note"/>
      </w:pPr>
      <w:r>
        <w:t>Where the register records "resilience training" as the only control for an excessive workload, the assessment has not been done.</w:t>
      </w:r>
    </w:p>
    <w:p>
      <w:pPr>
        <w:pStyle w:val="Heading1"/>
      </w:pPr>
      <w:bookmarkStart w:id="9075" w:name="_Toc90075"/>
      <w:r>
        <w:t>14. Subcontractor and Supply Chain Management</w:t>
      </w:r>
      <w:bookmarkEnd w:id="9075"/>
    </w:p>
    <w:p>
      <w:pPr>
        <w:pStyle w:val="BodyLead"/>
      </w:pPr>
      <w:r>
        <w:t>Most work on a construction project is carried out by subcontractors, so most of the risk is managed through procurement: select capable subcontractors, allow them enough time and money to work safely, then verify what they actually do.</w:t>
      </w:r>
    </w:p>
    <w:p>
      <w:pPr>
        <w:pStyle w:val="Heading2"/>
      </w:pPr>
      <w:bookmarkStart w:id="9076" w:name="_Toc90076"/>
      <w:r>
        <w:t>14.1 Prequalification</w:t>
      </w:r>
      <w:bookmarkEnd w:id="9076"/>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642"/>
        <w:gridCol w:w="2409"/>
        <w:gridCol w:w="2409"/>
        <w:gridCol w:w="1971"/>
        <w:gridCol w:w="1207"/>
      </w:tblGrid>
      <w:tr>
        <w:trPr>
          <w:tblHeader w:val="true"/>
          <w:cantSplit w:val="true"/>
        </w:trPr>
        <w:tc>
          <w:tcPr>
            <w:tcW w:w="1642" w:type="dxa"/>
            <w:shd w:val="clear" w:color="auto" w:fill="1D3245"/>
            <w:vAlign w:val="center"/>
          </w:tcPr>
          <w:p>
            <w:pPr>
              <w:pStyle w:val="TableHeader"/>
              <w:jc w:val="left"/>
            </w:pPr>
            <w:r/>
            <w:r>
              <w:t>Criterion</w:t>
            </w:r>
          </w:p>
        </w:tc>
        <w:tc>
          <w:tcPr>
            <w:tcW w:w="2409" w:type="dxa"/>
            <w:shd w:val="clear" w:color="auto" w:fill="1D3245"/>
            <w:vAlign w:val="center"/>
          </w:tcPr>
          <w:p>
            <w:pPr>
              <w:pStyle w:val="TableHeader"/>
              <w:jc w:val="left"/>
            </w:pPr>
            <w:r/>
            <w:r>
              <w:t>What is assessed</w:t>
            </w:r>
          </w:p>
        </w:tc>
        <w:tc>
          <w:tcPr>
            <w:tcW w:w="2409" w:type="dxa"/>
            <w:shd w:val="clear" w:color="auto" w:fill="1D3245"/>
            <w:vAlign w:val="center"/>
          </w:tcPr>
          <w:p>
            <w:pPr>
              <w:pStyle w:val="TableHeader"/>
              <w:jc w:val="left"/>
            </w:pPr>
            <w:r/>
            <w:r>
              <w:t>Evidence required</w:t>
            </w:r>
          </w:p>
        </w:tc>
        <w:tc>
          <w:tcPr>
            <w:tcW w:w="1971" w:type="dxa"/>
            <w:shd w:val="clear" w:color="auto" w:fill="1D3245"/>
            <w:vAlign w:val="center"/>
          </w:tcPr>
          <w:p>
            <w:pPr>
              <w:pStyle w:val="TableHeader"/>
              <w:jc w:val="left"/>
            </w:pPr>
            <w:r/>
            <w:r>
              <w:t>Pass threshold</w:t>
            </w:r>
          </w:p>
        </w:tc>
        <w:tc>
          <w:tcPr>
            <w:tcW w:w="1207" w:type="dxa"/>
            <w:shd w:val="clear" w:color="auto" w:fill="1D3245"/>
            <w:vAlign w:val="center"/>
          </w:tcPr>
          <w:p>
            <w:pPr>
              <w:pStyle w:val="TableHeader"/>
              <w:jc w:val="left"/>
            </w:pPr>
            <w:r/>
            <w:r>
              <w:t>Assessed by</w:t>
            </w:r>
          </w:p>
        </w:tc>
      </w:tr>
      <w:tr>
        <w:trPr>
          <w:cantSplit w:val="true"/>
        </w:trPr>
        <w:tc>
          <w:tcPr>
            <w:tcW w:w="1642" w:type="dxa"/>
            <w:vAlign w:val="center"/>
          </w:tcPr>
          <w:p>
            <w:pPr>
              <w:pStyle w:val="TableTextBold"/>
              <w:jc w:val="left"/>
            </w:pPr>
            <w:r/>
            <w:r>
              <w:t>Safety management system</w:t>
            </w:r>
          </w:p>
        </w:tc>
        <w:tc>
          <w:tcPr>
            <w:tcW w:w="2409" w:type="dxa"/>
            <w:vAlign w:val="center"/>
          </w:tcPr>
          <w:p>
            <w:pPr>
              <w:pStyle w:val="TableText"/>
              <w:jc w:val="left"/>
            </w:pPr>
            <w:r/>
            <w:r>
              <w:t>Whether a documented system exists and is used, proportionate to the size of the business</w:t>
            </w:r>
          </w:p>
        </w:tc>
        <w:tc>
          <w:tcPr>
            <w:tcW w:w="2409" w:type="dxa"/>
            <w:vAlign w:val="center"/>
          </w:tcPr>
          <w:p>
            <w:pPr>
              <w:pStyle w:val="TableText"/>
              <w:jc w:val="left"/>
            </w:pPr>
            <w:r/>
            <w:r>
              <w:t>System manual or plan; ISO 45001 certificate where held; sample completed records</w:t>
            </w:r>
          </w:p>
        </w:tc>
        <w:tc>
          <w:tcPr>
            <w:tcW w:w="1971" w:type="dxa"/>
            <w:vAlign w:val="center"/>
          </w:tcPr>
          <w:p>
            <w:pPr>
              <w:pStyle w:val="TableText"/>
              <w:jc w:val="left"/>
            </w:pPr>
            <w:r/>
            <w:r>
              <w:t>System present and demonstrably in use; a certificate alone is not a pass</w:t>
            </w:r>
          </w:p>
        </w:tc>
        <w:tc>
          <w:tcPr>
            <w:tcW w:w="1207" w:type="dxa"/>
            <w:vAlign w:val="center"/>
          </w:tcPr>
          <w:p>
            <w:pPr>
              <w:pStyle w:val="TableText"/>
              <w:jc w:val="left"/>
            </w:pPr>
            <w:r/>
            <w:r>
              <w:t>Safety Manager</w:t>
            </w:r>
          </w:p>
        </w:tc>
      </w:tr>
      <w:tr>
        <w:trPr>
          <w:cantSplit w:val="true"/>
        </w:trPr>
        <w:tc>
          <w:tcPr>
            <w:tcW w:w="1642" w:type="dxa"/>
            <w:vAlign w:val="center"/>
          </w:tcPr>
          <w:p>
            <w:pPr>
              <w:pStyle w:val="TableTextBold"/>
              <w:jc w:val="left"/>
            </w:pPr>
            <w:r/>
            <w:r>
              <w:t>Performance history</w:t>
            </w:r>
          </w:p>
        </w:tc>
        <w:tc>
          <w:tcPr>
            <w:tcW w:w="2409" w:type="dxa"/>
            <w:vAlign w:val="center"/>
          </w:tcPr>
          <w:p>
            <w:pPr>
              <w:pStyle w:val="TableText"/>
              <w:jc w:val="left"/>
            </w:pPr>
            <w:r/>
            <w:r>
              <w:t>Injury and incident history over three years; the trend; the reporting culture behind the numbers</w:t>
            </w:r>
          </w:p>
        </w:tc>
        <w:tc>
          <w:tcPr>
            <w:tcW w:w="2409" w:type="dxa"/>
            <w:vAlign w:val="center"/>
          </w:tcPr>
          <w:p>
            <w:pPr>
              <w:pStyle w:val="TableText"/>
              <w:jc w:val="left"/>
            </w:pPr>
            <w:r/>
            <w:r>
              <w:t>LTIFR and TRIFR with the hours denominator; incident summaries; near-miss reporting rate</w:t>
            </w:r>
          </w:p>
        </w:tc>
        <w:tc>
          <w:tcPr>
            <w:tcW w:w="1971" w:type="dxa"/>
            <w:vAlign w:val="center"/>
          </w:tcPr>
          <w:p>
            <w:pPr>
              <w:pStyle w:val="TableText"/>
              <w:jc w:val="left"/>
            </w:pPr>
            <w:r/>
            <w:r>
              <w:t>No adverse trend; a nil-incident claim with nil near misses is investigated, not credited</w:t>
            </w:r>
          </w:p>
        </w:tc>
        <w:tc>
          <w:tcPr>
            <w:tcW w:w="1207" w:type="dxa"/>
            <w:vAlign w:val="center"/>
          </w:tcPr>
          <w:p>
            <w:pPr>
              <w:pStyle w:val="TableText"/>
              <w:jc w:val="left"/>
            </w:pPr>
            <w:r/>
            <w:r>
              <w:t>Safety Manager</w:t>
            </w:r>
          </w:p>
        </w:tc>
      </w:tr>
      <w:tr>
        <w:trPr>
          <w:cantSplit w:val="true"/>
        </w:trPr>
        <w:tc>
          <w:tcPr>
            <w:tcW w:w="1642" w:type="dxa"/>
            <w:vAlign w:val="center"/>
          </w:tcPr>
          <w:p>
            <w:pPr>
              <w:pStyle w:val="TableTextBold"/>
              <w:jc w:val="left"/>
            </w:pPr>
            <w:r/>
            <w:r>
              <w:t>OSHA history</w:t>
            </w:r>
          </w:p>
        </w:tc>
        <w:tc>
          <w:tcPr>
            <w:tcW w:w="2409" w:type="dxa"/>
            <w:vAlign w:val="center"/>
          </w:tcPr>
          <w:p>
            <w:pPr>
              <w:pStyle w:val="TableText"/>
              <w:jc w:val="left"/>
            </w:pPr>
            <w:r/>
            <w:r>
              <w:t>Notices, prohibitions, infringements and prosecutions, and what changed afterwards</w:t>
            </w:r>
          </w:p>
        </w:tc>
        <w:tc>
          <w:tcPr>
            <w:tcW w:w="2409" w:type="dxa"/>
            <w:vAlign w:val="center"/>
          </w:tcPr>
          <w:p>
            <w:pPr>
              <w:pStyle w:val="TableText"/>
              <w:jc w:val="left"/>
            </w:pPr>
            <w:r/>
            <w:r>
              <w:t>Declaration; copies of notices and the closeout evidence</w:t>
            </w:r>
          </w:p>
        </w:tc>
        <w:tc>
          <w:tcPr>
            <w:tcW w:w="1971" w:type="dxa"/>
            <w:vAlign w:val="center"/>
          </w:tcPr>
          <w:p>
            <w:pPr>
              <w:pStyle w:val="TableText"/>
              <w:jc w:val="left"/>
            </w:pPr>
            <w:r/>
            <w:r>
              <w:t>Full disclosure; remediation demonstrated</w:t>
            </w:r>
          </w:p>
        </w:tc>
        <w:tc>
          <w:tcPr>
            <w:tcW w:w="1207" w:type="dxa"/>
            <w:vAlign w:val="center"/>
          </w:tcPr>
          <w:p>
            <w:pPr>
              <w:pStyle w:val="TableText"/>
              <w:jc w:val="left"/>
            </w:pPr>
            <w:r/>
            <w:r>
              <w:t>Safety Manager</w:t>
            </w:r>
          </w:p>
        </w:tc>
      </w:tr>
      <w:tr>
        <w:trPr>
          <w:cantSplit w:val="true"/>
        </w:trPr>
        <w:tc>
          <w:tcPr>
            <w:tcW w:w="1642" w:type="dxa"/>
            <w:vAlign w:val="center"/>
          </w:tcPr>
          <w:p>
            <w:pPr>
              <w:pStyle w:val="TableTextBold"/>
              <w:jc w:val="left"/>
            </w:pPr>
            <w:r/>
            <w:r>
              <w:t>Competency and licensing capacity</w:t>
            </w:r>
          </w:p>
        </w:tc>
        <w:tc>
          <w:tcPr>
            <w:tcW w:w="2409" w:type="dxa"/>
            <w:vAlign w:val="center"/>
          </w:tcPr>
          <w:p>
            <w:pPr>
              <w:pStyle w:val="TableText"/>
              <w:jc w:val="left"/>
            </w:pPr>
            <w:r/>
            <w:r>
              <w:t>Whether the business can supply licensed, competent workers and supervisors for the scope at peak resource</w:t>
            </w:r>
          </w:p>
        </w:tc>
        <w:tc>
          <w:tcPr>
            <w:tcW w:w="2409" w:type="dxa"/>
            <w:vAlign w:val="center"/>
          </w:tcPr>
          <w:p>
            <w:pPr>
              <w:pStyle w:val="TableText"/>
              <w:jc w:val="left"/>
            </w:pPr>
            <w:r/>
            <w:r>
              <w:t>Sample licenses; supervisor competencies; resourcing plan; the procedure for controlling its own sub-subcontractors and staffing agency</w:t>
            </w:r>
          </w:p>
        </w:tc>
        <w:tc>
          <w:tcPr>
            <w:tcW w:w="1971" w:type="dxa"/>
            <w:vAlign w:val="center"/>
          </w:tcPr>
          <w:p>
            <w:pPr>
              <w:pStyle w:val="TableText"/>
              <w:jc w:val="left"/>
            </w:pPr>
            <w:r/>
            <w:r>
              <w:t>Capacity demonstrated for the peak, not the average; a documented sub-subcontract process naming an accountable person</w:t>
            </w:r>
          </w:p>
        </w:tc>
        <w:tc>
          <w:tcPr>
            <w:tcW w:w="1207" w:type="dxa"/>
            <w:vAlign w:val="center"/>
          </w:tcPr>
          <w:p>
            <w:pPr>
              <w:pStyle w:val="TableText"/>
              <w:jc w:val="left"/>
            </w:pPr>
            <w:r/>
            <w:r>
              <w:t>Project Manager</w:t>
            </w:r>
          </w:p>
        </w:tc>
      </w:tr>
      <w:tr>
        <w:trPr>
          <w:cantSplit w:val="true"/>
        </w:trPr>
        <w:tc>
          <w:tcPr>
            <w:tcW w:w="1642" w:type="dxa"/>
            <w:vAlign w:val="center"/>
          </w:tcPr>
          <w:p>
            <w:pPr>
              <w:pStyle w:val="TableTextBold"/>
              <w:jc w:val="left"/>
            </w:pPr>
            <w:r/>
            <w:r>
              <w:t>Equipment</w:t>
            </w:r>
          </w:p>
        </w:tc>
        <w:tc>
          <w:tcPr>
            <w:tcW w:w="2409" w:type="dxa"/>
            <w:vAlign w:val="center"/>
          </w:tcPr>
          <w:p>
            <w:pPr>
              <w:pStyle w:val="TableText"/>
              <w:jc w:val="left"/>
            </w:pPr>
            <w:r/>
            <w:r>
              <w:t>Condition, certification and maintenance regime of the equipment to be supplied</w:t>
            </w:r>
          </w:p>
        </w:tc>
        <w:tc>
          <w:tcPr>
            <w:tcW w:w="2409" w:type="dxa"/>
            <w:vAlign w:val="center"/>
          </w:tcPr>
          <w:p>
            <w:pPr>
              <w:pStyle w:val="TableText"/>
              <w:jc w:val="left"/>
            </w:pPr>
            <w:r/>
            <w:r>
              <w:t>Equipment list with certification and inspection dates</w:t>
            </w:r>
          </w:p>
        </w:tc>
        <w:tc>
          <w:tcPr>
            <w:tcW w:w="1971" w:type="dxa"/>
            <w:vAlign w:val="center"/>
          </w:tcPr>
          <w:p>
            <w:pPr>
              <w:pStyle w:val="TableText"/>
              <w:jc w:val="left"/>
            </w:pPr>
            <w:r/>
            <w:r>
              <w:t>All items current at award and projected current at use</w:t>
            </w:r>
          </w:p>
        </w:tc>
        <w:tc>
          <w:tcPr>
            <w:tcW w:w="1207" w:type="dxa"/>
            <w:vAlign w:val="center"/>
          </w:tcPr>
          <w:p>
            <w:pPr>
              <w:pStyle w:val="TableText"/>
              <w:jc w:val="left"/>
            </w:pPr>
            <w:r/>
            <w:r>
              <w:t>Site Manager</w:t>
            </w:r>
          </w:p>
        </w:tc>
      </w:tr>
      <w:tr>
        <w:trPr>
          <w:cantSplit w:val="true"/>
        </w:trPr>
        <w:tc>
          <w:tcPr>
            <w:tcW w:w="1642" w:type="dxa"/>
            <w:vAlign w:val="center"/>
          </w:tcPr>
          <w:p>
            <w:pPr>
              <w:pStyle w:val="TableTextBold"/>
              <w:jc w:val="left"/>
            </w:pPr>
            <w:r/>
            <w:r>
              <w:t>Insurance and workers compensation</w:t>
            </w:r>
          </w:p>
        </w:tc>
        <w:tc>
          <w:tcPr>
            <w:tcW w:w="2409" w:type="dxa"/>
            <w:vAlign w:val="center"/>
          </w:tcPr>
          <w:p>
            <w:pPr>
              <w:pStyle w:val="TableText"/>
              <w:jc w:val="left"/>
            </w:pPr>
            <w:r/>
            <w:r>
              <w:t>Currency and adequacy of cover for the scope</w:t>
            </w:r>
          </w:p>
        </w:tc>
        <w:tc>
          <w:tcPr>
            <w:tcW w:w="2409" w:type="dxa"/>
            <w:vAlign w:val="center"/>
          </w:tcPr>
          <w:p>
            <w:pPr>
              <w:pStyle w:val="TableText"/>
              <w:jc w:val="left"/>
            </w:pPr>
            <w:r/>
            <w:r>
              <w:t>Certificates of currency</w:t>
            </w:r>
          </w:p>
        </w:tc>
        <w:tc>
          <w:tcPr>
            <w:tcW w:w="1971" w:type="dxa"/>
            <w:vAlign w:val="center"/>
          </w:tcPr>
          <w:p>
            <w:pPr>
              <w:pStyle w:val="TableText"/>
              <w:jc w:val="left"/>
            </w:pPr>
            <w:r/>
            <w:r>
              <w:t>Current and adequate; expiry tracked</w:t>
            </w:r>
          </w:p>
        </w:tc>
        <w:tc>
          <w:tcPr>
            <w:tcW w:w="1207" w:type="dxa"/>
            <w:vAlign w:val="center"/>
          </w:tcPr>
          <w:p>
            <w:pPr>
              <w:pStyle w:val="TableText"/>
              <w:jc w:val="left"/>
            </w:pPr>
            <w:r/>
            <w:r>
              <w:t>Commercial Manager</w:t>
            </w:r>
          </w:p>
        </w:tc>
      </w:tr>
      <w:tr>
        <w:trPr>
          <w:cantSplit w:val="true"/>
        </w:trPr>
        <w:tc>
          <w:tcPr>
            <w:tcW w:w="1642" w:type="dxa"/>
            <w:vAlign w:val="center"/>
          </w:tcPr>
          <w:p>
            <w:pPr>
              <w:pStyle w:val="TableTextBold"/>
              <w:jc w:val="left"/>
            </w:pPr>
            <w:r/>
            <w:r>
              <w:t>Schedule and price realism</w:t>
            </w:r>
          </w:p>
        </w:tc>
        <w:tc>
          <w:tcPr>
            <w:tcW w:w="2409" w:type="dxa"/>
            <w:vAlign w:val="center"/>
          </w:tcPr>
          <w:p>
            <w:pPr>
              <w:pStyle w:val="TableText"/>
              <w:jc w:val="left"/>
            </w:pPr>
            <w:r/>
            <w:r>
              <w:t>Whether the bid price and duration allow the work to be done safely — a price that omits the safe method is the largest single risk in procurement</w:t>
            </w:r>
          </w:p>
        </w:tc>
        <w:tc>
          <w:tcPr>
            <w:tcW w:w="2409" w:type="dxa"/>
            <w:vAlign w:val="center"/>
          </w:tcPr>
          <w:p>
            <w:pPr>
              <w:pStyle w:val="TableText"/>
              <w:jc w:val="left"/>
            </w:pPr>
            <w:r/>
            <w:r>
              <w:t>Priced allowances for access, temporary works, equipment, supervision and clean-up</w:t>
            </w:r>
          </w:p>
        </w:tc>
        <w:tc>
          <w:tcPr>
            <w:tcW w:w="1971" w:type="dxa"/>
            <w:vAlign w:val="center"/>
          </w:tcPr>
          <w:p>
            <w:pPr>
              <w:pStyle w:val="TableText"/>
              <w:jc w:val="left"/>
            </w:pPr>
            <w:r/>
            <w:r>
              <w:t>Safe method priced and programmed</w:t>
            </w:r>
          </w:p>
        </w:tc>
        <w:tc>
          <w:tcPr>
            <w:tcW w:w="1207" w:type="dxa"/>
            <w:vAlign w:val="center"/>
          </w:tcPr>
          <w:p>
            <w:pPr>
              <w:pStyle w:val="TableText"/>
              <w:jc w:val="left"/>
            </w:pPr>
            <w:r/>
            <w:r>
              <w:t>Project Manager</w:t>
            </w:r>
          </w:p>
        </w:tc>
      </w:tr>
    </w:tbl>
    <w:p>
      <w:pPr>
        <w:spacing w:before="0" w:after="0" w:line="60" w:lineRule="exact"/>
      </w:pPr>
    </w:p>
    <w:p>
      <w:pPr>
        <w:pStyle w:val="Heading2"/>
      </w:pPr>
      <w:bookmarkStart w:id="9077" w:name="_Toc90077"/>
      <w:r>
        <w:t>14.2 Safety documentation required before mobilization</w:t>
      </w:r>
      <w:bookmarkEnd w:id="9077"/>
    </w:p>
    <w:p>
      <w:pPr>
        <w:pStyle w:val="Note"/>
      </w:pPr>
      <w:r>
        <w:t>The first two rows are completed as examples in gray italic — delete the example entries before use. No subcontractor mobilizes with an incomplete row.</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3554"/>
        <w:gridCol w:w="1144"/>
        <w:gridCol w:w="1144"/>
        <w:gridCol w:w="1445"/>
        <w:gridCol w:w="1204"/>
        <w:gridCol w:w="1147"/>
      </w:tblGrid>
      <w:tr>
        <w:trPr>
          <w:tblHeader w:val="true"/>
          <w:cantSplit w:val="true"/>
        </w:trPr>
        <w:tc>
          <w:tcPr>
            <w:tcW w:w="3554" w:type="dxa"/>
            <w:shd w:val="clear" w:color="auto" w:fill="1D3245"/>
            <w:vAlign w:val="center"/>
          </w:tcPr>
          <w:p>
            <w:pPr>
              <w:pStyle w:val="TableHeader"/>
              <w:jc w:val="left"/>
            </w:pPr>
            <w:r/>
            <w:r>
              <w:t>Item required before mobilization</w:t>
            </w:r>
          </w:p>
        </w:tc>
        <w:tc>
          <w:tcPr>
            <w:tcW w:w="1144" w:type="dxa"/>
            <w:shd w:val="clear" w:color="auto" w:fill="1D3245"/>
            <w:vAlign w:val="center"/>
          </w:tcPr>
          <w:p>
            <w:pPr>
              <w:pStyle w:val="TableHeader"/>
              <w:jc w:val="center"/>
            </w:pPr>
            <w:r/>
            <w:r>
              <w:t>Required</w:t>
            </w:r>
          </w:p>
        </w:tc>
        <w:tc>
          <w:tcPr>
            <w:tcW w:w="1144" w:type="dxa"/>
            <w:shd w:val="clear" w:color="auto" w:fill="1D3245"/>
            <w:vAlign w:val="center"/>
          </w:tcPr>
          <w:p>
            <w:pPr>
              <w:pStyle w:val="TableHeader"/>
              <w:jc w:val="center"/>
            </w:pPr>
            <w:r/>
            <w:r>
              <w:t>Received</w:t>
            </w:r>
          </w:p>
        </w:tc>
        <w:tc>
          <w:tcPr>
            <w:tcW w:w="1445" w:type="dxa"/>
            <w:shd w:val="clear" w:color="auto" w:fill="1D3245"/>
            <w:vAlign w:val="center"/>
          </w:tcPr>
          <w:p>
            <w:pPr>
              <w:pStyle w:val="TableHeader"/>
              <w:jc w:val="left"/>
            </w:pPr>
            <w:r/>
            <w:r>
              <w:t>Reviewed by</w:t>
            </w:r>
          </w:p>
        </w:tc>
        <w:tc>
          <w:tcPr>
            <w:tcW w:w="1204" w:type="dxa"/>
            <w:shd w:val="clear" w:color="auto" w:fill="1D3245"/>
            <w:vAlign w:val="center"/>
          </w:tcPr>
          <w:p>
            <w:pPr>
              <w:pStyle w:val="TableHeader"/>
              <w:jc w:val="center"/>
            </w:pPr>
            <w:r/>
            <w:r>
              <w:t>Date</w:t>
            </w:r>
          </w:p>
        </w:tc>
        <w:tc>
          <w:tcPr>
            <w:tcW w:w="1147" w:type="dxa"/>
            <w:shd w:val="clear" w:color="auto" w:fill="1D3245"/>
            <w:vAlign w:val="center"/>
          </w:tcPr>
          <w:p>
            <w:pPr>
              <w:pStyle w:val="TableHeader"/>
              <w:jc w:val="center"/>
            </w:pPr>
            <w:r/>
            <w:r>
              <w:t>Accepted</w:t>
            </w:r>
          </w:p>
        </w:tc>
      </w:tr>
      <w:tr>
        <w:trPr>
          <w:cantSplit w:val="true"/>
        </w:trPr>
        <w:tc>
          <w:tcPr>
            <w:tcW w:w="3554" w:type="dxa"/>
            <w:vAlign w:val="center"/>
          </w:tcPr>
          <w:p>
            <w:pPr>
              <w:pStyle w:val="TableTextExample"/>
              <w:jc w:val="left"/>
            </w:pPr>
            <w:r/>
            <w:r>
              <w:t>Project-specific safety plan, or a written statement of alignment to this plan</w:t>
            </w:r>
          </w:p>
        </w:tc>
        <w:tc>
          <w:tcPr>
            <w:tcW w:w="1144" w:type="dxa"/>
            <w:vAlign w:val="center"/>
          </w:tcPr>
          <w:p>
            <w:pPr>
              <w:pStyle w:val="TableTextExample"/>
              <w:jc w:val="center"/>
            </w:pPr>
            <w:r/>
            <w:r>
              <w:t>Yes</w:t>
            </w:r>
          </w:p>
        </w:tc>
        <w:tc>
          <w:tcPr>
            <w:tcW w:w="1144" w:type="dxa"/>
            <w:vAlign w:val="center"/>
          </w:tcPr>
          <w:p>
            <w:pPr>
              <w:pStyle w:val="TableTextExample"/>
              <w:jc w:val="center"/>
            </w:pPr>
            <w:r/>
            <w:r>
              <w:t>[Y/N]</w:t>
            </w:r>
          </w:p>
        </w:tc>
        <w:tc>
          <w:tcPr>
            <w:tcW w:w="1445" w:type="dxa"/>
            <w:vAlign w:val="center"/>
          </w:tcPr>
          <w:p>
            <w:pPr>
              <w:pStyle w:val="TableTextExample"/>
              <w:jc w:val="left"/>
            </w:pPr>
            <w:r/>
            <w:r>
              <w:t>Safety Manager</w:t>
            </w:r>
          </w:p>
        </w:tc>
        <w:tc>
          <w:tcPr>
            <w:tcW w:w="1204" w:type="dxa"/>
            <w:vAlign w:val="center"/>
          </w:tcPr>
          <w:p>
            <w:pPr>
              <w:pStyle w:val="TableTextExample"/>
              <w:jc w:val="center"/>
            </w:pPr>
            <w:r/>
            <w:r>
              <w:t>[MM/DD/YY]</w:t>
            </w:r>
          </w:p>
        </w:tc>
        <w:tc>
          <w:tcPr>
            <w:tcW w:w="1147" w:type="dxa"/>
            <w:vAlign w:val="center"/>
          </w:tcPr>
          <w:p>
            <w:pPr>
              <w:pStyle w:val="TableTextExample"/>
              <w:jc w:val="center"/>
            </w:pPr>
            <w:r/>
            <w:r>
              <w:t>[Y/N]</w:t>
            </w:r>
          </w:p>
        </w:tc>
      </w:tr>
      <w:tr>
        <w:trPr>
          <w:cantSplit w:val="true"/>
        </w:trPr>
        <w:tc>
          <w:tcPr>
            <w:tcW w:w="3554" w:type="dxa"/>
            <w:vAlign w:val="center"/>
          </w:tcPr>
          <w:p>
            <w:pPr>
              <w:pStyle w:val="TableTextExample"/>
              <w:jc w:val="left"/>
            </w:pPr>
            <w:r/>
            <w:r>
              <w:t>JHA for every high-hazard activity in the scope, prepared with the crew</w:t>
            </w:r>
          </w:p>
        </w:tc>
        <w:tc>
          <w:tcPr>
            <w:tcW w:w="1144" w:type="dxa"/>
            <w:vAlign w:val="center"/>
          </w:tcPr>
          <w:p>
            <w:pPr>
              <w:pStyle w:val="TableTextExample"/>
              <w:jc w:val="center"/>
            </w:pPr>
            <w:r/>
            <w:r>
              <w:t>Yes</w:t>
            </w:r>
          </w:p>
        </w:tc>
        <w:tc>
          <w:tcPr>
            <w:tcW w:w="1144" w:type="dxa"/>
            <w:vAlign w:val="center"/>
          </w:tcPr>
          <w:p>
            <w:pPr>
              <w:pStyle w:val="TableTextExample"/>
              <w:jc w:val="center"/>
            </w:pPr>
            <w:r/>
            <w:r>
              <w:t>[Y/N]</w:t>
            </w:r>
          </w:p>
        </w:tc>
        <w:tc>
          <w:tcPr>
            <w:tcW w:w="1445" w:type="dxa"/>
            <w:vAlign w:val="center"/>
          </w:tcPr>
          <w:p>
            <w:pPr>
              <w:pStyle w:val="TableTextExample"/>
              <w:jc w:val="left"/>
            </w:pPr>
            <w:r/>
            <w:r>
              <w:t>Safety Manager</w:t>
            </w:r>
          </w:p>
        </w:tc>
        <w:tc>
          <w:tcPr>
            <w:tcW w:w="1204" w:type="dxa"/>
            <w:vAlign w:val="center"/>
          </w:tcPr>
          <w:p>
            <w:pPr>
              <w:pStyle w:val="TableTextExample"/>
              <w:jc w:val="center"/>
            </w:pPr>
            <w:r/>
            <w:r>
              <w:t>[MM/DD/YY]</w:t>
            </w:r>
          </w:p>
        </w:tc>
        <w:tc>
          <w:tcPr>
            <w:tcW w:w="1147" w:type="dxa"/>
            <w:vAlign w:val="center"/>
          </w:tcPr>
          <w:p>
            <w:pPr>
              <w:pStyle w:val="TableTextExample"/>
              <w:jc w:val="center"/>
            </w:pPr>
            <w:r/>
            <w:r>
              <w:t>[Y/N]</w:t>
            </w:r>
          </w:p>
        </w:tc>
      </w:tr>
      <w:tr>
        <w:trPr>
          <w:cantSplit w:val="true"/>
        </w:trPr>
        <w:tc>
          <w:tcPr>
            <w:tcW w:w="3554" w:type="dxa"/>
            <w:vAlign w:val="center"/>
          </w:tcPr>
          <w:p>
            <w:pPr>
              <w:pStyle w:val="TableText"/>
              <w:jc w:val="left"/>
            </w:pPr>
            <w:r/>
            <w:r>
              <w:t>Competency and license evidence for every worker and supervisor mobilising</w:t>
            </w:r>
          </w:p>
        </w:tc>
        <w:tc>
          <w:tcPr>
            <w:tcW w:w="1144" w:type="dxa"/>
            <w:vAlign w:val="center"/>
          </w:tcPr>
          <w:p>
            <w:pPr>
              <w:pStyle w:val="TableTextCentre"/>
              <w:jc w:val="center"/>
            </w:pPr>
            <w:r/>
            <w:r>
              <w:t>Yes</w:t>
            </w:r>
          </w:p>
        </w:tc>
        <w:tc>
          <w:tcPr>
            <w:tcW w:w="1144" w:type="dxa"/>
            <w:vAlign w:val="center"/>
          </w:tcPr>
          <w:p>
            <w:pPr>
              <w:pStyle w:val="TableTextCentre"/>
              <w:jc w:val="center"/>
            </w:pPr>
            <w:r/>
          </w:p>
        </w:tc>
        <w:tc>
          <w:tcPr>
            <w:tcW w:w="1445" w:type="dxa"/>
            <w:vAlign w:val="center"/>
          </w:tcPr>
          <w:p>
            <w:pPr>
              <w:pStyle w:val="TableText"/>
              <w:jc w:val="left"/>
            </w:pPr>
            <w:r/>
          </w:p>
        </w:tc>
        <w:tc>
          <w:tcPr>
            <w:tcW w:w="1204" w:type="dxa"/>
            <w:vAlign w:val="center"/>
          </w:tcPr>
          <w:p>
            <w:pPr>
              <w:pStyle w:val="TableTextCentre"/>
              <w:jc w:val="center"/>
            </w:pPr>
            <w:r/>
          </w:p>
        </w:tc>
        <w:tc>
          <w:tcPr>
            <w:tcW w:w="1147" w:type="dxa"/>
            <w:vAlign w:val="center"/>
          </w:tcPr>
          <w:p>
            <w:pPr>
              <w:pStyle w:val="TableTextCentre"/>
              <w:jc w:val="center"/>
            </w:pPr>
            <w:r/>
          </w:p>
        </w:tc>
      </w:tr>
      <w:tr>
        <w:trPr>
          <w:cantSplit w:val="true"/>
        </w:trPr>
        <w:tc>
          <w:tcPr>
            <w:tcW w:w="3554" w:type="dxa"/>
            <w:vAlign w:val="center"/>
          </w:tcPr>
          <w:p>
            <w:pPr>
              <w:pStyle w:val="TableText"/>
              <w:jc w:val="left"/>
            </w:pPr>
            <w:r/>
            <w:r>
              <w:t>Equipment list with certification, registration and inspection status</w:t>
            </w:r>
          </w:p>
        </w:tc>
        <w:tc>
          <w:tcPr>
            <w:tcW w:w="1144" w:type="dxa"/>
            <w:vAlign w:val="center"/>
          </w:tcPr>
          <w:p>
            <w:pPr>
              <w:pStyle w:val="TableTextCentre"/>
              <w:jc w:val="center"/>
            </w:pPr>
            <w:r/>
            <w:r>
              <w:t>Yes</w:t>
            </w:r>
          </w:p>
        </w:tc>
        <w:tc>
          <w:tcPr>
            <w:tcW w:w="1144" w:type="dxa"/>
            <w:vAlign w:val="center"/>
          </w:tcPr>
          <w:p>
            <w:pPr>
              <w:pStyle w:val="TableTextCentre"/>
              <w:jc w:val="center"/>
            </w:pPr>
            <w:r/>
          </w:p>
        </w:tc>
        <w:tc>
          <w:tcPr>
            <w:tcW w:w="1445" w:type="dxa"/>
            <w:vAlign w:val="center"/>
          </w:tcPr>
          <w:p>
            <w:pPr>
              <w:pStyle w:val="TableText"/>
              <w:jc w:val="left"/>
            </w:pPr>
            <w:r/>
          </w:p>
        </w:tc>
        <w:tc>
          <w:tcPr>
            <w:tcW w:w="1204" w:type="dxa"/>
            <w:vAlign w:val="center"/>
          </w:tcPr>
          <w:p>
            <w:pPr>
              <w:pStyle w:val="TableTextCentre"/>
              <w:jc w:val="center"/>
            </w:pPr>
            <w:r/>
          </w:p>
        </w:tc>
        <w:tc>
          <w:tcPr>
            <w:tcW w:w="1147" w:type="dxa"/>
            <w:vAlign w:val="center"/>
          </w:tcPr>
          <w:p>
            <w:pPr>
              <w:pStyle w:val="TableTextCentre"/>
              <w:jc w:val="center"/>
            </w:pPr>
            <w:r/>
          </w:p>
        </w:tc>
      </w:tr>
      <w:tr>
        <w:trPr>
          <w:cantSplit w:val="true"/>
        </w:trPr>
        <w:tc>
          <w:tcPr>
            <w:tcW w:w="3554" w:type="dxa"/>
            <w:vAlign w:val="center"/>
          </w:tcPr>
          <w:p>
            <w:pPr>
              <w:pStyle w:val="TableText"/>
              <w:jc w:val="left"/>
            </w:pPr>
            <w:r/>
            <w:r>
              <w:t>Hazardous substance list with current safety data sheets</w:t>
            </w:r>
          </w:p>
        </w:tc>
        <w:tc>
          <w:tcPr>
            <w:tcW w:w="1144" w:type="dxa"/>
            <w:vAlign w:val="center"/>
          </w:tcPr>
          <w:p>
            <w:pPr>
              <w:pStyle w:val="TableTextCentre"/>
              <w:jc w:val="center"/>
            </w:pPr>
            <w:r/>
            <w:r>
              <w:t>Yes</w:t>
            </w:r>
          </w:p>
        </w:tc>
        <w:tc>
          <w:tcPr>
            <w:tcW w:w="1144" w:type="dxa"/>
            <w:vAlign w:val="center"/>
          </w:tcPr>
          <w:p>
            <w:pPr>
              <w:pStyle w:val="TableTextCentre"/>
              <w:jc w:val="center"/>
            </w:pPr>
            <w:r/>
          </w:p>
        </w:tc>
        <w:tc>
          <w:tcPr>
            <w:tcW w:w="1445" w:type="dxa"/>
            <w:vAlign w:val="center"/>
          </w:tcPr>
          <w:p>
            <w:pPr>
              <w:pStyle w:val="TableText"/>
              <w:jc w:val="left"/>
            </w:pPr>
            <w:r/>
          </w:p>
        </w:tc>
        <w:tc>
          <w:tcPr>
            <w:tcW w:w="1204" w:type="dxa"/>
            <w:vAlign w:val="center"/>
          </w:tcPr>
          <w:p>
            <w:pPr>
              <w:pStyle w:val="TableTextCentre"/>
              <w:jc w:val="center"/>
            </w:pPr>
            <w:r/>
          </w:p>
        </w:tc>
        <w:tc>
          <w:tcPr>
            <w:tcW w:w="1147" w:type="dxa"/>
            <w:vAlign w:val="center"/>
          </w:tcPr>
          <w:p>
            <w:pPr>
              <w:pStyle w:val="TableTextCentre"/>
              <w:jc w:val="center"/>
            </w:pPr>
            <w:r/>
          </w:p>
        </w:tc>
      </w:tr>
      <w:tr>
        <w:trPr>
          <w:cantSplit w:val="true"/>
        </w:trPr>
        <w:tc>
          <w:tcPr>
            <w:tcW w:w="3554" w:type="dxa"/>
            <w:vAlign w:val="center"/>
          </w:tcPr>
          <w:p>
            <w:pPr>
              <w:pStyle w:val="TableText"/>
              <w:jc w:val="left"/>
            </w:pPr>
            <w:r/>
            <w:r>
              <w:t>Temporary works designs and certification within the scope</w:t>
            </w:r>
          </w:p>
        </w:tc>
        <w:tc>
          <w:tcPr>
            <w:tcW w:w="1144" w:type="dxa"/>
            <w:vAlign w:val="center"/>
          </w:tcPr>
          <w:p>
            <w:pPr>
              <w:pStyle w:val="TableTextCentre"/>
              <w:jc w:val="center"/>
            </w:pPr>
            <w:r/>
            <w:r>
              <w:t>As applicable</w:t>
            </w:r>
          </w:p>
        </w:tc>
        <w:tc>
          <w:tcPr>
            <w:tcW w:w="1144" w:type="dxa"/>
            <w:vAlign w:val="center"/>
          </w:tcPr>
          <w:p>
            <w:pPr>
              <w:pStyle w:val="TableTextCentre"/>
              <w:jc w:val="center"/>
            </w:pPr>
            <w:r/>
          </w:p>
        </w:tc>
        <w:tc>
          <w:tcPr>
            <w:tcW w:w="1445" w:type="dxa"/>
            <w:vAlign w:val="center"/>
          </w:tcPr>
          <w:p>
            <w:pPr>
              <w:pStyle w:val="TableText"/>
              <w:jc w:val="left"/>
            </w:pPr>
            <w:r/>
          </w:p>
        </w:tc>
        <w:tc>
          <w:tcPr>
            <w:tcW w:w="1204" w:type="dxa"/>
            <w:vAlign w:val="center"/>
          </w:tcPr>
          <w:p>
            <w:pPr>
              <w:pStyle w:val="TableTextCentre"/>
              <w:jc w:val="center"/>
            </w:pPr>
            <w:r/>
          </w:p>
        </w:tc>
        <w:tc>
          <w:tcPr>
            <w:tcW w:w="1147" w:type="dxa"/>
            <w:vAlign w:val="center"/>
          </w:tcPr>
          <w:p>
            <w:pPr>
              <w:pStyle w:val="TableTextCentre"/>
              <w:jc w:val="center"/>
            </w:pPr>
            <w:r/>
          </w:p>
        </w:tc>
      </w:tr>
      <w:tr>
        <w:trPr>
          <w:cantSplit w:val="true"/>
        </w:trPr>
        <w:tc>
          <w:tcPr>
            <w:tcW w:w="3554" w:type="dxa"/>
            <w:vAlign w:val="center"/>
          </w:tcPr>
          <w:p>
            <w:pPr>
              <w:pStyle w:val="TableText"/>
              <w:jc w:val="left"/>
            </w:pPr>
            <w:r/>
            <w:r>
              <w:t>Emergency and rescue arrangements specific to the scope — height, confined space, excavation</w:t>
            </w:r>
          </w:p>
        </w:tc>
        <w:tc>
          <w:tcPr>
            <w:tcW w:w="1144" w:type="dxa"/>
            <w:vAlign w:val="center"/>
          </w:tcPr>
          <w:p>
            <w:pPr>
              <w:pStyle w:val="TableTextCentre"/>
              <w:jc w:val="center"/>
            </w:pPr>
            <w:r/>
            <w:r>
              <w:t>As applicable</w:t>
            </w:r>
          </w:p>
        </w:tc>
        <w:tc>
          <w:tcPr>
            <w:tcW w:w="1144" w:type="dxa"/>
            <w:vAlign w:val="center"/>
          </w:tcPr>
          <w:p>
            <w:pPr>
              <w:pStyle w:val="TableTextCentre"/>
              <w:jc w:val="center"/>
            </w:pPr>
            <w:r/>
          </w:p>
        </w:tc>
        <w:tc>
          <w:tcPr>
            <w:tcW w:w="1445" w:type="dxa"/>
            <w:vAlign w:val="center"/>
          </w:tcPr>
          <w:p>
            <w:pPr>
              <w:pStyle w:val="TableText"/>
              <w:jc w:val="left"/>
            </w:pPr>
            <w:r/>
          </w:p>
        </w:tc>
        <w:tc>
          <w:tcPr>
            <w:tcW w:w="1204" w:type="dxa"/>
            <w:vAlign w:val="center"/>
          </w:tcPr>
          <w:p>
            <w:pPr>
              <w:pStyle w:val="TableTextCentre"/>
              <w:jc w:val="center"/>
            </w:pPr>
            <w:r/>
          </w:p>
        </w:tc>
        <w:tc>
          <w:tcPr>
            <w:tcW w:w="1147" w:type="dxa"/>
            <w:vAlign w:val="center"/>
          </w:tcPr>
          <w:p>
            <w:pPr>
              <w:pStyle w:val="TableTextCentre"/>
              <w:jc w:val="center"/>
            </w:pPr>
            <w:r/>
          </w:p>
        </w:tc>
      </w:tr>
      <w:tr>
        <w:trPr>
          <w:cantSplit w:val="true"/>
        </w:trPr>
        <w:tc>
          <w:tcPr>
            <w:tcW w:w="3554" w:type="dxa"/>
            <w:vAlign w:val="center"/>
          </w:tcPr>
          <w:p>
            <w:pPr>
              <w:pStyle w:val="TableText"/>
              <w:jc w:val="left"/>
            </w:pPr>
            <w:r/>
            <w:r>
              <w:t>Insurance and workers compensation certificates of currency</w:t>
            </w:r>
          </w:p>
        </w:tc>
        <w:tc>
          <w:tcPr>
            <w:tcW w:w="1144" w:type="dxa"/>
            <w:vAlign w:val="center"/>
          </w:tcPr>
          <w:p>
            <w:pPr>
              <w:pStyle w:val="TableTextCentre"/>
              <w:jc w:val="center"/>
            </w:pPr>
            <w:r/>
            <w:r>
              <w:t>Yes</w:t>
            </w:r>
          </w:p>
        </w:tc>
        <w:tc>
          <w:tcPr>
            <w:tcW w:w="1144" w:type="dxa"/>
            <w:vAlign w:val="center"/>
          </w:tcPr>
          <w:p>
            <w:pPr>
              <w:pStyle w:val="TableTextCentre"/>
              <w:jc w:val="center"/>
            </w:pPr>
            <w:r/>
          </w:p>
        </w:tc>
        <w:tc>
          <w:tcPr>
            <w:tcW w:w="1445" w:type="dxa"/>
            <w:vAlign w:val="center"/>
          </w:tcPr>
          <w:p>
            <w:pPr>
              <w:pStyle w:val="TableText"/>
              <w:jc w:val="left"/>
            </w:pPr>
            <w:r/>
          </w:p>
        </w:tc>
        <w:tc>
          <w:tcPr>
            <w:tcW w:w="1204" w:type="dxa"/>
            <w:vAlign w:val="center"/>
          </w:tcPr>
          <w:p>
            <w:pPr>
              <w:pStyle w:val="TableTextCentre"/>
              <w:jc w:val="center"/>
            </w:pPr>
            <w:r/>
          </w:p>
        </w:tc>
        <w:tc>
          <w:tcPr>
            <w:tcW w:w="1147" w:type="dxa"/>
            <w:vAlign w:val="center"/>
          </w:tcPr>
          <w:p>
            <w:pPr>
              <w:pStyle w:val="TableTextCentre"/>
              <w:jc w:val="center"/>
            </w:pPr>
            <w:r/>
          </w:p>
        </w:tc>
      </w:tr>
      <w:tr>
        <w:trPr>
          <w:cantSplit w:val="true"/>
        </w:trPr>
        <w:tc>
          <w:tcPr>
            <w:tcW w:w="3554" w:type="dxa"/>
            <w:vAlign w:val="center"/>
          </w:tcPr>
          <w:p>
            <w:pPr>
              <w:pStyle w:val="TableText"/>
              <w:jc w:val="left"/>
            </w:pPr>
            <w:r/>
            <w:r>
              <w:t>Nominated supervisor, WORKER REPRESENTATIVE arrangements and emergency contacts</w:t>
            </w:r>
          </w:p>
        </w:tc>
        <w:tc>
          <w:tcPr>
            <w:tcW w:w="1144" w:type="dxa"/>
            <w:vAlign w:val="center"/>
          </w:tcPr>
          <w:p>
            <w:pPr>
              <w:pStyle w:val="TableTextCentre"/>
              <w:jc w:val="center"/>
            </w:pPr>
            <w:r/>
            <w:r>
              <w:t>Yes</w:t>
            </w:r>
          </w:p>
        </w:tc>
        <w:tc>
          <w:tcPr>
            <w:tcW w:w="1144" w:type="dxa"/>
            <w:vAlign w:val="center"/>
          </w:tcPr>
          <w:p>
            <w:pPr>
              <w:pStyle w:val="TableTextCentre"/>
              <w:jc w:val="center"/>
            </w:pPr>
            <w:r/>
          </w:p>
        </w:tc>
        <w:tc>
          <w:tcPr>
            <w:tcW w:w="1445" w:type="dxa"/>
            <w:vAlign w:val="center"/>
          </w:tcPr>
          <w:p>
            <w:pPr>
              <w:pStyle w:val="TableText"/>
              <w:jc w:val="left"/>
            </w:pPr>
            <w:r/>
          </w:p>
        </w:tc>
        <w:tc>
          <w:tcPr>
            <w:tcW w:w="1204" w:type="dxa"/>
            <w:vAlign w:val="center"/>
          </w:tcPr>
          <w:p>
            <w:pPr>
              <w:pStyle w:val="TableTextCentre"/>
              <w:jc w:val="center"/>
            </w:pPr>
            <w:r/>
          </w:p>
        </w:tc>
        <w:tc>
          <w:tcPr>
            <w:tcW w:w="1147" w:type="dxa"/>
            <w:vAlign w:val="center"/>
          </w:tcPr>
          <w:p>
            <w:pPr>
              <w:pStyle w:val="TableTextCentre"/>
              <w:jc w:val="center"/>
            </w:pPr>
            <w:r/>
          </w:p>
        </w:tc>
      </w:tr>
      <w:tr>
        <w:trPr>
          <w:cantSplit w:val="true"/>
        </w:trPr>
        <w:tc>
          <w:tcPr>
            <w:tcW w:w="3554" w:type="dxa"/>
            <w:vAlign w:val="center"/>
          </w:tcPr>
          <w:p>
            <w:pPr>
              <w:pStyle w:val="TableText"/>
              <w:jc w:val="left"/>
            </w:pPr>
            <w:r/>
            <w:r>
              <w:t>Acknowledgement of the site rules and of this plan</w:t>
            </w:r>
          </w:p>
        </w:tc>
        <w:tc>
          <w:tcPr>
            <w:tcW w:w="1144" w:type="dxa"/>
            <w:vAlign w:val="center"/>
          </w:tcPr>
          <w:p>
            <w:pPr>
              <w:pStyle w:val="TableTextCentre"/>
              <w:jc w:val="center"/>
            </w:pPr>
            <w:r/>
            <w:r>
              <w:t>Yes</w:t>
            </w:r>
          </w:p>
        </w:tc>
        <w:tc>
          <w:tcPr>
            <w:tcW w:w="1144" w:type="dxa"/>
            <w:vAlign w:val="center"/>
          </w:tcPr>
          <w:p>
            <w:pPr>
              <w:pStyle w:val="TableTextCentre"/>
              <w:jc w:val="center"/>
            </w:pPr>
            <w:r/>
          </w:p>
        </w:tc>
        <w:tc>
          <w:tcPr>
            <w:tcW w:w="1445" w:type="dxa"/>
            <w:vAlign w:val="center"/>
          </w:tcPr>
          <w:p>
            <w:pPr>
              <w:pStyle w:val="TableText"/>
              <w:jc w:val="left"/>
            </w:pPr>
            <w:r/>
          </w:p>
        </w:tc>
        <w:tc>
          <w:tcPr>
            <w:tcW w:w="1204" w:type="dxa"/>
            <w:vAlign w:val="center"/>
          </w:tcPr>
          <w:p>
            <w:pPr>
              <w:pStyle w:val="TableTextCentre"/>
              <w:jc w:val="center"/>
            </w:pPr>
            <w:r/>
          </w:p>
        </w:tc>
        <w:tc>
          <w:tcPr>
            <w:tcW w:w="1147" w:type="dxa"/>
            <w:vAlign w:val="center"/>
          </w:tcPr>
          <w:p>
            <w:pPr>
              <w:pStyle w:val="TableTextCentre"/>
              <w:jc w:val="center"/>
            </w:pPr>
            <w:r/>
          </w:p>
        </w:tc>
      </w:tr>
    </w:tbl>
    <w:p>
      <w:pPr>
        <w:spacing w:before="0" w:after="0" w:line="60" w:lineRule="exact"/>
      </w:pPr>
    </w:p>
    <w:p>
      <w:pPr>
        <w:pStyle w:val="Heading2"/>
      </w:pPr>
      <w:bookmarkStart w:id="9078" w:name="_Toc90078"/>
      <w:r>
        <w:t>14.3 Review, acceptance and performance monitoring</w:t>
      </w:r>
      <w:bookmarkEnd w:id="9078"/>
    </w:p>
    <w:p>
      <w:pPr>
        <w:pStyle w:val="Body"/>
      </w:pPr>
      <w:r>
        <w:t>JHA are reviewed and accepted under the process at 6.5. Acceptance means the document is site-specific, uses the hierarchy correctly, has verifiable controls and does not conflict with an interfacing JHA. It is not approval of the method as safe and it does not transfer the subcontractor's duty for its own work — but a general contractor that accepts an obviously generic JHA has failed in its own duty to coordinate. Where a JHA is rejected, state the specific deficiency in writing and re-review before work starts.</w:t>
      </w:r>
    </w:p>
    <w:p>
      <w:pPr>
        <w:pStyle w:val="BodyBullet"/>
      </w:pPr>
      <w:r>
        <w:rPr>
          <w:color w:val="3480BC"/>
        </w:rPr>
        <w:t xml:space="preserve">—   </w:t>
      </w:r>
      <w:r>
        <w:t>Each subcontractor is scored monthly against the same leading indicators used for the project: JHA compliance observed at the work face, pre-start quality, inspection findings, hazard and near-miss reporting rate, housekeeping, equipment pre-start compliance and closeout of actions.</w:t>
      </w:r>
    </w:p>
    <w:p>
      <w:pPr>
        <w:pStyle w:val="BodyBullet"/>
      </w:pPr>
      <w:r>
        <w:rPr>
          <w:color w:val="3480BC"/>
        </w:rPr>
        <w:t xml:space="preserve">—   </w:t>
      </w:r>
      <w:r>
        <w:t>Findings are issued to the subcontractor's management, not only to its site supervisor; the trend is reviewed at the coordination meeting and the safety committee and feeds back into prequalification. A subcontractor with repeated findings on the same control is also treated as a system failure on the project's part — the coordination, the schedule or the selection may be the cause.</w:t>
      </w:r>
    </w:p>
    <w:p>
      <w:pPr>
        <w:pStyle w:val="Heading2"/>
      </w:pPr>
      <w:bookmarkStart w:id="9079" w:name="_Toc90079"/>
      <w:r>
        <w:t>14.4 Non-compliance escalation</w:t>
      </w:r>
      <w:bookmarkEnd w:id="9079"/>
    </w:p>
    <w:p>
      <w:pPr>
        <w:pStyle w:val="Note"/>
      </w:pPr>
      <w:r>
        <w:t>Apply the ladder consistently, to every tier and every employer including the general contractor's own crews. An escalation process used on subcontractors but not on the general contractor's workers destroys its own authority.</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291"/>
        <w:gridCol w:w="1987"/>
        <w:gridCol w:w="2285"/>
        <w:gridCol w:w="1291"/>
        <w:gridCol w:w="1490"/>
        <w:gridCol w:w="1294"/>
      </w:tblGrid>
      <w:tr>
        <w:trPr>
          <w:tblHeader w:val="true"/>
          <w:cantSplit w:val="true"/>
        </w:trPr>
        <w:tc>
          <w:tcPr>
            <w:tcW w:w="1291" w:type="dxa"/>
            <w:shd w:val="clear" w:color="auto" w:fill="1D3245"/>
            <w:vAlign w:val="center"/>
          </w:tcPr>
          <w:p>
            <w:pPr>
              <w:pStyle w:val="TableHeader"/>
              <w:jc w:val="left"/>
            </w:pPr>
            <w:r/>
            <w:r>
              <w:t>Step</w:t>
            </w:r>
          </w:p>
        </w:tc>
        <w:tc>
          <w:tcPr>
            <w:tcW w:w="1987" w:type="dxa"/>
            <w:shd w:val="clear" w:color="auto" w:fill="1D3245"/>
            <w:vAlign w:val="center"/>
          </w:tcPr>
          <w:p>
            <w:pPr>
              <w:pStyle w:val="TableHeader"/>
              <w:jc w:val="left"/>
            </w:pPr>
            <w:r/>
            <w:r>
              <w:t>Trigger</w:t>
            </w:r>
          </w:p>
        </w:tc>
        <w:tc>
          <w:tcPr>
            <w:tcW w:w="2285" w:type="dxa"/>
            <w:shd w:val="clear" w:color="auto" w:fill="1D3245"/>
            <w:vAlign w:val="center"/>
          </w:tcPr>
          <w:p>
            <w:pPr>
              <w:pStyle w:val="TableHeader"/>
              <w:jc w:val="left"/>
            </w:pPr>
            <w:r/>
            <w:r>
              <w:t>Action</w:t>
            </w:r>
          </w:p>
        </w:tc>
        <w:tc>
          <w:tcPr>
            <w:tcW w:w="1291" w:type="dxa"/>
            <w:shd w:val="clear" w:color="auto" w:fill="1D3245"/>
            <w:vAlign w:val="center"/>
          </w:tcPr>
          <w:p>
            <w:pPr>
              <w:pStyle w:val="TableHeader"/>
              <w:jc w:val="left"/>
            </w:pPr>
            <w:r/>
            <w:r>
              <w:t>Issued by</w:t>
            </w:r>
          </w:p>
        </w:tc>
        <w:tc>
          <w:tcPr>
            <w:tcW w:w="1490" w:type="dxa"/>
            <w:shd w:val="clear" w:color="auto" w:fill="1D3245"/>
            <w:vAlign w:val="center"/>
          </w:tcPr>
          <w:p>
            <w:pPr>
              <w:pStyle w:val="TableHeader"/>
              <w:jc w:val="left"/>
            </w:pPr>
            <w:r/>
            <w:r>
              <w:t>Record</w:t>
            </w:r>
          </w:p>
        </w:tc>
        <w:tc>
          <w:tcPr>
            <w:tcW w:w="1294" w:type="dxa"/>
            <w:shd w:val="clear" w:color="auto" w:fill="1D3245"/>
            <w:vAlign w:val="center"/>
          </w:tcPr>
          <w:p>
            <w:pPr>
              <w:pStyle w:val="TableHeader"/>
              <w:jc w:val="left"/>
            </w:pPr>
            <w:r/>
            <w:r>
              <w:t>Escalates to</w:t>
            </w:r>
          </w:p>
        </w:tc>
      </w:tr>
      <w:tr>
        <w:trPr>
          <w:cantSplit w:val="true"/>
        </w:trPr>
        <w:tc>
          <w:tcPr>
            <w:tcW w:w="1291" w:type="dxa"/>
            <w:vAlign w:val="center"/>
          </w:tcPr>
          <w:p>
            <w:pPr>
              <w:pStyle w:val="TableTextBold"/>
              <w:jc w:val="left"/>
            </w:pPr>
            <w:r/>
            <w:r>
              <w:t>1 — Verbal direction</w:t>
            </w:r>
          </w:p>
        </w:tc>
        <w:tc>
          <w:tcPr>
            <w:tcW w:w="1987" w:type="dxa"/>
            <w:vAlign w:val="center"/>
          </w:tcPr>
          <w:p>
            <w:pPr>
              <w:pStyle w:val="TableText"/>
              <w:jc w:val="left"/>
            </w:pPr>
            <w:r/>
            <w:r>
              <w:t>A minor departure from a control, corrected on the spot</w:t>
            </w:r>
          </w:p>
        </w:tc>
        <w:tc>
          <w:tcPr>
            <w:tcW w:w="2285" w:type="dxa"/>
            <w:vAlign w:val="center"/>
          </w:tcPr>
          <w:p>
            <w:pPr>
              <w:pStyle w:val="TableText"/>
              <w:jc w:val="left"/>
            </w:pPr>
            <w:r/>
            <w:r>
              <w:t>Correct immediately; confirm understanding with the worker and the supervisor</w:t>
            </w:r>
          </w:p>
        </w:tc>
        <w:tc>
          <w:tcPr>
            <w:tcW w:w="1291" w:type="dxa"/>
            <w:vAlign w:val="center"/>
          </w:tcPr>
          <w:p>
            <w:pPr>
              <w:pStyle w:val="TableText"/>
              <w:jc w:val="left"/>
            </w:pPr>
            <w:r/>
            <w:r>
              <w:t>Supervisor or Safety Manager</w:t>
            </w:r>
          </w:p>
        </w:tc>
        <w:tc>
          <w:tcPr>
            <w:tcW w:w="1490" w:type="dxa"/>
            <w:vAlign w:val="center"/>
          </w:tcPr>
          <w:p>
            <w:pPr>
              <w:pStyle w:val="TableText"/>
              <w:jc w:val="left"/>
            </w:pPr>
            <w:r/>
            <w:r>
              <w:t>Site diary; observation record</w:t>
            </w:r>
          </w:p>
        </w:tc>
        <w:tc>
          <w:tcPr>
            <w:tcW w:w="1294" w:type="dxa"/>
            <w:vAlign w:val="center"/>
          </w:tcPr>
          <w:p>
            <w:pPr>
              <w:pStyle w:val="TableText"/>
              <w:jc w:val="left"/>
            </w:pPr>
            <w:r/>
            <w:r>
              <w:t>Step 2 if repeated</w:t>
            </w:r>
          </w:p>
        </w:tc>
      </w:tr>
      <w:tr>
        <w:trPr>
          <w:cantSplit w:val="true"/>
        </w:trPr>
        <w:tc>
          <w:tcPr>
            <w:tcW w:w="1291" w:type="dxa"/>
            <w:vAlign w:val="center"/>
          </w:tcPr>
          <w:p>
            <w:pPr>
              <w:pStyle w:val="TableTextBold"/>
              <w:jc w:val="left"/>
            </w:pPr>
            <w:r/>
            <w:r>
              <w:t>2 — Written direction</w:t>
            </w:r>
          </w:p>
        </w:tc>
        <w:tc>
          <w:tcPr>
            <w:tcW w:w="1987" w:type="dxa"/>
            <w:vAlign w:val="center"/>
          </w:tcPr>
          <w:p>
            <w:pPr>
              <w:pStyle w:val="TableText"/>
              <w:jc w:val="left"/>
            </w:pPr>
            <w:r/>
            <w:r>
              <w:t>A repeated or significant departure, or a control not restored</w:t>
            </w:r>
          </w:p>
        </w:tc>
        <w:tc>
          <w:tcPr>
            <w:tcW w:w="2285" w:type="dxa"/>
            <w:vAlign w:val="center"/>
          </w:tcPr>
          <w:p>
            <w:pPr>
              <w:pStyle w:val="TableText"/>
              <w:jc w:val="left"/>
            </w:pPr>
            <w:r/>
            <w:r>
              <w:t>Written direction with the required action and a deadline; briefed to the subcontractor's management</w:t>
            </w:r>
          </w:p>
        </w:tc>
        <w:tc>
          <w:tcPr>
            <w:tcW w:w="1291" w:type="dxa"/>
            <w:vAlign w:val="center"/>
          </w:tcPr>
          <w:p>
            <w:pPr>
              <w:pStyle w:val="TableText"/>
              <w:jc w:val="left"/>
            </w:pPr>
            <w:r/>
            <w:r>
              <w:t>Site Manager</w:t>
            </w:r>
          </w:p>
        </w:tc>
        <w:tc>
          <w:tcPr>
            <w:tcW w:w="1490" w:type="dxa"/>
            <w:vAlign w:val="center"/>
          </w:tcPr>
          <w:p>
            <w:pPr>
              <w:pStyle w:val="TableText"/>
              <w:jc w:val="left"/>
            </w:pPr>
            <w:r/>
            <w:r>
              <w:t>Written direction register; corrective action raised</w:t>
            </w:r>
          </w:p>
        </w:tc>
        <w:tc>
          <w:tcPr>
            <w:tcW w:w="1294" w:type="dxa"/>
            <w:vAlign w:val="center"/>
          </w:tcPr>
          <w:p>
            <w:pPr>
              <w:pStyle w:val="TableText"/>
              <w:jc w:val="left"/>
            </w:pPr>
            <w:r/>
            <w:r>
              <w:t>Step 3 if not closed by the deadline</w:t>
            </w:r>
          </w:p>
        </w:tc>
      </w:tr>
      <w:tr>
        <w:trPr>
          <w:cantSplit w:val="true"/>
        </w:trPr>
        <w:tc>
          <w:tcPr>
            <w:tcW w:w="1291" w:type="dxa"/>
            <w:vAlign w:val="center"/>
          </w:tcPr>
          <w:p>
            <w:pPr>
              <w:pStyle w:val="TableTextBold"/>
              <w:jc w:val="left"/>
            </w:pPr>
            <w:r/>
            <w:r>
              <w:t>3 — Stop work</w:t>
            </w:r>
          </w:p>
        </w:tc>
        <w:tc>
          <w:tcPr>
            <w:tcW w:w="1987" w:type="dxa"/>
            <w:vAlign w:val="center"/>
          </w:tcPr>
          <w:p>
            <w:pPr>
              <w:pStyle w:val="TableText"/>
              <w:jc w:val="left"/>
            </w:pPr>
            <w:r/>
            <w:r>
              <w:t>An immediate risk to health or safety, or a written direction not complied with</w:t>
            </w:r>
          </w:p>
        </w:tc>
        <w:tc>
          <w:tcPr>
            <w:tcW w:w="2285" w:type="dxa"/>
            <w:vAlign w:val="center"/>
          </w:tcPr>
          <w:p>
            <w:pPr>
              <w:pStyle w:val="TableText"/>
              <w:jc w:val="left"/>
            </w:pPr>
            <w:r/>
            <w:r>
              <w:t>Work stops on the activity; restart only after inspection and written authorization</w:t>
            </w:r>
          </w:p>
        </w:tc>
        <w:tc>
          <w:tcPr>
            <w:tcW w:w="1291" w:type="dxa"/>
            <w:vAlign w:val="center"/>
          </w:tcPr>
          <w:p>
            <w:pPr>
              <w:pStyle w:val="TableText"/>
              <w:jc w:val="left"/>
            </w:pPr>
            <w:r/>
            <w:r>
              <w:t>Site Manager or Safety Manager</w:t>
            </w:r>
          </w:p>
        </w:tc>
        <w:tc>
          <w:tcPr>
            <w:tcW w:w="1490" w:type="dxa"/>
            <w:vAlign w:val="center"/>
          </w:tcPr>
          <w:p>
            <w:pPr>
              <w:pStyle w:val="TableText"/>
              <w:jc w:val="left"/>
            </w:pPr>
            <w:r/>
            <w:r>
              <w:t>Stop-work notice; corrective action; incident record</w:t>
            </w:r>
          </w:p>
        </w:tc>
        <w:tc>
          <w:tcPr>
            <w:tcW w:w="1294" w:type="dxa"/>
            <w:vAlign w:val="center"/>
          </w:tcPr>
          <w:p>
            <w:pPr>
              <w:pStyle w:val="TableText"/>
              <w:jc w:val="left"/>
            </w:pPr>
            <w:r/>
            <w:r>
              <w:t>Step 4 for a serious or repeated breach</w:t>
            </w:r>
          </w:p>
        </w:tc>
      </w:tr>
      <w:tr>
        <w:trPr>
          <w:cantSplit w:val="true"/>
        </w:trPr>
        <w:tc>
          <w:tcPr>
            <w:tcW w:w="1291" w:type="dxa"/>
            <w:vAlign w:val="center"/>
          </w:tcPr>
          <w:p>
            <w:pPr>
              <w:pStyle w:val="TableTextBold"/>
              <w:jc w:val="left"/>
            </w:pPr>
            <w:r/>
            <w:r>
              <w:t>4 — Removal from site</w:t>
            </w:r>
          </w:p>
        </w:tc>
        <w:tc>
          <w:tcPr>
            <w:tcW w:w="1987" w:type="dxa"/>
            <w:vAlign w:val="center"/>
          </w:tcPr>
          <w:p>
            <w:pPr>
              <w:pStyle w:val="TableText"/>
              <w:jc w:val="left"/>
            </w:pPr>
            <w:r/>
            <w:r>
              <w:t>A serious breach, deliberate defeat of a control, impairment, violence or harassment, or a persistent pattern after step 3</w:t>
            </w:r>
          </w:p>
        </w:tc>
        <w:tc>
          <w:tcPr>
            <w:tcW w:w="2285" w:type="dxa"/>
            <w:vAlign w:val="center"/>
          </w:tcPr>
          <w:p>
            <w:pPr>
              <w:pStyle w:val="TableText"/>
              <w:jc w:val="left"/>
            </w:pPr>
            <w:r/>
            <w:r>
              <w:t>The individual or the subcontractor is removed from the project and the contractual consequence applied</w:t>
            </w:r>
          </w:p>
        </w:tc>
        <w:tc>
          <w:tcPr>
            <w:tcW w:w="1291" w:type="dxa"/>
            <w:vAlign w:val="center"/>
          </w:tcPr>
          <w:p>
            <w:pPr>
              <w:pStyle w:val="TableText"/>
              <w:jc w:val="left"/>
            </w:pPr>
            <w:r/>
            <w:r>
              <w:t>Project Manager, Project Director informed</w:t>
            </w:r>
          </w:p>
        </w:tc>
        <w:tc>
          <w:tcPr>
            <w:tcW w:w="1490" w:type="dxa"/>
            <w:vAlign w:val="center"/>
          </w:tcPr>
          <w:p>
            <w:pPr>
              <w:pStyle w:val="TableText"/>
              <w:jc w:val="left"/>
            </w:pPr>
            <w:r/>
            <w:r>
              <w:t>Removal notice; contract file; prequalification record updated</w:t>
            </w:r>
          </w:p>
        </w:tc>
        <w:tc>
          <w:tcPr>
            <w:tcW w:w="1294" w:type="dxa"/>
            <w:vAlign w:val="center"/>
          </w:tcPr>
          <w:p>
            <w:pPr>
              <w:pStyle w:val="TableText"/>
              <w:jc w:val="left"/>
            </w:pPr>
            <w:r/>
            <w:r>
              <w:t>Contractual and, where applicable, OSHAy action</w:t>
            </w:r>
          </w:p>
        </w:tc>
      </w:tr>
    </w:tbl>
    <w:p>
      <w:pPr>
        <w:spacing w:before="0" w:after="0" w:line="60" w:lineRule="exact"/>
      </w:pPr>
    </w:p>
    <w:p>
      <w:pPr>
        <w:pStyle w:val="Heading1"/>
      </w:pPr>
      <w:bookmarkStart w:id="9080" w:name="_Toc90080"/>
      <w:r>
        <w:t>15. Monitoring, Measurement and Inspection</w:t>
      </w:r>
      <w:bookmarkEnd w:id="9080"/>
    </w:p>
    <w:p>
      <w:pPr>
        <w:pStyle w:val="BodyLead"/>
      </w:pPr>
      <w:r>
        <w:t>Measure the things that predict harm, not only the things that record it. A project with a low injury rate and no inspections, no near-miss reports and no closed actions is not safe; it is uninformed.</w:t>
      </w:r>
    </w:p>
    <w:p>
      <w:pPr>
        <w:pStyle w:val="Heading2"/>
      </w:pPr>
      <w:bookmarkStart w:id="9081" w:name="_Toc90081"/>
      <w:r>
        <w:t>15.1 Inspection and audit schedule</w:t>
      </w:r>
      <w:bookmarkEnd w:id="9081"/>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437"/>
        <w:gridCol w:w="1772"/>
        <w:gridCol w:w="1772"/>
        <w:gridCol w:w="1883"/>
        <w:gridCol w:w="1774"/>
      </w:tblGrid>
      <w:tr>
        <w:trPr>
          <w:tblHeader w:val="true"/>
          <w:cantSplit w:val="true"/>
        </w:trPr>
        <w:tc>
          <w:tcPr>
            <w:tcW w:w="2437" w:type="dxa"/>
            <w:shd w:val="clear" w:color="auto" w:fill="1D3245"/>
            <w:vAlign w:val="center"/>
          </w:tcPr>
          <w:p>
            <w:pPr>
              <w:pStyle w:val="TableHeader"/>
              <w:jc w:val="left"/>
            </w:pPr>
            <w:r/>
            <w:r>
              <w:t>Activity</w:t>
            </w:r>
          </w:p>
        </w:tc>
        <w:tc>
          <w:tcPr>
            <w:tcW w:w="1772" w:type="dxa"/>
            <w:shd w:val="clear" w:color="auto" w:fill="1D3245"/>
            <w:vAlign w:val="center"/>
          </w:tcPr>
          <w:p>
            <w:pPr>
              <w:pStyle w:val="TableHeader"/>
              <w:jc w:val="left"/>
            </w:pPr>
            <w:r/>
            <w:r>
              <w:t>Frequency</w:t>
            </w:r>
          </w:p>
        </w:tc>
        <w:tc>
          <w:tcPr>
            <w:tcW w:w="1772" w:type="dxa"/>
            <w:shd w:val="clear" w:color="auto" w:fill="1D3245"/>
            <w:vAlign w:val="center"/>
          </w:tcPr>
          <w:p>
            <w:pPr>
              <w:pStyle w:val="TableHeader"/>
              <w:jc w:val="left"/>
            </w:pPr>
            <w:r/>
            <w:r>
              <w:t>By whom</w:t>
            </w:r>
          </w:p>
        </w:tc>
        <w:tc>
          <w:tcPr>
            <w:tcW w:w="1883" w:type="dxa"/>
            <w:shd w:val="clear" w:color="auto" w:fill="1D3245"/>
            <w:vAlign w:val="center"/>
          </w:tcPr>
          <w:p>
            <w:pPr>
              <w:pStyle w:val="TableHeader"/>
              <w:jc w:val="left"/>
            </w:pPr>
            <w:r/>
            <w:r>
              <w:t>Record</w:t>
            </w:r>
          </w:p>
        </w:tc>
        <w:tc>
          <w:tcPr>
            <w:tcW w:w="1774" w:type="dxa"/>
            <w:shd w:val="clear" w:color="auto" w:fill="1D3245"/>
            <w:vAlign w:val="center"/>
          </w:tcPr>
          <w:p>
            <w:pPr>
              <w:pStyle w:val="TableHeader"/>
              <w:jc w:val="left"/>
            </w:pPr>
            <w:r/>
            <w:r>
              <w:t>Escalation if a finding is not closed</w:t>
            </w:r>
          </w:p>
        </w:tc>
      </w:tr>
      <w:tr>
        <w:trPr>
          <w:cantSplit w:val="true"/>
        </w:trPr>
        <w:tc>
          <w:tcPr>
            <w:tcW w:w="2437" w:type="dxa"/>
            <w:vAlign w:val="center"/>
          </w:tcPr>
          <w:p>
            <w:pPr>
              <w:pStyle w:val="TableTextBold"/>
              <w:jc w:val="left"/>
            </w:pPr>
            <w:r/>
            <w:r>
              <w:t>Daily pre-start briefing and point-of-work check</w:t>
            </w:r>
          </w:p>
        </w:tc>
        <w:tc>
          <w:tcPr>
            <w:tcW w:w="1772" w:type="dxa"/>
            <w:vAlign w:val="center"/>
          </w:tcPr>
          <w:p>
            <w:pPr>
              <w:pStyle w:val="TableText"/>
              <w:jc w:val="left"/>
            </w:pPr>
            <w:r/>
            <w:r>
              <w:t>Every shift</w:t>
            </w:r>
          </w:p>
        </w:tc>
        <w:tc>
          <w:tcPr>
            <w:tcW w:w="1772" w:type="dxa"/>
            <w:vAlign w:val="center"/>
          </w:tcPr>
          <w:p>
            <w:pPr>
              <w:pStyle w:val="TableText"/>
              <w:jc w:val="left"/>
            </w:pPr>
            <w:r/>
            <w:r>
              <w:t>Supervisor</w:t>
            </w:r>
          </w:p>
        </w:tc>
        <w:tc>
          <w:tcPr>
            <w:tcW w:w="1883" w:type="dxa"/>
            <w:vAlign w:val="center"/>
          </w:tcPr>
          <w:p>
            <w:pPr>
              <w:pStyle w:val="TableText"/>
              <w:jc w:val="left"/>
            </w:pPr>
            <w:r/>
            <w:r>
              <w:t>Pre-start register; site diary</w:t>
            </w:r>
          </w:p>
        </w:tc>
        <w:tc>
          <w:tcPr>
            <w:tcW w:w="1774" w:type="dxa"/>
            <w:vAlign w:val="center"/>
          </w:tcPr>
          <w:p>
            <w:pPr>
              <w:pStyle w:val="TableText"/>
              <w:jc w:val="left"/>
            </w:pPr>
            <w:r/>
            <w:r>
              <w:t>Site Manager same shift</w:t>
            </w:r>
          </w:p>
        </w:tc>
      </w:tr>
      <w:tr>
        <w:trPr>
          <w:cantSplit w:val="true"/>
        </w:trPr>
        <w:tc>
          <w:tcPr>
            <w:tcW w:w="2437" w:type="dxa"/>
            <w:vAlign w:val="center"/>
          </w:tcPr>
          <w:p>
            <w:pPr>
              <w:pStyle w:val="TableTextBold"/>
              <w:jc w:val="left"/>
            </w:pPr>
            <w:r/>
            <w:r>
              <w:t>Equipment pre-start inspection</w:t>
            </w:r>
          </w:p>
        </w:tc>
        <w:tc>
          <w:tcPr>
            <w:tcW w:w="1772" w:type="dxa"/>
            <w:vAlign w:val="center"/>
          </w:tcPr>
          <w:p>
            <w:pPr>
              <w:pStyle w:val="TableText"/>
              <w:jc w:val="left"/>
            </w:pPr>
            <w:r/>
            <w:r>
              <w:t>Every shift, per item</w:t>
            </w:r>
          </w:p>
        </w:tc>
        <w:tc>
          <w:tcPr>
            <w:tcW w:w="1772" w:type="dxa"/>
            <w:vAlign w:val="center"/>
          </w:tcPr>
          <w:p>
            <w:pPr>
              <w:pStyle w:val="TableText"/>
              <w:jc w:val="left"/>
            </w:pPr>
            <w:r/>
            <w:r>
              <w:t>Operator, checked by supervisor</w:t>
            </w:r>
          </w:p>
        </w:tc>
        <w:tc>
          <w:tcPr>
            <w:tcW w:w="1883" w:type="dxa"/>
            <w:vAlign w:val="center"/>
          </w:tcPr>
          <w:p>
            <w:pPr>
              <w:pStyle w:val="TableText"/>
              <w:jc w:val="left"/>
            </w:pPr>
            <w:r/>
            <w:r>
              <w:t>Pre-start book in the machine</w:t>
            </w:r>
          </w:p>
        </w:tc>
        <w:tc>
          <w:tcPr>
            <w:tcW w:w="1774" w:type="dxa"/>
            <w:vAlign w:val="center"/>
          </w:tcPr>
          <w:p>
            <w:pPr>
              <w:pStyle w:val="TableText"/>
              <w:jc w:val="left"/>
            </w:pPr>
            <w:r/>
            <w:r>
              <w:t>Equipment tagged out; Site Manager notified</w:t>
            </w:r>
          </w:p>
        </w:tc>
      </w:tr>
      <w:tr>
        <w:trPr>
          <w:cantSplit w:val="true"/>
        </w:trPr>
        <w:tc>
          <w:tcPr>
            <w:tcW w:w="2437" w:type="dxa"/>
            <w:vAlign w:val="center"/>
          </w:tcPr>
          <w:p>
            <w:pPr>
              <w:pStyle w:val="TableTextBold"/>
              <w:jc w:val="left"/>
            </w:pPr>
            <w:r/>
            <w:r>
              <w:t>Supervisor verification of JHA controls at the work face</w:t>
            </w:r>
          </w:p>
        </w:tc>
        <w:tc>
          <w:tcPr>
            <w:tcW w:w="1772" w:type="dxa"/>
            <w:vAlign w:val="center"/>
          </w:tcPr>
          <w:p>
            <w:pPr>
              <w:pStyle w:val="TableText"/>
              <w:jc w:val="left"/>
            </w:pPr>
            <w:r/>
            <w:r>
              <w:t>Every shift, every high-hazard activity</w:t>
            </w:r>
          </w:p>
        </w:tc>
        <w:tc>
          <w:tcPr>
            <w:tcW w:w="1772" w:type="dxa"/>
            <w:vAlign w:val="center"/>
          </w:tcPr>
          <w:p>
            <w:pPr>
              <w:pStyle w:val="TableText"/>
              <w:jc w:val="left"/>
            </w:pPr>
            <w:r/>
            <w:r>
              <w:t>Supervisor</w:t>
            </w:r>
          </w:p>
        </w:tc>
        <w:tc>
          <w:tcPr>
            <w:tcW w:w="1883" w:type="dxa"/>
            <w:vAlign w:val="center"/>
          </w:tcPr>
          <w:p>
            <w:pPr>
              <w:pStyle w:val="TableText"/>
              <w:jc w:val="left"/>
            </w:pPr>
            <w:r/>
            <w:r>
              <w:t>Verification record on the pre-start</w:t>
            </w:r>
          </w:p>
        </w:tc>
        <w:tc>
          <w:tcPr>
            <w:tcW w:w="1774" w:type="dxa"/>
            <w:vAlign w:val="center"/>
          </w:tcPr>
          <w:p>
            <w:pPr>
              <w:pStyle w:val="TableText"/>
              <w:jc w:val="left"/>
            </w:pPr>
            <w:r/>
            <w:r>
              <w:t>Work stops; Safety Manager attends</w:t>
            </w:r>
          </w:p>
        </w:tc>
      </w:tr>
      <w:tr>
        <w:trPr>
          <w:cantSplit w:val="true"/>
        </w:trPr>
        <w:tc>
          <w:tcPr>
            <w:tcW w:w="2437" w:type="dxa"/>
            <w:vAlign w:val="center"/>
          </w:tcPr>
          <w:p>
            <w:pPr>
              <w:pStyle w:val="TableTextBold"/>
              <w:jc w:val="left"/>
            </w:pPr>
            <w:r/>
            <w:r>
              <w:t>Workplace inspection of a defined area against a checklist</w:t>
            </w:r>
          </w:p>
        </w:tc>
        <w:tc>
          <w:tcPr>
            <w:tcW w:w="1772" w:type="dxa"/>
            <w:vAlign w:val="center"/>
          </w:tcPr>
          <w:p>
            <w:pPr>
              <w:pStyle w:val="TableText"/>
              <w:jc w:val="left"/>
            </w:pPr>
            <w:r/>
            <w:r>
              <w:t>Weekly, rotating so the whole site is covered monthly</w:t>
            </w:r>
          </w:p>
        </w:tc>
        <w:tc>
          <w:tcPr>
            <w:tcW w:w="1772" w:type="dxa"/>
            <w:vAlign w:val="center"/>
          </w:tcPr>
          <w:p>
            <w:pPr>
              <w:pStyle w:val="TableText"/>
              <w:jc w:val="left"/>
            </w:pPr>
            <w:r/>
            <w:r>
              <w:t>Site Manager with the WORKER REPRESENTATIVE and a subcontractor representative</w:t>
            </w:r>
          </w:p>
        </w:tc>
        <w:tc>
          <w:tcPr>
            <w:tcW w:w="1883" w:type="dxa"/>
            <w:vAlign w:val="center"/>
          </w:tcPr>
          <w:p>
            <w:pPr>
              <w:pStyle w:val="TableText"/>
              <w:jc w:val="left"/>
            </w:pPr>
            <w:r/>
            <w:r>
              <w:t>Inspection report with findings, owners and dates</w:t>
            </w:r>
          </w:p>
        </w:tc>
        <w:tc>
          <w:tcPr>
            <w:tcW w:w="1774" w:type="dxa"/>
            <w:vAlign w:val="center"/>
          </w:tcPr>
          <w:p>
            <w:pPr>
              <w:pStyle w:val="TableText"/>
              <w:jc w:val="left"/>
            </w:pPr>
            <w:r/>
            <w:r>
              <w:t>Overdue findings to the safety committee</w:t>
            </w:r>
          </w:p>
        </w:tc>
      </w:tr>
      <w:tr>
        <w:trPr>
          <w:cantSplit w:val="true"/>
        </w:trPr>
        <w:tc>
          <w:tcPr>
            <w:tcW w:w="2437" w:type="dxa"/>
            <w:vAlign w:val="center"/>
          </w:tcPr>
          <w:p>
            <w:pPr>
              <w:pStyle w:val="TableTextBold"/>
              <w:jc w:val="left"/>
            </w:pPr>
            <w:r/>
            <w:r>
              <w:t>Height safety, scaffold and edge protection inspection</w:t>
            </w:r>
          </w:p>
        </w:tc>
        <w:tc>
          <w:tcPr>
            <w:tcW w:w="1772" w:type="dxa"/>
            <w:vAlign w:val="center"/>
          </w:tcPr>
          <w:p>
            <w:pPr>
              <w:pStyle w:val="TableText"/>
              <w:jc w:val="left"/>
            </w:pPr>
            <w:r/>
            <w:r>
              <w:t>Weekly, and after any alteration or severe weather</w:t>
            </w:r>
          </w:p>
        </w:tc>
        <w:tc>
          <w:tcPr>
            <w:tcW w:w="1772" w:type="dxa"/>
            <w:vAlign w:val="center"/>
          </w:tcPr>
          <w:p>
            <w:pPr>
              <w:pStyle w:val="TableText"/>
              <w:jc w:val="left"/>
            </w:pPr>
            <w:r/>
            <w:r>
              <w:t>Competent person</w:t>
            </w:r>
          </w:p>
        </w:tc>
        <w:tc>
          <w:tcPr>
            <w:tcW w:w="1883" w:type="dxa"/>
            <w:vAlign w:val="center"/>
          </w:tcPr>
          <w:p>
            <w:pPr>
              <w:pStyle w:val="TableText"/>
              <w:jc w:val="left"/>
            </w:pPr>
            <w:r/>
            <w:r>
              <w:t>Scaftag; inspection register</w:t>
            </w:r>
          </w:p>
        </w:tc>
        <w:tc>
          <w:tcPr>
            <w:tcW w:w="1774" w:type="dxa"/>
            <w:vAlign w:val="center"/>
          </w:tcPr>
          <w:p>
            <w:pPr>
              <w:pStyle w:val="TableText"/>
              <w:jc w:val="left"/>
            </w:pPr>
            <w:r/>
            <w:r>
              <w:t>Access prohibited until corrected</w:t>
            </w:r>
          </w:p>
        </w:tc>
      </w:tr>
      <w:tr>
        <w:trPr>
          <w:cantSplit w:val="true"/>
        </w:trPr>
        <w:tc>
          <w:tcPr>
            <w:tcW w:w="2437" w:type="dxa"/>
            <w:vAlign w:val="center"/>
          </w:tcPr>
          <w:p>
            <w:pPr>
              <w:pStyle w:val="TableTextBold"/>
              <w:jc w:val="left"/>
            </w:pPr>
            <w:r/>
            <w:r>
              <w:t>Excavation and shoring inspection</w:t>
            </w:r>
          </w:p>
        </w:tc>
        <w:tc>
          <w:tcPr>
            <w:tcW w:w="1772" w:type="dxa"/>
            <w:vAlign w:val="center"/>
          </w:tcPr>
          <w:p>
            <w:pPr>
              <w:pStyle w:val="TableText"/>
              <w:jc w:val="left"/>
            </w:pPr>
            <w:r/>
            <w:r>
              <w:t>Each shift before entry, after rain and after nearby vibration</w:t>
            </w:r>
          </w:p>
        </w:tc>
        <w:tc>
          <w:tcPr>
            <w:tcW w:w="1772" w:type="dxa"/>
            <w:vAlign w:val="center"/>
          </w:tcPr>
          <w:p>
            <w:pPr>
              <w:pStyle w:val="TableText"/>
              <w:jc w:val="left"/>
            </w:pPr>
            <w:r/>
            <w:r>
              <w:t>Competent person</w:t>
            </w:r>
          </w:p>
        </w:tc>
        <w:tc>
          <w:tcPr>
            <w:tcW w:w="1883" w:type="dxa"/>
            <w:vAlign w:val="center"/>
          </w:tcPr>
          <w:p>
            <w:pPr>
              <w:pStyle w:val="TableText"/>
              <w:jc w:val="left"/>
            </w:pPr>
            <w:r/>
            <w:r>
              <w:t>Excavation permit and inspection log</w:t>
            </w:r>
          </w:p>
        </w:tc>
        <w:tc>
          <w:tcPr>
            <w:tcW w:w="1774" w:type="dxa"/>
            <w:vAlign w:val="center"/>
          </w:tcPr>
          <w:p>
            <w:pPr>
              <w:pStyle w:val="TableText"/>
              <w:jc w:val="left"/>
            </w:pPr>
            <w:r/>
            <w:r>
              <w:t>Excavation closed; engineer attends</w:t>
            </w:r>
          </w:p>
        </w:tc>
      </w:tr>
      <w:tr>
        <w:trPr>
          <w:cantSplit w:val="true"/>
        </w:trPr>
        <w:tc>
          <w:tcPr>
            <w:tcW w:w="2437" w:type="dxa"/>
            <w:vAlign w:val="center"/>
          </w:tcPr>
          <w:p>
            <w:pPr>
              <w:pStyle w:val="TableTextBold"/>
              <w:jc w:val="left"/>
            </w:pPr>
            <w:r/>
            <w:r>
              <w:t>Electrical inspection and tagging audit; emergency equipment and first aid audit</w:t>
            </w:r>
          </w:p>
        </w:tc>
        <w:tc>
          <w:tcPr>
            <w:tcW w:w="1772" w:type="dxa"/>
            <w:vAlign w:val="center"/>
          </w:tcPr>
          <w:p>
            <w:pPr>
              <w:pStyle w:val="TableText"/>
              <w:jc w:val="left"/>
            </w:pPr>
            <w:r/>
            <w:r>
              <w:t>Monthly</w:t>
            </w:r>
          </w:p>
        </w:tc>
        <w:tc>
          <w:tcPr>
            <w:tcW w:w="1772" w:type="dxa"/>
            <w:vAlign w:val="center"/>
          </w:tcPr>
          <w:p>
            <w:pPr>
              <w:pStyle w:val="TableText"/>
              <w:jc w:val="left"/>
            </w:pPr>
            <w:r/>
            <w:r>
              <w:t>Licensed electrician; Safety Manager</w:t>
            </w:r>
          </w:p>
        </w:tc>
        <w:tc>
          <w:tcPr>
            <w:tcW w:w="1883" w:type="dxa"/>
            <w:vAlign w:val="center"/>
          </w:tcPr>
          <w:p>
            <w:pPr>
              <w:pStyle w:val="TableText"/>
              <w:jc w:val="left"/>
            </w:pPr>
            <w:r/>
            <w:r>
              <w:t>Inspection and tagging register; equipment register</w:t>
            </w:r>
          </w:p>
        </w:tc>
        <w:tc>
          <w:tcPr>
            <w:tcW w:w="1774" w:type="dxa"/>
            <w:vAlign w:val="center"/>
          </w:tcPr>
          <w:p>
            <w:pPr>
              <w:pStyle w:val="TableText"/>
              <w:jc w:val="left"/>
            </w:pPr>
            <w:r/>
            <w:r>
              <w:t>Non-compliant items removed the same day</w:t>
            </w:r>
          </w:p>
        </w:tc>
      </w:tr>
      <w:tr>
        <w:trPr>
          <w:cantSplit w:val="true"/>
        </w:trPr>
        <w:tc>
          <w:tcPr>
            <w:tcW w:w="2437" w:type="dxa"/>
            <w:vAlign w:val="center"/>
          </w:tcPr>
          <w:p>
            <w:pPr>
              <w:pStyle w:val="TableTextBold"/>
              <w:jc w:val="left"/>
            </w:pPr>
            <w:r/>
            <w:r>
              <w:t>Internal audit against this plan and ISO 45001</w:t>
            </w:r>
          </w:p>
        </w:tc>
        <w:tc>
          <w:tcPr>
            <w:tcW w:w="1772" w:type="dxa"/>
            <w:vAlign w:val="center"/>
          </w:tcPr>
          <w:p>
            <w:pPr>
              <w:pStyle w:val="TableText"/>
              <w:jc w:val="left"/>
            </w:pPr>
            <w:r/>
            <w:r>
              <w:t>Quarterly, and within one month of site establishment</w:t>
            </w:r>
          </w:p>
        </w:tc>
        <w:tc>
          <w:tcPr>
            <w:tcW w:w="1772" w:type="dxa"/>
            <w:vAlign w:val="center"/>
          </w:tcPr>
          <w:p>
            <w:pPr>
              <w:pStyle w:val="TableText"/>
              <w:jc w:val="left"/>
            </w:pPr>
            <w:r/>
            <w:r>
              <w:t>Independent auditor from outside the project team</w:t>
            </w:r>
          </w:p>
        </w:tc>
        <w:tc>
          <w:tcPr>
            <w:tcW w:w="1883" w:type="dxa"/>
            <w:vAlign w:val="center"/>
          </w:tcPr>
          <w:p>
            <w:pPr>
              <w:pStyle w:val="TableText"/>
              <w:jc w:val="left"/>
            </w:pPr>
            <w:r/>
            <w:r>
              <w:t>Audit report with nonconformances and observations</w:t>
            </w:r>
          </w:p>
        </w:tc>
        <w:tc>
          <w:tcPr>
            <w:tcW w:w="1774" w:type="dxa"/>
            <w:vAlign w:val="center"/>
          </w:tcPr>
          <w:p>
            <w:pPr>
              <w:pStyle w:val="TableText"/>
              <w:jc w:val="left"/>
            </w:pPr>
            <w:r/>
            <w:r>
              <w:t>Nonconformances to management review</w:t>
            </w:r>
          </w:p>
        </w:tc>
      </w:tr>
      <w:tr>
        <w:trPr>
          <w:cantSplit w:val="true"/>
        </w:trPr>
        <w:tc>
          <w:tcPr>
            <w:tcW w:w="2437" w:type="dxa"/>
            <w:vAlign w:val="center"/>
          </w:tcPr>
          <w:p>
            <w:pPr>
              <w:pStyle w:val="TableTextBold"/>
              <w:jc w:val="left"/>
            </w:pPr>
            <w:r/>
            <w:r>
              <w:t>Subcontractor performance review; Owner or third-party audit</w:t>
            </w:r>
          </w:p>
        </w:tc>
        <w:tc>
          <w:tcPr>
            <w:tcW w:w="1772" w:type="dxa"/>
            <w:vAlign w:val="center"/>
          </w:tcPr>
          <w:p>
            <w:pPr>
              <w:pStyle w:val="TableText"/>
              <w:jc w:val="left"/>
            </w:pPr>
            <w:r/>
            <w:r>
              <w:t>Monthly; and as the contract requires</w:t>
            </w:r>
          </w:p>
        </w:tc>
        <w:tc>
          <w:tcPr>
            <w:tcW w:w="1772" w:type="dxa"/>
            <w:vAlign w:val="center"/>
          </w:tcPr>
          <w:p>
            <w:pPr>
              <w:pStyle w:val="TableText"/>
              <w:jc w:val="left"/>
            </w:pPr>
            <w:r/>
            <w:r>
              <w:t>Safety Manager and Site Manager; Owner safety representative or an independent auditor</w:t>
            </w:r>
          </w:p>
        </w:tc>
        <w:tc>
          <w:tcPr>
            <w:tcW w:w="1883" w:type="dxa"/>
            <w:vAlign w:val="center"/>
          </w:tcPr>
          <w:p>
            <w:pPr>
              <w:pStyle w:val="TableText"/>
              <w:jc w:val="left"/>
            </w:pPr>
            <w:r/>
            <w:r>
              <w:t>Performance scorecard; audit report</w:t>
            </w:r>
          </w:p>
        </w:tc>
        <w:tc>
          <w:tcPr>
            <w:tcW w:w="1774" w:type="dxa"/>
            <w:vAlign w:val="center"/>
          </w:tcPr>
          <w:p>
            <w:pPr>
              <w:pStyle w:val="TableText"/>
              <w:jc w:val="left"/>
            </w:pPr>
            <w:r/>
            <w:r>
              <w:t>Escalation ladder 14.4; corrective action register</w:t>
            </w:r>
          </w:p>
        </w:tc>
      </w:tr>
      <w:tr>
        <w:trPr>
          <w:cantSplit w:val="true"/>
        </w:trPr>
        <w:tc>
          <w:tcPr>
            <w:tcW w:w="2437" w:type="dxa"/>
            <w:vAlign w:val="center"/>
          </w:tcPr>
          <w:p>
            <w:pPr>
              <w:pStyle w:val="TableTextBold"/>
              <w:jc w:val="left"/>
            </w:pPr>
            <w:r/>
            <w:r>
              <w:t>Health, noise, dust and atmospheric monitoring</w:t>
            </w:r>
          </w:p>
        </w:tc>
        <w:tc>
          <w:tcPr>
            <w:tcW w:w="1772" w:type="dxa"/>
            <w:vAlign w:val="center"/>
          </w:tcPr>
          <w:p>
            <w:pPr>
              <w:pStyle w:val="TableText"/>
              <w:jc w:val="left"/>
            </w:pPr>
            <w:r/>
            <w:r>
              <w:t>As the exposure determines, and on any change of method</w:t>
            </w:r>
          </w:p>
        </w:tc>
        <w:tc>
          <w:tcPr>
            <w:tcW w:w="1772" w:type="dxa"/>
            <w:vAlign w:val="center"/>
          </w:tcPr>
          <w:p>
            <w:pPr>
              <w:pStyle w:val="TableText"/>
              <w:jc w:val="left"/>
            </w:pPr>
            <w:r/>
            <w:r>
              <w:t>Independent occupational hygienist</w:t>
            </w:r>
          </w:p>
        </w:tc>
        <w:tc>
          <w:tcPr>
            <w:tcW w:w="1883" w:type="dxa"/>
            <w:vAlign w:val="center"/>
          </w:tcPr>
          <w:p>
            <w:pPr>
              <w:pStyle w:val="TableText"/>
              <w:jc w:val="left"/>
            </w:pPr>
            <w:r/>
            <w:r>
              <w:t>Monitoring report; de-identified summary to the project</w:t>
            </w:r>
          </w:p>
        </w:tc>
        <w:tc>
          <w:tcPr>
            <w:tcW w:w="1774" w:type="dxa"/>
            <w:vAlign w:val="center"/>
          </w:tcPr>
          <w:p>
            <w:pPr>
              <w:pStyle w:val="TableText"/>
              <w:jc w:val="left"/>
            </w:pPr>
            <w:r/>
            <w:r>
              <w:t>Controls revised before work continues</w:t>
            </w:r>
          </w:p>
        </w:tc>
      </w:tr>
      <w:tr>
        <w:trPr>
          <w:cantSplit w:val="true"/>
        </w:trPr>
        <w:tc>
          <w:tcPr>
            <w:tcW w:w="2437" w:type="dxa"/>
            <w:vAlign w:val="center"/>
          </w:tcPr>
          <w:p>
            <w:pPr>
              <w:pStyle w:val="TableTextBold"/>
              <w:jc w:val="left"/>
            </w:pPr>
            <w:r/>
            <w:r>
              <w:t>Management review</w:t>
            </w:r>
          </w:p>
        </w:tc>
        <w:tc>
          <w:tcPr>
            <w:tcW w:w="1772" w:type="dxa"/>
            <w:vAlign w:val="center"/>
          </w:tcPr>
          <w:p>
            <w:pPr>
              <w:pStyle w:val="TableText"/>
              <w:jc w:val="left"/>
            </w:pPr>
            <w:r/>
            <w:r>
              <w:t>Six-monthly, and after any serious incident</w:t>
            </w:r>
          </w:p>
        </w:tc>
        <w:tc>
          <w:tcPr>
            <w:tcW w:w="1772" w:type="dxa"/>
            <w:vAlign w:val="center"/>
          </w:tcPr>
          <w:p>
            <w:pPr>
              <w:pStyle w:val="TableText"/>
              <w:jc w:val="left"/>
            </w:pPr>
            <w:r/>
            <w:r>
              <w:t>Project Director with senior management</w:t>
            </w:r>
          </w:p>
        </w:tc>
        <w:tc>
          <w:tcPr>
            <w:tcW w:w="1883" w:type="dxa"/>
            <w:vAlign w:val="center"/>
          </w:tcPr>
          <w:p>
            <w:pPr>
              <w:pStyle w:val="TableText"/>
              <w:jc w:val="left"/>
            </w:pPr>
            <w:r/>
            <w:r>
              <w:t>Minutes with decisions and resource commitments</w:t>
            </w:r>
          </w:p>
        </w:tc>
        <w:tc>
          <w:tcPr>
            <w:tcW w:w="1774" w:type="dxa"/>
            <w:vAlign w:val="center"/>
          </w:tcPr>
          <w:p>
            <w:pPr>
              <w:pStyle w:val="TableText"/>
              <w:jc w:val="left"/>
            </w:pPr>
            <w:r/>
            <w:r>
              <w:t>Board reporting</w:t>
            </w:r>
          </w:p>
        </w:tc>
      </w:tr>
    </w:tbl>
    <w:p>
      <w:pPr>
        <w:spacing w:before="0" w:after="0" w:line="60" w:lineRule="exact"/>
      </w:pPr>
    </w:p>
    <w:p>
      <w:pPr>
        <w:pStyle w:val="Heading2"/>
      </w:pPr>
      <w:bookmarkStart w:id="9082" w:name="_Toc90082"/>
      <w:r>
        <w:t>15.2 Leading and lagging indicators</w:t>
      </w:r>
      <w:bookmarkEnd w:id="9082"/>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996"/>
        <w:gridCol w:w="912"/>
        <w:gridCol w:w="2965"/>
        <w:gridCol w:w="1311"/>
        <w:gridCol w:w="1197"/>
        <w:gridCol w:w="1257"/>
      </w:tblGrid>
      <w:tr>
        <w:trPr>
          <w:tblHeader w:val="true"/>
          <w:cantSplit w:val="true"/>
        </w:trPr>
        <w:tc>
          <w:tcPr>
            <w:tcW w:w="1996" w:type="dxa"/>
            <w:shd w:val="clear" w:color="auto" w:fill="1D3245"/>
            <w:vAlign w:val="center"/>
          </w:tcPr>
          <w:p>
            <w:pPr>
              <w:pStyle w:val="TableHeader"/>
              <w:jc w:val="left"/>
            </w:pPr>
            <w:r/>
            <w:r>
              <w:t>Indicator</w:t>
            </w:r>
          </w:p>
        </w:tc>
        <w:tc>
          <w:tcPr>
            <w:tcW w:w="912" w:type="dxa"/>
            <w:shd w:val="clear" w:color="auto" w:fill="1D3245"/>
            <w:vAlign w:val="center"/>
          </w:tcPr>
          <w:p>
            <w:pPr>
              <w:pStyle w:val="TableHeader"/>
              <w:jc w:val="center"/>
            </w:pPr>
            <w:r/>
            <w:r>
              <w:t>Type</w:t>
            </w:r>
          </w:p>
        </w:tc>
        <w:tc>
          <w:tcPr>
            <w:tcW w:w="2965" w:type="dxa"/>
            <w:shd w:val="clear" w:color="auto" w:fill="1D3245"/>
            <w:vAlign w:val="center"/>
          </w:tcPr>
          <w:p>
            <w:pPr>
              <w:pStyle w:val="TableHeader"/>
              <w:jc w:val="left"/>
            </w:pPr>
            <w:r/>
            <w:r>
              <w:t>Definition or formula</w:t>
            </w:r>
          </w:p>
        </w:tc>
        <w:tc>
          <w:tcPr>
            <w:tcW w:w="1311" w:type="dxa"/>
            <w:shd w:val="clear" w:color="auto" w:fill="1D3245"/>
            <w:vAlign w:val="center"/>
          </w:tcPr>
          <w:p>
            <w:pPr>
              <w:pStyle w:val="TableHeader"/>
              <w:jc w:val="center"/>
            </w:pPr>
            <w:r/>
            <w:r>
              <w:t>Target</w:t>
            </w:r>
          </w:p>
        </w:tc>
        <w:tc>
          <w:tcPr>
            <w:tcW w:w="1197" w:type="dxa"/>
            <w:shd w:val="clear" w:color="auto" w:fill="1D3245"/>
            <w:vAlign w:val="center"/>
          </w:tcPr>
          <w:p>
            <w:pPr>
              <w:pStyle w:val="TableHeader"/>
              <w:jc w:val="left"/>
            </w:pPr>
            <w:r/>
            <w:r>
              <w:t>Frequency</w:t>
            </w:r>
          </w:p>
        </w:tc>
        <w:tc>
          <w:tcPr>
            <w:tcW w:w="1257" w:type="dxa"/>
            <w:shd w:val="clear" w:color="auto" w:fill="1D3245"/>
            <w:vAlign w:val="center"/>
          </w:tcPr>
          <w:p>
            <w:pPr>
              <w:pStyle w:val="TableHeader"/>
              <w:jc w:val="left"/>
            </w:pPr>
            <w:r/>
            <w:r>
              <w:t>Owner</w:t>
            </w:r>
          </w:p>
        </w:tc>
      </w:tr>
      <w:tr>
        <w:trPr>
          <w:cantSplit w:val="true"/>
        </w:trPr>
        <w:tc>
          <w:tcPr>
            <w:tcW w:w="1996" w:type="dxa"/>
            <w:vAlign w:val="center"/>
          </w:tcPr>
          <w:p>
            <w:pPr>
              <w:pStyle w:val="TableTextBold"/>
              <w:jc w:val="left"/>
            </w:pPr>
            <w:r/>
            <w:r>
              <w:t>Lost time injury frequency rate (LTIFR)</w:t>
            </w:r>
          </w:p>
        </w:tc>
        <w:tc>
          <w:tcPr>
            <w:tcW w:w="912" w:type="dxa"/>
            <w:vAlign w:val="center"/>
          </w:tcPr>
          <w:p>
            <w:pPr>
              <w:pStyle w:val="TableTextCentre"/>
              <w:jc w:val="center"/>
            </w:pPr>
            <w:r/>
            <w:r>
              <w:t>Lagging</w:t>
            </w:r>
          </w:p>
        </w:tc>
        <w:tc>
          <w:tcPr>
            <w:tcW w:w="2965" w:type="dxa"/>
            <w:vAlign w:val="center"/>
          </w:tcPr>
          <w:p>
            <w:pPr>
              <w:pStyle w:val="TableText"/>
              <w:jc w:val="left"/>
            </w:pPr>
            <w:r/>
            <w:r>
              <w:t>LTIFR = lost time injuries × 1,000,000 ÷ hours worked. State the hours denominator and whether it includes subcontractors</w:t>
            </w:r>
          </w:p>
        </w:tc>
        <w:tc>
          <w:tcPr>
            <w:tcW w:w="1311" w:type="dxa"/>
            <w:vAlign w:val="center"/>
          </w:tcPr>
          <w:p>
            <w:pPr>
              <w:pStyle w:val="TableTextCentre"/>
              <w:jc w:val="center"/>
            </w:pPr>
            <w:r/>
            <w:r>
              <w:t>0</w:t>
            </w:r>
          </w:p>
        </w:tc>
        <w:tc>
          <w:tcPr>
            <w:tcW w:w="1197" w:type="dxa"/>
            <w:vAlign w:val="center"/>
          </w:tcPr>
          <w:p>
            <w:pPr>
              <w:pStyle w:val="TableText"/>
              <w:jc w:val="left"/>
            </w:pPr>
            <w:r/>
            <w:r>
              <w:t>Monthly</w:t>
            </w:r>
          </w:p>
        </w:tc>
        <w:tc>
          <w:tcPr>
            <w:tcW w:w="1257" w:type="dxa"/>
            <w:vAlign w:val="center"/>
          </w:tcPr>
          <w:p>
            <w:pPr>
              <w:pStyle w:val="TableText"/>
              <w:jc w:val="left"/>
            </w:pPr>
            <w:r/>
            <w:r>
              <w:t>Safety Manager</w:t>
            </w:r>
          </w:p>
        </w:tc>
      </w:tr>
      <w:tr>
        <w:trPr>
          <w:cantSplit w:val="true"/>
        </w:trPr>
        <w:tc>
          <w:tcPr>
            <w:tcW w:w="1996" w:type="dxa"/>
            <w:vAlign w:val="center"/>
          </w:tcPr>
          <w:p>
            <w:pPr>
              <w:pStyle w:val="TableTextBold"/>
              <w:jc w:val="left"/>
            </w:pPr>
            <w:r/>
            <w:r>
              <w:t>Total recordable injury frequency rate (TRIFR)</w:t>
            </w:r>
          </w:p>
        </w:tc>
        <w:tc>
          <w:tcPr>
            <w:tcW w:w="912" w:type="dxa"/>
            <w:vAlign w:val="center"/>
          </w:tcPr>
          <w:p>
            <w:pPr>
              <w:pStyle w:val="TableTextCentre"/>
              <w:jc w:val="center"/>
            </w:pPr>
            <w:r/>
            <w:r>
              <w:t>Lagging</w:t>
            </w:r>
          </w:p>
        </w:tc>
        <w:tc>
          <w:tcPr>
            <w:tcW w:w="2965" w:type="dxa"/>
            <w:vAlign w:val="center"/>
          </w:tcPr>
          <w:p>
            <w:pPr>
              <w:pStyle w:val="TableText"/>
              <w:jc w:val="left"/>
            </w:pPr>
            <w:r/>
            <w:r>
              <w:t>TRIFR = (lost time injuries + medical treatment injuries + restricted work cases) × 1,000,000 ÷ hours worked</w:t>
            </w:r>
          </w:p>
        </w:tc>
        <w:tc>
          <w:tcPr>
            <w:tcW w:w="1311" w:type="dxa"/>
            <w:vAlign w:val="center"/>
          </w:tcPr>
          <w:p>
            <w:pPr>
              <w:pStyle w:val="TableTextCentre"/>
              <w:jc w:val="center"/>
            </w:pPr>
            <w:r/>
            <w:r>
              <w:t>[Target]</w:t>
            </w:r>
          </w:p>
        </w:tc>
        <w:tc>
          <w:tcPr>
            <w:tcW w:w="1197" w:type="dxa"/>
            <w:vAlign w:val="center"/>
          </w:tcPr>
          <w:p>
            <w:pPr>
              <w:pStyle w:val="TableText"/>
              <w:jc w:val="left"/>
            </w:pPr>
            <w:r/>
            <w:r>
              <w:t>Monthly</w:t>
            </w:r>
          </w:p>
        </w:tc>
        <w:tc>
          <w:tcPr>
            <w:tcW w:w="1257" w:type="dxa"/>
            <w:vAlign w:val="center"/>
          </w:tcPr>
          <w:p>
            <w:pPr>
              <w:pStyle w:val="TableText"/>
              <w:jc w:val="left"/>
            </w:pPr>
            <w:r/>
            <w:r>
              <w:t>Safety Manager</w:t>
            </w:r>
          </w:p>
        </w:tc>
      </w:tr>
      <w:tr>
        <w:trPr>
          <w:cantSplit w:val="true"/>
        </w:trPr>
        <w:tc>
          <w:tcPr>
            <w:tcW w:w="1996" w:type="dxa"/>
            <w:vAlign w:val="center"/>
          </w:tcPr>
          <w:p>
            <w:pPr>
              <w:pStyle w:val="TableTextBold"/>
              <w:jc w:val="left"/>
            </w:pPr>
            <w:r/>
            <w:r>
              <w:t>Reportable and high-potential incidents</w:t>
            </w:r>
          </w:p>
        </w:tc>
        <w:tc>
          <w:tcPr>
            <w:tcW w:w="912" w:type="dxa"/>
            <w:vAlign w:val="center"/>
          </w:tcPr>
          <w:p>
            <w:pPr>
              <w:pStyle w:val="TableTextCentre"/>
              <w:jc w:val="center"/>
            </w:pPr>
            <w:r/>
            <w:r>
              <w:t>Lagging</w:t>
            </w:r>
          </w:p>
        </w:tc>
        <w:tc>
          <w:tcPr>
            <w:tcW w:w="2965" w:type="dxa"/>
            <w:vAlign w:val="center"/>
          </w:tcPr>
          <w:p>
            <w:pPr>
              <w:pStyle w:val="TableText"/>
              <w:jc w:val="left"/>
            </w:pPr>
            <w:r/>
            <w:r>
              <w:t>Count notified to OSHA, plus events that could have caused a fatality or permanent injury whether or not anyone was hurt</w:t>
            </w:r>
          </w:p>
        </w:tc>
        <w:tc>
          <w:tcPr>
            <w:tcW w:w="1311" w:type="dxa"/>
            <w:vAlign w:val="center"/>
          </w:tcPr>
          <w:p>
            <w:pPr>
              <w:pStyle w:val="TableTextCentre"/>
              <w:jc w:val="center"/>
            </w:pPr>
            <w:r/>
            <w:r>
              <w:t>0; each investigated</w:t>
            </w:r>
          </w:p>
        </w:tc>
        <w:tc>
          <w:tcPr>
            <w:tcW w:w="1197" w:type="dxa"/>
            <w:vAlign w:val="center"/>
          </w:tcPr>
          <w:p>
            <w:pPr>
              <w:pStyle w:val="TableText"/>
              <w:jc w:val="left"/>
            </w:pPr>
            <w:r/>
            <w:r>
              <w:t>Monthly</w:t>
            </w:r>
          </w:p>
        </w:tc>
        <w:tc>
          <w:tcPr>
            <w:tcW w:w="1257" w:type="dxa"/>
            <w:vAlign w:val="center"/>
          </w:tcPr>
          <w:p>
            <w:pPr>
              <w:pStyle w:val="TableText"/>
              <w:jc w:val="left"/>
            </w:pPr>
            <w:r/>
            <w:r>
              <w:t>Safety Manager</w:t>
            </w:r>
          </w:p>
        </w:tc>
      </w:tr>
      <w:tr>
        <w:trPr>
          <w:cantSplit w:val="true"/>
        </w:trPr>
        <w:tc>
          <w:tcPr>
            <w:tcW w:w="1996" w:type="dxa"/>
            <w:vAlign w:val="center"/>
          </w:tcPr>
          <w:p>
            <w:pPr>
              <w:pStyle w:val="TableTextBold"/>
              <w:jc w:val="left"/>
            </w:pPr>
            <w:r/>
            <w:r>
              <w:t>Hazard and near-miss reporting rate</w:t>
            </w:r>
          </w:p>
        </w:tc>
        <w:tc>
          <w:tcPr>
            <w:tcW w:w="912" w:type="dxa"/>
            <w:vAlign w:val="center"/>
          </w:tcPr>
          <w:p>
            <w:pPr>
              <w:pStyle w:val="TableTextCentre"/>
              <w:jc w:val="center"/>
            </w:pPr>
            <w:r/>
            <w:r>
              <w:t>Leading</w:t>
            </w:r>
          </w:p>
        </w:tc>
        <w:tc>
          <w:tcPr>
            <w:tcW w:w="2965" w:type="dxa"/>
            <w:vAlign w:val="center"/>
          </w:tcPr>
          <w:p>
            <w:pPr>
              <w:pStyle w:val="TableText"/>
              <w:jc w:val="left"/>
            </w:pPr>
            <w:r/>
            <w:r>
              <w:t>Reports × 100 ÷ average workforce, per month. A falling rate is a warning, not an improvement</w:t>
            </w:r>
          </w:p>
        </w:tc>
        <w:tc>
          <w:tcPr>
            <w:tcW w:w="1311" w:type="dxa"/>
            <w:vAlign w:val="center"/>
          </w:tcPr>
          <w:p>
            <w:pPr>
              <w:pStyle w:val="TableTextCentre"/>
              <w:jc w:val="center"/>
            </w:pPr>
            <w:r/>
            <w:r>
              <w:t>[Floor, not a ceiling]</w:t>
            </w:r>
          </w:p>
        </w:tc>
        <w:tc>
          <w:tcPr>
            <w:tcW w:w="1197" w:type="dxa"/>
            <w:vAlign w:val="center"/>
          </w:tcPr>
          <w:p>
            <w:pPr>
              <w:pStyle w:val="TableText"/>
              <w:jc w:val="left"/>
            </w:pPr>
            <w:r/>
            <w:r>
              <w:t>Monthly</w:t>
            </w:r>
          </w:p>
        </w:tc>
        <w:tc>
          <w:tcPr>
            <w:tcW w:w="1257" w:type="dxa"/>
            <w:vAlign w:val="center"/>
          </w:tcPr>
          <w:p>
            <w:pPr>
              <w:pStyle w:val="TableText"/>
              <w:jc w:val="left"/>
            </w:pPr>
            <w:r/>
            <w:r>
              <w:t>Safety Manager</w:t>
            </w:r>
          </w:p>
        </w:tc>
      </w:tr>
      <w:tr>
        <w:trPr>
          <w:cantSplit w:val="true"/>
        </w:trPr>
        <w:tc>
          <w:tcPr>
            <w:tcW w:w="1996" w:type="dxa"/>
            <w:vAlign w:val="center"/>
          </w:tcPr>
          <w:p>
            <w:pPr>
              <w:pStyle w:val="TableTextBold"/>
              <w:jc w:val="left"/>
            </w:pPr>
            <w:r/>
            <w:r>
              <w:t>JHA compliance observed at the work face</w:t>
            </w:r>
          </w:p>
        </w:tc>
        <w:tc>
          <w:tcPr>
            <w:tcW w:w="912" w:type="dxa"/>
            <w:vAlign w:val="center"/>
          </w:tcPr>
          <w:p>
            <w:pPr>
              <w:pStyle w:val="TableTextCentre"/>
              <w:jc w:val="center"/>
            </w:pPr>
            <w:r/>
            <w:r>
              <w:t>Leading</w:t>
            </w:r>
          </w:p>
        </w:tc>
        <w:tc>
          <w:tcPr>
            <w:tcW w:w="2965" w:type="dxa"/>
            <w:vAlign w:val="center"/>
          </w:tcPr>
          <w:p>
            <w:pPr>
              <w:pStyle w:val="TableText"/>
              <w:jc w:val="left"/>
            </w:pPr>
            <w:r/>
            <w:r>
              <w:t>Observations where the work matched the accepted JHA ÷ total observations</w:t>
            </w:r>
          </w:p>
        </w:tc>
        <w:tc>
          <w:tcPr>
            <w:tcW w:w="1311" w:type="dxa"/>
            <w:vAlign w:val="center"/>
          </w:tcPr>
          <w:p>
            <w:pPr>
              <w:pStyle w:val="TableTextCentre"/>
              <w:jc w:val="center"/>
            </w:pPr>
            <w:r/>
            <w:r>
              <w:t>≥ 95%</w:t>
            </w:r>
          </w:p>
        </w:tc>
        <w:tc>
          <w:tcPr>
            <w:tcW w:w="1197" w:type="dxa"/>
            <w:vAlign w:val="center"/>
          </w:tcPr>
          <w:p>
            <w:pPr>
              <w:pStyle w:val="TableText"/>
              <w:jc w:val="left"/>
            </w:pPr>
            <w:r/>
            <w:r>
              <w:t>Weekly</w:t>
            </w:r>
          </w:p>
        </w:tc>
        <w:tc>
          <w:tcPr>
            <w:tcW w:w="1257" w:type="dxa"/>
            <w:vAlign w:val="center"/>
          </w:tcPr>
          <w:p>
            <w:pPr>
              <w:pStyle w:val="TableText"/>
              <w:jc w:val="left"/>
            </w:pPr>
            <w:r/>
            <w:r>
              <w:t>Site Manager</w:t>
            </w:r>
          </w:p>
        </w:tc>
      </w:tr>
      <w:tr>
        <w:trPr>
          <w:cantSplit w:val="true"/>
        </w:trPr>
        <w:tc>
          <w:tcPr>
            <w:tcW w:w="1996" w:type="dxa"/>
            <w:vAlign w:val="center"/>
          </w:tcPr>
          <w:p>
            <w:pPr>
              <w:pStyle w:val="TableTextBold"/>
              <w:jc w:val="left"/>
            </w:pPr>
            <w:r/>
            <w:r>
              <w:t>Planned inspections completed</w:t>
            </w:r>
          </w:p>
        </w:tc>
        <w:tc>
          <w:tcPr>
            <w:tcW w:w="912" w:type="dxa"/>
            <w:vAlign w:val="center"/>
          </w:tcPr>
          <w:p>
            <w:pPr>
              <w:pStyle w:val="TableTextCentre"/>
              <w:jc w:val="center"/>
            </w:pPr>
            <w:r/>
            <w:r>
              <w:t>Leading</w:t>
            </w:r>
          </w:p>
        </w:tc>
        <w:tc>
          <w:tcPr>
            <w:tcW w:w="2965" w:type="dxa"/>
            <w:vAlign w:val="center"/>
          </w:tcPr>
          <w:p>
            <w:pPr>
              <w:pStyle w:val="TableText"/>
              <w:jc w:val="left"/>
            </w:pPr>
            <w:r/>
            <w:r>
              <w:t>Inspections completed ÷ inspections scheduled</w:t>
            </w:r>
          </w:p>
        </w:tc>
        <w:tc>
          <w:tcPr>
            <w:tcW w:w="1311" w:type="dxa"/>
            <w:vAlign w:val="center"/>
          </w:tcPr>
          <w:p>
            <w:pPr>
              <w:pStyle w:val="TableTextCentre"/>
              <w:jc w:val="center"/>
            </w:pPr>
            <w:r/>
            <w:r>
              <w:t>100%</w:t>
            </w:r>
          </w:p>
        </w:tc>
        <w:tc>
          <w:tcPr>
            <w:tcW w:w="1197" w:type="dxa"/>
            <w:vAlign w:val="center"/>
          </w:tcPr>
          <w:p>
            <w:pPr>
              <w:pStyle w:val="TableText"/>
              <w:jc w:val="left"/>
            </w:pPr>
            <w:r/>
            <w:r>
              <w:t>Monthly</w:t>
            </w:r>
          </w:p>
        </w:tc>
        <w:tc>
          <w:tcPr>
            <w:tcW w:w="1257" w:type="dxa"/>
            <w:vAlign w:val="center"/>
          </w:tcPr>
          <w:p>
            <w:pPr>
              <w:pStyle w:val="TableText"/>
              <w:jc w:val="left"/>
            </w:pPr>
            <w:r/>
            <w:r>
              <w:t>Safety Manager</w:t>
            </w:r>
          </w:p>
        </w:tc>
      </w:tr>
      <w:tr>
        <w:trPr>
          <w:cantSplit w:val="true"/>
        </w:trPr>
        <w:tc>
          <w:tcPr>
            <w:tcW w:w="1996" w:type="dxa"/>
            <w:vAlign w:val="center"/>
          </w:tcPr>
          <w:p>
            <w:pPr>
              <w:pStyle w:val="TableTextBold"/>
              <w:jc w:val="left"/>
            </w:pPr>
            <w:r/>
            <w:r>
              <w:t>Corrective actions closed on time</w:t>
            </w:r>
          </w:p>
        </w:tc>
        <w:tc>
          <w:tcPr>
            <w:tcW w:w="912" w:type="dxa"/>
            <w:vAlign w:val="center"/>
          </w:tcPr>
          <w:p>
            <w:pPr>
              <w:pStyle w:val="TableTextCentre"/>
              <w:jc w:val="center"/>
            </w:pPr>
            <w:r/>
            <w:r>
              <w:t>Leading</w:t>
            </w:r>
          </w:p>
        </w:tc>
        <w:tc>
          <w:tcPr>
            <w:tcW w:w="2965" w:type="dxa"/>
            <w:vAlign w:val="center"/>
          </w:tcPr>
          <w:p>
            <w:pPr>
              <w:pStyle w:val="TableText"/>
              <w:jc w:val="left"/>
            </w:pPr>
            <w:r/>
            <w:r>
              <w:t>Actions closed by the due date ÷ actions due</w:t>
            </w:r>
          </w:p>
        </w:tc>
        <w:tc>
          <w:tcPr>
            <w:tcW w:w="1311" w:type="dxa"/>
            <w:vAlign w:val="center"/>
          </w:tcPr>
          <w:p>
            <w:pPr>
              <w:pStyle w:val="TableTextCentre"/>
              <w:jc w:val="center"/>
            </w:pPr>
            <w:r/>
            <w:r>
              <w:t>≥ 90%</w:t>
            </w:r>
          </w:p>
        </w:tc>
        <w:tc>
          <w:tcPr>
            <w:tcW w:w="1197" w:type="dxa"/>
            <w:vAlign w:val="center"/>
          </w:tcPr>
          <w:p>
            <w:pPr>
              <w:pStyle w:val="TableText"/>
              <w:jc w:val="left"/>
            </w:pPr>
            <w:r/>
            <w:r>
              <w:t>Monthly</w:t>
            </w:r>
          </w:p>
        </w:tc>
        <w:tc>
          <w:tcPr>
            <w:tcW w:w="1257" w:type="dxa"/>
            <w:vAlign w:val="center"/>
          </w:tcPr>
          <w:p>
            <w:pPr>
              <w:pStyle w:val="TableText"/>
              <w:jc w:val="left"/>
            </w:pPr>
            <w:r/>
            <w:r>
              <w:t>Project Manager</w:t>
            </w:r>
          </w:p>
        </w:tc>
      </w:tr>
      <w:tr>
        <w:trPr>
          <w:cantSplit w:val="true"/>
        </w:trPr>
        <w:tc>
          <w:tcPr>
            <w:tcW w:w="1996" w:type="dxa"/>
            <w:vAlign w:val="center"/>
          </w:tcPr>
          <w:p>
            <w:pPr>
              <w:pStyle w:val="TableTextBold"/>
              <w:jc w:val="left"/>
            </w:pPr>
            <w:r/>
            <w:r>
              <w:t>Induction and competency currency</w:t>
            </w:r>
          </w:p>
        </w:tc>
        <w:tc>
          <w:tcPr>
            <w:tcW w:w="912" w:type="dxa"/>
            <w:vAlign w:val="center"/>
          </w:tcPr>
          <w:p>
            <w:pPr>
              <w:pStyle w:val="TableTextCentre"/>
              <w:jc w:val="center"/>
            </w:pPr>
            <w:r/>
            <w:r>
              <w:t>Leading</w:t>
            </w:r>
          </w:p>
        </w:tc>
        <w:tc>
          <w:tcPr>
            <w:tcW w:w="2965" w:type="dxa"/>
            <w:vAlign w:val="center"/>
          </w:tcPr>
          <w:p>
            <w:pPr>
              <w:pStyle w:val="TableText"/>
              <w:jc w:val="left"/>
            </w:pPr>
            <w:r/>
            <w:r>
              <w:t>Workers with current induction and in-date licenses ÷ workers on site</w:t>
            </w:r>
          </w:p>
        </w:tc>
        <w:tc>
          <w:tcPr>
            <w:tcW w:w="1311" w:type="dxa"/>
            <w:vAlign w:val="center"/>
          </w:tcPr>
          <w:p>
            <w:pPr>
              <w:pStyle w:val="TableTextCentre"/>
              <w:jc w:val="center"/>
            </w:pPr>
            <w:r/>
            <w:r>
              <w:t>100%</w:t>
            </w:r>
          </w:p>
        </w:tc>
        <w:tc>
          <w:tcPr>
            <w:tcW w:w="1197" w:type="dxa"/>
            <w:vAlign w:val="center"/>
          </w:tcPr>
          <w:p>
            <w:pPr>
              <w:pStyle w:val="TableText"/>
              <w:jc w:val="left"/>
            </w:pPr>
            <w:r/>
            <w:r>
              <w:t>Weekly</w:t>
            </w:r>
          </w:p>
        </w:tc>
        <w:tc>
          <w:tcPr>
            <w:tcW w:w="1257" w:type="dxa"/>
            <w:vAlign w:val="center"/>
          </w:tcPr>
          <w:p>
            <w:pPr>
              <w:pStyle w:val="TableText"/>
              <w:jc w:val="left"/>
            </w:pPr>
            <w:r/>
            <w:r>
              <w:t>Safety Manager</w:t>
            </w:r>
          </w:p>
        </w:tc>
      </w:tr>
      <w:tr>
        <w:trPr>
          <w:cantSplit w:val="true"/>
        </w:trPr>
        <w:tc>
          <w:tcPr>
            <w:tcW w:w="1996" w:type="dxa"/>
            <w:vAlign w:val="center"/>
          </w:tcPr>
          <w:p>
            <w:pPr>
              <w:pStyle w:val="TableTextBold"/>
              <w:jc w:val="left"/>
            </w:pPr>
            <w:r/>
            <w:r>
              <w:t>Consultation held as planned</w:t>
            </w:r>
          </w:p>
        </w:tc>
        <w:tc>
          <w:tcPr>
            <w:tcW w:w="912" w:type="dxa"/>
            <w:vAlign w:val="center"/>
          </w:tcPr>
          <w:p>
            <w:pPr>
              <w:pStyle w:val="TableTextCentre"/>
              <w:jc w:val="center"/>
            </w:pPr>
            <w:r/>
            <w:r>
              <w:t>Leading</w:t>
            </w:r>
          </w:p>
        </w:tc>
        <w:tc>
          <w:tcPr>
            <w:tcW w:w="2965" w:type="dxa"/>
            <w:vAlign w:val="center"/>
          </w:tcPr>
          <w:p>
            <w:pPr>
              <w:pStyle w:val="TableText"/>
              <w:jc w:val="left"/>
            </w:pPr>
            <w:r/>
            <w:r>
              <w:t>Pre-starts, toolbox talks and committee meetings held ÷ scheduled</w:t>
            </w:r>
          </w:p>
        </w:tc>
        <w:tc>
          <w:tcPr>
            <w:tcW w:w="1311" w:type="dxa"/>
            <w:vAlign w:val="center"/>
          </w:tcPr>
          <w:p>
            <w:pPr>
              <w:pStyle w:val="TableTextCentre"/>
              <w:jc w:val="center"/>
            </w:pPr>
            <w:r/>
            <w:r>
              <w:t>100%</w:t>
            </w:r>
          </w:p>
        </w:tc>
        <w:tc>
          <w:tcPr>
            <w:tcW w:w="1197" w:type="dxa"/>
            <w:vAlign w:val="center"/>
          </w:tcPr>
          <w:p>
            <w:pPr>
              <w:pStyle w:val="TableText"/>
              <w:jc w:val="left"/>
            </w:pPr>
            <w:r/>
            <w:r>
              <w:t>Monthly</w:t>
            </w:r>
          </w:p>
        </w:tc>
        <w:tc>
          <w:tcPr>
            <w:tcW w:w="1257" w:type="dxa"/>
            <w:vAlign w:val="center"/>
          </w:tcPr>
          <w:p>
            <w:pPr>
              <w:pStyle w:val="TableText"/>
              <w:jc w:val="left"/>
            </w:pPr>
            <w:r/>
            <w:r>
              <w:t>Site Manager</w:t>
            </w:r>
          </w:p>
        </w:tc>
      </w:tr>
      <w:tr>
        <w:trPr>
          <w:cantSplit w:val="true"/>
        </w:trPr>
        <w:tc>
          <w:tcPr>
            <w:tcW w:w="1996" w:type="dxa"/>
            <w:vAlign w:val="center"/>
          </w:tcPr>
          <w:p>
            <w:pPr>
              <w:pStyle w:val="TableTextBold"/>
              <w:jc w:val="left"/>
            </w:pPr>
            <w:r/>
            <w:r>
              <w:t>Equipment pre-start compliance</w:t>
            </w:r>
          </w:p>
        </w:tc>
        <w:tc>
          <w:tcPr>
            <w:tcW w:w="912" w:type="dxa"/>
            <w:vAlign w:val="center"/>
          </w:tcPr>
          <w:p>
            <w:pPr>
              <w:pStyle w:val="TableTextCentre"/>
              <w:jc w:val="center"/>
            </w:pPr>
            <w:r/>
            <w:r>
              <w:t>Leading</w:t>
            </w:r>
          </w:p>
        </w:tc>
        <w:tc>
          <w:tcPr>
            <w:tcW w:w="2965" w:type="dxa"/>
            <w:vAlign w:val="center"/>
          </w:tcPr>
          <w:p>
            <w:pPr>
              <w:pStyle w:val="TableText"/>
              <w:jc w:val="left"/>
            </w:pPr>
            <w:r/>
            <w:r>
              <w:t>Items with a completed pre-start ÷ items operated</w:t>
            </w:r>
          </w:p>
        </w:tc>
        <w:tc>
          <w:tcPr>
            <w:tcW w:w="1311" w:type="dxa"/>
            <w:vAlign w:val="center"/>
          </w:tcPr>
          <w:p>
            <w:pPr>
              <w:pStyle w:val="TableTextCentre"/>
              <w:jc w:val="center"/>
            </w:pPr>
            <w:r/>
            <w:r>
              <w:t>100%</w:t>
            </w:r>
          </w:p>
        </w:tc>
        <w:tc>
          <w:tcPr>
            <w:tcW w:w="1197" w:type="dxa"/>
            <w:vAlign w:val="center"/>
          </w:tcPr>
          <w:p>
            <w:pPr>
              <w:pStyle w:val="TableText"/>
              <w:jc w:val="left"/>
            </w:pPr>
            <w:r/>
            <w:r>
              <w:t>Weekly</w:t>
            </w:r>
          </w:p>
        </w:tc>
        <w:tc>
          <w:tcPr>
            <w:tcW w:w="1257" w:type="dxa"/>
            <w:vAlign w:val="center"/>
          </w:tcPr>
          <w:p>
            <w:pPr>
              <w:pStyle w:val="TableText"/>
              <w:jc w:val="left"/>
            </w:pPr>
            <w:r/>
            <w:r>
              <w:t>Site Manager</w:t>
            </w:r>
          </w:p>
        </w:tc>
      </w:tr>
      <w:tr>
        <w:trPr>
          <w:cantSplit w:val="true"/>
        </w:trPr>
        <w:tc>
          <w:tcPr>
            <w:tcW w:w="1996" w:type="dxa"/>
            <w:vAlign w:val="center"/>
          </w:tcPr>
          <w:p>
            <w:pPr>
              <w:pStyle w:val="TableTextBold"/>
              <w:jc w:val="left"/>
            </w:pPr>
            <w:r/>
            <w:r>
              <w:t>Drills completed and debriefed</w:t>
            </w:r>
          </w:p>
        </w:tc>
        <w:tc>
          <w:tcPr>
            <w:tcW w:w="912" w:type="dxa"/>
            <w:vAlign w:val="center"/>
          </w:tcPr>
          <w:p>
            <w:pPr>
              <w:pStyle w:val="TableTextCentre"/>
              <w:jc w:val="center"/>
            </w:pPr>
            <w:r/>
            <w:r>
              <w:t>Leading</w:t>
            </w:r>
          </w:p>
        </w:tc>
        <w:tc>
          <w:tcPr>
            <w:tcW w:w="2965" w:type="dxa"/>
            <w:vAlign w:val="center"/>
          </w:tcPr>
          <w:p>
            <w:pPr>
              <w:pStyle w:val="TableText"/>
              <w:jc w:val="left"/>
            </w:pPr>
            <w:r/>
            <w:r>
              <w:t>Drills completed ÷ drills scheduled, with a debrief on file</w:t>
            </w:r>
          </w:p>
        </w:tc>
        <w:tc>
          <w:tcPr>
            <w:tcW w:w="1311" w:type="dxa"/>
            <w:vAlign w:val="center"/>
          </w:tcPr>
          <w:p>
            <w:pPr>
              <w:pStyle w:val="TableTextCentre"/>
              <w:jc w:val="center"/>
            </w:pPr>
            <w:r/>
            <w:r>
              <w:t>100%</w:t>
            </w:r>
          </w:p>
        </w:tc>
        <w:tc>
          <w:tcPr>
            <w:tcW w:w="1197" w:type="dxa"/>
            <w:vAlign w:val="center"/>
          </w:tcPr>
          <w:p>
            <w:pPr>
              <w:pStyle w:val="TableText"/>
              <w:jc w:val="left"/>
            </w:pPr>
            <w:r/>
            <w:r>
              <w:t>Quarterly</w:t>
            </w:r>
          </w:p>
        </w:tc>
        <w:tc>
          <w:tcPr>
            <w:tcW w:w="1257" w:type="dxa"/>
            <w:vAlign w:val="center"/>
          </w:tcPr>
          <w:p>
            <w:pPr>
              <w:pStyle w:val="TableText"/>
              <w:jc w:val="left"/>
            </w:pPr>
            <w:r/>
            <w:r>
              <w:t>Safety Manager</w:t>
            </w:r>
          </w:p>
        </w:tc>
      </w:tr>
    </w:tbl>
    <w:p>
      <w:pPr>
        <w:spacing w:before="0" w:after="0" w:line="60" w:lineRule="exact"/>
      </w:pP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rPr>
          <w:cantSplit/>
        </w:trPr>
        <w:tc>
          <w:tcPr>
            <w:tcW w:w="9638" w:type="dxa"/>
            <w:shd w:val="clear" w:color="auto" w:fill="F6F9FC"/>
            <w:tcBorders>
              <w:left w:val="single" w:sz="4" w:space="0" w:color="3480BC"/>
            </w:tcBorders>
          </w:tcPr>
          <w:p>
            <w:pPr>
              <w:pStyle w:val="Body"/>
            </w:pPr>
            <w:r/>
            <w:r>
              <w:t>Lagging indicators count harm that has already happened. On a project of ordinary size they are statistically noisy — one injury moves the rate more than any real change in performance — and they can be improved without improving anything, by classifying an injury down or discouraging reports. Leading indicators measure whether the controls are in place, so they move before someone is hurt. Report both, always with the hours denominator and exposure population stated, and never manage to the lagging number alone. A rising near-miss rate alongside a flat injury rate is usually good news.</w:t>
            </w:r>
          </w:p>
        </w:tc>
      </w:tr>
    </w:tbl>
    <w:p>
      <w:pPr>
        <w:spacing w:before="0" w:after="0" w:line="160" w:lineRule="exact"/>
      </w:pPr>
    </w:p>
    <w:p>
      <w:pPr>
        <w:pStyle w:val="Heading2"/>
      </w:pPr>
      <w:bookmarkStart w:id="9083" w:name="_Toc90083"/>
      <w:r>
        <w:t>15.3 Workplace inspection regime and reporting</w:t>
      </w:r>
      <w:bookmarkEnd w:id="9083"/>
    </w:p>
    <w:p>
      <w:pPr>
        <w:pStyle w:val="Body"/>
      </w:pPr>
      <w:r>
        <w:t>Weekly inspections cover a defined area against a written checklist so the whole site is covered each month and no area is inspected only by the person responsible for it. Conduct them with the worker Safety Representative and a subcontractor representative present, because they see different things. Record each finding with a rating, an owner and a due date; publish results where the workforce can see them; and check the previous inspection's findings first — an inspection that keeps raising new findings while old ones stay open is a paperwork exercise.</w:t>
      </w:r>
    </w:p>
    <w:p>
      <w:pPr>
        <w:pStyle w:val="Note"/>
      </w:pPr>
      <w:r>
        <w:t>Safety is the first standing item at every project meeting and the first section of the monthly report to the Owner: both indicator sets, the incidents of the period and their corrective actions, the inspection and audit position, and the focus for the next period. Where a figure could be misread — an LTIFR on small hours, a nil-incident month with no near misses — say so in the commentary rather than letting the number speak.</w:t>
      </w:r>
    </w:p>
    <w:p>
      <w:pPr>
        <w:pStyle w:val="Heading1"/>
      </w:pPr>
      <w:bookmarkStart w:id="9084" w:name="_Toc90084"/>
      <w:r>
        <w:t>16. Nonconformance, Corrective Action and Continual Improvement</w:t>
      </w:r>
      <w:bookmarkEnd w:id="9084"/>
    </w:p>
    <w:p>
      <w:pPr>
        <w:pStyle w:val="BodyLead"/>
      </w:pPr>
      <w:r>
        <w:t>A nonconformance is a failure of the system, not of a person. The test is not whether nonconformances arise — they always do — but whether they are found by the project rather than by an auditor, and whether they stay closed.</w:t>
      </w:r>
    </w:p>
    <w:p>
      <w:pPr>
        <w:pStyle w:val="Heading2"/>
      </w:pPr>
      <w:bookmarkStart w:id="9085" w:name="_Toc90085"/>
      <w:r>
        <w:t>16.1 Nonconformance and corrective action process</w:t>
      </w:r>
      <w:bookmarkEnd w:id="9085"/>
    </w:p>
    <w:p>
      <w:pPr>
        <w:pStyle w:val="BodyBullet"/>
      </w:pPr>
      <w:r>
        <w:rPr>
          <w:b/>
          <w:color w:val="1D3245"/>
        </w:rPr>
        <w:t xml:space="preserve">1.   </w:t>
      </w:r>
      <w:r>
        <w:t>Identify and record the nonconformance: which requirement of this plan, a JHA, a permit or a legal obligation was not met, with the objective evidence.</w:t>
      </w:r>
    </w:p>
    <w:p>
      <w:pPr>
        <w:pStyle w:val="BodyBullet"/>
      </w:pPr>
      <w:r>
        <w:rPr>
          <w:b/>
          <w:color w:val="1D3245"/>
        </w:rPr>
        <w:t xml:space="preserve">2.   </w:t>
      </w:r>
      <w:r>
        <w:t>Contain it: stop or control the activity so that no person is exposed while the cause is investigated.</w:t>
      </w:r>
    </w:p>
    <w:p>
      <w:pPr>
        <w:pStyle w:val="BodyBullet"/>
      </w:pPr>
      <w:r>
        <w:rPr>
          <w:b/>
          <w:color w:val="1D3245"/>
        </w:rPr>
        <w:t xml:space="preserve">3.   </w:t>
      </w:r>
      <w:r>
        <w:t>Assess whether the same failure exists elsewhere — another area, another crew, another subcontractor. Extent of condition is the step most often skipped.</w:t>
      </w:r>
    </w:p>
    <w:p>
      <w:pPr>
        <w:pStyle w:val="BodyBullet"/>
      </w:pPr>
      <w:r>
        <w:rPr>
          <w:b/>
          <w:color w:val="1D3245"/>
        </w:rPr>
        <w:t xml:space="preserve">4.   </w:t>
      </w:r>
      <w:r>
        <w:t>Determine the cause using the methods at 12.3, then correct the immediate condition and act on the cause at the highest practicable level of the hierarchy.</w:t>
      </w:r>
    </w:p>
    <w:p>
      <w:pPr>
        <w:pStyle w:val="BodyBullet"/>
      </w:pPr>
      <w:r>
        <w:rPr>
          <w:b/>
          <w:color w:val="1D3245"/>
        </w:rPr>
        <w:t xml:space="preserve">5.   </w:t>
      </w:r>
      <w:r>
        <w:t>Verify effectiveness by observation or measurement rather than by assurance, record who verified it and how, then close the entry and update the affected documents — this plan, the JHA, the induction content, the checklist or the training.</w:t>
      </w:r>
    </w:p>
    <w:p>
      <w:pPr>
        <w:pStyle w:val="Body"/>
      </w:pPr>
      <w:r>
        <w:t>All nonconformances, from every source, are tracked in the single corrective action register at 12.5. Every action carries a named individual owner — not a company, not a role held by nobody — a due date and a defined closeout evidence requirement. Overdue actions escalate weekly to the Site Manager, monthly to the safety committee and Project Manager, and to management review where they remain open. Report the ageing profile as well as the count: 0–14, 15–30 and over 30 days. An action closed without verified evidence is reopened.</w:t>
      </w:r>
    </w:p>
    <w:p>
      <w:pPr>
        <w:pStyle w:val="Heading2"/>
      </w:pPr>
      <w:bookmarkStart w:id="9086" w:name="_Toc90086"/>
      <w:r>
        <w:t>16.2 Management review</w:t>
      </w:r>
      <w:bookmarkEnd w:id="9086"/>
    </w:p>
    <w:p>
      <w:pPr>
        <w:pStyle w:val="Body"/>
      </w:pPr>
      <w:r>
        <w:t>Management review is where senior management tests whether the system is adequate and commits the resources to fix it. It is held six-monthly and after any serious incident, chaired by the Project Director, and minuted with decisions, owners and dates. Inputs and outputs follow ISO 45001:2018 clause 9.3.</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4819"/>
        <w:gridCol w:w="4819"/>
      </w:tblGrid>
      <w:tr>
        <w:trPr>
          <w:tblHeader w:val="true"/>
          <w:cantSplit w:val="true"/>
        </w:trPr>
        <w:tc>
          <w:tcPr>
            <w:tcW w:w="4819" w:type="dxa"/>
            <w:shd w:val="clear" w:color="auto" w:fill="1D3245"/>
            <w:vAlign w:val="center"/>
          </w:tcPr>
          <w:p>
            <w:pPr>
              <w:pStyle w:val="TableHeader"/>
              <w:jc w:val="left"/>
            </w:pPr>
            <w:r/>
            <w:r>
              <w:t>Inputs to management review (cl. 9.3)</w:t>
            </w:r>
          </w:p>
        </w:tc>
        <w:tc>
          <w:tcPr>
            <w:tcW w:w="4819" w:type="dxa"/>
            <w:shd w:val="clear" w:color="auto" w:fill="1D3245"/>
            <w:vAlign w:val="center"/>
          </w:tcPr>
          <w:p>
            <w:pPr>
              <w:pStyle w:val="TableHeader"/>
              <w:jc w:val="left"/>
            </w:pPr>
            <w:r/>
            <w:r>
              <w:t>Outputs required from the review</w:t>
            </w:r>
          </w:p>
        </w:tc>
      </w:tr>
      <w:tr>
        <w:trPr>
          <w:cantSplit w:val="true"/>
        </w:trPr>
        <w:tc>
          <w:tcPr>
            <w:tcW w:w="4819" w:type="dxa"/>
            <w:vAlign w:val="center"/>
          </w:tcPr>
          <w:p>
            <w:pPr>
              <w:pStyle w:val="TableText"/>
              <w:jc w:val="left"/>
            </w:pPr>
            <w:r/>
            <w:r>
              <w:t>Status of actions from the previous review; changes in context, in the needs of interested parties and in legal and other requirements; the extent to which the policy and objectives have been met; performance information — incidents, nonconformities, corrective actions, monitoring and measurement results, audit results, consultation and participation, risks and opportunities; adequacy of resources; relevant communication with interested parties; opportunities for continual improvement</w:t>
            </w:r>
          </w:p>
        </w:tc>
        <w:tc>
          <w:tcPr>
            <w:tcW w:w="4819" w:type="dxa"/>
            <w:vAlign w:val="center"/>
          </w:tcPr>
          <w:p>
            <w:pPr>
              <w:pStyle w:val="TableText"/>
              <w:jc w:val="left"/>
            </w:pPr>
            <w:r/>
            <w:r>
              <w:t>Conclusions on the continuing suitability, adequacy and effectiveness of the system; decisions on continual improvement; any need to change the system, including resources; actions where objectives have not been achieved; opportunities to improve integration with other business processes; implications for the strategic direction; and communication of the relevant outcomes to workers and their representatives</w:t>
            </w:r>
          </w:p>
        </w:tc>
      </w:tr>
    </w:tbl>
    <w:p>
      <w:pPr>
        <w:spacing w:before="0" w:after="0" w:line="60" w:lineRule="exact"/>
      </w:pPr>
    </w:p>
    <w:p>
      <w:pPr>
        <w:pStyle w:val="Heading2"/>
      </w:pPr>
      <w:bookmarkStart w:id="9087" w:name="_Toc90087"/>
      <w:r>
        <w:t>16.3 Plan review triggers</w:t>
      </w:r>
      <w:bookmarkEnd w:id="9087"/>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040"/>
        <w:gridCol w:w="1247"/>
        <w:gridCol w:w="2834"/>
        <w:gridCol w:w="1814"/>
        <w:gridCol w:w="1703"/>
      </w:tblGrid>
      <w:tr>
        <w:trPr>
          <w:tblHeader w:val="true"/>
          <w:cantSplit w:val="true"/>
        </w:trPr>
        <w:tc>
          <w:tcPr>
            <w:tcW w:w="2040" w:type="dxa"/>
            <w:shd w:val="clear" w:color="auto" w:fill="1D3245"/>
            <w:vAlign w:val="center"/>
          </w:tcPr>
          <w:p>
            <w:pPr>
              <w:pStyle w:val="TableHeader"/>
              <w:jc w:val="left"/>
            </w:pPr>
            <w:r/>
            <w:r>
              <w:t>Trigger</w:t>
            </w:r>
          </w:p>
        </w:tc>
        <w:tc>
          <w:tcPr>
            <w:tcW w:w="1247" w:type="dxa"/>
            <w:shd w:val="clear" w:color="auto" w:fill="1D3245"/>
            <w:vAlign w:val="center"/>
          </w:tcPr>
          <w:p>
            <w:pPr>
              <w:pStyle w:val="TableHeader"/>
              <w:jc w:val="left"/>
            </w:pPr>
            <w:r/>
            <w:r>
              <w:t>Who initiates</w:t>
            </w:r>
          </w:p>
        </w:tc>
        <w:tc>
          <w:tcPr>
            <w:tcW w:w="2834" w:type="dxa"/>
            <w:shd w:val="clear" w:color="auto" w:fill="1D3245"/>
            <w:vAlign w:val="center"/>
          </w:tcPr>
          <w:p>
            <w:pPr>
              <w:pStyle w:val="TableHeader"/>
              <w:jc w:val="left"/>
            </w:pPr>
            <w:r/>
            <w:r>
              <w:t>Action required</w:t>
            </w:r>
          </w:p>
        </w:tc>
        <w:tc>
          <w:tcPr>
            <w:tcW w:w="1814" w:type="dxa"/>
            <w:shd w:val="clear" w:color="auto" w:fill="1D3245"/>
            <w:vAlign w:val="center"/>
          </w:tcPr>
          <w:p>
            <w:pPr>
              <w:pStyle w:val="TableHeader"/>
              <w:jc w:val="left"/>
            </w:pPr>
            <w:r/>
            <w:r>
              <w:t>Timeframe</w:t>
            </w:r>
          </w:p>
        </w:tc>
        <w:tc>
          <w:tcPr>
            <w:tcW w:w="1703" w:type="dxa"/>
            <w:shd w:val="clear" w:color="auto" w:fill="1D3245"/>
            <w:vAlign w:val="center"/>
          </w:tcPr>
          <w:p>
            <w:pPr>
              <w:pStyle w:val="TableHeader"/>
              <w:jc w:val="left"/>
            </w:pPr>
            <w:r/>
            <w:r>
              <w:t>Re-briefing required</w:t>
            </w:r>
          </w:p>
        </w:tc>
      </w:tr>
      <w:tr>
        <w:trPr>
          <w:cantSplit w:val="true"/>
        </w:trPr>
        <w:tc>
          <w:tcPr>
            <w:tcW w:w="2040" w:type="dxa"/>
            <w:vAlign w:val="center"/>
          </w:tcPr>
          <w:p>
            <w:pPr>
              <w:pStyle w:val="TableTextBold"/>
              <w:jc w:val="left"/>
            </w:pPr>
            <w:r/>
            <w:r>
              <w:t>Change of construction method, sequence or equipment</w:t>
            </w:r>
          </w:p>
        </w:tc>
        <w:tc>
          <w:tcPr>
            <w:tcW w:w="1247" w:type="dxa"/>
            <w:vAlign w:val="center"/>
          </w:tcPr>
          <w:p>
            <w:pPr>
              <w:pStyle w:val="TableText"/>
              <w:jc w:val="left"/>
            </w:pPr>
            <w:r/>
            <w:r>
              <w:t>Project Manager</w:t>
            </w:r>
          </w:p>
        </w:tc>
        <w:tc>
          <w:tcPr>
            <w:tcW w:w="2834" w:type="dxa"/>
            <w:vAlign w:val="center"/>
          </w:tcPr>
          <w:p>
            <w:pPr>
              <w:pStyle w:val="TableText"/>
              <w:jc w:val="left"/>
            </w:pPr>
            <w:r/>
            <w:r>
              <w:t>Re-assess the affected risks; revise this plan and the affected JHA; reissue</w:t>
            </w:r>
          </w:p>
        </w:tc>
        <w:tc>
          <w:tcPr>
            <w:tcW w:w="1814" w:type="dxa"/>
            <w:vAlign w:val="center"/>
          </w:tcPr>
          <w:p>
            <w:pPr>
              <w:pStyle w:val="TableText"/>
              <w:jc w:val="left"/>
            </w:pPr>
            <w:r/>
            <w:r>
              <w:t>Before the changed work starts</w:t>
            </w:r>
          </w:p>
        </w:tc>
        <w:tc>
          <w:tcPr>
            <w:tcW w:w="1703" w:type="dxa"/>
            <w:vAlign w:val="center"/>
          </w:tcPr>
          <w:p>
            <w:pPr>
              <w:pStyle w:val="TableText"/>
              <w:jc w:val="left"/>
            </w:pPr>
            <w:r/>
            <w:r>
              <w:t>Yes — affected crews re-briefed and re-signed</w:t>
            </w:r>
          </w:p>
        </w:tc>
      </w:tr>
      <w:tr>
        <w:trPr>
          <w:cantSplit w:val="true"/>
        </w:trPr>
        <w:tc>
          <w:tcPr>
            <w:tcW w:w="2040" w:type="dxa"/>
            <w:vAlign w:val="center"/>
          </w:tcPr>
          <w:p>
            <w:pPr>
              <w:pStyle w:val="TableTextBold"/>
              <w:jc w:val="left"/>
            </w:pPr>
            <w:r/>
            <w:r>
              <w:t>A new high-hazard activity is introduced to the scope</w:t>
            </w:r>
          </w:p>
        </w:tc>
        <w:tc>
          <w:tcPr>
            <w:tcW w:w="1247" w:type="dxa"/>
            <w:vAlign w:val="center"/>
          </w:tcPr>
          <w:p>
            <w:pPr>
              <w:pStyle w:val="TableText"/>
              <w:jc w:val="left"/>
            </w:pPr>
            <w:r/>
            <w:r>
              <w:t>Project Manager</w:t>
            </w:r>
          </w:p>
        </w:tc>
        <w:tc>
          <w:tcPr>
            <w:tcW w:w="2834" w:type="dxa"/>
            <w:vAlign w:val="center"/>
          </w:tcPr>
          <w:p>
            <w:pPr>
              <w:pStyle w:val="TableText"/>
              <w:jc w:val="left"/>
            </w:pPr>
            <w:r/>
            <w:r>
              <w:t>Re-screen section 7; obtain licenses, notifications and JHA; revise sections 6, 7 and 11</w:t>
            </w:r>
          </w:p>
        </w:tc>
        <w:tc>
          <w:tcPr>
            <w:tcW w:w="1814" w:type="dxa"/>
            <w:vAlign w:val="center"/>
          </w:tcPr>
          <w:p>
            <w:pPr>
              <w:pStyle w:val="TableText"/>
              <w:jc w:val="left"/>
            </w:pPr>
            <w:r/>
            <w:r>
              <w:t>Before the activity mobilizes</w:t>
            </w:r>
          </w:p>
        </w:tc>
        <w:tc>
          <w:tcPr>
            <w:tcW w:w="1703" w:type="dxa"/>
            <w:vAlign w:val="center"/>
          </w:tcPr>
          <w:p>
            <w:pPr>
              <w:pStyle w:val="TableText"/>
              <w:jc w:val="left"/>
            </w:pPr>
            <w:r/>
            <w:r>
              <w:t>Yes — all affected workers</w:t>
            </w:r>
          </w:p>
        </w:tc>
      </w:tr>
      <w:tr>
        <w:trPr>
          <w:cantSplit w:val="true"/>
        </w:trPr>
        <w:tc>
          <w:tcPr>
            <w:tcW w:w="2040" w:type="dxa"/>
            <w:vAlign w:val="center"/>
          </w:tcPr>
          <w:p>
            <w:pPr>
              <w:pStyle w:val="TableTextBold"/>
              <w:jc w:val="left"/>
            </w:pPr>
            <w:r/>
            <w:r>
              <w:t>Any reportable event, or a high-potential near miss</w:t>
            </w:r>
          </w:p>
        </w:tc>
        <w:tc>
          <w:tcPr>
            <w:tcW w:w="1247" w:type="dxa"/>
            <w:vAlign w:val="center"/>
          </w:tcPr>
          <w:p>
            <w:pPr>
              <w:pStyle w:val="TableText"/>
              <w:jc w:val="left"/>
            </w:pPr>
            <w:r/>
            <w:r>
              <w:t>Safety Manager</w:t>
            </w:r>
          </w:p>
        </w:tc>
        <w:tc>
          <w:tcPr>
            <w:tcW w:w="2834" w:type="dxa"/>
            <w:vAlign w:val="center"/>
          </w:tcPr>
          <w:p>
            <w:pPr>
              <w:pStyle w:val="TableText"/>
              <w:jc w:val="left"/>
            </w:pPr>
            <w:r/>
            <w:r>
              <w:t>Investigate; test whether this plan's controls were adequate; revise and reissue</w:t>
            </w:r>
          </w:p>
        </w:tc>
        <w:tc>
          <w:tcPr>
            <w:tcW w:w="1814" w:type="dxa"/>
            <w:vAlign w:val="center"/>
          </w:tcPr>
          <w:p>
            <w:pPr>
              <w:pStyle w:val="TableText"/>
              <w:jc w:val="left"/>
            </w:pPr>
            <w:r/>
            <w:r>
              <w:t>Within 14 days of the investigation closing</w:t>
            </w:r>
          </w:p>
        </w:tc>
        <w:tc>
          <w:tcPr>
            <w:tcW w:w="1703" w:type="dxa"/>
            <w:vAlign w:val="center"/>
          </w:tcPr>
          <w:p>
            <w:pPr>
              <w:pStyle w:val="TableText"/>
              <w:jc w:val="left"/>
            </w:pPr>
            <w:r/>
            <w:r>
              <w:t>Yes — site-wide where the control is site-wide</w:t>
            </w:r>
          </w:p>
        </w:tc>
      </w:tr>
      <w:tr>
        <w:trPr>
          <w:cantSplit w:val="true"/>
        </w:trPr>
        <w:tc>
          <w:tcPr>
            <w:tcW w:w="2040" w:type="dxa"/>
            <w:vAlign w:val="center"/>
          </w:tcPr>
          <w:p>
            <w:pPr>
              <w:pStyle w:val="TableTextBold"/>
              <w:jc w:val="left"/>
            </w:pPr>
            <w:r/>
            <w:r>
              <w:t>OSHA direction, notice or inspection finding</w:t>
            </w:r>
          </w:p>
        </w:tc>
        <w:tc>
          <w:tcPr>
            <w:tcW w:w="1247" w:type="dxa"/>
            <w:vAlign w:val="center"/>
          </w:tcPr>
          <w:p>
            <w:pPr>
              <w:pStyle w:val="TableText"/>
              <w:jc w:val="left"/>
            </w:pPr>
            <w:r/>
            <w:r>
              <w:t>Safety Manager</w:t>
            </w:r>
          </w:p>
        </w:tc>
        <w:tc>
          <w:tcPr>
            <w:tcW w:w="2834" w:type="dxa"/>
            <w:vAlign w:val="center"/>
          </w:tcPr>
          <w:p>
            <w:pPr>
              <w:pStyle w:val="TableText"/>
              <w:jc w:val="left"/>
            </w:pPr>
            <w:r/>
            <w:r>
              <w:t>Comply first; then revise the plan to prevent recurrence; record in the obligations register</w:t>
            </w:r>
          </w:p>
        </w:tc>
        <w:tc>
          <w:tcPr>
            <w:tcW w:w="1814" w:type="dxa"/>
            <w:vAlign w:val="center"/>
          </w:tcPr>
          <w:p>
            <w:pPr>
              <w:pStyle w:val="TableText"/>
              <w:jc w:val="left"/>
            </w:pPr>
            <w:r/>
            <w:r>
              <w:t>Within the period the notice allows</w:t>
            </w:r>
          </w:p>
        </w:tc>
        <w:tc>
          <w:tcPr>
            <w:tcW w:w="1703" w:type="dxa"/>
            <w:vAlign w:val="center"/>
          </w:tcPr>
          <w:p>
            <w:pPr>
              <w:pStyle w:val="TableText"/>
              <w:jc w:val="left"/>
            </w:pPr>
            <w:r/>
            <w:r>
              <w:t>Yes</w:t>
            </w:r>
          </w:p>
        </w:tc>
      </w:tr>
      <w:tr>
        <w:trPr>
          <w:cantSplit w:val="true"/>
        </w:trPr>
        <w:tc>
          <w:tcPr>
            <w:tcW w:w="2040" w:type="dxa"/>
            <w:vAlign w:val="center"/>
          </w:tcPr>
          <w:p>
            <w:pPr>
              <w:pStyle w:val="TableTextBold"/>
              <w:jc w:val="left"/>
            </w:pPr>
            <w:r/>
            <w:r>
              <w:t>Change of key personnel named in section 4</w:t>
            </w:r>
          </w:p>
        </w:tc>
        <w:tc>
          <w:tcPr>
            <w:tcW w:w="1247" w:type="dxa"/>
            <w:vAlign w:val="center"/>
          </w:tcPr>
          <w:p>
            <w:pPr>
              <w:pStyle w:val="TableText"/>
              <w:jc w:val="left"/>
            </w:pPr>
            <w:r/>
            <w:r>
              <w:t>Project Manager</w:t>
            </w:r>
          </w:p>
        </w:tc>
        <w:tc>
          <w:tcPr>
            <w:tcW w:w="2834" w:type="dxa"/>
            <w:vAlign w:val="center"/>
          </w:tcPr>
          <w:p>
            <w:pPr>
              <w:pStyle w:val="TableText"/>
              <w:jc w:val="left"/>
            </w:pPr>
            <w:r/>
            <w:r>
              <w:t>Update the accountability table, the organization chart and the emergency contacts; hand over in writing</w:t>
            </w:r>
          </w:p>
        </w:tc>
        <w:tc>
          <w:tcPr>
            <w:tcW w:w="1814" w:type="dxa"/>
            <w:vAlign w:val="center"/>
          </w:tcPr>
          <w:p>
            <w:pPr>
              <w:pStyle w:val="TableText"/>
              <w:jc w:val="left"/>
            </w:pPr>
            <w:r/>
            <w:r>
              <w:t>Within 5 working days</w:t>
            </w:r>
          </w:p>
        </w:tc>
        <w:tc>
          <w:tcPr>
            <w:tcW w:w="1703" w:type="dxa"/>
            <w:vAlign w:val="center"/>
          </w:tcPr>
          <w:p>
            <w:pPr>
              <w:pStyle w:val="TableText"/>
              <w:jc w:val="left"/>
            </w:pPr>
            <w:r/>
            <w:r>
              <w:t>Yes — for the change of authority</w:t>
            </w:r>
          </w:p>
        </w:tc>
      </w:tr>
      <w:tr>
        <w:trPr>
          <w:cantSplit w:val="true"/>
        </w:trPr>
        <w:tc>
          <w:tcPr>
            <w:tcW w:w="2040" w:type="dxa"/>
            <w:vAlign w:val="center"/>
          </w:tcPr>
          <w:p>
            <w:pPr>
              <w:pStyle w:val="TableTextBold"/>
              <w:jc w:val="left"/>
            </w:pPr>
            <w:r/>
            <w:r>
              <w:t>Change to legislation, a consensus standard or a Owner requirement</w:t>
            </w:r>
          </w:p>
        </w:tc>
        <w:tc>
          <w:tcPr>
            <w:tcW w:w="1247" w:type="dxa"/>
            <w:vAlign w:val="center"/>
          </w:tcPr>
          <w:p>
            <w:pPr>
              <w:pStyle w:val="TableText"/>
              <w:jc w:val="left"/>
            </w:pPr>
            <w:r/>
            <w:r>
              <w:t>Safety Manager</w:t>
            </w:r>
          </w:p>
        </w:tc>
        <w:tc>
          <w:tcPr>
            <w:tcW w:w="2834" w:type="dxa"/>
            <w:vAlign w:val="center"/>
          </w:tcPr>
          <w:p>
            <w:pPr>
              <w:pStyle w:val="TableText"/>
              <w:jc w:val="left"/>
            </w:pPr>
            <w:r/>
            <w:r>
              <w:t>Review sections 3 and 6; update the obligations register</w:t>
            </w:r>
          </w:p>
        </w:tc>
        <w:tc>
          <w:tcPr>
            <w:tcW w:w="1814" w:type="dxa"/>
            <w:vAlign w:val="center"/>
          </w:tcPr>
          <w:p>
            <w:pPr>
              <w:pStyle w:val="TableText"/>
              <w:jc w:val="left"/>
            </w:pPr>
            <w:r/>
            <w:r>
              <w:t>Within 20 working days of becoming aware</w:t>
            </w:r>
          </w:p>
        </w:tc>
        <w:tc>
          <w:tcPr>
            <w:tcW w:w="1703" w:type="dxa"/>
            <w:vAlign w:val="center"/>
          </w:tcPr>
          <w:p>
            <w:pPr>
              <w:pStyle w:val="TableText"/>
              <w:jc w:val="left"/>
            </w:pPr>
            <w:r/>
            <w:r>
              <w:t>Where the change affects the workforce</w:t>
            </w:r>
          </w:p>
        </w:tc>
      </w:tr>
      <w:tr>
        <w:trPr>
          <w:cantSplit w:val="true"/>
        </w:trPr>
        <w:tc>
          <w:tcPr>
            <w:tcW w:w="2040" w:type="dxa"/>
            <w:vAlign w:val="center"/>
          </w:tcPr>
          <w:p>
            <w:pPr>
              <w:pStyle w:val="TableTextBold"/>
              <w:jc w:val="left"/>
            </w:pPr>
            <w:r/>
            <w:r>
              <w:t>Periodic review</w:t>
            </w:r>
          </w:p>
        </w:tc>
        <w:tc>
          <w:tcPr>
            <w:tcW w:w="1247" w:type="dxa"/>
            <w:vAlign w:val="center"/>
          </w:tcPr>
          <w:p>
            <w:pPr>
              <w:pStyle w:val="TableText"/>
              <w:jc w:val="left"/>
            </w:pPr>
            <w:r/>
            <w:r>
              <w:t>Safety Manager</w:t>
            </w:r>
          </w:p>
        </w:tc>
        <w:tc>
          <w:tcPr>
            <w:tcW w:w="2834" w:type="dxa"/>
            <w:vAlign w:val="center"/>
          </w:tcPr>
          <w:p>
            <w:pPr>
              <w:pStyle w:val="TableText"/>
              <w:jc w:val="left"/>
            </w:pPr>
            <w:r/>
            <w:r>
              <w:t>Full review of the whole plan against the site as it now is</w:t>
            </w:r>
          </w:p>
        </w:tc>
        <w:tc>
          <w:tcPr>
            <w:tcW w:w="1814" w:type="dxa"/>
            <w:vAlign w:val="center"/>
          </w:tcPr>
          <w:p>
            <w:pPr>
              <w:pStyle w:val="TableText"/>
              <w:jc w:val="left"/>
            </w:pPr>
            <w:r/>
            <w:r>
              <w:t>Every 6 months, or at each phase change, whichever is sooner</w:t>
            </w:r>
          </w:p>
        </w:tc>
        <w:tc>
          <w:tcPr>
            <w:tcW w:w="1703" w:type="dxa"/>
            <w:vAlign w:val="center"/>
          </w:tcPr>
          <w:p>
            <w:pPr>
              <w:pStyle w:val="TableText"/>
              <w:jc w:val="left"/>
            </w:pPr>
            <w:r/>
            <w:r>
              <w:t>Where content changes</w:t>
            </w:r>
          </w:p>
        </w:tc>
      </w:tr>
    </w:tbl>
    <w:p>
      <w:pPr>
        <w:spacing w:before="0" w:after="0" w:line="60" w:lineRule="exact"/>
      </w:pPr>
    </w:p>
    <w:p>
      <w:pPr>
        <w:pStyle w:val="Heading2"/>
      </w:pPr>
      <w:bookmarkStart w:id="9088" w:name="_Toc90088"/>
      <w:r>
        <w:t>16.4 Continual improvement</w:t>
      </w:r>
      <w:bookmarkEnd w:id="9088"/>
    </w:p>
    <w:p>
      <w:pPr>
        <w:pStyle w:val="Body"/>
      </w:pPr>
      <w:r>
        <w:t>Improvement is deliberate, not incidental. Set two or three measurable safety objectives for the project, resource them, and report progress at every management review — for example "eliminate dry cutting on site by [date]", "every high-risk JHA workshopped with the crew before mobilization" or "all corrective actions closed within 21 days". Feed what worked back into the organization's standard details, procurement specifications and templates, so the next project starts from a higher base.</w:t>
      </w:r>
    </w:p>
    <w:p>
      <w:pPr>
        <w:pStyle w:val="Heading1"/>
      </w:pPr>
      <w:bookmarkStart w:id="9089" w:name="_Toc90089"/>
      <w:r>
        <w:t>17. Records Management</w:t>
      </w:r>
      <w:bookmarkEnd w:id="9089"/>
    </w:p>
    <w:p>
      <w:pPr>
        <w:pStyle w:val="BodyLead"/>
      </w:pPr>
      <w:r>
        <w:t>Records are the evidence that the plan was implemented rather than merely written. Decide now where each record lives and who owns it — records assembled after an incident are obvious to a OSHA.</w:t>
      </w:r>
    </w:p>
    <w:p>
      <w:pPr>
        <w:pStyle w:val="Heading2"/>
      </w:pPr>
      <w:bookmarkStart w:id="9090" w:name="_Toc90090"/>
      <w:r>
        <w:t>17.1 Records register</w:t>
      </w:r>
      <w:bookmarkEnd w:id="9090"/>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381"/>
        <w:gridCol w:w="1814"/>
        <w:gridCol w:w="2040"/>
        <w:gridCol w:w="1700"/>
        <w:gridCol w:w="1703"/>
      </w:tblGrid>
      <w:tr>
        <w:trPr>
          <w:tblHeader w:val="true"/>
          <w:cantSplit w:val="true"/>
        </w:trPr>
        <w:tc>
          <w:tcPr>
            <w:tcW w:w="2381" w:type="dxa"/>
            <w:shd w:val="clear" w:color="auto" w:fill="1D3245"/>
            <w:vAlign w:val="center"/>
          </w:tcPr>
          <w:p>
            <w:pPr>
              <w:pStyle w:val="TableHeader"/>
              <w:jc w:val="left"/>
            </w:pPr>
            <w:r/>
            <w:r>
              <w:t>Record</w:t>
            </w:r>
          </w:p>
        </w:tc>
        <w:tc>
          <w:tcPr>
            <w:tcW w:w="1814" w:type="dxa"/>
            <w:shd w:val="clear" w:color="auto" w:fill="1D3245"/>
            <w:vAlign w:val="center"/>
          </w:tcPr>
          <w:p>
            <w:pPr>
              <w:pStyle w:val="TableHeader"/>
              <w:jc w:val="left"/>
            </w:pPr>
            <w:r/>
            <w:r>
              <w:t>Retained by</w:t>
            </w:r>
          </w:p>
        </w:tc>
        <w:tc>
          <w:tcPr>
            <w:tcW w:w="2040" w:type="dxa"/>
            <w:shd w:val="clear" w:color="auto" w:fill="1D3245"/>
            <w:vAlign w:val="center"/>
          </w:tcPr>
          <w:p>
            <w:pPr>
              <w:pStyle w:val="TableHeader"/>
              <w:jc w:val="left"/>
            </w:pPr>
            <w:r/>
            <w:r>
              <w:t>Retention period</w:t>
            </w:r>
          </w:p>
        </w:tc>
        <w:tc>
          <w:tcPr>
            <w:tcW w:w="1700" w:type="dxa"/>
            <w:shd w:val="clear" w:color="auto" w:fill="1D3245"/>
            <w:vAlign w:val="center"/>
          </w:tcPr>
          <w:p>
            <w:pPr>
              <w:pStyle w:val="TableHeader"/>
              <w:jc w:val="left"/>
            </w:pPr>
            <w:r/>
            <w:r>
              <w:t>Format</w:t>
            </w:r>
          </w:p>
        </w:tc>
        <w:tc>
          <w:tcPr>
            <w:tcW w:w="1703" w:type="dxa"/>
            <w:shd w:val="clear" w:color="auto" w:fill="1D3245"/>
            <w:vAlign w:val="center"/>
          </w:tcPr>
          <w:p>
            <w:pPr>
              <w:pStyle w:val="TableHeader"/>
              <w:jc w:val="left"/>
            </w:pPr>
            <w:r/>
            <w:r>
              <w:t>Where held</w:t>
            </w:r>
          </w:p>
        </w:tc>
      </w:tr>
      <w:tr>
        <w:trPr>
          <w:cantSplit w:val="true"/>
        </w:trPr>
        <w:tc>
          <w:tcPr>
            <w:tcW w:w="2381" w:type="dxa"/>
            <w:vAlign w:val="center"/>
          </w:tcPr>
          <w:p>
            <w:pPr>
              <w:pStyle w:val="TableTextBold"/>
              <w:jc w:val="left"/>
            </w:pPr>
            <w:r/>
            <w:r>
              <w:t>This plan and every superseded revision</w:t>
            </w:r>
          </w:p>
        </w:tc>
        <w:tc>
          <w:tcPr>
            <w:tcW w:w="1814" w:type="dxa"/>
            <w:vAlign w:val="center"/>
          </w:tcPr>
          <w:p>
            <w:pPr>
              <w:pStyle w:val="TableText"/>
              <w:jc w:val="left"/>
            </w:pPr>
            <w:r/>
            <w:r>
              <w:t>Document controller</w:t>
            </w:r>
          </w:p>
        </w:tc>
        <w:tc>
          <w:tcPr>
            <w:tcW w:w="2040" w:type="dxa"/>
            <w:vAlign w:val="center"/>
          </w:tcPr>
          <w:p>
            <w:pPr>
              <w:pStyle w:val="TableText"/>
              <w:jc w:val="left"/>
            </w:pPr>
            <w:r/>
            <w:r>
              <w:t>Life of the project plus the statutory period 29 CFR Part 1926, plus any OSHA-approved State Plan requirement that exceeds it</w:t>
            </w:r>
          </w:p>
        </w:tc>
        <w:tc>
          <w:tcPr>
            <w:tcW w:w="1700" w:type="dxa"/>
            <w:vAlign w:val="center"/>
          </w:tcPr>
          <w:p>
            <w:pPr>
              <w:pStyle w:val="TableText"/>
              <w:jc w:val="left"/>
            </w:pPr>
            <w:r/>
            <w:r>
              <w:t>PDF (issued) and native (working)</w:t>
            </w:r>
          </w:p>
        </w:tc>
        <w:tc>
          <w:tcPr>
            <w:tcW w:w="1703" w:type="dxa"/>
            <w:vAlign w:val="center"/>
          </w:tcPr>
          <w:p>
            <w:pPr>
              <w:pStyle w:val="TableText"/>
              <w:jc w:val="left"/>
            </w:pPr>
            <w:r/>
            <w:r>
              <w:t>Project document management system</w:t>
            </w:r>
          </w:p>
        </w:tc>
      </w:tr>
      <w:tr>
        <w:trPr>
          <w:cantSplit w:val="true"/>
        </w:trPr>
        <w:tc>
          <w:tcPr>
            <w:tcW w:w="2381" w:type="dxa"/>
            <w:vAlign w:val="center"/>
          </w:tcPr>
          <w:p>
            <w:pPr>
              <w:pStyle w:val="TableTextBold"/>
              <w:jc w:val="left"/>
            </w:pPr>
            <w:r/>
            <w:r>
              <w:t>Induction and site access records</w:t>
            </w:r>
          </w:p>
        </w:tc>
        <w:tc>
          <w:tcPr>
            <w:tcW w:w="1814" w:type="dxa"/>
            <w:vAlign w:val="center"/>
          </w:tcPr>
          <w:p>
            <w:pPr>
              <w:pStyle w:val="TableText"/>
              <w:jc w:val="left"/>
            </w:pPr>
            <w:r/>
            <w:r>
              <w:t>Safety Manager</w:t>
            </w:r>
          </w:p>
        </w:tc>
        <w:tc>
          <w:tcPr>
            <w:tcW w:w="2040" w:type="dxa"/>
            <w:vAlign w:val="center"/>
          </w:tcPr>
          <w:p>
            <w:pPr>
              <w:pStyle w:val="TableText"/>
              <w:jc w:val="left"/>
            </w:pPr>
            <w:r/>
            <w:r>
              <w:t>[Statutory period]</w:t>
            </w:r>
          </w:p>
        </w:tc>
        <w:tc>
          <w:tcPr>
            <w:tcW w:w="1700" w:type="dxa"/>
            <w:vAlign w:val="center"/>
          </w:tcPr>
          <w:p>
            <w:pPr>
              <w:pStyle w:val="TableText"/>
              <w:jc w:val="left"/>
            </w:pPr>
            <w:r/>
            <w:r>
              <w:t>Digital register with signatures</w:t>
            </w:r>
          </w:p>
        </w:tc>
        <w:tc>
          <w:tcPr>
            <w:tcW w:w="1703" w:type="dxa"/>
            <w:vAlign w:val="center"/>
          </w:tcPr>
          <w:p>
            <w:pPr>
              <w:pStyle w:val="TableText"/>
              <w:jc w:val="left"/>
            </w:pPr>
            <w:r/>
            <w:r>
              <w:t>Induction database; site office</w:t>
            </w:r>
          </w:p>
        </w:tc>
      </w:tr>
      <w:tr>
        <w:trPr>
          <w:cantSplit w:val="true"/>
        </w:trPr>
        <w:tc>
          <w:tcPr>
            <w:tcW w:w="2381" w:type="dxa"/>
            <w:vAlign w:val="center"/>
          </w:tcPr>
          <w:p>
            <w:pPr>
              <w:pStyle w:val="TableTextBold"/>
              <w:jc w:val="left"/>
            </w:pPr>
            <w:r/>
            <w:r>
              <w:t>Competency, license and verification records</w:t>
            </w:r>
          </w:p>
        </w:tc>
        <w:tc>
          <w:tcPr>
            <w:tcW w:w="1814" w:type="dxa"/>
            <w:vAlign w:val="center"/>
          </w:tcPr>
          <w:p>
            <w:pPr>
              <w:pStyle w:val="TableText"/>
              <w:jc w:val="left"/>
            </w:pPr>
            <w:r/>
            <w:r>
              <w:t>Safety Manager</w:t>
            </w:r>
          </w:p>
        </w:tc>
        <w:tc>
          <w:tcPr>
            <w:tcW w:w="2040" w:type="dxa"/>
            <w:vAlign w:val="center"/>
          </w:tcPr>
          <w:p>
            <w:pPr>
              <w:pStyle w:val="TableText"/>
              <w:jc w:val="left"/>
            </w:pPr>
            <w:r/>
            <w:r>
              <w:t>[Statutory period]</w:t>
            </w:r>
          </w:p>
        </w:tc>
        <w:tc>
          <w:tcPr>
            <w:tcW w:w="1700" w:type="dxa"/>
            <w:vAlign w:val="center"/>
          </w:tcPr>
          <w:p>
            <w:pPr>
              <w:pStyle w:val="TableText"/>
              <w:jc w:val="left"/>
            </w:pPr>
            <w:r/>
            <w:r>
              <w:t>Scanned original; register</w:t>
            </w:r>
          </w:p>
        </w:tc>
        <w:tc>
          <w:tcPr>
            <w:tcW w:w="1703" w:type="dxa"/>
            <w:vAlign w:val="center"/>
          </w:tcPr>
          <w:p>
            <w:pPr>
              <w:pStyle w:val="TableText"/>
              <w:jc w:val="left"/>
            </w:pPr>
            <w:r/>
            <w:r>
              <w:t>Competency register</w:t>
            </w:r>
          </w:p>
        </w:tc>
      </w:tr>
      <w:tr>
        <w:trPr>
          <w:cantSplit w:val="true"/>
        </w:trPr>
        <w:tc>
          <w:tcPr>
            <w:tcW w:w="2381" w:type="dxa"/>
            <w:vAlign w:val="center"/>
          </w:tcPr>
          <w:p>
            <w:pPr>
              <w:pStyle w:val="TableTextBold"/>
              <w:jc w:val="left"/>
            </w:pPr>
            <w:r/>
            <w:r>
              <w:t>JHA — accepted revisions and sign-on registers</w:t>
            </w:r>
          </w:p>
        </w:tc>
        <w:tc>
          <w:tcPr>
            <w:tcW w:w="1814" w:type="dxa"/>
            <w:vAlign w:val="center"/>
          </w:tcPr>
          <w:p>
            <w:pPr>
              <w:pStyle w:val="TableText"/>
              <w:jc w:val="left"/>
            </w:pPr>
            <w:r/>
            <w:r>
              <w:t>The employer whose workers do the work; copy to the project</w:t>
            </w:r>
          </w:p>
        </w:tc>
        <w:tc>
          <w:tcPr>
            <w:tcW w:w="2040" w:type="dxa"/>
            <w:vAlign w:val="center"/>
          </w:tcPr>
          <w:p>
            <w:pPr>
              <w:pStyle w:val="TableText"/>
              <w:jc w:val="left"/>
            </w:pPr>
            <w:r/>
            <w:r>
              <w:t>Duration of the work plus the statutory period; longer where an incident occurred</w:t>
            </w:r>
          </w:p>
        </w:tc>
        <w:tc>
          <w:tcPr>
            <w:tcW w:w="1700" w:type="dxa"/>
            <w:vAlign w:val="center"/>
          </w:tcPr>
          <w:p>
            <w:pPr>
              <w:pStyle w:val="TableText"/>
              <w:jc w:val="left"/>
            </w:pPr>
            <w:r/>
            <w:r>
              <w:t>PDF; hard copy at the work face</w:t>
            </w:r>
          </w:p>
        </w:tc>
        <w:tc>
          <w:tcPr>
            <w:tcW w:w="1703" w:type="dxa"/>
            <w:vAlign w:val="center"/>
          </w:tcPr>
          <w:p>
            <w:pPr>
              <w:pStyle w:val="TableText"/>
              <w:jc w:val="left"/>
            </w:pPr>
            <w:r/>
            <w:r>
              <w:t>JHA register; site office</w:t>
            </w:r>
          </w:p>
        </w:tc>
      </w:tr>
      <w:tr>
        <w:trPr>
          <w:cantSplit w:val="true"/>
        </w:trPr>
        <w:tc>
          <w:tcPr>
            <w:tcW w:w="2381" w:type="dxa"/>
            <w:vAlign w:val="center"/>
          </w:tcPr>
          <w:p>
            <w:pPr>
              <w:pStyle w:val="TableTextBold"/>
              <w:jc w:val="left"/>
            </w:pPr>
            <w:r/>
            <w:r>
              <w:t>Pre-start, toolbox and consultation records</w:t>
            </w:r>
          </w:p>
        </w:tc>
        <w:tc>
          <w:tcPr>
            <w:tcW w:w="1814" w:type="dxa"/>
            <w:vAlign w:val="center"/>
          </w:tcPr>
          <w:p>
            <w:pPr>
              <w:pStyle w:val="TableText"/>
              <w:jc w:val="left"/>
            </w:pPr>
            <w:r/>
            <w:r>
              <w:t>Site Manager</w:t>
            </w:r>
          </w:p>
        </w:tc>
        <w:tc>
          <w:tcPr>
            <w:tcW w:w="2040" w:type="dxa"/>
            <w:vAlign w:val="center"/>
          </w:tcPr>
          <w:p>
            <w:pPr>
              <w:pStyle w:val="TableText"/>
              <w:jc w:val="left"/>
            </w:pPr>
            <w:r/>
            <w:r>
              <w:t>[Statutory period]</w:t>
            </w:r>
          </w:p>
        </w:tc>
        <w:tc>
          <w:tcPr>
            <w:tcW w:w="1700" w:type="dxa"/>
            <w:vAlign w:val="center"/>
          </w:tcPr>
          <w:p>
            <w:pPr>
              <w:pStyle w:val="TableText"/>
              <w:jc w:val="left"/>
            </w:pPr>
            <w:r/>
            <w:r>
              <w:t>Scanned daily</w:t>
            </w:r>
          </w:p>
        </w:tc>
        <w:tc>
          <w:tcPr>
            <w:tcW w:w="1703" w:type="dxa"/>
            <w:vAlign w:val="center"/>
          </w:tcPr>
          <w:p>
            <w:pPr>
              <w:pStyle w:val="TableText"/>
              <w:jc w:val="left"/>
            </w:pPr>
            <w:r/>
            <w:r>
              <w:t>Project records; site diary</w:t>
            </w:r>
          </w:p>
        </w:tc>
      </w:tr>
      <w:tr>
        <w:trPr>
          <w:cantSplit w:val="true"/>
        </w:trPr>
        <w:tc>
          <w:tcPr>
            <w:tcW w:w="2381" w:type="dxa"/>
            <w:vAlign w:val="center"/>
          </w:tcPr>
          <w:p>
            <w:pPr>
              <w:pStyle w:val="TableTextBold"/>
              <w:jc w:val="left"/>
            </w:pPr>
            <w:r/>
            <w:r>
              <w:t>Inspection, audit, drill and corrective action records</w:t>
            </w:r>
          </w:p>
        </w:tc>
        <w:tc>
          <w:tcPr>
            <w:tcW w:w="1814" w:type="dxa"/>
            <w:vAlign w:val="center"/>
          </w:tcPr>
          <w:p>
            <w:pPr>
              <w:pStyle w:val="TableText"/>
              <w:jc w:val="left"/>
            </w:pPr>
            <w:r/>
            <w:r>
              <w:t>Safety Manager</w:t>
            </w:r>
          </w:p>
        </w:tc>
        <w:tc>
          <w:tcPr>
            <w:tcW w:w="2040" w:type="dxa"/>
            <w:vAlign w:val="center"/>
          </w:tcPr>
          <w:p>
            <w:pPr>
              <w:pStyle w:val="TableText"/>
              <w:jc w:val="left"/>
            </w:pPr>
            <w:r/>
            <w:r>
              <w:t>[Statutory period]</w:t>
            </w:r>
          </w:p>
        </w:tc>
        <w:tc>
          <w:tcPr>
            <w:tcW w:w="1700" w:type="dxa"/>
            <w:vAlign w:val="center"/>
          </w:tcPr>
          <w:p>
            <w:pPr>
              <w:pStyle w:val="TableText"/>
              <w:jc w:val="left"/>
            </w:pPr>
            <w:r/>
            <w:r>
              <w:t>Digital</w:t>
            </w:r>
          </w:p>
        </w:tc>
        <w:tc>
          <w:tcPr>
            <w:tcW w:w="1703" w:type="dxa"/>
            <w:vAlign w:val="center"/>
          </w:tcPr>
          <w:p>
            <w:pPr>
              <w:pStyle w:val="TableText"/>
              <w:jc w:val="left"/>
            </w:pPr>
            <w:r/>
            <w:r>
              <w:t>Corrective action register</w:t>
            </w:r>
          </w:p>
        </w:tc>
      </w:tr>
      <w:tr>
        <w:trPr>
          <w:cantSplit w:val="true"/>
        </w:trPr>
        <w:tc>
          <w:tcPr>
            <w:tcW w:w="2381" w:type="dxa"/>
            <w:vAlign w:val="center"/>
          </w:tcPr>
          <w:p>
            <w:pPr>
              <w:pStyle w:val="TableTextBold"/>
              <w:jc w:val="left"/>
            </w:pPr>
            <w:r/>
            <w:r>
              <w:t>Incident reports and investigations</w:t>
            </w:r>
          </w:p>
        </w:tc>
        <w:tc>
          <w:tcPr>
            <w:tcW w:w="1814" w:type="dxa"/>
            <w:vAlign w:val="center"/>
          </w:tcPr>
          <w:p>
            <w:pPr>
              <w:pStyle w:val="TableText"/>
              <w:jc w:val="left"/>
            </w:pPr>
            <w:r/>
            <w:r>
              <w:t>Safety Manager</w:t>
            </w:r>
          </w:p>
        </w:tc>
        <w:tc>
          <w:tcPr>
            <w:tcW w:w="2040" w:type="dxa"/>
            <w:vAlign w:val="center"/>
          </w:tcPr>
          <w:p>
            <w:pPr>
              <w:pStyle w:val="TableText"/>
              <w:jc w:val="left"/>
            </w:pPr>
            <w:r/>
            <w:r>
              <w:t>Commonly the longest retention in the set; confirm 29 CFR Part 1926, plus any OSHA-approved State Plan requirement that exceeds it</w:t>
            </w:r>
          </w:p>
        </w:tc>
        <w:tc>
          <w:tcPr>
            <w:tcW w:w="1700" w:type="dxa"/>
            <w:vAlign w:val="center"/>
          </w:tcPr>
          <w:p>
            <w:pPr>
              <w:pStyle w:val="TableText"/>
              <w:jc w:val="left"/>
            </w:pPr>
            <w:r/>
            <w:r>
              <w:t>Digital, access-restricted</w:t>
            </w:r>
          </w:p>
        </w:tc>
        <w:tc>
          <w:tcPr>
            <w:tcW w:w="1703" w:type="dxa"/>
            <w:vAlign w:val="center"/>
          </w:tcPr>
          <w:p>
            <w:pPr>
              <w:pStyle w:val="TableText"/>
              <w:jc w:val="left"/>
            </w:pPr>
            <w:r/>
            <w:r>
              <w:t>Incident management system</w:t>
            </w:r>
          </w:p>
        </w:tc>
      </w:tr>
      <w:tr>
        <w:trPr>
          <w:cantSplit w:val="true"/>
        </w:trPr>
        <w:tc>
          <w:tcPr>
            <w:tcW w:w="2381" w:type="dxa"/>
            <w:vAlign w:val="center"/>
          </w:tcPr>
          <w:p>
            <w:pPr>
              <w:pStyle w:val="TableTextBold"/>
              <w:jc w:val="left"/>
            </w:pPr>
            <w:r/>
            <w:r>
              <w:t>Health monitoring records</w:t>
            </w:r>
          </w:p>
        </w:tc>
        <w:tc>
          <w:tcPr>
            <w:tcW w:w="1814" w:type="dxa"/>
            <w:vAlign w:val="center"/>
          </w:tcPr>
          <w:p>
            <w:pPr>
              <w:pStyle w:val="TableText"/>
              <w:jc w:val="left"/>
            </w:pPr>
            <w:r/>
            <w:r>
              <w:t>Engaging employer / provider</w:t>
            </w:r>
          </w:p>
        </w:tc>
        <w:tc>
          <w:tcPr>
            <w:tcW w:w="2040" w:type="dxa"/>
            <w:vAlign w:val="center"/>
          </w:tcPr>
          <w:p>
            <w:pPr>
              <w:pStyle w:val="TableText"/>
              <w:jc w:val="left"/>
            </w:pPr>
            <w:r/>
            <w:r>
              <w:t>Long term — commonly 30 years for exposure to a carcinogen or asbestos; confirm 29 CFR Part 1926, plus any OSHA-approved State Plan requirement that exceeds it</w:t>
            </w:r>
          </w:p>
        </w:tc>
        <w:tc>
          <w:tcPr>
            <w:tcW w:w="1700" w:type="dxa"/>
            <w:vAlign w:val="center"/>
          </w:tcPr>
          <w:p>
            <w:pPr>
              <w:pStyle w:val="TableText"/>
              <w:jc w:val="left"/>
            </w:pPr>
            <w:r/>
            <w:r>
              <w:t>Confidential medical file held by the provider</w:t>
            </w:r>
          </w:p>
        </w:tc>
        <w:tc>
          <w:tcPr>
            <w:tcW w:w="1703" w:type="dxa"/>
            <w:vAlign w:val="center"/>
          </w:tcPr>
          <w:p>
            <w:pPr>
              <w:pStyle w:val="TableText"/>
              <w:jc w:val="left"/>
            </w:pPr>
            <w:r/>
            <w:r>
              <w:t>Not held on site; see 17.3</w:t>
            </w:r>
          </w:p>
        </w:tc>
      </w:tr>
      <w:tr>
        <w:trPr>
          <w:cantSplit w:val="true"/>
        </w:trPr>
        <w:tc>
          <w:tcPr>
            <w:tcW w:w="2381" w:type="dxa"/>
            <w:vAlign w:val="center"/>
          </w:tcPr>
          <w:p>
            <w:pPr>
              <w:pStyle w:val="TableTextBold"/>
              <w:jc w:val="left"/>
            </w:pPr>
            <w:r/>
            <w:r>
              <w:t>Equipment and maintenance records</w:t>
            </w:r>
          </w:p>
        </w:tc>
        <w:tc>
          <w:tcPr>
            <w:tcW w:w="1814" w:type="dxa"/>
            <w:vAlign w:val="center"/>
          </w:tcPr>
          <w:p>
            <w:pPr>
              <w:pStyle w:val="TableText"/>
              <w:jc w:val="left"/>
            </w:pPr>
            <w:r/>
            <w:r>
              <w:t>Site Manager</w:t>
            </w:r>
          </w:p>
        </w:tc>
        <w:tc>
          <w:tcPr>
            <w:tcW w:w="2040" w:type="dxa"/>
            <w:vAlign w:val="center"/>
          </w:tcPr>
          <w:p>
            <w:pPr>
              <w:pStyle w:val="TableText"/>
              <w:jc w:val="left"/>
            </w:pPr>
            <w:r/>
            <w:r>
              <w:t>Life of the equipment plus the statutory period</w:t>
            </w:r>
          </w:p>
        </w:tc>
        <w:tc>
          <w:tcPr>
            <w:tcW w:w="1700" w:type="dxa"/>
            <w:vAlign w:val="center"/>
          </w:tcPr>
          <w:p>
            <w:pPr>
              <w:pStyle w:val="TableText"/>
              <w:jc w:val="left"/>
            </w:pPr>
            <w:r/>
            <w:r>
              <w:t>Log books; digital register</w:t>
            </w:r>
          </w:p>
        </w:tc>
        <w:tc>
          <w:tcPr>
            <w:tcW w:w="1703" w:type="dxa"/>
            <w:vAlign w:val="center"/>
          </w:tcPr>
          <w:p>
            <w:pPr>
              <w:pStyle w:val="TableText"/>
              <w:jc w:val="left"/>
            </w:pPr>
            <w:r/>
            <w:r>
              <w:t>Equipment register</w:t>
            </w:r>
          </w:p>
        </w:tc>
      </w:tr>
      <w:tr>
        <w:trPr>
          <w:cantSplit w:val="true"/>
        </w:trPr>
        <w:tc>
          <w:tcPr>
            <w:tcW w:w="2381" w:type="dxa"/>
            <w:vAlign w:val="center"/>
          </w:tcPr>
          <w:p>
            <w:pPr>
              <w:pStyle w:val="TableTextBold"/>
              <w:jc w:val="left"/>
            </w:pPr>
            <w:r/>
            <w:r>
              <w:t>Hazardous substance register and safety data sheets</w:t>
            </w:r>
          </w:p>
        </w:tc>
        <w:tc>
          <w:tcPr>
            <w:tcW w:w="1814" w:type="dxa"/>
            <w:vAlign w:val="center"/>
          </w:tcPr>
          <w:p>
            <w:pPr>
              <w:pStyle w:val="TableText"/>
              <w:jc w:val="left"/>
            </w:pPr>
            <w:r/>
            <w:r>
              <w:t>Site Manager</w:t>
            </w:r>
          </w:p>
        </w:tc>
        <w:tc>
          <w:tcPr>
            <w:tcW w:w="2040" w:type="dxa"/>
            <w:vAlign w:val="center"/>
          </w:tcPr>
          <w:p>
            <w:pPr>
              <w:pStyle w:val="TableText"/>
              <w:jc w:val="left"/>
            </w:pPr>
            <w:r/>
            <w:r>
              <w:t>Life of the project; SDS current at all times</w:t>
            </w:r>
          </w:p>
        </w:tc>
        <w:tc>
          <w:tcPr>
            <w:tcW w:w="1700" w:type="dxa"/>
            <w:vAlign w:val="center"/>
          </w:tcPr>
          <w:p>
            <w:pPr>
              <w:pStyle w:val="TableText"/>
              <w:jc w:val="left"/>
            </w:pPr>
            <w:r/>
            <w:r>
              <w:t>Digital and hard copy at the point of use</w:t>
            </w:r>
          </w:p>
        </w:tc>
        <w:tc>
          <w:tcPr>
            <w:tcW w:w="1703" w:type="dxa"/>
            <w:vAlign w:val="center"/>
          </w:tcPr>
          <w:p>
            <w:pPr>
              <w:pStyle w:val="TableText"/>
              <w:jc w:val="left"/>
            </w:pPr>
            <w:r/>
            <w:r>
              <w:t>Chemical register; work face</w:t>
            </w:r>
          </w:p>
        </w:tc>
      </w:tr>
      <w:tr>
        <w:trPr>
          <w:cantSplit w:val="true"/>
        </w:trPr>
        <w:tc>
          <w:tcPr>
            <w:tcW w:w="2381" w:type="dxa"/>
            <w:vAlign w:val="center"/>
          </w:tcPr>
          <w:p>
            <w:pPr>
              <w:pStyle w:val="TableTextBold"/>
              <w:jc w:val="left"/>
            </w:pPr>
            <w:r/>
            <w:r>
              <w:t>Permits to work — issued and closed out</w:t>
            </w:r>
          </w:p>
        </w:tc>
        <w:tc>
          <w:tcPr>
            <w:tcW w:w="1814" w:type="dxa"/>
            <w:vAlign w:val="center"/>
          </w:tcPr>
          <w:p>
            <w:pPr>
              <w:pStyle w:val="TableText"/>
              <w:jc w:val="left"/>
            </w:pPr>
            <w:r/>
            <w:r>
              <w:t>Permit issuer</w:t>
            </w:r>
          </w:p>
        </w:tc>
        <w:tc>
          <w:tcPr>
            <w:tcW w:w="2040" w:type="dxa"/>
            <w:vAlign w:val="center"/>
          </w:tcPr>
          <w:p>
            <w:pPr>
              <w:pStyle w:val="TableText"/>
              <w:jc w:val="left"/>
            </w:pPr>
            <w:r/>
            <w:r>
              <w:t>[Statutory period]</w:t>
            </w:r>
          </w:p>
        </w:tc>
        <w:tc>
          <w:tcPr>
            <w:tcW w:w="1700" w:type="dxa"/>
            <w:vAlign w:val="center"/>
          </w:tcPr>
          <w:p>
            <w:pPr>
              <w:pStyle w:val="TableText"/>
              <w:jc w:val="left"/>
            </w:pPr>
            <w:r/>
            <w:r>
              <w:t>Hard copy scanned daily</w:t>
            </w:r>
          </w:p>
        </w:tc>
        <w:tc>
          <w:tcPr>
            <w:tcW w:w="1703" w:type="dxa"/>
            <w:vAlign w:val="center"/>
          </w:tcPr>
          <w:p>
            <w:pPr>
              <w:pStyle w:val="TableText"/>
              <w:jc w:val="left"/>
            </w:pPr>
            <w:r/>
            <w:r>
              <w:t>Permit register</w:t>
            </w:r>
          </w:p>
        </w:tc>
      </w:tr>
      <w:tr>
        <w:trPr>
          <w:cantSplit w:val="true"/>
        </w:trPr>
        <w:tc>
          <w:tcPr>
            <w:tcW w:w="2381" w:type="dxa"/>
            <w:vAlign w:val="center"/>
          </w:tcPr>
          <w:p>
            <w:pPr>
              <w:pStyle w:val="TableTextBold"/>
              <w:jc w:val="left"/>
            </w:pPr>
            <w:r/>
            <w:r>
              <w:t>Asbestos register and clearance certificates; as-built and handover safety information for the asset</w:t>
            </w:r>
          </w:p>
        </w:tc>
        <w:tc>
          <w:tcPr>
            <w:tcW w:w="1814" w:type="dxa"/>
            <w:vAlign w:val="center"/>
          </w:tcPr>
          <w:p>
            <w:pPr>
              <w:pStyle w:val="TableText"/>
              <w:jc w:val="left"/>
            </w:pPr>
            <w:r/>
            <w:r>
              <w:t>Owner for the existing asset; Project Manager for work performed</w:t>
            </w:r>
          </w:p>
        </w:tc>
        <w:tc>
          <w:tcPr>
            <w:tcW w:w="2040" w:type="dxa"/>
            <w:vAlign w:val="center"/>
          </w:tcPr>
          <w:p>
            <w:pPr>
              <w:pStyle w:val="TableText"/>
              <w:jc w:val="left"/>
            </w:pPr>
            <w:r/>
            <w:r>
              <w:t>Life of the asset; transfers with the asset</w:t>
            </w:r>
          </w:p>
        </w:tc>
        <w:tc>
          <w:tcPr>
            <w:tcW w:w="1700" w:type="dxa"/>
            <w:vAlign w:val="center"/>
          </w:tcPr>
          <w:p>
            <w:pPr>
              <w:pStyle w:val="TableText"/>
              <w:jc w:val="left"/>
            </w:pPr>
            <w:r/>
            <w:r>
              <w:t>PDF; per the information standard</w:t>
            </w:r>
          </w:p>
        </w:tc>
        <w:tc>
          <w:tcPr>
            <w:tcW w:w="1703" w:type="dxa"/>
            <w:vAlign w:val="center"/>
          </w:tcPr>
          <w:p>
            <w:pPr>
              <w:pStyle w:val="TableText"/>
              <w:jc w:val="left"/>
            </w:pPr>
            <w:r/>
            <w:r>
              <w:t>Asset owner's register; handover data set</w:t>
            </w:r>
          </w:p>
        </w:tc>
      </w:tr>
    </w:tbl>
    <w:p>
      <w:pPr>
        <w:spacing w:before="0" w:after="0" w:line="60" w:lineRule="exact"/>
      </w:pPr>
    </w:p>
    <w:p>
      <w:pPr>
        <w:pStyle w:val="Heading2"/>
      </w:pPr>
      <w:bookmarkStart w:id="9091" w:name="_Toc90091"/>
      <w:r>
        <w:t>17.2 Information management</w:t>
      </w:r>
      <w:bookmarkEnd w:id="9091"/>
    </w:p>
    <w:p>
      <w:pPr>
        <w:pStyle w:val="Body"/>
      </w:pPr>
      <w:r>
        <w:t>Safety records are project information, managed to the same standard as design and commercial information and aligned to the ISO 19650 series: a common data environment as the single source of truth; one naming and revision convention for safety documents as well as drawings; a defined status for each document (work in progress, shared, published, archived); and an audit trail of who issued what and when. Information required for the safe operation, maintenance and eventual demolition of the asset is assembled progressively and handed over at completion — not compiled in the final fortnight.</w:t>
      </w:r>
    </w:p>
    <w:p>
      <w:pPr>
        <w:pStyle w:val="Heading2"/>
      </w:pPr>
      <w:bookmarkStart w:id="9092" w:name="_Toc90092"/>
      <w:r>
        <w:t>17.3 Privacy of health records</w:t>
      </w:r>
      <w:bookmarkEnd w:id="9092"/>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rPr>
          <w:cantSplit/>
        </w:trPr>
        <w:tc>
          <w:tcPr>
            <w:tcW w:w="9638" w:type="dxa"/>
            <w:shd w:val="clear" w:color="auto" w:fill="FDF3DC"/>
            <w:tcBorders>
              <w:left w:val="single" w:sz="4" w:space="0" w:color="C98A0E"/>
            </w:tcBorders>
          </w:tcPr>
          <w:p>
            <w:pPr>
              <w:pStyle w:val="Body"/>
            </w:pPr>
            <w:r/>
            <w:r>
              <w:t>Health monitoring results, first aid and treatment records, injury management files, drug and alcohol results, medication declarations and employee assistance contacts are personal health information. They are held by the engaging employer or the health provider, kept separately from the personnel file, restricted to those with a genuine need and never circulated in project reporting. The project receives only the fact of fitness for a task, any restriction to be accommodated, and de-identified aggregate results; the worker receives their own results in full. Handle it in accordance with the applicable privacy law.</w:t>
            </w:r>
          </w:p>
        </w:tc>
      </w:tr>
    </w:tbl>
    <w:p>
      <w:pPr>
        <w:spacing w:before="0" w:after="0" w:line="160" w:lineRule="exact"/>
      </w:pPr>
    </w:p>
    <w:p>
      <w:pPr>
        <w:pStyle w:val="Heading1"/>
      </w:pPr>
      <w:bookmarkStart w:id="9093" w:name="_Toc90093"/>
      <w:r>
        <w:t>18. Plan Review and Approval</w:t>
      </w:r>
      <w:bookmarkEnd w:id="9093"/>
    </w:p>
    <w:p>
      <w:pPr>
        <w:pStyle w:val="Body"/>
      </w:pPr>
      <w:r>
        <w:t>This plan takes effect when it has been approved by the general contractor, acknowledged by the Owner and briefed to the workforce. Until then it is a draft and no reliance should be placed on it.</w:t>
      </w:r>
    </w:p>
    <w:p>
      <w:pPr>
        <w:pStyle w:val="Heading2"/>
      </w:pPr>
      <w:bookmarkStart w:id="9094" w:name="_Toc90094"/>
      <w:r>
        <w:t>18.1 Review schedule and version control</w:t>
      </w:r>
      <w:bookmarkEnd w:id="9094"/>
    </w:p>
    <w:p>
      <w:pPr>
        <w:pStyle w:val="BodyBullet"/>
      </w:pPr>
      <w:r>
        <w:rPr>
          <w:color w:val="3480BC"/>
        </w:rPr>
        <w:t xml:space="preserve">—   </w:t>
      </w:r>
      <w:r>
        <w:t>Full review every six months and at each change of project phase — for example on completion of bulk excavation, at the start of steel erection and at the start of services commissioning — and immediately on any trigger at 16.3. Every safety committee meeting confirms in its minutes that no trigger has occurred without a review. The next review due date is on the cover and in the revision history, and a review that falls due is a nonconformance until it is completed.</w:t>
      </w:r>
    </w:p>
    <w:p>
      <w:pPr>
        <w:pStyle w:val="BodyBullet"/>
      </w:pPr>
      <w:r>
        <w:rPr>
          <w:color w:val="3480BC"/>
        </w:rPr>
        <w:t xml:space="preserve">—   </w:t>
      </w:r>
      <w:r>
        <w:t>Each issue carries a revision letter, a date and a description of what changed and why. The current revision is the only one permitted on site; superseded copies are withdrawn and destroyed by the document controller and the withdrawal recorded. Where a revision changes a control, affected workers are re-briefed and the briefing recorded before the changed control takes effect — an amended plan that has not been briefed is not in force.</w:t>
      </w:r>
    </w:p>
    <w:p>
      <w:pPr>
        <w:pStyle w:val="Heading2"/>
      </w:pPr>
      <w:bookmarkStart w:id="9095" w:name="_Toc90095"/>
      <w:r>
        <w:t>18.2 Approval and endorsement</w:t>
      </w:r>
      <w:bookmarkEnd w:id="9095"/>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3212"/>
        <w:gridCol w:w="3212"/>
        <w:gridCol w:w="3214"/>
      </w:tblGrid>
      <w:tr>
        <w:trPr>
          <w:tblHeader w:val="true"/>
          <w:cantSplit w:val="true"/>
        </w:trPr>
        <w:tc>
          <w:tcPr>
            <w:tcW w:w="3212" w:type="dxa"/>
            <w:shd w:val="clear" w:color="auto" w:fill="1D3245"/>
            <w:vAlign w:val="center"/>
          </w:tcPr>
          <w:p>
            <w:pPr>
              <w:pStyle w:val="TableHeader"/>
              <w:jc w:val="left"/>
            </w:pPr>
            <w:r/>
            <w:r>
              <w:t>Prepared by</w:t>
            </w:r>
          </w:p>
        </w:tc>
        <w:tc>
          <w:tcPr>
            <w:tcW w:w="3212" w:type="dxa"/>
            <w:shd w:val="clear" w:color="auto" w:fill="1D3245"/>
            <w:vAlign w:val="center"/>
          </w:tcPr>
          <w:p>
            <w:pPr>
              <w:pStyle w:val="TableHeader"/>
              <w:jc w:val="left"/>
            </w:pPr>
            <w:r/>
            <w:r>
              <w:t>Reviewed by</w:t>
            </w:r>
          </w:p>
        </w:tc>
        <w:tc>
          <w:tcPr>
            <w:tcW w:w="3214" w:type="dxa"/>
            <w:shd w:val="clear" w:color="auto" w:fill="1D3245"/>
            <w:vAlign w:val="center"/>
          </w:tcPr>
          <w:p>
            <w:pPr>
              <w:pStyle w:val="TableHeader"/>
              <w:jc w:val="left"/>
            </w:pPr>
            <w:r/>
            <w:r>
              <w:t>Approved for issue by</w:t>
            </w:r>
          </w:p>
        </w:tc>
      </w:tr>
      <w:tr>
        <w:trPr>
          <w:cantSplit w:val="true"/>
          <w:trHeight w:val="1077" w:hRule="atLeast"/>
        </w:trPr>
        <w:tc>
          <w:tcPr>
            <w:tcW w:w="3212"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Company: [Company]</w:t>
            </w:r>
          </w:p>
          <w:p>
            <w:pPr>
              <w:pStyle w:val="TableText"/>
              <w:jc w:val="left"/>
            </w:pPr>
            <w:r>
              <w:t>Date: [MM/DD/YY]</w:t>
            </w:r>
          </w:p>
        </w:tc>
        <w:tc>
          <w:tcPr>
            <w:tcW w:w="3212"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Company: [Company]</w:t>
            </w:r>
          </w:p>
          <w:p>
            <w:pPr>
              <w:pStyle w:val="TableText"/>
              <w:jc w:val="left"/>
            </w:pPr>
            <w:r>
              <w:t>Date: [MM/DD/YY]</w:t>
            </w:r>
          </w:p>
        </w:tc>
        <w:tc>
          <w:tcPr>
            <w:tcW w:w="3214"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Company: [Company]</w:t>
            </w:r>
          </w:p>
          <w:p>
            <w:pPr>
              <w:pStyle w:val="TableText"/>
              <w:jc w:val="left"/>
            </w:pPr>
            <w:r>
              <w:t>Date: [MM/DD/YY]</w:t>
            </w:r>
          </w:p>
        </w:tc>
      </w:tr>
    </w:tbl>
    <w:p>
      <w:pPr>
        <w:spacing w:before="0" w:after="0" w:line="120" w:lineRule="exact"/>
      </w:pPr>
    </w:p>
    <w:p>
      <w:pPr>
        <w:pStyle w:val="Note"/>
      </w:pPr>
      <w:r>
        <w:t>Owner acknowledgement below is receipt of this plan and confirmation of the arrangements that depend on the Owner — site information, control of the interfaces that remain in the Owner's control, and cooperation and consultation as required by the applicable legislation. It is not approval of the contractor's methods and does not transfer any duty to the Owner.</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4819"/>
        <w:gridCol w:w="4819"/>
      </w:tblGrid>
      <w:tr>
        <w:trPr>
          <w:tblHeader w:val="true"/>
          <w:cantSplit w:val="true"/>
        </w:trPr>
        <w:tc>
          <w:tcPr>
            <w:tcW w:w="4819" w:type="dxa"/>
            <w:shd w:val="clear" w:color="auto" w:fill="1D3245"/>
            <w:vAlign w:val="center"/>
          </w:tcPr>
          <w:p>
            <w:pPr>
              <w:pStyle w:val="TableHeader"/>
              <w:jc w:val="left"/>
            </w:pPr>
            <w:r/>
            <w:r>
              <w:t>Acknowledged for the Owner</w:t>
            </w:r>
          </w:p>
        </w:tc>
        <w:tc>
          <w:tcPr>
            <w:tcW w:w="4819" w:type="dxa"/>
            <w:shd w:val="clear" w:color="auto" w:fill="1D3245"/>
            <w:vAlign w:val="center"/>
          </w:tcPr>
          <w:p>
            <w:pPr>
              <w:pStyle w:val="TableHeader"/>
              <w:jc w:val="left"/>
            </w:pPr>
            <w:r/>
            <w:r>
              <w:t>Noted by the Owner's Representative</w:t>
            </w:r>
          </w:p>
        </w:tc>
      </w:tr>
      <w:tr>
        <w:trPr>
          <w:cantSplit w:val="true"/>
          <w:trHeight w:val="1077" w:hRule="atLeast"/>
        </w:trPr>
        <w:tc>
          <w:tcPr>
            <w:tcW w:w="4819"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Date: [MM/DD/YY]</w:t>
            </w:r>
          </w:p>
        </w:tc>
        <w:tc>
          <w:tcPr>
            <w:tcW w:w="4819"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Date: [MM/DD/YY]</w:t>
            </w:r>
          </w:p>
        </w:tc>
      </w:tr>
    </w:tbl>
    <w:p>
      <w:pPr>
        <w:spacing w:before="0" w:after="0" w:line="120" w:lineRule="exact"/>
      </w:pPr>
    </w:p>
    <w:p>
      <w:pPr>
        <w:pStyle w:val="Heading1"/>
      </w:pPr>
      <w:bookmarkStart w:id="9096" w:name="_Toc90096"/>
      <w:r>
        <w:t>Appendices</w:t>
      </w:r>
      <w:bookmarkEnd w:id="9096"/>
    </w:p>
    <w:p>
      <w:pPr>
        <w:pStyle w:val="Body"/>
      </w:pPr>
      <w:r>
        <w:t>Attach the documents listed below; delete any that do not apply and renumber the remainder. Where a document is voluminous or maintained live, reference it and state where the current version is held rather than attaching a snapshot that will go out of date.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510"/>
        <w:gridCol w:w="4308"/>
        <w:gridCol w:w="510"/>
        <w:gridCol w:w="4310"/>
      </w:tblGrid>
      <w:tr>
        <w:trPr>
          <w:tblHeader w:val="true"/>
          <w:cantSplit w:val="true"/>
        </w:trPr>
        <w:tc>
          <w:tcPr>
            <w:tcW w:w="510" w:type="dxa"/>
            <w:shd w:val="clear" w:color="auto" w:fill="1D3245"/>
            <w:vAlign w:val="center"/>
          </w:tcPr>
          <w:p>
            <w:pPr>
              <w:pStyle w:val="TableHeader"/>
              <w:jc w:val="center"/>
            </w:pPr>
            <w:r/>
          </w:p>
        </w:tc>
        <w:tc>
          <w:tcPr>
            <w:tcW w:w="4308" w:type="dxa"/>
            <w:shd w:val="clear" w:color="auto" w:fill="1D3245"/>
            <w:vAlign w:val="center"/>
          </w:tcPr>
          <w:p>
            <w:pPr>
              <w:pStyle w:val="TableHeader"/>
              <w:jc w:val="left"/>
            </w:pPr>
            <w:r/>
            <w:r>
              <w:t>Appendix</w:t>
            </w:r>
          </w:p>
        </w:tc>
        <w:tc>
          <w:tcPr>
            <w:tcW w:w="510" w:type="dxa"/>
            <w:shd w:val="clear" w:color="auto" w:fill="1D3245"/>
            <w:vAlign w:val="center"/>
          </w:tcPr>
          <w:p>
            <w:pPr>
              <w:pStyle w:val="TableHeader"/>
              <w:jc w:val="center"/>
            </w:pPr>
            <w:r/>
          </w:p>
        </w:tc>
        <w:tc>
          <w:tcPr>
            <w:tcW w:w="4310" w:type="dxa"/>
            <w:shd w:val="clear" w:color="auto" w:fill="1D3245"/>
            <w:vAlign w:val="center"/>
          </w:tcPr>
          <w:p>
            <w:pPr>
              <w:pStyle w:val="TableHeader"/>
              <w:jc w:val="left"/>
            </w:pPr>
            <w:r/>
            <w:r>
              <w:t>Appendix</w:t>
            </w:r>
          </w:p>
        </w:tc>
      </w:tr>
      <w:tr>
        <w:trPr>
          <w:cantSplit w:val="true"/>
        </w:trPr>
        <w:tc>
          <w:tcPr>
            <w:tcW w:w="510" w:type="dxa"/>
            <w:vAlign w:val="center"/>
          </w:tcPr>
          <w:p>
            <w:pPr>
              <w:pStyle w:val="TableTextCentre"/>
              <w:jc w:val="center"/>
            </w:pPr>
            <w:r/>
            <w:r>
              <w:t>A</w:t>
            </w:r>
          </w:p>
        </w:tc>
        <w:tc>
          <w:tcPr>
            <w:tcW w:w="4308" w:type="dxa"/>
            <w:vAlign w:val="center"/>
          </w:tcPr>
          <w:p>
            <w:pPr>
              <w:pStyle w:val="TableText"/>
              <w:jc w:val="left"/>
            </w:pPr>
            <w:r/>
            <w:r>
              <w:t>Site plan and layout — boundary, access, exclusion zones, welfare facilities, assembly points, emergency vehicle route</w:t>
            </w:r>
          </w:p>
        </w:tc>
        <w:tc>
          <w:tcPr>
            <w:tcW w:w="510" w:type="dxa"/>
            <w:vAlign w:val="center"/>
          </w:tcPr>
          <w:p>
            <w:pPr>
              <w:pStyle w:val="TableTextCentre"/>
              <w:jc w:val="center"/>
            </w:pPr>
            <w:r/>
            <w:r>
              <w:t>G</w:t>
            </w:r>
          </w:p>
        </w:tc>
        <w:tc>
          <w:tcPr>
            <w:tcW w:w="4310" w:type="dxa"/>
            <w:vAlign w:val="center"/>
          </w:tcPr>
          <w:p>
            <w:pPr>
              <w:pStyle w:val="TableText"/>
              <w:jc w:val="left"/>
            </w:pPr>
            <w:r/>
            <w:r>
              <w:t>Hazardous substance register and safety data sheets</w:t>
            </w:r>
          </w:p>
        </w:tc>
      </w:tr>
      <w:tr>
        <w:trPr>
          <w:cantSplit w:val="true"/>
        </w:trPr>
        <w:tc>
          <w:tcPr>
            <w:tcW w:w="510" w:type="dxa"/>
            <w:vAlign w:val="center"/>
          </w:tcPr>
          <w:p>
            <w:pPr>
              <w:pStyle w:val="TableTextCentre"/>
              <w:jc w:val="center"/>
            </w:pPr>
            <w:r/>
            <w:r>
              <w:t>B</w:t>
            </w:r>
          </w:p>
        </w:tc>
        <w:tc>
          <w:tcPr>
            <w:tcW w:w="4308" w:type="dxa"/>
            <w:vAlign w:val="center"/>
          </w:tcPr>
          <w:p>
            <w:pPr>
              <w:pStyle w:val="TableText"/>
              <w:jc w:val="left"/>
            </w:pPr>
            <w:r/>
            <w:r>
              <w:t>Emergency Response and Evacuation Plan, including rescue plans for height, confined space and excavation</w:t>
            </w:r>
          </w:p>
        </w:tc>
        <w:tc>
          <w:tcPr>
            <w:tcW w:w="510" w:type="dxa"/>
            <w:vAlign w:val="center"/>
          </w:tcPr>
          <w:p>
            <w:pPr>
              <w:pStyle w:val="TableTextCentre"/>
              <w:jc w:val="center"/>
            </w:pPr>
            <w:r/>
            <w:r>
              <w:t>H</w:t>
            </w:r>
          </w:p>
        </w:tc>
        <w:tc>
          <w:tcPr>
            <w:tcW w:w="4310" w:type="dxa"/>
            <w:vAlign w:val="center"/>
          </w:tcPr>
          <w:p>
            <w:pPr>
              <w:pStyle w:val="TableText"/>
              <w:jc w:val="left"/>
            </w:pPr>
            <w:r/>
            <w:r>
              <w:t>Equipment register with certification</w:t>
            </w:r>
          </w:p>
        </w:tc>
      </w:tr>
      <w:tr>
        <w:trPr>
          <w:cantSplit w:val="true"/>
        </w:trPr>
        <w:tc>
          <w:tcPr>
            <w:tcW w:w="510" w:type="dxa"/>
            <w:vAlign w:val="center"/>
          </w:tcPr>
          <w:p>
            <w:pPr>
              <w:pStyle w:val="TableTextCentre"/>
              <w:jc w:val="center"/>
            </w:pPr>
            <w:r/>
            <w:r>
              <w:t>C</w:t>
            </w:r>
          </w:p>
        </w:tc>
        <w:tc>
          <w:tcPr>
            <w:tcW w:w="4308" w:type="dxa"/>
            <w:vAlign w:val="center"/>
          </w:tcPr>
          <w:p>
            <w:pPr>
              <w:pStyle w:val="TableText"/>
              <w:jc w:val="left"/>
            </w:pPr>
            <w:r/>
            <w:r>
              <w:t>JHA register and the accepted JHA set (Mastt JHA template)</w:t>
            </w:r>
          </w:p>
        </w:tc>
        <w:tc>
          <w:tcPr>
            <w:tcW w:w="510" w:type="dxa"/>
            <w:vAlign w:val="center"/>
          </w:tcPr>
          <w:p>
            <w:pPr>
              <w:pStyle w:val="TableTextCentre"/>
              <w:jc w:val="center"/>
            </w:pPr>
            <w:r/>
            <w:r>
              <w:t>I</w:t>
            </w:r>
          </w:p>
        </w:tc>
        <w:tc>
          <w:tcPr>
            <w:tcW w:w="4310" w:type="dxa"/>
            <w:vAlign w:val="center"/>
          </w:tcPr>
          <w:p>
            <w:pPr>
              <w:pStyle w:val="TableText"/>
              <w:jc w:val="left"/>
            </w:pPr>
            <w:r/>
            <w:r>
              <w:t>Inspection, audit and pre-start forms and checklists</w:t>
            </w:r>
          </w:p>
        </w:tc>
      </w:tr>
      <w:tr>
        <w:trPr>
          <w:cantSplit w:val="true"/>
        </w:trPr>
        <w:tc>
          <w:tcPr>
            <w:tcW w:w="510" w:type="dxa"/>
            <w:vAlign w:val="center"/>
          </w:tcPr>
          <w:p>
            <w:pPr>
              <w:pStyle w:val="TableTextCentre"/>
              <w:jc w:val="center"/>
            </w:pPr>
            <w:r/>
            <w:r>
              <w:t>D</w:t>
            </w:r>
          </w:p>
        </w:tc>
        <w:tc>
          <w:tcPr>
            <w:tcW w:w="4308" w:type="dxa"/>
            <w:vAlign w:val="center"/>
          </w:tcPr>
          <w:p>
            <w:pPr>
              <w:pStyle w:val="TableText"/>
              <w:jc w:val="left"/>
            </w:pPr>
            <w:r/>
            <w:r>
              <w:t>Project safety risk register — live version</w:t>
            </w:r>
          </w:p>
        </w:tc>
        <w:tc>
          <w:tcPr>
            <w:tcW w:w="510" w:type="dxa"/>
            <w:vAlign w:val="center"/>
          </w:tcPr>
          <w:p>
            <w:pPr>
              <w:pStyle w:val="TableTextCentre"/>
              <w:jc w:val="center"/>
            </w:pPr>
            <w:r/>
            <w:r>
              <w:t>J</w:t>
            </w:r>
          </w:p>
        </w:tc>
        <w:tc>
          <w:tcPr>
            <w:tcW w:w="4310" w:type="dxa"/>
            <w:vAlign w:val="center"/>
          </w:tcPr>
          <w:p>
            <w:pPr>
              <w:pStyle w:val="TableText"/>
              <w:jc w:val="left"/>
            </w:pPr>
            <w:r/>
            <w:r>
              <w:t>Emergency and project contact list</w:t>
            </w:r>
          </w:p>
        </w:tc>
      </w:tr>
      <w:tr>
        <w:trPr>
          <w:cantSplit w:val="true"/>
        </w:trPr>
        <w:tc>
          <w:tcPr>
            <w:tcW w:w="510" w:type="dxa"/>
            <w:vAlign w:val="center"/>
          </w:tcPr>
          <w:p>
            <w:pPr>
              <w:pStyle w:val="TableTextCentre"/>
              <w:jc w:val="center"/>
            </w:pPr>
            <w:r/>
            <w:r>
              <w:t>E</w:t>
            </w:r>
          </w:p>
        </w:tc>
        <w:tc>
          <w:tcPr>
            <w:tcW w:w="4308" w:type="dxa"/>
            <w:vAlign w:val="center"/>
          </w:tcPr>
          <w:p>
            <w:pPr>
              <w:pStyle w:val="TableText"/>
              <w:jc w:val="left"/>
            </w:pPr>
            <w:r/>
            <w:r>
              <w:t>Induction pack and site rules</w:t>
            </w:r>
          </w:p>
        </w:tc>
        <w:tc>
          <w:tcPr>
            <w:tcW w:w="510" w:type="dxa"/>
            <w:vAlign w:val="center"/>
          </w:tcPr>
          <w:p>
            <w:pPr>
              <w:pStyle w:val="TableTextCentre"/>
              <w:jc w:val="center"/>
            </w:pPr>
            <w:r/>
            <w:r>
              <w:t>K</w:t>
            </w:r>
          </w:p>
        </w:tc>
        <w:tc>
          <w:tcPr>
            <w:tcW w:w="4310" w:type="dxa"/>
            <w:vAlign w:val="center"/>
          </w:tcPr>
          <w:p>
            <w:pPr>
              <w:pStyle w:val="TableText"/>
              <w:jc w:val="left"/>
            </w:pPr>
            <w:r/>
            <w:r>
              <w:t>Permit-to-work forms and the permit register</w:t>
            </w:r>
          </w:p>
        </w:tc>
      </w:tr>
      <w:tr>
        <w:trPr>
          <w:cantSplit w:val="true"/>
        </w:trPr>
        <w:tc>
          <w:tcPr>
            <w:tcW w:w="510" w:type="dxa"/>
            <w:vAlign w:val="center"/>
          </w:tcPr>
          <w:p>
            <w:pPr>
              <w:pStyle w:val="TableTextCentre"/>
              <w:jc w:val="center"/>
            </w:pPr>
            <w:r/>
            <w:r>
              <w:t>F</w:t>
            </w:r>
          </w:p>
        </w:tc>
        <w:tc>
          <w:tcPr>
            <w:tcW w:w="4308" w:type="dxa"/>
            <w:vAlign w:val="center"/>
          </w:tcPr>
          <w:p>
            <w:pPr>
              <w:pStyle w:val="TableText"/>
              <w:jc w:val="left"/>
            </w:pPr>
            <w:r/>
            <w:r>
              <w:t>Training and competency matrix and license register</w:t>
            </w:r>
          </w:p>
        </w:tc>
        <w:tc>
          <w:tcPr>
            <w:tcW w:w="510" w:type="dxa"/>
            <w:vAlign w:val="center"/>
          </w:tcPr>
          <w:p>
            <w:pPr>
              <w:pStyle w:val="TableTextCentre"/>
              <w:jc w:val="center"/>
            </w:pPr>
            <w:r/>
            <w:r>
              <w:t>L</w:t>
            </w:r>
          </w:p>
        </w:tc>
        <w:tc>
          <w:tcPr>
            <w:tcW w:w="4310" w:type="dxa"/>
            <w:vAlign w:val="center"/>
          </w:tcPr>
          <w:p>
            <w:pPr>
              <w:pStyle w:val="TableText"/>
              <w:jc w:val="left"/>
            </w:pPr>
            <w:r/>
            <w:r>
              <w:t>Traffic Management Plan; temporary works register</w:t>
            </w:r>
          </w:p>
        </w:tc>
      </w:tr>
    </w:tbl>
    <w:p>
      <w:pPr>
        <w:spacing w:before="0" w:after="0" w:line="60" w:lineRule="exact"/>
      </w:pPr>
    </w:p>
    <w:p>
      <w:pPr>
        <w:spacing w:before="0" w:after="0" w:line="160" w:lineRule="exact"/>
      </w:pPr>
    </w:p>
    <w:p>
      <w:pPr>
        <w:pStyle w:val="Body"/>
        <w:spacing w:after="0"/>
        <w:pBdr>
          <w:bottom w:val="single" w:sz="6" w:space="0" w:color="D3DEE9"/>
        </w:pBdr>
      </w:pPr>
    </w:p>
    <w:p>
      <w:pPr>
        <w:pStyle w:val="Note"/>
      </w:pPr>
      <w:r>
        <w:t xml:space="preserve">Disclaimer.  This template is a framework only. It is not legal, safety or financial advice and it does not itself discharge any duty. It must be reviewed against the applicable OSHA standards, regulations and consensus standards by a competent person, adapted to the actual project, its site and its methods, and approved by a person with authority to commit the resources it requires, before it is issued or relied upon. Every worked example, figure, threshold and name shown in gray italic relates to the fictional Northbank Health Campus — Stage 2 project and must be deleted and replaced. </w:t>
      </w:r>
    </w:p>
    <w:sectPr w:rsidR="00FC693F" w:rsidRPr="0006063C" w:rsidSect="00034616">
      <w:headerReference w:type="default" r:id="rId15"/>
      <w:footerReference w:type="default" r:id="rId16"/>
      <w:pgSz w:w="11906" w:h="16838"/>
      <w:pgMar w:top="1049" w:right="1134" w:bottom="850" w:left="1134" w:header="482"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Inter">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D3DEE9"/>
      </w:pBdr>
      <w:tabs>
        <w:tab w:pos="9638" w:val="right"/>
      </w:tabs>
    </w:pPr>
    <w:r>
      <w:rPr>
        <w:rFonts w:ascii="Inter" w:hAnsi="Inter"/>
        <w:color w:val="8E98A2"/>
        <w:sz w:val="15"/>
      </w:rPr>
      <w:t xml:space="preserve"/>
    </w:r>
    <w:hyperlink r:id="rId1">
      <w:r>
        <w:rPr>
          <w:rFonts w:ascii="Inter" w:hAnsi="Inter" w:cs="Inter"/>
          <w:color w:val="3480BC"/>
          <w:sz w:val="15"/>
          <w:u w:val="single"/>
        </w:rPr>
        <w:t xml:space="preserve">Visit mastt.com</w:t>
      </w:r>
    </w:hyperlink>
    <w:r>
      <w:rPr>
        <w:rFonts w:ascii="Inter" w:hAnsi="Inter"/>
        <w:color w:val="8E98A2"/>
        <w:sz w:val="15"/>
      </w:rPr>
      <w:t xml:space="preserve"/>
    </w:r>
    <w:r>
      <w:rPr>
        <w:rFonts w:ascii="Inter" w:hAnsi="Inter"/>
        <w:color w:val="8E98A2"/>
        <w:sz w:val="15"/>
      </w:rPr>
      <w:tab/>
    </w:r>
    <w:r>
      <w:rPr>
        <w:rFonts w:ascii="Inter" w:hAnsi="Inter" w:cs="Inter"/>
        <w:color w:val="8E98A2"/>
        <w:sz w:val="15"/>
      </w:rPr>
      <w:fldChar w:fldCharType="begin"/>
    </w:r>
    <w:r>
      <w:rPr>
        <w:rFonts w:ascii="Inter" w:hAnsi="Inter" w:cs="Inter"/>
        <w:color w:val="8E98A2"/>
        <w:sz w:val="15"/>
      </w:rPr>
      <w:instrText xml:space="preserve"> PAGE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r>
      <w:rPr>
        <w:rFonts w:ascii="Inter" w:hAnsi="Inter"/>
        <w:color w:val="8E98A2"/>
        <w:sz w:val="15"/>
      </w:rPr>
      <w:t xml:space="preserve"> of </w:t>
    </w:r>
    <w:r>
      <w:rPr>
        <w:rFonts w:ascii="Inter" w:hAnsi="Inter" w:cs="Inter"/>
        <w:color w:val="8E98A2"/>
        <w:sz w:val="15"/>
      </w:rPr>
      <w:fldChar w:fldCharType="begin"/>
    </w:r>
    <w:r>
      <w:rPr>
        <w:rFonts w:ascii="Inter" w:hAnsi="Inter" w:cs="Inter"/>
        <w:color w:val="8E98A2"/>
        <w:sz w:val="15"/>
      </w:rPr>
      <w:instrText xml:space="preserve"> NUMPAGES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D3DEE9"/>
      </w:pBdr>
      <w:tabs>
        <w:tab w:pos="14570" w:val="right"/>
      </w:tabs>
    </w:pPr>
    <w:r>
      <w:rPr>
        <w:rFonts w:ascii="Inter" w:hAnsi="Inter"/>
        <w:color w:val="8E98A2"/>
        <w:sz w:val="15"/>
      </w:rPr>
      <w:t xml:space="preserve"/>
    </w:r>
    <w:hyperlink r:id="rId1">
      <w:r>
        <w:rPr>
          <w:rFonts w:ascii="Inter" w:hAnsi="Inter" w:cs="Inter"/>
          <w:color w:val="3480BC"/>
          <w:sz w:val="15"/>
          <w:u w:val="single"/>
        </w:rPr>
        <w:t xml:space="preserve">Visit mastt.com</w:t>
      </w:r>
    </w:hyperlink>
    <w:r>
      <w:rPr>
        <w:rFonts w:ascii="Inter" w:hAnsi="Inter"/>
        <w:color w:val="8E98A2"/>
        <w:sz w:val="15"/>
      </w:rPr>
      <w:t xml:space="preserve"/>
    </w:r>
    <w:r>
      <w:rPr>
        <w:rFonts w:ascii="Inter" w:hAnsi="Inter"/>
        <w:color w:val="8E98A2"/>
        <w:sz w:val="15"/>
      </w:rPr>
      <w:tab/>
    </w:r>
    <w:r>
      <w:rPr>
        <w:rFonts w:ascii="Inter" w:hAnsi="Inter" w:cs="Inter"/>
        <w:color w:val="8E98A2"/>
        <w:sz w:val="15"/>
      </w:rPr>
      <w:fldChar w:fldCharType="begin"/>
    </w:r>
    <w:r>
      <w:rPr>
        <w:rFonts w:ascii="Inter" w:hAnsi="Inter" w:cs="Inter"/>
        <w:color w:val="8E98A2"/>
        <w:sz w:val="15"/>
      </w:rPr>
      <w:instrText xml:space="preserve"> PAGE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r>
      <w:rPr>
        <w:rFonts w:ascii="Inter" w:hAnsi="Inter"/>
        <w:color w:val="8E98A2"/>
        <w:sz w:val="15"/>
      </w:rPr>
      <w:t xml:space="preserve"> of </w:t>
    </w:r>
    <w:r>
      <w:rPr>
        <w:rFonts w:ascii="Inter" w:hAnsi="Inter" w:cs="Inter"/>
        <w:color w:val="8E98A2"/>
        <w:sz w:val="15"/>
      </w:rPr>
      <w:fldChar w:fldCharType="begin"/>
    </w:r>
    <w:r>
      <w:rPr>
        <w:rFonts w:ascii="Inter" w:hAnsi="Inter" w:cs="Inter"/>
        <w:color w:val="8E98A2"/>
        <w:sz w:val="15"/>
      </w:rPr>
      <w:instrText xml:space="preserve"> NUMPAGES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D3DEE9"/>
      </w:pBdr>
      <w:tabs>
        <w:tab w:pos="9638" w:val="right"/>
      </w:tabs>
    </w:pPr>
    <w:r>
      <w:rPr>
        <w:rFonts w:ascii="Inter" w:hAnsi="Inter"/>
        <w:color w:val="8E98A2"/>
        <w:sz w:val="15"/>
      </w:rPr>
      <w:t xml:space="preserve"/>
    </w:r>
    <w:hyperlink r:id="rId1">
      <w:r>
        <w:rPr>
          <w:rFonts w:ascii="Inter" w:hAnsi="Inter" w:cs="Inter"/>
          <w:color w:val="3480BC"/>
          <w:sz w:val="15"/>
          <w:u w:val="single"/>
        </w:rPr>
        <w:t xml:space="preserve">Visit mastt.com</w:t>
      </w:r>
    </w:hyperlink>
    <w:r>
      <w:rPr>
        <w:rFonts w:ascii="Inter" w:hAnsi="Inter"/>
        <w:color w:val="8E98A2"/>
        <w:sz w:val="15"/>
      </w:rPr>
      <w:t xml:space="preserve"/>
    </w:r>
    <w:r>
      <w:rPr>
        <w:rFonts w:ascii="Inter" w:hAnsi="Inter"/>
        <w:color w:val="8E98A2"/>
        <w:sz w:val="15"/>
      </w:rPr>
      <w:tab/>
    </w:r>
    <w:r>
      <w:rPr>
        <w:rFonts w:ascii="Inter" w:hAnsi="Inter" w:cs="Inter"/>
        <w:color w:val="8E98A2"/>
        <w:sz w:val="15"/>
      </w:rPr>
      <w:fldChar w:fldCharType="begin"/>
    </w:r>
    <w:r>
      <w:rPr>
        <w:rFonts w:ascii="Inter" w:hAnsi="Inter" w:cs="Inter"/>
        <w:color w:val="8E98A2"/>
        <w:sz w:val="15"/>
      </w:rPr>
      <w:instrText xml:space="preserve"> PAGE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r>
      <w:rPr>
        <w:rFonts w:ascii="Inter" w:hAnsi="Inter"/>
        <w:color w:val="8E98A2"/>
        <w:sz w:val="15"/>
      </w:rPr>
      <w:t xml:space="preserve"> of </w:t>
    </w:r>
    <w:r>
      <w:rPr>
        <w:rFonts w:ascii="Inter" w:hAnsi="Inter" w:cs="Inter"/>
        <w:color w:val="8E98A2"/>
        <w:sz w:val="15"/>
      </w:rPr>
      <w:fldChar w:fldCharType="begin"/>
    </w:r>
    <w:r>
      <w:rPr>
        <w:rFonts w:ascii="Inter" w:hAnsi="Inter" w:cs="Inter"/>
        <w:color w:val="8E98A2"/>
        <w:sz w:val="15"/>
      </w:rPr>
      <w:instrText xml:space="preserve"> NUMPAGES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3" w:color="1D3245"/>
      </w:pBdr>
      <w:tabs>
        <w:tab w:pos="9638" w:val="right"/>
      </w:tabs>
      <w:spacing w:after="80"/>
    </w:pPr>
    <w:r>
      <w:drawing>
        <wp:inline xmlns:a="http://schemas.openxmlformats.org/drawingml/2006/main" xmlns:pic="http://schemas.openxmlformats.org/drawingml/2006/picture">
          <wp:extent cx="90071" cy="151224"/>
          <wp:docPr id="1" name="Picture 1">
            <a:hlinkClick xmlns:a="http://schemas.openxmlformats.org/drawingml/2006/main" xmlns:r="http://schemas.openxmlformats.org/officeDocument/2006/relationships" r:id="rId2"/>
          </wp:docPr>
          <wp:cNvGraphicFramePr>
            <a:graphicFrameLocks noChangeAspect="1"/>
          </wp:cNvGraphicFramePr>
          <a:graphic>
            <a:graphicData uri="http://schemas.openxmlformats.org/drawingml/2006/picture">
              <pic:pic>
                <pic:nvPicPr>
                  <pic:cNvPr id="2" name="mastt-mark-navy.png"/>
                  <pic:cNvPicPr/>
                </pic:nvPicPr>
                <pic:blipFill>
                  <a:blip r:embed="rId1"/>
                  <a:stretch>
                    <a:fillRect/>
                  </a:stretch>
                </pic:blipFill>
                <pic:spPr>
                  <a:xfrm>
                    <a:off x="0" y="0"/>
                    <a:ext cx="90071" cy="151224"/>
                  </a:xfrm>
                  <a:prstGeom prst="rect"/>
                </pic:spPr>
              </pic:pic>
            </a:graphicData>
          </a:graphic>
        </wp:inline>
      </w:drawing>
    </w:r>
    <w:r>
      <w:rPr>
        <w:rFonts w:ascii="Inter" w:hAnsi="Inter"/>
        <w:b/>
        <w:color w:val="1D3245"/>
        <w:sz w:val="16"/>
      </w:rPr>
      <w:t xml:space="preserve">  [Project name]</w:t>
    </w:r>
    <w:r>
      <w:rPr>
        <w:rFonts w:ascii="Inter" w:hAnsi="Inter"/>
        <w:color w:val="8E98A2"/>
        <w:sz w:val="16"/>
      </w:rPr>
      <w:tab/>
      <w:t>Safety Management Plan · Rev [X]</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3" w:color="1D3245"/>
      </w:pBdr>
      <w:tabs>
        <w:tab w:pos="14570" w:val="right"/>
      </w:tabs>
      <w:spacing w:after="80"/>
    </w:pPr>
    <w:r>
      <w:drawing>
        <wp:inline xmlns:a="http://schemas.openxmlformats.org/drawingml/2006/main" xmlns:pic="http://schemas.openxmlformats.org/drawingml/2006/picture">
          <wp:extent cx="90071" cy="151224"/>
          <wp:docPr id="1" name="Picture 1">
            <a:hlinkClick xmlns:a="http://schemas.openxmlformats.org/drawingml/2006/main" xmlns:r="http://schemas.openxmlformats.org/officeDocument/2006/relationships" r:id="rId2"/>
          </wp:docPr>
          <wp:cNvGraphicFramePr>
            <a:graphicFrameLocks noChangeAspect="1"/>
          </wp:cNvGraphicFramePr>
          <a:graphic>
            <a:graphicData uri="http://schemas.openxmlformats.org/drawingml/2006/picture">
              <pic:pic>
                <pic:nvPicPr>
                  <pic:cNvPr id="2" name="mastt-mark-navy.png"/>
                  <pic:cNvPicPr/>
                </pic:nvPicPr>
                <pic:blipFill>
                  <a:blip r:embed="rId1"/>
                  <a:stretch>
                    <a:fillRect/>
                  </a:stretch>
                </pic:blipFill>
                <pic:spPr>
                  <a:xfrm>
                    <a:off x="0" y="0"/>
                    <a:ext cx="90071" cy="151224"/>
                  </a:xfrm>
                  <a:prstGeom prst="rect"/>
                </pic:spPr>
              </pic:pic>
            </a:graphicData>
          </a:graphic>
        </wp:inline>
      </w:drawing>
    </w:r>
    <w:r>
      <w:rPr>
        <w:rFonts w:ascii="Inter" w:hAnsi="Inter"/>
        <w:b/>
        <w:color w:val="1D3245"/>
        <w:sz w:val="16"/>
      </w:rPr>
      <w:t xml:space="preserve">  [Project name]</w:t>
    </w:r>
    <w:r>
      <w:rPr>
        <w:rFonts w:ascii="Inter" w:hAnsi="Inter"/>
        <w:color w:val="8E98A2"/>
        <w:sz w:val="16"/>
      </w:rPr>
      <w:tab/>
      <w:t>Safety Management Plan · Rev [X]</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3" w:color="1D3245"/>
      </w:pBdr>
      <w:tabs>
        <w:tab w:pos="9638" w:val="right"/>
      </w:tabs>
      <w:spacing w:after="80"/>
    </w:pPr>
    <w:r>
      <w:drawing>
        <wp:inline xmlns:a="http://schemas.openxmlformats.org/drawingml/2006/main" xmlns:pic="http://schemas.openxmlformats.org/drawingml/2006/picture">
          <wp:extent cx="90071" cy="151224"/>
          <wp:docPr id="1" name="Picture 1">
            <a:hlinkClick xmlns:a="http://schemas.openxmlformats.org/drawingml/2006/main" xmlns:r="http://schemas.openxmlformats.org/officeDocument/2006/relationships" r:id="rId2"/>
          </wp:docPr>
          <wp:cNvGraphicFramePr>
            <a:graphicFrameLocks noChangeAspect="1"/>
          </wp:cNvGraphicFramePr>
          <a:graphic>
            <a:graphicData uri="http://schemas.openxmlformats.org/drawingml/2006/picture">
              <pic:pic>
                <pic:nvPicPr>
                  <pic:cNvPr id="2" name="mastt-mark-navy.png"/>
                  <pic:cNvPicPr/>
                </pic:nvPicPr>
                <pic:blipFill>
                  <a:blip r:embed="rId1"/>
                  <a:stretch>
                    <a:fillRect/>
                  </a:stretch>
                </pic:blipFill>
                <pic:spPr>
                  <a:xfrm>
                    <a:off x="0" y="0"/>
                    <a:ext cx="90071" cy="151224"/>
                  </a:xfrm>
                  <a:prstGeom prst="rect"/>
                </pic:spPr>
              </pic:pic>
            </a:graphicData>
          </a:graphic>
        </wp:inline>
      </w:drawing>
    </w:r>
    <w:r>
      <w:rPr>
        <w:rFonts w:ascii="Inter" w:hAnsi="Inter"/>
        <w:b/>
        <w:color w:val="1D3245"/>
        <w:sz w:val="16"/>
      </w:rPr>
      <w:t xml:space="preserve">  [Project name]</w:t>
    </w:r>
    <w:r>
      <w:rPr>
        <w:rFonts w:ascii="Inter" w:hAnsi="Inter"/>
        <w:color w:val="8E98A2"/>
        <w:sz w:val="16"/>
      </w:rPr>
      <w:tab/>
      <w:t>Safety Management Plan · Rev [X]</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keepLines w:val="0"/>
      <w:widowControl/>
      <w:spacing w:after="120" w:line="262" w:lineRule="auto"/>
    </w:pPr>
    <w:rPr>
      <w:rFonts w:ascii="Inter" w:hAnsi="Inter" w:cs="Inter" w:eastAsia="Inter"/>
      <w:color w:val="0C1628"/>
      <w:sz w:val="19"/>
    </w:rPr>
  </w:style>
  <w:style w:type="paragraph" w:styleId="Header">
    <w:name w:val="header"/>
    <w:basedOn w:val="Normal"/>
    <w:link w:val="HeaderChar"/>
    <w:uiPriority w:val="99"/>
    <w:unhideWhenUsed/>
    <w:rsid w:val="00E618BF"/>
    <w:pPr>
      <w:keepNext w:val="0"/>
      <w:keepLines w:val="0"/>
      <w:widowControl/>
      <w:spacing w:after="60" w:line="240" w:lineRule="auto" w:before="0"/>
    </w:pPr>
    <w:rPr>
      <w:rFonts w:ascii="Inter" w:hAnsi="Inter" w:cs="Inter" w:eastAsia="Inter"/>
      <w:color w:val="1D3245"/>
      <w:sz w:val="16"/>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keepNext w:val="0"/>
      <w:keepLines w:val="0"/>
      <w:widowControl/>
      <w:spacing w:after="0" w:line="240" w:lineRule="auto" w:before="60"/>
    </w:pPr>
    <w:rPr>
      <w:rFonts w:ascii="Inter" w:hAnsi="Inter" w:cs="Inter" w:eastAsia="Inter"/>
      <w:color w:val="8E98A2"/>
      <w:sz w:val="15"/>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400" w:after="140" w:line="252" w:lineRule="auto"/>
      <w:outlineLvl w:val="0"/>
    </w:pPr>
    <w:rPr>
      <w:rFonts w:asciiTheme="majorHAnsi" w:eastAsiaTheme="majorEastAsia" w:hAnsiTheme="majorHAnsi" w:cstheme="majorBidi" w:ascii="Inter" w:hAnsi="Inter" w:cs="Inter" w:eastAsia="Inter"/>
      <w:b/>
      <w:bCs/>
      <w:color w:val="1D3245"/>
      <w:sz w:val="30"/>
      <w:szCs w:val="28"/>
    </w:rPr>
  </w:style>
  <w:style w:type="paragraph" w:styleId="Heading2">
    <w:name w:val="heading 2"/>
    <w:basedOn w:val="Normal"/>
    <w:next w:val="Normal"/>
    <w:link w:val="Heading2Char"/>
    <w:uiPriority w:val="9"/>
    <w:unhideWhenUsed/>
    <w:qFormat/>
    <w:rsid w:val="00FC693F"/>
    <w:pPr>
      <w:keepNext/>
      <w:keepLines/>
      <w:widowControl/>
      <w:spacing w:before="220" w:after="100" w:line="264" w:lineRule="auto"/>
      <w:outlineLvl w:val="1"/>
    </w:pPr>
    <w:rPr>
      <w:rFonts w:asciiTheme="majorHAnsi" w:eastAsiaTheme="majorEastAsia" w:hAnsiTheme="majorHAnsi" w:cstheme="majorBidi" w:ascii="Inter" w:hAnsi="Inter" w:cs="Inter" w:eastAsia="Inter"/>
      <w:b/>
      <w:bCs/>
      <w:color w:val="0D3C61"/>
      <w:sz w:val="23"/>
      <w:szCs w:val="26"/>
    </w:rPr>
  </w:style>
  <w:style w:type="paragraph" w:styleId="Heading3">
    <w:name w:val="heading 3"/>
    <w:basedOn w:val="Normal"/>
    <w:next w:val="Normal"/>
    <w:link w:val="Heading3Char"/>
    <w:uiPriority w:val="9"/>
    <w:unhideWhenUsed/>
    <w:qFormat/>
    <w:rsid w:val="00FC693F"/>
    <w:pPr>
      <w:keepNext/>
      <w:keepLines/>
      <w:widowControl/>
      <w:spacing w:before="200" w:after="60" w:line="264" w:lineRule="auto"/>
      <w:outlineLvl w:val="2"/>
    </w:pPr>
    <w:rPr>
      <w:rFonts w:asciiTheme="majorHAnsi" w:eastAsiaTheme="majorEastAsia" w:hAnsiTheme="majorHAnsi" w:cstheme="majorBidi" w:ascii="Inter" w:hAnsi="Inter" w:cs="Inter" w:eastAsia="Inter"/>
      <w:b/>
      <w:bCs/>
      <w:caps w:val="1"/>
      <w:color w:val="1D3245"/>
      <w:spacing w:val="6"/>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val="0"/>
      <w:widowControl/>
      <w:spacing w:after="80" w:line="240" w:lineRule="auto" w:before="0"/>
      <w:contextualSpacing/>
    </w:pPr>
    <w:rPr>
      <w:rFonts w:asciiTheme="majorHAnsi" w:eastAsiaTheme="majorEastAsia" w:hAnsiTheme="majorHAnsi" w:cstheme="majorBidi" w:ascii="Inter" w:hAnsi="Inter" w:cs="Inter" w:eastAsia="Inter"/>
      <w:b/>
      <w:color w:val="1D3245"/>
      <w:spacing w:val="5"/>
      <w:spacing w:val="-8"/>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keepLines w:val="0"/>
      <w:widowControl/>
      <w:numPr>
        <w:ilvl w:val="1"/>
      </w:numPr>
      <w:spacing w:before="0" w:after="360" w:line="288" w:lineRule="auto"/>
    </w:pPr>
    <w:rPr>
      <w:rFonts w:asciiTheme="majorHAnsi" w:eastAsiaTheme="majorEastAsia" w:hAnsiTheme="majorHAnsi" w:cstheme="majorBidi" w:ascii="Inter" w:hAnsi="Inter" w:cs="Inter" w:eastAsia="Inter"/>
      <w:b w:val="0"/>
      <w:i/>
      <w:iCs/>
      <w:color w:val="8E98A2"/>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val="0"/>
      <w:keepLines w:val="0"/>
      <w:widowControl/>
      <w:spacing w:line="264" w:lineRule="auto" w:before="80" w:after="240"/>
      <w:jc w:val="center"/>
    </w:pPr>
    <w:rPr>
      <w:rFonts w:ascii="Inter" w:hAnsi="Inter" w:cs="Inter" w:eastAsia="Inter"/>
      <w:b/>
      <w:bCs/>
      <w:i/>
      <w:color w:val="8E98A2"/>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basedOn w:val="Normal"/>
    <w:qFormat/>
    <w:pPr>
      <w:keepNext w:val="0"/>
      <w:keepLines w:val="0"/>
      <w:widowControl/>
      <w:spacing w:after="140" w:line="264" w:lineRule="auto"/>
    </w:pPr>
    <w:rPr>
      <w:rFonts w:ascii="Inter" w:hAnsi="Inter" w:cs="Inter" w:eastAsia="Inter"/>
      <w:color w:val="0C1628"/>
      <w:sz w:val="19"/>
    </w:rPr>
  </w:style>
  <w:style w:type="paragraph" w:customStyle="1" w:styleId="BodyLead">
    <w:name w:val="Body Lead"/>
    <w:basedOn w:val="Body"/>
    <w:pPr>
      <w:keepNext w:val="0"/>
      <w:keepLines w:val="0"/>
      <w:widowControl/>
      <w:spacing w:after="180" w:line="268" w:lineRule="auto"/>
    </w:pPr>
    <w:rPr>
      <w:rFonts w:ascii="Inter" w:hAnsi="Inter" w:cs="Inter" w:eastAsia="Inter"/>
      <w:color w:val="1D3245"/>
      <w:sz w:val="21"/>
    </w:rPr>
  </w:style>
  <w:style w:type="paragraph" w:customStyle="1" w:styleId="Placeholder">
    <w:name w:val="Placeholder"/>
    <w:basedOn w:val="Body"/>
    <w:qFormat/>
    <w:pPr>
      <w:keepNext w:val="0"/>
      <w:keepLines w:val="0"/>
      <w:widowControl/>
      <w:spacing w:after="160" w:line="264" w:lineRule="auto"/>
    </w:pPr>
    <w:rPr>
      <w:rFonts w:ascii="Inter" w:hAnsi="Inter" w:cs="Inter" w:eastAsia="Inter"/>
      <w:i/>
      <w:color w:val="8E98A2"/>
      <w:sz w:val="19"/>
    </w:rPr>
  </w:style>
  <w:style w:type="paragraph" w:customStyle="1" w:styleId="Note">
    <w:name w:val="Note"/>
    <w:basedOn w:val="Body"/>
    <w:pPr>
      <w:keepNext w:val="0"/>
      <w:keepLines w:val="0"/>
      <w:widowControl/>
      <w:spacing w:before="60" w:after="160" w:line="256" w:lineRule="auto"/>
    </w:pPr>
    <w:rPr>
      <w:rFonts w:ascii="Inter" w:hAnsi="Inter" w:cs="Inter" w:eastAsia="Inter"/>
      <w:i/>
      <w:color w:val="8E98A2"/>
      <w:sz w:val="16"/>
    </w:rPr>
  </w:style>
  <w:style w:type="paragraph" w:customStyle="1" w:styleId="BodyBullet">
    <w:name w:val="Body Bullet"/>
    <w:basedOn w:val="Body"/>
    <w:pPr>
      <w:keepNext w:val="0"/>
      <w:keepLines w:val="0"/>
      <w:widowControl/>
      <w:spacing w:after="60" w:line="262" w:lineRule="auto"/>
      <w:ind w:left="312" w:hanging="312"/>
    </w:pPr>
  </w:style>
  <w:style w:type="paragraph" w:customStyle="1" w:styleId="TableHeader">
    <w:name w:val="Table Header"/>
    <w:basedOn w:val="Normal"/>
    <w:qFormat/>
    <w:pPr>
      <w:keepNext w:val="0"/>
      <w:keepLines w:val="0"/>
      <w:widowControl/>
      <w:spacing w:before="40" w:after="40" w:line="252" w:lineRule="auto"/>
    </w:pPr>
    <w:rPr>
      <w:rFonts w:ascii="Inter" w:hAnsi="Inter" w:cs="Inter" w:eastAsia="Inter"/>
      <w:b/>
      <w:color w:val="FFFFFF"/>
      <w:sz w:val="17"/>
    </w:rPr>
  </w:style>
  <w:style w:type="paragraph" w:customStyle="1" w:styleId="TableText">
    <w:name w:val="Table Text"/>
    <w:basedOn w:val="Normal"/>
    <w:qFormat/>
    <w:pPr>
      <w:keepNext w:val="0"/>
      <w:keepLines w:val="0"/>
      <w:widowControl/>
      <w:spacing w:before="40" w:after="40" w:line="259" w:lineRule="auto"/>
    </w:pPr>
    <w:rPr>
      <w:rFonts w:ascii="Inter" w:hAnsi="Inter" w:cs="Inter" w:eastAsia="Inter"/>
      <w:color w:val="0C1628"/>
      <w:sz w:val="17"/>
    </w:rPr>
  </w:style>
  <w:style w:type="paragraph" w:customStyle="1" w:styleId="TableTextBold">
    <w:name w:val="Table Text Bold"/>
    <w:basedOn w:val="TableText"/>
    <w:rPr>
      <w:rFonts w:ascii="Inter" w:hAnsi="Inter" w:cs="Inter" w:eastAsia="Inter"/>
      <w:b/>
      <w:color w:val="1D3245"/>
      <w:sz w:val="17"/>
    </w:rPr>
  </w:style>
  <w:style w:type="paragraph" w:customStyle="1" w:styleId="TableTextExample">
    <w:name w:val="Table Text Example"/>
    <w:basedOn w:val="TableText"/>
    <w:rPr>
      <w:rFonts w:ascii="Inter" w:hAnsi="Inter" w:cs="Inter" w:eastAsia="Inter"/>
      <w:i/>
      <w:color w:val="8E98A2"/>
      <w:sz w:val="17"/>
    </w:rPr>
  </w:style>
  <w:style w:type="paragraph" w:customStyle="1" w:styleId="TableTextCentre">
    <w:name w:val="Table Text Centre"/>
    <w:basedOn w:val="TableText"/>
    <w:pPr>
      <w:keepNext w:val="0"/>
      <w:keepLines w:val="0"/>
      <w:widowControl/>
      <w:jc w:val="center"/>
    </w:pPr>
  </w:style>
  <w:style w:type="paragraph" w:customStyle="1" w:styleId="TableTextRight">
    <w:name w:val="Table Text Right"/>
    <w:basedOn w:val="TableText"/>
    <w:pPr>
      <w:keepNext w:val="0"/>
      <w:keepLines w:val="0"/>
      <w:widowControl/>
      <w:jc w:val="right"/>
    </w:pPr>
  </w:style>
  <w:style w:type="paragraph" w:customStyle="1" w:styleId="RAGStatus">
    <w:name w:val="RAG Status"/>
    <w:basedOn w:val="TableText"/>
    <w:pPr>
      <w:keepNext w:val="0"/>
      <w:keepLines w:val="0"/>
      <w:widowControl/>
      <w:jc w:val="center"/>
    </w:pPr>
    <w:rPr>
      <w:rFonts w:ascii="Inter" w:hAnsi="Inter" w:cs="Inter" w:eastAsia="Inter"/>
      <w:b/>
      <w:color w:val="FFFFFF"/>
      <w:sz w:val="17"/>
    </w:rPr>
  </w:style>
  <w:style w:type="paragraph" w:customStyle="1" w:styleId="MicroLabel">
    <w:name w:val="Micro Label"/>
    <w:basedOn w:val="Normal"/>
    <w:qFormat/>
    <w:pPr>
      <w:keepNext/>
      <w:keepLines w:val="0"/>
      <w:widowControl/>
      <w:spacing w:before="0" w:after="20" w:line="240" w:lineRule="auto"/>
    </w:pPr>
    <w:rPr>
      <w:rFonts w:ascii="Inter" w:hAnsi="Inter" w:cs="Inter" w:eastAsia="Inter"/>
      <w:b/>
      <w:caps w:val="1"/>
      <w:color w:val="8E98A2"/>
      <w:spacing w:val="12"/>
      <w:sz w:val="15"/>
    </w:rPr>
  </w:style>
  <w:style w:type="paragraph" w:customStyle="1" w:styleId="MicroLabelWhite">
    <w:name w:val="Micro Label White"/>
    <w:basedOn w:val="MicroLabel"/>
    <w:rPr>
      <w:rFonts w:ascii="Inter" w:hAnsi="Inter" w:cs="Inter" w:eastAsia="Inter"/>
      <w:b/>
      <w:caps w:val="1"/>
      <w:color w:val="B9C6D4"/>
      <w:spacing w:val="12"/>
      <w:sz w:val="15"/>
    </w:rPr>
  </w:style>
  <w:style w:type="paragraph" w:customStyle="1" w:styleId="CoverField">
    <w:name w:val="Cover Field"/>
    <w:basedOn w:val="Normal"/>
    <w:pPr>
      <w:keepNext w:val="0"/>
      <w:keepLines w:val="0"/>
      <w:widowControl/>
      <w:spacing w:before="60" w:after="60" w:line="252" w:lineRule="auto"/>
    </w:pPr>
    <w:rPr>
      <w:rFonts w:ascii="Inter" w:hAnsi="Inter" w:cs="Inter" w:eastAsia="Inter"/>
      <w:color w:val="0C1628"/>
      <w:sz w:val="20"/>
    </w:rPr>
  </w:style>
  <w:style w:type="paragraph" w:customStyle="1" w:styleId="CoverFieldPlaceholder">
    <w:name w:val="Cover Field Placeholder"/>
    <w:basedOn w:val="CoverField"/>
    <w:rPr>
      <w:rFonts w:ascii="Inter" w:hAnsi="Inter" w:cs="Inter" w:eastAsia="Inter"/>
      <w:i/>
      <w:color w:val="8E98A2"/>
      <w:sz w:val="20"/>
    </w:rPr>
  </w:style>
  <w:style w:type="paragraph" w:customStyle="1" w:styleId="TOC1">
    <w:name w:val="TOC 1"/>
    <w:basedOn w:val="Normal"/>
    <w:pPr>
      <w:keepNext w:val="0"/>
      <w:keepLines w:val="0"/>
      <w:widowControl/>
      <w:spacing w:before="140" w:after="20" w:line="252" w:lineRule="auto"/>
      <w:ind w:left="0"/>
    </w:pPr>
    <w:rPr>
      <w:rFonts w:ascii="Inter" w:hAnsi="Inter" w:cs="Inter" w:eastAsia="Inter"/>
      <w:b/>
      <w:color w:val="1D3245"/>
      <w:sz w:val="20"/>
    </w:rPr>
  </w:style>
  <w:style w:type="paragraph" w:customStyle="1" w:styleId="TOC2">
    <w:name w:val="TOC 2"/>
    <w:basedOn w:val="Normal"/>
    <w:pPr>
      <w:keepNext w:val="0"/>
      <w:keepLines w:val="0"/>
      <w:widowControl/>
      <w:spacing w:before="20" w:after="20" w:line="252" w:lineRule="auto"/>
      <w:ind w:left="283"/>
    </w:pPr>
    <w:rPr>
      <w:rFonts w:ascii="Inter" w:hAnsi="Inter" w:cs="Inter" w:eastAsia="Inter"/>
      <w:b w:val="0"/>
      <w:color w:val="0C1628"/>
      <w:sz w:val="18"/>
    </w:rPr>
  </w:style>
  <w:style w:type="paragraph" w:customStyle="1" w:styleId="TOC3">
    <w:name w:val="TOC 3"/>
    <w:basedOn w:val="Normal"/>
    <w:pPr>
      <w:keepNext w:val="0"/>
      <w:keepLines w:val="0"/>
      <w:widowControl/>
      <w:spacing w:before="0" w:after="20" w:line="252" w:lineRule="auto"/>
      <w:ind w:left="567"/>
    </w:pPr>
    <w:rPr>
      <w:rFonts w:ascii="Inter" w:hAnsi="Inter" w:cs="Inter" w:eastAsia="Inter"/>
      <w:b w:val="0"/>
      <w:color w:val="8E98A2"/>
      <w:sz w:val="17"/>
    </w:rPr>
  </w:style>
  <w:style w:type="character" w:customStyle="1" w:styleId="Hyperlink">
    <w:name w:val="Hyperlink"/>
    <w:rPr>
      <w:color w:val="3480BC"/>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www.mastt.com/"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header" Target="header5.xml"/><Relationship Id="rId20" Type="http://schemas.openxmlformats.org/officeDocument/2006/relationships/footer" Target="footer5.xml"/><Relationship Id="rId21" Type="http://schemas.openxmlformats.org/officeDocument/2006/relationships/header" Target="header6.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Management Plan Template</dc:title>
  <dc:subject>Construction project safety (WHS/HSE) management plan — ISO 45001:2018 aligned, jurisdiction-neutral</dc:subject>
  <dc:creator>Mastt</dc:creator>
  <cp:keywords>Mastt; safety management plan; WHS; HSE; ISO 45001; construction; SWMS; template</cp:keywords>
  <dc:description>Mastt global template - https://www.mastt.com/  © 2026 Mastt. Framework only; not legal, safety or financial advice.</dc:description>
  <cp:lastModifiedBy>Mastt</cp:lastModifiedBy>
  <cp:revision>1</cp:revision>
  <dcterms:created xsi:type="dcterms:W3CDTF">2013-12-23T23:15:00Z</dcterms:created>
  <dcterms:modified xsi:type="dcterms:W3CDTF">2013-12-23T23:15:00Z</dcterms:modified>
  <cp:category>Template</cp:category>
</cp:coreProperties>
</file>