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W w:w="11906" w:type="dxa"/>
        <w:tblInd w:w="0" w:type="dxa"/>
        <w:tblCellMar>
          <w:top w:w="620" w:type="dxa"/>
          <w:left w:w="1134" w:type="dxa"/>
          <w:bottom w:w="520" w:type="dxa"/>
          <w:right w:w="1134" w:type="dxa"/>
        </w:tblCellMar>
      </w:tblPr>
      <w:tblGrid>
        <w:gridCol w:w="11906"/>
      </w:tblGrid>
      <w:tr>
        <w:tc>
          <w:tcPr>
            <w:tcW w:w="11906" w:type="dxa"/>
            <w:shd w:val="clear" w:color="auto" w:fill="1D3245"/>
            <w:vAlign w:val="center"/>
          </w:tcPr>
          <w:p>
            <w:pPr>
              <w:pStyle w:val="Body"/>
              <w:spacing w:after="120"/>
            </w:pPr>
            <w:r/>
            <w:hyperlink r:id="rId10" w:tooltip="mastt.com">
              <w:r>
                <w:drawing>
                  <wp:inline xmlns:a="http://schemas.openxmlformats.org/drawingml/2006/main" xmlns:pic="http://schemas.openxmlformats.org/drawingml/2006/picture">
                    <wp:extent cx="1152000" cy="336220"/>
                    <wp:docPr id="1" name="Picture 1">
                      <a:hlinkClick r:id="rId10"/>
                    </wp:docPr>
                    <wp:cNvGraphicFramePr>
                      <a:graphicFrameLocks noChangeAspect="1"/>
                    </wp:cNvGraphicFramePr>
                    <a:graphic>
                      <a:graphicData uri="http://schemas.openxmlformats.org/drawingml/2006/picture">
                        <pic:pic>
                          <pic:nvPicPr>
                            <pic:cNvPr id="2" name="mastt-logo-white.png"/>
                            <pic:cNvPicPr/>
                          </pic:nvPicPr>
                          <pic:blipFill>
                            <a:blip r:embed="rId9"/>
                            <a:stretch>
                              <a:fillRect/>
                            </a:stretch>
                          </pic:blipFill>
                          <pic:spPr>
                            <a:xfrm>
                              <a:off x="0" y="0"/>
                              <a:ext cx="1152000" cy="336220"/>
                            </a:xfrm>
                            <a:prstGeom prst="rect"/>
                          </pic:spPr>
                        </pic:pic>
                      </a:graphicData>
                    </a:graphic>
                  </wp:inline>
                </w:drawing>
              </w:r>
            </w:hyperlink>
          </w:p>
          <w:p>
            <w:pPr>
              <w:pStyle w:val="MicroLabelWhite"/>
              <w:spacing w:after="0"/>
            </w:pPr>
            <w:r>
              <w:t>Contract Administration · Scope Definition</w:t>
            </w:r>
          </w:p>
        </w:tc>
      </w:tr>
    </w:tbl>
    <w:p>
      <w:pPr>
        <w:spacing w:before="0" w:after="0" w:line="680" w:lineRule="exact"/>
      </w:pPr>
    </w:p>
    <w:p>
      <w:pPr>
        <w:pStyle w:val="MicroLabel"/>
        <w:spacing w:after="120"/>
      </w:pPr>
      <w:r>
        <w:t>SCOPE OF WORK</w:t>
      </w:r>
    </w:p>
    <w:p>
      <w:pPr>
        <w:pStyle w:val="Title"/>
      </w:pPr>
      <w:r>
        <w:t>Construction Scope of Work</w:t>
      </w:r>
    </w:p>
    <w:p>
      <w:pPr>
        <w:pStyle w:val="Subtitle"/>
      </w:pPr>
      <w:r>
        <w:t>US construction scope of work  ·  written to AIA A201-2017 vocabulary and CSI MasterFormat  ·  suitable as a prime contract scope or as a single trade package / subcontract scope</w:t>
      </w:r>
    </w:p>
    <w:p>
      <w:pPr>
        <w:pStyle w:val="Body"/>
        <w:spacing w:after="0"/>
        <w:pBdr>
          <w:bottom w:val="single" w:sz="12" w:space="0" w:color="1D3245"/>
        </w:pBdr>
      </w:pPr>
    </w:p>
    <w:p>
      <w:pPr>
        <w:spacing w:before="0" w:after="0" w:line="240" w:lineRule="exact"/>
      </w:pPr>
    </w:p>
    <w:tbl>
      <w:tblP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W w:w="9638" w:type="dxa"/>
        <w:tblInd w:w="0" w:type="dxa"/>
        <w:tblCellMar>
          <w:top w:w="70" w:type="dxa"/>
          <w:left w:w="0" w:type="dxa"/>
          <w:bottom w:w="70" w:type="dxa"/>
          <w:right w:w="140" w:type="dxa"/>
        </w:tblCellMar>
      </w:tblPr>
      <w:tblGrid>
        <w:gridCol w:w="3175"/>
        <w:gridCol w:w="6463"/>
      </w:tblGrid>
      <w:tr>
        <w:trPr>
          <w:cantSplit w:val="true"/>
          <w:trHeight w:val="408" w:hRule="atLeast"/>
        </w:trPr>
        <w:tc>
          <w:tcPr>
            <w:tcW w:w="3175" w:type="dxa"/>
            <w:vAlign w:val="center"/>
          </w:tcPr>
          <w:p>
            <w:pPr>
              <w:pStyle w:val="MicroLabel"/>
            </w:pPr>
            <w:r/>
            <w:r>
              <w:t>PROJECT NAME</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project name]</w:t>
            </w:r>
          </w:p>
        </w:tc>
      </w:tr>
      <w:tr>
        <w:trPr>
          <w:cantSplit w:val="true"/>
          <w:trHeight w:val="408" w:hRule="atLeast"/>
        </w:trPr>
        <w:tc>
          <w:tcPr>
            <w:tcW w:w="3175" w:type="dxa"/>
            <w:vAlign w:val="center"/>
          </w:tcPr>
          <w:p>
            <w:pPr>
              <w:pStyle w:val="MicroLabel"/>
            </w:pPr>
            <w:r/>
            <w:r>
              <w:t>PROJECT NUMBER</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project / job number]</w:t>
            </w:r>
          </w:p>
        </w:tc>
      </w:tr>
      <w:tr>
        <w:trPr>
          <w:cantSplit w:val="true"/>
          <w:trHeight w:val="408" w:hRule="atLeast"/>
        </w:trPr>
        <w:tc>
          <w:tcPr>
            <w:tcW w:w="3175" w:type="dxa"/>
            <w:vAlign w:val="center"/>
          </w:tcPr>
          <w:p>
            <w:pPr>
              <w:pStyle w:val="MicroLabel"/>
            </w:pPr>
            <w:r/>
            <w:r>
              <w:t>SITE ADDRESS</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full site address and lot / title reference]</w:t>
            </w:r>
          </w:p>
        </w:tc>
      </w:tr>
      <w:tr>
        <w:trPr>
          <w:cantSplit w:val="true"/>
          <w:trHeight w:val="408" w:hRule="atLeast"/>
        </w:trPr>
        <w:tc>
          <w:tcPr>
            <w:tcW w:w="3175" w:type="dxa"/>
            <w:vAlign w:val="center"/>
          </w:tcPr>
          <w:p>
            <w:pPr>
              <w:pStyle w:val="MicroLabel"/>
            </w:pPr>
            <w:r/>
            <w:r>
              <w:t>OWNER</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the contracting entity, not the trading name]</w:t>
            </w:r>
          </w:p>
        </w:tc>
      </w:tr>
      <w:tr>
        <w:trPr>
          <w:cantSplit w:val="true"/>
          <w:trHeight w:val="408" w:hRule="atLeast"/>
        </w:trPr>
        <w:tc>
          <w:tcPr>
            <w:tcW w:w="3175" w:type="dxa"/>
            <w:vAlign w:val="center"/>
          </w:tcPr>
          <w:p>
            <w:pPr>
              <w:pStyle w:val="MicroLabel"/>
            </w:pPr>
            <w:r/>
            <w:r>
              <w:t>CONTRACTOR</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contractor / subcontractor entity and registration number]</w:t>
            </w:r>
          </w:p>
        </w:tc>
      </w:tr>
      <w:tr>
        <w:trPr>
          <w:cantSplit w:val="true"/>
          <w:trHeight w:val="408" w:hRule="atLeast"/>
        </w:trPr>
        <w:tc>
          <w:tcPr>
            <w:tcW w:w="3175" w:type="dxa"/>
            <w:vAlign w:val="center"/>
          </w:tcPr>
          <w:p>
            <w:pPr>
              <w:pStyle w:val="MicroLabel"/>
            </w:pPr>
            <w:r/>
            <w:r>
              <w:t>PACKAGE / TRADE</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package title, or 'Whole of works']</w:t>
            </w:r>
          </w:p>
        </w:tc>
      </w:tr>
      <w:tr>
        <w:trPr>
          <w:cantSplit w:val="true"/>
          <w:trHeight w:val="408" w:hRule="atLeast"/>
        </w:trPr>
        <w:tc>
          <w:tcPr>
            <w:tcW w:w="3175" w:type="dxa"/>
            <w:vAlign w:val="center"/>
          </w:tcPr>
          <w:p>
            <w:pPr>
              <w:pStyle w:val="MicroLabel"/>
            </w:pPr>
            <w:r/>
            <w:r>
              <w:t>PACKAGE NUMBER</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package / subcontract number]</w:t>
            </w:r>
          </w:p>
        </w:tc>
      </w:tr>
      <w:tr>
        <w:trPr>
          <w:cantSplit w:val="true"/>
          <w:trHeight w:val="408" w:hRule="atLeast"/>
        </w:trPr>
        <w:tc>
          <w:tcPr>
            <w:tcW w:w="3175" w:type="dxa"/>
            <w:vAlign w:val="center"/>
          </w:tcPr>
          <w:p>
            <w:pPr>
              <w:pStyle w:val="MicroLabel"/>
            </w:pPr>
            <w:r/>
            <w:r>
              <w:t>LEVEL OF APPLICATION</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[Head contract / Trade package / Subcontract — delete two]</w:t>
            </w:r>
          </w:p>
        </w:tc>
      </w:tr>
      <w:tr>
        <w:trPr>
          <w:cantSplit w:val="true"/>
          <w:trHeight w:val="408" w:hRule="atLeast"/>
        </w:trPr>
        <w:tc>
          <w:tcPr>
            <w:tcW w:w="3175" w:type="dxa"/>
            <w:vAlign w:val="center"/>
          </w:tcPr>
          <w:p>
            <w:pPr>
              <w:pStyle w:val="MicroLabel"/>
            </w:pPr>
            <w:r/>
            <w:r>
              <w:t>CONTRACT FORM</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form and edition — e.g. AIA A101-2017 with A201-2017, AIA A133-2019 (CMc), ConsensusDocs 200, EJCDC C-520, DBIA 535, or the owner's own form]</w:t>
            </w:r>
          </w:p>
        </w:tc>
      </w:tr>
      <w:tr>
        <w:trPr>
          <w:cantSplit w:val="true"/>
          <w:trHeight w:val="408" w:hRule="atLeast"/>
        </w:trPr>
        <w:tc>
          <w:tcPr>
            <w:tcW w:w="3175" w:type="dxa"/>
            <w:vAlign w:val="center"/>
          </w:tcPr>
          <w:p>
            <w:pPr>
              <w:pStyle w:val="MicroLabel"/>
            </w:pPr>
            <w:r/>
            <w:r>
              <w:t>SCOPE REFERENCE</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[Insert document number, e.g. XXX-CA-SOW-001]</w:t>
            </w:r>
          </w:p>
        </w:tc>
      </w:tr>
      <w:tr>
        <w:trPr>
          <w:cantSplit w:val="true"/>
          <w:trHeight w:val="408" w:hRule="atLeast"/>
        </w:trPr>
        <w:tc>
          <w:tcPr>
            <w:tcW w:w="3175" w:type="dxa"/>
            <w:vAlign w:val="center"/>
          </w:tcPr>
          <w:p>
            <w:pPr>
              <w:pStyle w:val="MicroLabel"/>
            </w:pPr>
            <w:r/>
            <w:r>
              <w:t>REVISION</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[A]</w:t>
            </w:r>
          </w:p>
        </w:tc>
      </w:tr>
      <w:tr>
        <w:trPr>
          <w:cantSplit w:val="true"/>
          <w:trHeight w:val="408" w:hRule="atLeast"/>
        </w:trPr>
        <w:tc>
          <w:tcPr>
            <w:tcW w:w="3175" w:type="dxa"/>
            <w:vAlign w:val="center"/>
          </w:tcPr>
          <w:p>
            <w:pPr>
              <w:pStyle w:val="MicroLabel"/>
            </w:pPr>
            <w:r/>
            <w:r>
              <w:t>DATE</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[MM/DD/YY]</w:t>
            </w:r>
          </w:p>
        </w:tc>
      </w:tr>
      <w:tr>
        <w:trPr>
          <w:cantSplit w:val="true"/>
          <w:trHeight w:val="408" w:hRule="atLeast"/>
        </w:trPr>
        <w:tc>
          <w:tcPr>
            <w:tcW w:w="3175" w:type="dxa"/>
            <w:vAlign w:val="center"/>
          </w:tcPr>
          <w:p>
            <w:pPr>
              <w:pStyle w:val="MicroLabel"/>
            </w:pPr>
            <w:r/>
            <w:r>
              <w:t>PREPARED BY</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[Name · role · organization]</w:t>
            </w:r>
          </w:p>
        </w:tc>
      </w:tr>
      <w:tr>
        <w:trPr>
          <w:cantSplit w:val="true"/>
          <w:trHeight w:val="408" w:hRule="atLeast"/>
        </w:trPr>
        <w:tc>
          <w:tcPr>
            <w:tcW w:w="3175" w:type="dxa"/>
            <w:vAlign w:val="center"/>
          </w:tcPr>
          <w:p>
            <w:pPr>
              <w:pStyle w:val="MicroLabel"/>
            </w:pPr>
            <w:r/>
            <w:r>
              <w:t>REVIEWED BY</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[Name · role — independent of the author]</w:t>
            </w:r>
          </w:p>
        </w:tc>
      </w:tr>
      <w:tr>
        <w:trPr>
          <w:cantSplit w:val="true"/>
          <w:trHeight w:val="408" w:hRule="atLeast"/>
        </w:trPr>
        <w:tc>
          <w:tcPr>
            <w:tcW w:w="3175" w:type="dxa"/>
            <w:vAlign w:val="center"/>
          </w:tcPr>
          <w:p>
            <w:pPr>
              <w:pStyle w:val="MicroLabel"/>
            </w:pPr>
            <w:r/>
            <w:r>
              <w:t>APPROVED BY</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[Name · role — authorized to issue this scope]</w:t>
            </w:r>
          </w:p>
        </w:tc>
      </w:tr>
      <w:tr>
        <w:trPr>
          <w:cantSplit w:val="true"/>
          <w:trHeight w:val="408" w:hRule="atLeast"/>
        </w:trPr>
        <w:tc>
          <w:tcPr>
            <w:tcW w:w="3175" w:type="dxa"/>
            <w:vAlign w:val="center"/>
          </w:tcPr>
          <w:p>
            <w:pPr>
              <w:pStyle w:val="MicroLabel"/>
            </w:pPr>
            <w:r/>
            <w:r>
              <w:t>CURRENCY</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[CUR] — [insert code; values exclude taxes]</w:t>
            </w:r>
          </w:p>
        </w:tc>
      </w:tr>
      <w:tr>
        <w:trPr>
          <w:cantSplit w:val="true"/>
          <w:trHeight w:val="408" w:hRule="atLeast"/>
        </w:trPr>
        <w:tc>
          <w:tcPr>
            <w:tcW w:w="3175" w:type="dxa"/>
            <w:vAlign w:val="center"/>
          </w:tcPr>
          <w:p>
            <w:pPr>
              <w:pStyle w:val="MicroLabel"/>
            </w:pPr>
            <w:r/>
            <w:r>
              <w:t>SCHEDULE DATES</w:t>
            </w:r>
          </w:p>
        </w:tc>
        <w:tc>
          <w:tcPr>
            <w:tcW w:w="6463" w:type="dxa"/>
            <w:vAlign w:val="center"/>
            <w:tcBorders>
              <w:top w:val="single" w:sz="4" w:space="0" w:color="D3DEE9"/>
              <w:left w:val="single" w:sz="4" w:space="0" w:color="D3DEE9"/>
              <w:bottom w:val="single" w:sz="4" w:space="0" w:color="D3DEE9"/>
              <w:right w:val="single" w:sz="4" w:space="0" w:color="D3DEE9"/>
            </w:tcBorders>
            <w:shd w:val="clear" w:color="auto" w:fill="F6F9FC"/>
          </w:tcPr>
          <w:p>
            <w:pPr>
              <w:pStyle w:val="CoverFieldPlaceholder"/>
              <w:ind w:left="125"/>
            </w:pPr>
            <w:r/>
            <w:r>
              <w:t>[Commencement MM/DD/YY · Substantial Completion MM/DD/YY]</w:t>
            </w:r>
          </w:p>
        </w:tc>
      </w:tr>
    </w:tbl>
    <w:p>
      <w:pPr>
        <w:spacing w:before="0" w:after="0" w:line="160" w:lineRule="exact"/>
      </w:pPr>
    </w:p>
    <w:p>
      <w:pPr>
        <w:pStyle w:val="Note"/>
      </w:pPr>
      <w:r>
        <w:t>This document defines what the Contractor must deliver. It is subordinate to the contract agreement and the General Conditions — see the order of precedence at Section 1.3.</w:t>
      </w:r>
    </w:p>
    <w:p>
      <w:pPr>
        <w:sectPr>
          <w:headerReference w:type="default" r:id="rId11"/>
          <w:footerReference w:type="default" r:id="rId12"/>
          <w:headerReference w:type="first" r:id="rId19"/>
          <w:footerReference w:type="first" r:id="rId20"/>
          <w:headerReference w:type="even" r:id="rId21"/>
          <w:footerReference w:type="even" r:id="rId22"/>
          <w:pgSz w:w="11906" w:h="16838"/>
          <w:pgMar w:top="0" w:right="1134" w:bottom="794" w:left="1134" w:header="482" w:footer="454" w:gutter="0"/>
          <w:cols w:space="720"/>
          <w:titlePg/>
        </w:sectPr>
      </w:pPr>
    </w:p>
    <w:p>
      <w:pPr>
        <w:pStyle w:val="Heading1"/>
      </w:pPr>
      <w:bookmarkStart w:id="9000" w:name="_Toc90000"/>
      <w:r>
        <w:t>1. Document Control</w:t>
      </w:r>
      <w:bookmarkEnd w:id="9000"/>
    </w:p>
    <w:p>
      <w:pPr>
        <w:pStyle w:val="Body"/>
      </w:pPr>
      <w:r>
        <w:t>This section establishes which revision of the scope is current, who holds it, and where this document sits in the contractual hierarchy. It is complete when a reader can identify the current revision, every party who must be told when it changes, and which document prevails if two of them disagree.</w:t>
      </w:r>
    </w:p>
    <w:p>
      <w:pPr>
        <w:pStyle w:val="Heading2"/>
      </w:pPr>
      <w:bookmarkStart w:id="9001" w:name="_Toc90001"/>
      <w:r>
        <w:t>1.1 Revision history</w:t>
      </w:r>
      <w:bookmarkEnd w:id="9001"/>
    </w:p>
    <w:p>
      <w:pPr>
        <w:pStyle w:val="Note"/>
      </w:pPr>
      <w:r>
        <w:t>Example rows shown in gray italic — delete before use. A revision that changes the extent of the Work, a quantity, an interface or an exclusion must say so and name the affected section — “general update” prevents a bidder from re-pricing only what changed.</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616"/>
        <w:gridCol w:w="1156"/>
        <w:gridCol w:w="1079"/>
        <w:gridCol w:w="1079"/>
        <w:gridCol w:w="1079"/>
        <w:gridCol w:w="4629"/>
      </w:tblGrid>
      <w:tr>
        <w:trPr>
          <w:tblHeader w:val="true"/>
          <w:cantSplit w:val="true"/>
        </w:trPr>
        <w:tc>
          <w:tcPr>
            <w:tcW w:w="616" w:type="dxa"/>
            <w:shd w:val="clear" w:color="auto" w:fill="1D3245"/>
            <w:vAlign w:val="center"/>
          </w:tcPr>
          <w:p>
            <w:pPr>
              <w:pStyle w:val="TableHeader"/>
              <w:jc w:val="center"/>
            </w:pPr>
            <w:r/>
            <w:r>
              <w:t>Rev</w:t>
            </w:r>
          </w:p>
        </w:tc>
        <w:tc>
          <w:tcPr>
            <w:tcW w:w="1156" w:type="dxa"/>
            <w:shd w:val="clear" w:color="auto" w:fill="1D3245"/>
            <w:vAlign w:val="center"/>
          </w:tcPr>
          <w:p>
            <w:pPr>
              <w:pStyle w:val="TableHeader"/>
              <w:jc w:val="center"/>
            </w:pPr>
            <w:r/>
            <w:r>
              <w:t>Date</w:t>
            </w:r>
          </w:p>
        </w:tc>
        <w:tc>
          <w:tcPr>
            <w:tcW w:w="1079" w:type="dxa"/>
            <w:shd w:val="clear" w:color="auto" w:fill="1D3245"/>
            <w:vAlign w:val="center"/>
          </w:tcPr>
          <w:p>
            <w:pPr>
              <w:pStyle w:val="TableHeader"/>
              <w:jc w:val="center"/>
            </w:pPr>
            <w:r/>
            <w:r>
              <w:t>Prepared</w:t>
            </w:r>
          </w:p>
        </w:tc>
        <w:tc>
          <w:tcPr>
            <w:tcW w:w="1079" w:type="dxa"/>
            <w:shd w:val="clear" w:color="auto" w:fill="1D3245"/>
            <w:vAlign w:val="center"/>
          </w:tcPr>
          <w:p>
            <w:pPr>
              <w:pStyle w:val="TableHeader"/>
              <w:jc w:val="center"/>
            </w:pPr>
            <w:r/>
            <w:r>
              <w:t>Reviewed</w:t>
            </w:r>
          </w:p>
        </w:tc>
        <w:tc>
          <w:tcPr>
            <w:tcW w:w="1079" w:type="dxa"/>
            <w:shd w:val="clear" w:color="auto" w:fill="1D3245"/>
            <w:vAlign w:val="center"/>
          </w:tcPr>
          <w:p>
            <w:pPr>
              <w:pStyle w:val="TableHeader"/>
              <w:jc w:val="center"/>
            </w:pPr>
            <w:r/>
            <w:r>
              <w:t>Approved</w:t>
            </w:r>
          </w:p>
        </w:tc>
        <w:tc>
          <w:tcPr>
            <w:tcW w:w="4629" w:type="dxa"/>
            <w:shd w:val="clear" w:color="auto" w:fill="1D3245"/>
            <w:vAlign w:val="center"/>
          </w:tcPr>
          <w:p>
            <w:pPr>
              <w:pStyle w:val="TableHeader"/>
              <w:jc w:val="left"/>
            </w:pPr>
            <w:r/>
            <w:r>
              <w:t>Description of change and reason</w:t>
            </w:r>
          </w:p>
        </w:tc>
      </w:tr>
      <w:tr>
        <w:trPr>
          <w:cantSplit w:val="true"/>
        </w:trPr>
        <w:tc>
          <w:tcPr>
            <w:tcW w:w="616" w:type="dxa"/>
            <w:vAlign w:val="center"/>
          </w:tcPr>
          <w:p>
            <w:pPr>
              <w:pStyle w:val="TableTextExample"/>
              <w:jc w:val="center"/>
            </w:pPr>
            <w:r/>
            <w:r>
              <w:t>A</w:t>
            </w:r>
          </w:p>
        </w:tc>
        <w:tc>
          <w:tcPr>
            <w:tcW w:w="1156" w:type="dxa"/>
            <w:vAlign w:val="center"/>
          </w:tcPr>
          <w:p>
            <w:pPr>
              <w:pStyle w:val="TableTextExample"/>
              <w:jc w:val="center"/>
            </w:pPr>
            <w:r/>
            <w:r>
              <w:t>[MM/DD/YY]</w:t>
            </w:r>
          </w:p>
        </w:tc>
        <w:tc>
          <w:tcPr>
            <w:tcW w:w="1079" w:type="dxa"/>
            <w:vAlign w:val="center"/>
          </w:tcPr>
          <w:p>
            <w:pPr>
              <w:pStyle w:val="TableTextExample"/>
              <w:jc w:val="center"/>
            </w:pPr>
            <w:r/>
            <w:r>
              <w:t>[Init.]</w:t>
            </w:r>
          </w:p>
        </w:tc>
        <w:tc>
          <w:tcPr>
            <w:tcW w:w="1079" w:type="dxa"/>
            <w:vAlign w:val="center"/>
          </w:tcPr>
          <w:p>
            <w:pPr>
              <w:pStyle w:val="TableTextExample"/>
              <w:jc w:val="center"/>
            </w:pPr>
            <w:r/>
            <w:r>
              <w:t>[Init.]</w:t>
            </w:r>
          </w:p>
        </w:tc>
        <w:tc>
          <w:tcPr>
            <w:tcW w:w="1079" w:type="dxa"/>
            <w:vAlign w:val="center"/>
          </w:tcPr>
          <w:p>
            <w:pPr>
              <w:pStyle w:val="TableTextExample"/>
              <w:jc w:val="center"/>
            </w:pPr>
            <w:r/>
            <w:r>
              <w:t>[Init.]</w:t>
            </w:r>
          </w:p>
        </w:tc>
        <w:tc>
          <w:tcPr>
            <w:tcW w:w="4629" w:type="dxa"/>
            <w:vAlign w:val="center"/>
          </w:tcPr>
          <w:p>
            <w:pPr>
              <w:pStyle w:val="TableTextExample"/>
              <w:jc w:val="left"/>
            </w:pPr>
            <w:r/>
            <w:r>
              <w:t>First issue — scope issued with the bid documents for PKG-14 Structural steelwork</w:t>
            </w:r>
          </w:p>
        </w:tc>
      </w:tr>
      <w:tr>
        <w:trPr>
          <w:cantSplit w:val="true"/>
        </w:trPr>
        <w:tc>
          <w:tcPr>
            <w:tcW w:w="616" w:type="dxa"/>
            <w:vAlign w:val="center"/>
          </w:tcPr>
          <w:p>
            <w:pPr>
              <w:pStyle w:val="TableTextExample"/>
              <w:jc w:val="center"/>
            </w:pPr>
            <w:r/>
            <w:r>
              <w:t>B</w:t>
            </w:r>
          </w:p>
        </w:tc>
        <w:tc>
          <w:tcPr>
            <w:tcW w:w="1156" w:type="dxa"/>
            <w:vAlign w:val="center"/>
          </w:tcPr>
          <w:p>
            <w:pPr>
              <w:pStyle w:val="TableTextExample"/>
              <w:jc w:val="center"/>
            </w:pPr>
            <w:r/>
            <w:r>
              <w:t>[MM/DD/YY]</w:t>
            </w:r>
          </w:p>
        </w:tc>
        <w:tc>
          <w:tcPr>
            <w:tcW w:w="1079" w:type="dxa"/>
            <w:vAlign w:val="center"/>
          </w:tcPr>
          <w:p>
            <w:pPr>
              <w:pStyle w:val="TableTextExample"/>
              <w:jc w:val="center"/>
            </w:pPr>
            <w:r/>
            <w:r>
              <w:t>[Init.]</w:t>
            </w:r>
          </w:p>
        </w:tc>
        <w:tc>
          <w:tcPr>
            <w:tcW w:w="1079" w:type="dxa"/>
            <w:vAlign w:val="center"/>
          </w:tcPr>
          <w:p>
            <w:pPr>
              <w:pStyle w:val="TableTextExample"/>
              <w:jc w:val="center"/>
            </w:pPr>
            <w:r/>
            <w:r>
              <w:t>[Init.]</w:t>
            </w:r>
          </w:p>
        </w:tc>
        <w:tc>
          <w:tcPr>
            <w:tcW w:w="1079" w:type="dxa"/>
            <w:vAlign w:val="center"/>
          </w:tcPr>
          <w:p>
            <w:pPr>
              <w:pStyle w:val="TableTextExample"/>
              <w:jc w:val="center"/>
            </w:pPr>
            <w:r/>
            <w:r>
              <w:t>[Init.]</w:t>
            </w:r>
          </w:p>
        </w:tc>
        <w:tc>
          <w:tcPr>
            <w:tcW w:w="4629" w:type="dxa"/>
            <w:vAlign w:val="center"/>
          </w:tcPr>
          <w:p>
            <w:pPr>
              <w:pStyle w:val="TableTextExample"/>
              <w:jc w:val="left"/>
            </w:pPr>
            <w:r/>
            <w:r>
              <w:t>Reissued at bid addendum 2 — transfer slab interface clarified at Sections 6.1 and 9.1; craneage moved from exclusions to inclusions; quantities at 6.1 updated to drawing revision C</w:t>
            </w:r>
          </w:p>
        </w:tc>
      </w:tr>
      <w:tr>
        <w:trPr>
          <w:cantSplit w:val="true"/>
        </w:trPr>
        <w:tc>
          <w:tcPr>
            <w:tcW w:w="616" w:type="dxa"/>
            <w:vAlign w:val="center"/>
          </w:tcPr>
          <w:p>
            <w:pPr>
              <w:pStyle w:val="TableTextCentre"/>
              <w:jc w:val="center"/>
            </w:pPr>
            <w:r/>
          </w:p>
        </w:tc>
        <w:tc>
          <w:tcPr>
            <w:tcW w:w="1156" w:type="dxa"/>
            <w:vAlign w:val="center"/>
          </w:tcPr>
          <w:p>
            <w:pPr>
              <w:pStyle w:val="TableTextCentre"/>
              <w:jc w:val="center"/>
            </w:pPr>
            <w:r/>
          </w:p>
        </w:tc>
        <w:tc>
          <w:tcPr>
            <w:tcW w:w="1079" w:type="dxa"/>
            <w:vAlign w:val="center"/>
          </w:tcPr>
          <w:p>
            <w:pPr>
              <w:pStyle w:val="TableTextCentre"/>
              <w:jc w:val="center"/>
            </w:pPr>
            <w:r/>
          </w:p>
        </w:tc>
        <w:tc>
          <w:tcPr>
            <w:tcW w:w="1079" w:type="dxa"/>
            <w:vAlign w:val="center"/>
          </w:tcPr>
          <w:p>
            <w:pPr>
              <w:pStyle w:val="TableTextCentre"/>
              <w:jc w:val="center"/>
            </w:pPr>
            <w:r/>
          </w:p>
        </w:tc>
        <w:tc>
          <w:tcPr>
            <w:tcW w:w="1079" w:type="dxa"/>
            <w:vAlign w:val="center"/>
          </w:tcPr>
          <w:p>
            <w:pPr>
              <w:pStyle w:val="TableTextCentre"/>
              <w:jc w:val="center"/>
            </w:pPr>
            <w:r/>
          </w:p>
        </w:tc>
        <w:tc>
          <w:tcPr>
            <w:tcW w:w="4629" w:type="dxa"/>
            <w:vAlign w:val="center"/>
          </w:tcPr>
          <w:p>
            <w:pPr>
              <w:pStyle w:val="TableText"/>
              <w:jc w:val="left"/>
            </w:pPr>
            <w:r/>
          </w:p>
        </w:tc>
      </w:tr>
      <w:tr>
        <w:trPr>
          <w:cantSplit w:val="true"/>
        </w:trPr>
        <w:tc>
          <w:tcPr>
            <w:tcW w:w="616" w:type="dxa"/>
            <w:vAlign w:val="center"/>
          </w:tcPr>
          <w:p>
            <w:pPr>
              <w:pStyle w:val="TableTextCentre"/>
              <w:jc w:val="center"/>
            </w:pPr>
            <w:r/>
          </w:p>
        </w:tc>
        <w:tc>
          <w:tcPr>
            <w:tcW w:w="1156" w:type="dxa"/>
            <w:vAlign w:val="center"/>
          </w:tcPr>
          <w:p>
            <w:pPr>
              <w:pStyle w:val="TableTextCentre"/>
              <w:jc w:val="center"/>
            </w:pPr>
            <w:r/>
          </w:p>
        </w:tc>
        <w:tc>
          <w:tcPr>
            <w:tcW w:w="1079" w:type="dxa"/>
            <w:vAlign w:val="center"/>
          </w:tcPr>
          <w:p>
            <w:pPr>
              <w:pStyle w:val="TableTextCentre"/>
              <w:jc w:val="center"/>
            </w:pPr>
            <w:r/>
          </w:p>
        </w:tc>
        <w:tc>
          <w:tcPr>
            <w:tcW w:w="1079" w:type="dxa"/>
            <w:vAlign w:val="center"/>
          </w:tcPr>
          <w:p>
            <w:pPr>
              <w:pStyle w:val="TableTextCentre"/>
              <w:jc w:val="center"/>
            </w:pPr>
            <w:r/>
          </w:p>
        </w:tc>
        <w:tc>
          <w:tcPr>
            <w:tcW w:w="1079" w:type="dxa"/>
            <w:vAlign w:val="center"/>
          </w:tcPr>
          <w:p>
            <w:pPr>
              <w:pStyle w:val="TableTextCentre"/>
              <w:jc w:val="center"/>
            </w:pPr>
            <w:r/>
          </w:p>
        </w:tc>
        <w:tc>
          <w:tcPr>
            <w:tcW w:w="4629" w:type="dxa"/>
            <w:vAlign w:val="center"/>
          </w:tcPr>
          <w:p>
            <w:pPr>
              <w:pStyle w:val="TableText"/>
              <w:jc w:val="left"/>
            </w:pPr>
            <w:r/>
          </w:p>
        </w:tc>
      </w:tr>
    </w:tbl>
    <w:p>
      <w:pPr>
        <w:spacing w:before="0" w:after="0" w:line="60" w:lineRule="exact"/>
      </w:pPr>
    </w:p>
    <w:p>
      <w:pPr>
        <w:pStyle w:val="Heading2"/>
      </w:pPr>
      <w:bookmarkStart w:id="9002" w:name="_Toc90002"/>
      <w:r>
        <w:t>1.2 Distribution and controlled-document status</w:t>
      </w:r>
      <w:bookmarkEnd w:id="9002"/>
    </w:p>
    <w:p>
      <w:pPr>
        <w:pStyle w:val="Note"/>
      </w:pPr>
      <w:r>
        <w:t>Example rows shown in gray italic — delete before use.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435"/>
        <w:gridCol w:w="1616"/>
        <w:gridCol w:w="2114"/>
        <w:gridCol w:w="2051"/>
        <w:gridCol w:w="2238"/>
        <w:gridCol w:w="1184"/>
      </w:tblGrid>
      <w:tr>
        <w:trPr>
          <w:tblHeader w:val="true"/>
          <w:cantSplit w:val="true"/>
        </w:trPr>
        <w:tc>
          <w:tcPr>
            <w:tcW w:w="435" w:type="dxa"/>
            <w:shd w:val="clear" w:color="auto" w:fill="1D3245"/>
            <w:vAlign w:val="center"/>
          </w:tcPr>
          <w:p>
            <w:pPr>
              <w:pStyle w:val="TableHeader"/>
              <w:jc w:val="center"/>
            </w:pPr>
            <w:r/>
            <w:r>
              <w:t>#</w:t>
            </w:r>
          </w:p>
        </w:tc>
        <w:tc>
          <w:tcPr>
            <w:tcW w:w="1616" w:type="dxa"/>
            <w:shd w:val="clear" w:color="auto" w:fill="1D3245"/>
            <w:vAlign w:val="center"/>
          </w:tcPr>
          <w:p>
            <w:pPr>
              <w:pStyle w:val="TableHeader"/>
              <w:jc w:val="left"/>
            </w:pPr>
            <w:r/>
            <w:r>
              <w:t>Name</w:t>
            </w:r>
          </w:p>
        </w:tc>
        <w:tc>
          <w:tcPr>
            <w:tcW w:w="2114" w:type="dxa"/>
            <w:shd w:val="clear" w:color="auto" w:fill="1D3245"/>
            <w:vAlign w:val="center"/>
          </w:tcPr>
          <w:p>
            <w:pPr>
              <w:pStyle w:val="TableHeader"/>
              <w:jc w:val="left"/>
            </w:pPr>
            <w:r/>
            <w:r>
              <w:t>Organization</w:t>
            </w:r>
          </w:p>
        </w:tc>
        <w:tc>
          <w:tcPr>
            <w:tcW w:w="2051" w:type="dxa"/>
            <w:shd w:val="clear" w:color="auto" w:fill="1D3245"/>
            <w:vAlign w:val="center"/>
          </w:tcPr>
          <w:p>
            <w:pPr>
              <w:pStyle w:val="TableHeader"/>
              <w:jc w:val="left"/>
            </w:pPr>
            <w:r/>
            <w:r>
              <w:t>Role</w:t>
            </w:r>
          </w:p>
        </w:tc>
        <w:tc>
          <w:tcPr>
            <w:tcW w:w="2238" w:type="dxa"/>
            <w:shd w:val="clear" w:color="auto" w:fill="1D3245"/>
            <w:vAlign w:val="center"/>
          </w:tcPr>
          <w:p>
            <w:pPr>
              <w:pStyle w:val="TableHeader"/>
              <w:jc w:val="left"/>
            </w:pPr>
            <w:r/>
            <w:r>
              <w:t>Format</w:t>
            </w:r>
          </w:p>
        </w:tc>
        <w:tc>
          <w:tcPr>
            <w:tcW w:w="1184" w:type="dxa"/>
            <w:shd w:val="clear" w:color="auto" w:fill="1D3245"/>
            <w:vAlign w:val="center"/>
          </w:tcPr>
          <w:p>
            <w:pPr>
              <w:pStyle w:val="TableHeader"/>
              <w:jc w:val="center"/>
            </w:pPr>
            <w:r/>
            <w:r>
              <w:t>Date issued</w:t>
            </w:r>
          </w:p>
        </w:tc>
      </w:tr>
      <w:tr>
        <w:trPr>
          <w:cantSplit w:val="true"/>
        </w:trPr>
        <w:tc>
          <w:tcPr>
            <w:tcW w:w="435" w:type="dxa"/>
            <w:vAlign w:val="center"/>
          </w:tcPr>
          <w:p>
            <w:pPr>
              <w:pStyle w:val="TableTextExample"/>
              <w:jc w:val="center"/>
            </w:pPr>
            <w:r/>
            <w:r>
              <w:t>1</w:t>
            </w:r>
          </w:p>
        </w:tc>
        <w:tc>
          <w:tcPr>
            <w:tcW w:w="1616" w:type="dxa"/>
            <w:vAlign w:val="center"/>
          </w:tcPr>
          <w:p>
            <w:pPr>
              <w:pStyle w:val="TableTextExample"/>
              <w:jc w:val="left"/>
            </w:pPr>
            <w:r/>
            <w:r>
              <w:t>[Name]</w:t>
            </w:r>
          </w:p>
        </w:tc>
        <w:tc>
          <w:tcPr>
            <w:tcW w:w="2114" w:type="dxa"/>
            <w:vAlign w:val="center"/>
          </w:tcPr>
          <w:p>
            <w:pPr>
              <w:pStyle w:val="TableTextExample"/>
              <w:jc w:val="left"/>
            </w:pPr>
            <w:r/>
            <w:r>
              <w:t>Northbank Health System</w:t>
            </w:r>
          </w:p>
        </w:tc>
        <w:tc>
          <w:tcPr>
            <w:tcW w:w="2051" w:type="dxa"/>
            <w:vAlign w:val="center"/>
          </w:tcPr>
          <w:p>
            <w:pPr>
              <w:pStyle w:val="TableTextExample"/>
              <w:jc w:val="left"/>
            </w:pPr>
            <w:r/>
            <w:r>
              <w:t>Owner Project Director</w:t>
            </w:r>
          </w:p>
        </w:tc>
        <w:tc>
          <w:tcPr>
            <w:tcW w:w="2238" w:type="dxa"/>
            <w:vAlign w:val="center"/>
          </w:tcPr>
          <w:p>
            <w:pPr>
              <w:pStyle w:val="TableTextExample"/>
              <w:jc w:val="left"/>
            </w:pPr>
            <w:r/>
            <w:r>
              <w:t>PDF (controlled)</w:t>
            </w:r>
          </w:p>
        </w:tc>
        <w:tc>
          <w:tcPr>
            <w:tcW w:w="1184" w:type="dxa"/>
            <w:vAlign w:val="center"/>
          </w:tcPr>
          <w:p>
            <w:pPr>
              <w:pStyle w:val="TableTextExample"/>
              <w:jc w:val="center"/>
            </w:pPr>
            <w:r/>
            <w:r>
              <w:t>[MM/DD/YY]</w:t>
            </w:r>
          </w:p>
        </w:tc>
      </w:tr>
      <w:tr>
        <w:trPr>
          <w:cantSplit w:val="true"/>
        </w:trPr>
        <w:tc>
          <w:tcPr>
            <w:tcW w:w="435" w:type="dxa"/>
            <w:vAlign w:val="center"/>
          </w:tcPr>
          <w:p>
            <w:pPr>
              <w:pStyle w:val="TableTextExample"/>
              <w:jc w:val="center"/>
            </w:pPr>
            <w:r/>
            <w:r>
              <w:t>2</w:t>
            </w:r>
          </w:p>
        </w:tc>
        <w:tc>
          <w:tcPr>
            <w:tcW w:w="1616" w:type="dxa"/>
            <w:vAlign w:val="center"/>
          </w:tcPr>
          <w:p>
            <w:pPr>
              <w:pStyle w:val="TableTextExample"/>
              <w:jc w:val="left"/>
            </w:pPr>
            <w:r/>
            <w:r>
              <w:t>[Name]</w:t>
            </w:r>
          </w:p>
        </w:tc>
        <w:tc>
          <w:tcPr>
            <w:tcW w:w="2114" w:type="dxa"/>
            <w:vAlign w:val="center"/>
          </w:tcPr>
          <w:p>
            <w:pPr>
              <w:pStyle w:val="TableTextExample"/>
              <w:jc w:val="left"/>
            </w:pPr>
            <w:r/>
            <w:r>
              <w:t>[Contractor]</w:t>
            </w:r>
          </w:p>
        </w:tc>
        <w:tc>
          <w:tcPr>
            <w:tcW w:w="2051" w:type="dxa"/>
            <w:vAlign w:val="center"/>
          </w:tcPr>
          <w:p>
            <w:pPr>
              <w:pStyle w:val="TableTextExample"/>
              <w:jc w:val="left"/>
            </w:pPr>
            <w:r/>
            <w:r>
              <w:t>Contracts Manager</w:t>
            </w:r>
          </w:p>
        </w:tc>
        <w:tc>
          <w:tcPr>
            <w:tcW w:w="2238" w:type="dxa"/>
            <w:vAlign w:val="center"/>
          </w:tcPr>
          <w:p>
            <w:pPr>
              <w:pStyle w:val="TableTextExample"/>
              <w:jc w:val="left"/>
            </w:pPr>
            <w:r/>
            <w:r>
              <w:t>PDF (controlled) + editable schedule of values</w:t>
            </w:r>
          </w:p>
        </w:tc>
        <w:tc>
          <w:tcPr>
            <w:tcW w:w="1184" w:type="dxa"/>
            <w:vAlign w:val="center"/>
          </w:tcPr>
          <w:p>
            <w:pPr>
              <w:pStyle w:val="TableTextExample"/>
              <w:jc w:val="center"/>
            </w:pPr>
            <w:r/>
            <w:r>
              <w:t>[MM/DD/YY]</w:t>
            </w:r>
          </w:p>
        </w:tc>
      </w:tr>
      <w:tr>
        <w:trPr>
          <w:cantSplit w:val="true"/>
        </w:trPr>
        <w:tc>
          <w:tcPr>
            <w:tcW w:w="435" w:type="dxa"/>
            <w:vAlign w:val="center"/>
          </w:tcPr>
          <w:p>
            <w:pPr>
              <w:pStyle w:val="TableTextCentre"/>
              <w:jc w:val="center"/>
            </w:pPr>
            <w:r/>
            <w:r>
              <w:t>3</w:t>
            </w:r>
          </w:p>
        </w:tc>
        <w:tc>
          <w:tcPr>
            <w:tcW w:w="1616" w:type="dxa"/>
            <w:vAlign w:val="center"/>
          </w:tcPr>
          <w:p>
            <w:pPr>
              <w:pStyle w:val="TableText"/>
              <w:jc w:val="left"/>
            </w:pPr>
            <w:r/>
          </w:p>
        </w:tc>
        <w:tc>
          <w:tcPr>
            <w:tcW w:w="2114" w:type="dxa"/>
            <w:vAlign w:val="center"/>
          </w:tcPr>
          <w:p>
            <w:pPr>
              <w:pStyle w:val="TableText"/>
              <w:jc w:val="left"/>
            </w:pPr>
            <w:r/>
          </w:p>
        </w:tc>
        <w:tc>
          <w:tcPr>
            <w:tcW w:w="2051" w:type="dxa"/>
            <w:vAlign w:val="center"/>
          </w:tcPr>
          <w:p>
            <w:pPr>
              <w:pStyle w:val="TableText"/>
              <w:jc w:val="left"/>
            </w:pPr>
            <w:r/>
          </w:p>
        </w:tc>
        <w:tc>
          <w:tcPr>
            <w:tcW w:w="2238" w:type="dxa"/>
            <w:vAlign w:val="center"/>
          </w:tcPr>
          <w:p>
            <w:pPr>
              <w:pStyle w:val="TableText"/>
              <w:jc w:val="left"/>
            </w:pPr>
            <w:r/>
          </w:p>
        </w:tc>
        <w:tc>
          <w:tcPr>
            <w:tcW w:w="1184" w:type="dxa"/>
            <w:vAlign w:val="center"/>
          </w:tcPr>
          <w:p>
            <w:pPr>
              <w:pStyle w:val="TableTextCentre"/>
              <w:jc w:val="center"/>
            </w:pPr>
            <w:r/>
          </w:p>
        </w:tc>
      </w:tr>
      <w:tr>
        <w:trPr>
          <w:cantSplit w:val="true"/>
        </w:trPr>
        <w:tc>
          <w:tcPr>
            <w:tcW w:w="435" w:type="dxa"/>
            <w:vAlign w:val="center"/>
          </w:tcPr>
          <w:p>
            <w:pPr>
              <w:pStyle w:val="TableTextCentre"/>
              <w:jc w:val="center"/>
            </w:pPr>
            <w:r/>
            <w:r>
              <w:t>4</w:t>
            </w:r>
          </w:p>
        </w:tc>
        <w:tc>
          <w:tcPr>
            <w:tcW w:w="1616" w:type="dxa"/>
            <w:vAlign w:val="center"/>
          </w:tcPr>
          <w:p>
            <w:pPr>
              <w:pStyle w:val="TableText"/>
              <w:jc w:val="left"/>
            </w:pPr>
            <w:r/>
          </w:p>
        </w:tc>
        <w:tc>
          <w:tcPr>
            <w:tcW w:w="2114" w:type="dxa"/>
            <w:vAlign w:val="center"/>
          </w:tcPr>
          <w:p>
            <w:pPr>
              <w:pStyle w:val="TableText"/>
              <w:jc w:val="left"/>
            </w:pPr>
            <w:r/>
          </w:p>
        </w:tc>
        <w:tc>
          <w:tcPr>
            <w:tcW w:w="2051" w:type="dxa"/>
            <w:vAlign w:val="center"/>
          </w:tcPr>
          <w:p>
            <w:pPr>
              <w:pStyle w:val="TableText"/>
              <w:jc w:val="left"/>
            </w:pPr>
            <w:r/>
          </w:p>
        </w:tc>
        <w:tc>
          <w:tcPr>
            <w:tcW w:w="2238" w:type="dxa"/>
            <w:vAlign w:val="center"/>
          </w:tcPr>
          <w:p>
            <w:pPr>
              <w:pStyle w:val="TableText"/>
              <w:jc w:val="left"/>
            </w:pPr>
            <w:r/>
          </w:p>
        </w:tc>
        <w:tc>
          <w:tcPr>
            <w:tcW w:w="1184" w:type="dxa"/>
            <w:vAlign w:val="center"/>
          </w:tcPr>
          <w:p>
            <w:pPr>
              <w:pStyle w:val="TableTextCentre"/>
              <w:jc w:val="center"/>
            </w:pPr>
            <w:r/>
          </w:p>
        </w:tc>
      </w:tr>
    </w:tbl>
    <w:p>
      <w:pPr>
        <w:spacing w:before="0" w:after="0" w:line="60" w:lineRule="exact"/>
      </w:pPr>
    </w:p>
    <w:p>
      <w:pPr>
        <w:pStyle w:val="Note"/>
      </w:pPr>
      <w:r>
        <w:t>Controlled document statement.  Only the revision recorded as current at Section 1.1 forms part of the contract; printed copies are uncontrolled. On each new revision the document controller withdraws every superseded copy and records the withdrawal, and the Owner's Representative notifies every party on the distribution list in writing. Pricing, procurement or construction against a superseded revision is at the risk of the party who did so and does not of itself found a claim.</w:t>
      </w:r>
    </w:p>
    <w:p>
      <w:pPr>
        <w:pStyle w:val="Heading2"/>
      </w:pPr>
      <w:bookmarkStart w:id="9003" w:name="_Toc90003"/>
      <w:r>
        <w:t>1.3 Precedence of documents</w:t>
      </w:r>
      <w:bookmarkEnd w:id="9003"/>
    </w:p>
    <w:p>
      <w:pPr>
        <w:pStyle w:val="Body"/>
      </w:pPr>
      <w:r>
        <w:t>Every set of contract documents contains inconsistencies. The order below decides which one wins, and it is the most useful paragraph in this document when a change order request is argued. Confirm it is identical to the order in the General Conditions; if the two differ, the contract prevails and this table must be corrected.</w:t>
      </w:r>
    </w:p>
    <w:p>
      <w:pPr>
        <w:pStyle w:val="Note"/>
      </w:pPr>
      <w:r>
        <w:t>This table is a reference list — its rows are the content. Amend the ranking only to match the General Conditions, and insert the document references that apply to this project.</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783"/>
        <w:gridCol w:w="2650"/>
        <w:gridCol w:w="2349"/>
        <w:gridCol w:w="3856"/>
      </w:tblGrid>
      <w:tr>
        <w:trPr>
          <w:tblHeader w:val="true"/>
          <w:cantSplit w:val="true"/>
        </w:trPr>
        <w:tc>
          <w:tcPr>
            <w:tcW w:w="783" w:type="dxa"/>
            <w:shd w:val="clear" w:color="auto" w:fill="1D3245"/>
            <w:vAlign w:val="center"/>
          </w:tcPr>
          <w:p>
            <w:pPr>
              <w:pStyle w:val="TableHeader"/>
              <w:jc w:val="center"/>
            </w:pPr>
            <w:r/>
            <w:r>
              <w:t>Rank</w:t>
            </w:r>
          </w:p>
        </w:tc>
        <w:tc>
          <w:tcPr>
            <w:tcW w:w="2650" w:type="dxa"/>
            <w:shd w:val="clear" w:color="auto" w:fill="1D3245"/>
            <w:vAlign w:val="center"/>
          </w:tcPr>
          <w:p>
            <w:pPr>
              <w:pStyle w:val="TableHeader"/>
              <w:jc w:val="left"/>
            </w:pPr>
            <w:r/>
            <w:r>
              <w:t>Document</w:t>
            </w:r>
          </w:p>
        </w:tc>
        <w:tc>
          <w:tcPr>
            <w:tcW w:w="2349" w:type="dxa"/>
            <w:shd w:val="clear" w:color="auto" w:fill="1D3245"/>
            <w:vAlign w:val="center"/>
          </w:tcPr>
          <w:p>
            <w:pPr>
              <w:pStyle w:val="TableHeader"/>
              <w:jc w:val="left"/>
            </w:pPr>
            <w:r/>
            <w:r>
              <w:t>Typical reference</w:t>
            </w:r>
          </w:p>
        </w:tc>
        <w:tc>
          <w:tcPr>
            <w:tcW w:w="3856" w:type="dxa"/>
            <w:shd w:val="clear" w:color="auto" w:fill="1D3245"/>
            <w:vAlign w:val="center"/>
          </w:tcPr>
          <w:p>
            <w:pPr>
              <w:pStyle w:val="TableHeader"/>
              <w:jc w:val="left"/>
            </w:pPr>
            <w:r/>
            <w:r>
              <w:t>Notes</w:t>
            </w:r>
          </w:p>
        </w:tc>
      </w:tr>
      <w:tr>
        <w:trPr>
          <w:cantSplit w:val="true"/>
        </w:trPr>
        <w:tc>
          <w:tcPr>
            <w:tcW w:w="783" w:type="dxa"/>
            <w:vAlign w:val="center"/>
          </w:tcPr>
          <w:p>
            <w:pPr>
              <w:pStyle w:val="TableTextCentre"/>
              <w:jc w:val="center"/>
            </w:pPr>
            <w:r/>
            <w:r>
              <w:t>1</w:t>
            </w:r>
          </w:p>
        </w:tc>
        <w:tc>
          <w:tcPr>
            <w:tcW w:w="2650" w:type="dxa"/>
            <w:vAlign w:val="center"/>
          </w:tcPr>
          <w:p>
            <w:pPr>
              <w:pStyle w:val="TableText"/>
              <w:jc w:val="left"/>
            </w:pPr>
            <w:r/>
            <w:r>
              <w:t>Contract agreement / formal instrument of agreement</w:t>
            </w:r>
          </w:p>
        </w:tc>
        <w:tc>
          <w:tcPr>
            <w:tcW w:w="2349" w:type="dxa"/>
            <w:vAlign w:val="center"/>
          </w:tcPr>
          <w:p>
            <w:pPr>
              <w:pStyle w:val="TableText"/>
              <w:jc w:val="left"/>
            </w:pPr>
            <w:r/>
            <w:r>
              <w:t>[Insert reference]</w:t>
            </w:r>
          </w:p>
        </w:tc>
        <w:tc>
          <w:tcPr>
            <w:tcW w:w="3856" w:type="dxa"/>
            <w:vAlign w:val="center"/>
          </w:tcPr>
          <w:p>
            <w:pPr>
              <w:pStyle w:val="TableText"/>
              <w:jc w:val="left"/>
            </w:pPr>
            <w:r/>
            <w:r>
              <w:t>The executed agreement, including any letter of acceptance and the agreed schedule of amendments</w:t>
            </w:r>
          </w:p>
        </w:tc>
      </w:tr>
      <w:tr>
        <w:trPr>
          <w:cantSplit w:val="true"/>
        </w:trPr>
        <w:tc>
          <w:tcPr>
            <w:tcW w:w="783" w:type="dxa"/>
            <w:vAlign w:val="center"/>
          </w:tcPr>
          <w:p>
            <w:pPr>
              <w:pStyle w:val="TableTextCentre"/>
              <w:jc w:val="center"/>
            </w:pPr>
            <w:r/>
            <w:r>
              <w:t>2</w:t>
            </w:r>
          </w:p>
        </w:tc>
        <w:tc>
          <w:tcPr>
            <w:tcW w:w="2650" w:type="dxa"/>
            <w:vAlign w:val="center"/>
          </w:tcPr>
          <w:p>
            <w:pPr>
              <w:pStyle w:val="TableText"/>
              <w:jc w:val="left"/>
            </w:pPr>
            <w:r/>
            <w:r>
              <w:t>General Conditions (as amended)</w:t>
            </w:r>
          </w:p>
        </w:tc>
        <w:tc>
          <w:tcPr>
            <w:tcW w:w="2349" w:type="dxa"/>
            <w:vAlign w:val="center"/>
          </w:tcPr>
          <w:p>
            <w:pPr>
              <w:pStyle w:val="TableText"/>
              <w:jc w:val="left"/>
            </w:pPr>
            <w:r/>
            <w:r>
              <w:t>[Insert the form and edition — e.g. AIA A201-2017 General Conditions, ConsensusDocs 200, EJCDC C-700 (2018), DBIA 535 — and the Supplementary Conditions schedule]</w:t>
            </w:r>
          </w:p>
        </w:tc>
        <w:tc>
          <w:tcPr>
            <w:tcW w:w="3856" w:type="dxa"/>
            <w:vAlign w:val="center"/>
          </w:tcPr>
          <w:p>
            <w:pPr>
              <w:pStyle w:val="TableText"/>
              <w:jc w:val="left"/>
            </w:pPr>
            <w:r/>
            <w:r>
              <w:t>Includes Supplementary Conditions, which prevail over the general conditions of the same form</w:t>
            </w:r>
          </w:p>
        </w:tc>
      </w:tr>
      <w:tr>
        <w:trPr>
          <w:cantSplit w:val="true"/>
        </w:trPr>
        <w:tc>
          <w:tcPr>
            <w:tcW w:w="783" w:type="dxa"/>
            <w:vAlign w:val="center"/>
          </w:tcPr>
          <w:p>
            <w:pPr>
              <w:pStyle w:val="TableTextCentre"/>
              <w:jc w:val="center"/>
            </w:pPr>
            <w:r/>
            <w:r>
              <w:t>3</w:t>
            </w:r>
          </w:p>
        </w:tc>
        <w:tc>
          <w:tcPr>
            <w:tcW w:w="2650" w:type="dxa"/>
            <w:vAlign w:val="center"/>
          </w:tcPr>
          <w:p>
            <w:pPr>
              <w:pStyle w:val="TableText"/>
              <w:jc w:val="left"/>
            </w:pPr>
            <w:r/>
            <w:r>
              <w:t>This Scope of Work / Scope of Work</w:t>
            </w:r>
          </w:p>
        </w:tc>
        <w:tc>
          <w:tcPr>
            <w:tcW w:w="2349" w:type="dxa"/>
            <w:vAlign w:val="center"/>
          </w:tcPr>
          <w:p>
            <w:pPr>
              <w:pStyle w:val="TableText"/>
              <w:jc w:val="left"/>
            </w:pPr>
            <w:r/>
            <w:r>
              <w:t>[XXX]-CA-SOW-[nnn] Rev [ ]</w:t>
            </w:r>
          </w:p>
        </w:tc>
        <w:tc>
          <w:tcPr>
            <w:tcW w:w="3856" w:type="dxa"/>
            <w:vAlign w:val="center"/>
          </w:tcPr>
          <w:p>
            <w:pPr>
              <w:pStyle w:val="TableText"/>
              <w:jc w:val="left"/>
            </w:pPr>
            <w:r/>
            <w:r>
              <w:t>Defines the extent, standard and interfaces of the Work</w:t>
            </w:r>
          </w:p>
        </w:tc>
      </w:tr>
      <w:tr>
        <w:trPr>
          <w:cantSplit w:val="true"/>
        </w:trPr>
        <w:tc>
          <w:tcPr>
            <w:tcW w:w="783" w:type="dxa"/>
            <w:vAlign w:val="center"/>
          </w:tcPr>
          <w:p>
            <w:pPr>
              <w:pStyle w:val="TableTextCentre"/>
              <w:jc w:val="center"/>
            </w:pPr>
            <w:r/>
            <w:r>
              <w:t>4</w:t>
            </w:r>
          </w:p>
        </w:tc>
        <w:tc>
          <w:tcPr>
            <w:tcW w:w="2650" w:type="dxa"/>
            <w:vAlign w:val="center"/>
          </w:tcPr>
          <w:p>
            <w:pPr>
              <w:pStyle w:val="TableText"/>
              <w:jc w:val="left"/>
            </w:pPr>
            <w:r/>
            <w:r>
              <w:t>Specifications</w:t>
            </w:r>
          </w:p>
        </w:tc>
        <w:tc>
          <w:tcPr>
            <w:tcW w:w="2349" w:type="dxa"/>
            <w:vAlign w:val="center"/>
          </w:tcPr>
          <w:p>
            <w:pPr>
              <w:pStyle w:val="TableText"/>
              <w:jc w:val="left"/>
            </w:pPr>
            <w:r/>
            <w:r>
              <w:t>[Insert specification register — Section 5.2]</w:t>
            </w:r>
          </w:p>
        </w:tc>
        <w:tc>
          <w:tcPr>
            <w:tcW w:w="3856" w:type="dxa"/>
            <w:vAlign w:val="center"/>
          </w:tcPr>
          <w:p>
            <w:pPr>
              <w:pStyle w:val="TableText"/>
              <w:jc w:val="left"/>
            </w:pPr>
            <w:r/>
            <w:r>
              <w:t>Technical requirements; where a specification imposes a higher standard than this scope, the higher standard applies</w:t>
            </w:r>
          </w:p>
        </w:tc>
      </w:tr>
      <w:tr>
        <w:trPr>
          <w:cantSplit w:val="true"/>
        </w:trPr>
        <w:tc>
          <w:tcPr>
            <w:tcW w:w="783" w:type="dxa"/>
            <w:vAlign w:val="center"/>
          </w:tcPr>
          <w:p>
            <w:pPr>
              <w:pStyle w:val="TableTextCentre"/>
              <w:jc w:val="center"/>
            </w:pPr>
            <w:r/>
            <w:r>
              <w:t>5</w:t>
            </w:r>
          </w:p>
        </w:tc>
        <w:tc>
          <w:tcPr>
            <w:tcW w:w="2650" w:type="dxa"/>
            <w:vAlign w:val="center"/>
          </w:tcPr>
          <w:p>
            <w:pPr>
              <w:pStyle w:val="TableText"/>
              <w:jc w:val="left"/>
            </w:pPr>
            <w:r/>
            <w:r>
              <w:t>Drawings</w:t>
            </w:r>
          </w:p>
        </w:tc>
        <w:tc>
          <w:tcPr>
            <w:tcW w:w="2349" w:type="dxa"/>
            <w:vAlign w:val="center"/>
          </w:tcPr>
          <w:p>
            <w:pPr>
              <w:pStyle w:val="TableText"/>
              <w:jc w:val="left"/>
            </w:pPr>
            <w:r/>
            <w:r>
              <w:t>[Insert drawing register — Section 5.1]</w:t>
            </w:r>
          </w:p>
        </w:tc>
        <w:tc>
          <w:tcPr>
            <w:tcW w:w="3856" w:type="dxa"/>
            <w:vAlign w:val="center"/>
          </w:tcPr>
          <w:p>
            <w:pPr>
              <w:pStyle w:val="TableText"/>
              <w:jc w:val="left"/>
            </w:pPr>
            <w:r/>
            <w:r>
              <w:t>Larger-scale drawings prevail over smaller-scale drawings of the same subject; written dimensions prevail over scaled dimensions</w:t>
            </w:r>
          </w:p>
        </w:tc>
      </w:tr>
      <w:tr>
        <w:trPr>
          <w:cantSplit w:val="true"/>
        </w:trPr>
        <w:tc>
          <w:tcPr>
            <w:tcW w:w="783" w:type="dxa"/>
            <w:vAlign w:val="center"/>
          </w:tcPr>
          <w:p>
            <w:pPr>
              <w:pStyle w:val="TableTextCentre"/>
              <w:jc w:val="center"/>
            </w:pPr>
            <w:r/>
            <w:r>
              <w:t>6</w:t>
            </w:r>
          </w:p>
        </w:tc>
        <w:tc>
          <w:tcPr>
            <w:tcW w:w="2650" w:type="dxa"/>
            <w:vAlign w:val="center"/>
          </w:tcPr>
          <w:p>
            <w:pPr>
              <w:pStyle w:val="TableText"/>
              <w:jc w:val="left"/>
            </w:pPr>
            <w:r/>
            <w:r>
              <w:t>Schedules — schedule of values, unit price schedule, finishes and door schedules</w:t>
            </w:r>
          </w:p>
        </w:tc>
        <w:tc>
          <w:tcPr>
            <w:tcW w:w="2349" w:type="dxa"/>
            <w:vAlign w:val="center"/>
          </w:tcPr>
          <w:p>
            <w:pPr>
              <w:pStyle w:val="TableText"/>
              <w:jc w:val="left"/>
            </w:pPr>
            <w:r/>
            <w:r>
              <w:t>[Insert reference]</w:t>
            </w:r>
          </w:p>
        </w:tc>
        <w:tc>
          <w:tcPr>
            <w:tcW w:w="3856" w:type="dxa"/>
            <w:vAlign w:val="center"/>
          </w:tcPr>
          <w:p>
            <w:pPr>
              <w:pStyle w:val="TableText"/>
              <w:jc w:val="left"/>
            </w:pPr>
            <w:r/>
            <w:r>
              <w:t>Quantities in a schedule do not extend the scope unless the contract is a measured contract</w:t>
            </w:r>
          </w:p>
        </w:tc>
      </w:tr>
      <w:tr>
        <w:trPr>
          <w:cantSplit w:val="true"/>
        </w:trPr>
        <w:tc>
          <w:tcPr>
            <w:tcW w:w="783" w:type="dxa"/>
            <w:vAlign w:val="center"/>
          </w:tcPr>
          <w:p>
            <w:pPr>
              <w:pStyle w:val="TableTextCentre"/>
              <w:jc w:val="center"/>
            </w:pPr>
            <w:r/>
            <w:r>
              <w:t>7</w:t>
            </w:r>
          </w:p>
        </w:tc>
        <w:tc>
          <w:tcPr>
            <w:tcW w:w="2650" w:type="dxa"/>
            <w:vAlign w:val="center"/>
          </w:tcPr>
          <w:p>
            <w:pPr>
              <w:pStyle w:val="TableText"/>
              <w:jc w:val="left"/>
            </w:pPr>
            <w:r/>
            <w:r>
              <w:t>BIM models and information containers</w:t>
            </w:r>
          </w:p>
        </w:tc>
        <w:tc>
          <w:tcPr>
            <w:tcW w:w="2349" w:type="dxa"/>
            <w:vAlign w:val="center"/>
          </w:tcPr>
          <w:p>
            <w:pPr>
              <w:pStyle w:val="TableText"/>
              <w:jc w:val="left"/>
            </w:pPr>
            <w:r/>
            <w:r>
              <w:t>[Insert ISO 19650 container references — Section 5.3]</w:t>
            </w:r>
          </w:p>
        </w:tc>
        <w:tc>
          <w:tcPr>
            <w:tcW w:w="3856" w:type="dxa"/>
            <w:vAlign w:val="center"/>
          </w:tcPr>
          <w:p>
            <w:pPr>
              <w:pStyle w:val="TableText"/>
              <w:jc w:val="left"/>
            </w:pPr>
            <w:r/>
            <w:r>
              <w:t>Models are coordination and quantity tools unless the contract expressly makes a model a contract document; state which</w:t>
            </w:r>
          </w:p>
        </w:tc>
      </w:tr>
      <w:tr>
        <w:trPr>
          <w:cantSplit w:val="true"/>
        </w:trPr>
        <w:tc>
          <w:tcPr>
            <w:tcW w:w="783" w:type="dxa"/>
            <w:vAlign w:val="center"/>
          </w:tcPr>
          <w:p>
            <w:pPr>
              <w:pStyle w:val="TableTextCentre"/>
              <w:jc w:val="center"/>
            </w:pPr>
            <w:r/>
            <w:r>
              <w:t>8</w:t>
            </w:r>
          </w:p>
        </w:tc>
        <w:tc>
          <w:tcPr>
            <w:tcW w:w="2650" w:type="dxa"/>
            <w:vAlign w:val="center"/>
          </w:tcPr>
          <w:p>
            <w:pPr>
              <w:pStyle w:val="TableText"/>
              <w:jc w:val="left"/>
            </w:pPr>
            <w:r/>
            <w:r>
              <w:t>Bid clarifications and addenda expressly incorporated</w:t>
            </w:r>
          </w:p>
        </w:tc>
        <w:tc>
          <w:tcPr>
            <w:tcW w:w="2349" w:type="dxa"/>
            <w:vAlign w:val="center"/>
          </w:tcPr>
          <w:p>
            <w:pPr>
              <w:pStyle w:val="TableText"/>
              <w:jc w:val="left"/>
            </w:pPr>
            <w:r/>
            <w:r>
              <w:t>[Insert schedule of clarifications]</w:t>
            </w:r>
          </w:p>
        </w:tc>
        <w:tc>
          <w:tcPr>
            <w:tcW w:w="3856" w:type="dxa"/>
            <w:vAlign w:val="center"/>
          </w:tcPr>
          <w:p>
            <w:pPr>
              <w:pStyle w:val="TableText"/>
              <w:jc w:val="left"/>
            </w:pPr>
            <w:r/>
            <w:r>
              <w:t>Only clarifications listed in the agreement are incorporated; list them individually, never by date range</w:t>
            </w:r>
          </w:p>
        </w:tc>
      </w:tr>
    </w:tbl>
    <w:p>
      <w:pPr>
        <w:spacing w:before="0" w:after="0" w:line="60" w:lineRule="exact"/>
      </w:pPr>
    </w:p>
    <w:tbl>
      <w:tblPr>
        <w:tblLook w:firstColumn="1" w:firstRow="1" w:lastColumn="0" w:lastRow="0" w:noHBand="0" w:noVBand="1" w:val="04A0"/>
        <w:tblLayout w:type="fixed"/>
        <w:tblW w:w="9638" w:type="dxa"/>
        <w:tblInd w:w="0" w:type="dxa"/>
        <w:tblCellMar>
          <w:top w:w="110" w:type="dxa"/>
          <w:left w:w="170" w:type="dxa"/>
          <w:bottom w:w="110" w:type="dxa"/>
          <w:right w:w="170" w:type="dxa"/>
        </w:tblCellMar>
      </w:tblPr>
      <w:tblGrid>
        <w:gridCol w:w="9638"/>
      </w:tblGrid>
      <w:tr>
        <w:tc>
          <w:tcPr>
            <w:tcW w:w="9638" w:type="dxa"/>
            <w:shd w:val="clear" w:color="auto" w:fill="F6F9FC"/>
            <w:tcBorders>
              <w:left w:val="single" w:sz="4" w:space="0" w:color="3480BC"/>
            </w:tcBorders>
          </w:tcPr>
          <w:p>
            <w:pPr>
              <w:pStyle w:val="Body"/>
            </w:pPr>
            <w:r/>
            <w:r>
              <w:t>Where documents conflict, the higher-ranked document prevails. Any conflict, ambiguity, discrepancy or omission must be raised as a Request for Information before the affected work is priced and before it is built. Neither the order of precedence nor an instruction resolving a conflict entitles the Contractor to a change for work that a competent contractor exercising reasonable skill and care would have identified as necessary from the documents read as a whole.</w:t>
            </w:r>
          </w:p>
        </w:tc>
      </w:tr>
    </w:tbl>
    <w:p>
      <w:pPr>
        <w:spacing w:before="0" w:after="0" w:line="160" w:lineRule="exact"/>
      </w:pPr>
    </w:p>
    <w:p>
      <w:pPr>
        <w:pStyle w:val="Heading1"/>
      </w:pPr>
      <w:bookmarkStart w:id="9004" w:name="_Toc90004"/>
      <w:r>
        <w:t>2. Contents</w:t>
      </w:r>
      <w:bookmarkEnd w:id="9004"/>
    </w:p>
    <w:p>
      <w:pPr>
        <w:pStyle w:val="Note"/>
      </w:pPr>
      <w:r>
        <w:t>The contents list below is a live Word field. Click in it and press F9 (or right-click → Update Field) once you have finished editing: that rebuilds the list and adds page numbers that match your version.</w:t>
      </w:r>
    </w:p>
    <w:p>
      <w:pPr>
        <w:pStyle w:val="TOC1"/>
      </w:pPr>
      <w:r>
        <w:rPr>
          <w:rFonts w:ascii="Inter" w:hAnsi="Inter"/>
        </w:rPr>
        <w:fldChar w:fldCharType="begin"/>
      </w:r>
      <w:r>
        <w:instrText xml:space="preserve"> TOC \o "1-3" \h \z \u </w:instrText>
      </w:r>
      <w:r>
        <w:fldChar w:fldCharType="separate"/>
      </w:r>
      <w:hyperlink w:anchor="_Toc90000" w:history="1">
        <w:r>
          <w:t xml:space="preserve">1. Document Control</w:t>
        </w:r>
      </w:hyperlink>
    </w:p>
    <w:p>
      <w:pPr>
        <w:pStyle w:val="TOC2"/>
      </w:pPr>
      <w:hyperlink w:anchor="_Toc90001" w:history="1">
        <w:r>
          <w:t xml:space="preserve">1.1 Revision history</w:t>
        </w:r>
      </w:hyperlink>
    </w:p>
    <w:p>
      <w:pPr>
        <w:pStyle w:val="TOC2"/>
      </w:pPr>
      <w:hyperlink w:anchor="_Toc90002" w:history="1">
        <w:r>
          <w:t xml:space="preserve">1.2 Distribution and controlled-document status</w:t>
        </w:r>
      </w:hyperlink>
    </w:p>
    <w:p>
      <w:pPr>
        <w:pStyle w:val="TOC2"/>
      </w:pPr>
      <w:hyperlink w:anchor="_Toc90003" w:history="1">
        <w:r>
          <w:t xml:space="preserve">1.3 Precedence of documents</w:t>
        </w:r>
      </w:hyperlink>
    </w:p>
    <w:p>
      <w:pPr>
        <w:pStyle w:val="TOC1"/>
      </w:pPr>
      <w:hyperlink w:anchor="_Toc90004" w:history="1">
        <w:r>
          <w:t xml:space="preserve">2. Contents</w:t>
        </w:r>
      </w:hyperlink>
    </w:p>
    <w:p>
      <w:pPr>
        <w:pStyle w:val="TOC1"/>
      </w:pPr>
      <w:hyperlink w:anchor="_Toc90005" w:history="1">
        <w:r>
          <w:t xml:space="preserve">3. Introduction and Project Overview</w:t>
        </w:r>
      </w:hyperlink>
    </w:p>
    <w:p>
      <w:pPr>
        <w:pStyle w:val="TOC2"/>
      </w:pPr>
      <w:hyperlink w:anchor="_Toc90006" w:history="1">
        <w:r>
          <w:t xml:space="preserve">3.1 The project</w:t>
        </w:r>
      </w:hyperlink>
    </w:p>
    <w:p>
      <w:pPr>
        <w:pStyle w:val="TOC2"/>
      </w:pPr>
      <w:hyperlink w:anchor="_Toc90007" w:history="1">
        <w:r>
          <w:t xml:space="preserve">3.2 The site and its constraints</w:t>
        </w:r>
      </w:hyperlink>
    </w:p>
    <w:p>
      <w:pPr>
        <w:pStyle w:val="TOC2"/>
      </w:pPr>
      <w:hyperlink w:anchor="_Toc90008" w:history="1">
        <w:r>
          <w:t xml:space="preserve">3.3 Parties and authority</w:t>
        </w:r>
      </w:hyperlink>
    </w:p>
    <w:p>
      <w:pPr>
        <w:pStyle w:val="TOC2"/>
      </w:pPr>
      <w:hyperlink w:anchor="_Toc90009" w:history="1">
        <w:r>
          <w:t xml:space="preserve">3.4 Contract form and level of application</w:t>
        </w:r>
      </w:hyperlink>
    </w:p>
    <w:p>
      <w:pPr>
        <w:pStyle w:val="TOC2"/>
      </w:pPr>
      <w:hyperlink w:anchor="_Toc90010" w:history="1">
        <w:r>
          <w:t xml:space="preserve">3.5 Defined terms</w:t>
        </w:r>
      </w:hyperlink>
    </w:p>
    <w:p>
      <w:pPr>
        <w:pStyle w:val="TOC1"/>
      </w:pPr>
      <w:hyperlink w:anchor="_Toc90011" w:history="1">
        <w:r>
          <w:t xml:space="preserve">4. Scope Summary</w:t>
        </w:r>
      </w:hyperlink>
    </w:p>
    <w:p>
      <w:pPr>
        <w:pStyle w:val="TOC2"/>
      </w:pPr>
      <w:hyperlink w:anchor="_Toc90012" w:history="1">
        <w:r>
          <w:t xml:space="preserve">4.1 Statement of the Work</w:t>
        </w:r>
      </w:hyperlink>
    </w:p>
    <w:p>
      <w:pPr>
        <w:pStyle w:val="TOC2"/>
      </w:pPr>
      <w:hyperlink w:anchor="_Toc90013" w:history="1">
        <w:r>
          <w:t xml:space="preserve">4.2 Scope at a glance</w:t>
        </w:r>
      </w:hyperlink>
    </w:p>
    <w:p>
      <w:pPr>
        <w:pStyle w:val="TOC1"/>
      </w:pPr>
      <w:hyperlink w:anchor="_Toc90014" w:history="1">
        <w:r>
          <w:t xml:space="preserve">5. Basis of the Scope</w:t>
        </w:r>
      </w:hyperlink>
    </w:p>
    <w:p>
      <w:pPr>
        <w:pStyle w:val="TOC2"/>
      </w:pPr>
      <w:hyperlink w:anchor="_Toc90015" w:history="1">
        <w:r>
          <w:t xml:space="preserve">5.1 Drawing register</w:t>
        </w:r>
      </w:hyperlink>
    </w:p>
    <w:p>
      <w:pPr>
        <w:pStyle w:val="TOC2"/>
      </w:pPr>
      <w:hyperlink w:anchor="_Toc90016" w:history="1">
        <w:r>
          <w:t xml:space="preserve">5.2 Specification register</w:t>
        </w:r>
      </w:hyperlink>
    </w:p>
    <w:p>
      <w:pPr>
        <w:pStyle w:val="TOC2"/>
      </w:pPr>
      <w:hyperlink w:anchor="_Toc90017" w:history="1">
        <w:r>
          <w:t xml:space="preserve">5.3 Schedules, models and information containers</w:t>
        </w:r>
      </w:hyperlink>
    </w:p>
    <w:p>
      <w:pPr>
        <w:pStyle w:val="TOC2"/>
      </w:pPr>
      <w:hyperlink w:anchor="_Toc90018" w:history="1">
        <w:r>
          <w:t xml:space="preserve">5.4 Geotechnical, survey and existing-conditions information</w:t>
        </w:r>
      </w:hyperlink>
    </w:p>
    <w:p>
      <w:pPr>
        <w:pStyle w:val="TOC2"/>
      </w:pPr>
      <w:hyperlink w:anchor="_Toc90019" w:history="1">
        <w:r>
          <w:t xml:space="preserve">5.5 Status of information issued</w:t>
        </w:r>
      </w:hyperlink>
    </w:p>
    <w:p>
      <w:pPr>
        <w:pStyle w:val="TOC1"/>
      </w:pPr>
      <w:hyperlink w:anchor="_Toc90020" w:history="1">
        <w:r>
          <w:t xml:space="preserve">6. Detailed Scope of Work</w:t>
        </w:r>
      </w:hyperlink>
    </w:p>
    <w:p>
      <w:pPr>
        <w:pStyle w:val="TOC2"/>
      </w:pPr>
      <w:hyperlink w:anchor="_Toc90021" w:history="1">
        <w:r>
          <w:t xml:space="preserve">6.1 Scope by work breakdown and trade element</w:t>
        </w:r>
      </w:hyperlink>
    </w:p>
    <w:p>
      <w:pPr>
        <w:pStyle w:val="TOC2"/>
      </w:pPr>
      <w:hyperlink w:anchor="_Toc90022" w:history="1">
        <w:r>
          <w:t xml:space="preserve">6.2 Scope by construction stage</w:t>
        </w:r>
      </w:hyperlink>
    </w:p>
    <w:p>
      <w:pPr>
        <w:pStyle w:val="TOC2"/>
      </w:pPr>
      <w:hyperlink w:anchor="_Toc90023" w:history="1">
        <w:r>
          <w:t xml:space="preserve">6.3 Workmanship, standards and tolerances</w:t>
        </w:r>
      </w:hyperlink>
    </w:p>
    <w:p>
      <w:pPr>
        <w:pStyle w:val="TOC3"/>
      </w:pPr>
      <w:hyperlink w:anchor="_Toc90024" w:history="1">
        <w:r>
          <w:t xml:space="preserve">PRESCRIPTIVE OR PERFORMANCE — WHICH TO USE</w:t>
        </w:r>
      </w:hyperlink>
    </w:p>
    <w:p>
      <w:pPr>
        <w:pStyle w:val="TOC1"/>
      </w:pPr>
      <w:hyperlink w:anchor="_Toc90025" w:history="1">
        <w:r>
          <w:t xml:space="preserve">7. Inclusions</w:t>
        </w:r>
      </w:hyperlink>
    </w:p>
    <w:p>
      <w:pPr>
        <w:pStyle w:val="TOC2"/>
      </w:pPr>
      <w:hyperlink w:anchor="_Toc90026" w:history="1">
        <w:r>
          <w:t xml:space="preserve">7.1 Inclusions schedule</w:t>
        </w:r>
      </w:hyperlink>
    </w:p>
    <w:p>
      <w:pPr>
        <w:pStyle w:val="TOC1"/>
      </w:pPr>
      <w:hyperlink w:anchor="_Toc90027" w:history="1">
        <w:r>
          <w:t xml:space="preserve">8. Exclusions and Work by Others</w:t>
        </w:r>
      </w:hyperlink>
    </w:p>
    <w:p>
      <w:pPr>
        <w:pStyle w:val="TOC1"/>
      </w:pPr>
      <w:hyperlink w:anchor="_Toc90028" w:history="1">
        <w:r>
          <w:t xml:space="preserve">9. Interfaces and Coordination</w:t>
        </w:r>
      </w:hyperlink>
    </w:p>
    <w:p>
      <w:pPr>
        <w:pStyle w:val="TOC2"/>
      </w:pPr>
      <w:hyperlink w:anchor="_Toc90029" w:history="1">
        <w:r>
          <w:t xml:space="preserve">9.1 Interface register</w:t>
        </w:r>
      </w:hyperlink>
    </w:p>
    <w:p>
      <w:pPr>
        <w:pStyle w:val="TOC2"/>
      </w:pPr>
      <w:hyperlink w:anchor="_Toc90030" w:history="1">
        <w:r>
          <w:t xml:space="preserve">9.2 Attendance, access and shared temporary works</w:t>
        </w:r>
      </w:hyperlink>
    </w:p>
    <w:p>
      <w:pPr>
        <w:pStyle w:val="TOC2"/>
      </w:pPr>
      <w:hyperlink w:anchor="_Toc90031" w:history="1">
        <w:r>
          <w:t xml:space="preserve">9.3 Builder's work in connection with services</w:t>
        </w:r>
      </w:hyperlink>
    </w:p>
    <w:p>
      <w:pPr>
        <w:pStyle w:val="TOC2"/>
      </w:pPr>
      <w:hyperlink w:anchor="_Toc90032" w:history="1">
        <w:r>
          <w:t xml:space="preserve">9.4 Set-out responsibility and protection of completed works</w:t>
        </w:r>
      </w:hyperlink>
    </w:p>
    <w:p>
      <w:pPr>
        <w:pStyle w:val="TOC2"/>
      </w:pPr>
      <w:hyperlink w:anchor="_Toc90033" w:history="1">
        <w:r>
          <w:t xml:space="preserve">9.5 Coordination, clash detection and information management</w:t>
        </w:r>
      </w:hyperlink>
    </w:p>
    <w:p>
      <w:pPr>
        <w:pStyle w:val="TOC1"/>
      </w:pPr>
      <w:hyperlink w:anchor="_Toc90034" w:history="1">
        <w:r>
          <w:t xml:space="preserve">10. Site Conditions, Access and Constraints</w:t>
        </w:r>
      </w:hyperlink>
    </w:p>
    <w:p>
      <w:pPr>
        <w:pStyle w:val="TOC2"/>
      </w:pPr>
      <w:hyperlink w:anchor="_Toc90035" w:history="1">
        <w:r>
          <w:t xml:space="preserve">10.1 Access, hours, laydown and lifting</w:t>
        </w:r>
      </w:hyperlink>
    </w:p>
    <w:p>
      <w:pPr>
        <w:pStyle w:val="TOC2"/>
      </w:pPr>
      <w:hyperlink w:anchor="_Toc90036" w:history="1">
        <w:r>
          <w:t xml:space="preserve">10.2 Existing services, differing site conditions and adjacent property</w:t>
        </w:r>
      </w:hyperlink>
    </w:p>
    <w:p>
      <w:pPr>
        <w:pStyle w:val="TOC2"/>
      </w:pPr>
      <w:hyperlink w:anchor="_Toc90037" w:history="1">
        <w:r>
          <w:t xml:space="preserve">10.3 Live operations, heritage and environmental constraints</w:t>
        </w:r>
      </w:hyperlink>
    </w:p>
    <w:p>
      <w:pPr>
        <w:pStyle w:val="TOC2"/>
      </w:pPr>
      <w:hyperlink w:anchor="_Toc90038" w:history="1">
        <w:r>
          <w:t xml:space="preserve">10.4 Constraint schedule</w:t>
        </w:r>
      </w:hyperlink>
    </w:p>
    <w:p>
      <w:pPr>
        <w:pStyle w:val="TOC1"/>
      </w:pPr>
      <w:hyperlink w:anchor="_Toc90039" w:history="1">
        <w:r>
          <w:t xml:space="preserve">11. Schedule and Sequencing Requirements</w:t>
        </w:r>
      </w:hyperlink>
    </w:p>
    <w:p>
      <w:pPr>
        <w:pStyle w:val="TOC2"/>
      </w:pPr>
      <w:hyperlink w:anchor="_Toc90040" w:history="1">
        <w:r>
          <w:t xml:space="preserve">11.1 Milestones and access dates</w:t>
        </w:r>
      </w:hyperlink>
    </w:p>
    <w:p>
      <w:pPr>
        <w:pStyle w:val="TOC2"/>
      </w:pPr>
      <w:hyperlink w:anchor="_Toc90041" w:history="1">
        <w:r>
          <w:t xml:space="preserve">11.2 Sequencing, staging and separable portions</w:t>
        </w:r>
      </w:hyperlink>
    </w:p>
    <w:p>
      <w:pPr>
        <w:pStyle w:val="TOC2"/>
      </w:pPr>
      <w:hyperlink w:anchor="_Toc90042" w:history="1">
        <w:r>
          <w:t xml:space="preserve">11.3 Float ownership</w:t>
        </w:r>
      </w:hyperlink>
    </w:p>
    <w:p>
      <w:pPr>
        <w:pStyle w:val="TOC2"/>
      </w:pPr>
      <w:hyperlink w:anchor="_Toc90043" w:history="1">
        <w:r>
          <w:t xml:space="preserve">11.4 Schedule submission, updating and progress reporting</w:t>
        </w:r>
      </w:hyperlink>
    </w:p>
    <w:p>
      <w:pPr>
        <w:pStyle w:val="TOC2"/>
      </w:pPr>
      <w:hyperlink w:anchor="_Toc90044" w:history="1">
        <w:r>
          <w:t xml:space="preserve">11.5 Delay and disruption notification</w:t>
        </w:r>
      </w:hyperlink>
    </w:p>
    <w:p>
      <w:pPr>
        <w:pStyle w:val="TOC1"/>
      </w:pPr>
      <w:hyperlink w:anchor="_Toc90045" w:history="1">
        <w:r>
          <w:t xml:space="preserve">12. Quality Requirements</w:t>
        </w:r>
      </w:hyperlink>
    </w:p>
    <w:p>
      <w:pPr>
        <w:pStyle w:val="TOC2"/>
      </w:pPr>
      <w:hyperlink w:anchor="_Toc90046" w:history="1">
        <w:r>
          <w:t xml:space="preserve">12.1 Quality plan and inspection and test plans</w:t>
        </w:r>
      </w:hyperlink>
    </w:p>
    <w:p>
      <w:pPr>
        <w:pStyle w:val="TOC2"/>
      </w:pPr>
      <w:hyperlink w:anchor="_Toc90047" w:history="1">
        <w:r>
          <w:t xml:space="preserve">12.2 Hold and witness points</w:t>
        </w:r>
      </w:hyperlink>
    </w:p>
    <w:p>
      <w:pPr>
        <w:pStyle w:val="TOC2"/>
      </w:pPr>
      <w:hyperlink w:anchor="_Toc90048" w:history="1">
        <w:r>
          <w:t xml:space="preserve">12.3 Samples, prototypes and benchmarks</w:t>
        </w:r>
      </w:hyperlink>
    </w:p>
    <w:p>
      <w:pPr>
        <w:pStyle w:val="TOC2"/>
      </w:pPr>
      <w:hyperlink w:anchor="_Toc90049" w:history="1">
        <w:r>
          <w:t xml:space="preserve">12.4 Surveys and record records</w:t>
        </w:r>
      </w:hyperlink>
    </w:p>
    <w:p>
      <w:pPr>
        <w:pStyle w:val="TOC2"/>
      </w:pPr>
      <w:hyperlink w:anchor="_Toc90050" w:history="1">
        <w:r>
          <w:t xml:space="preserve">12.5 Nonconformance and rectification</w:t>
        </w:r>
      </w:hyperlink>
    </w:p>
    <w:p>
      <w:pPr>
        <w:pStyle w:val="TOC1"/>
      </w:pPr>
      <w:hyperlink w:anchor="_Toc90051" w:history="1">
        <w:r>
          <w:t xml:space="preserve">13. Health, Safety and Environmental Requirements</w:t>
        </w:r>
      </w:hyperlink>
    </w:p>
    <w:p>
      <w:pPr>
        <w:pStyle w:val="TOC2"/>
      </w:pPr>
      <w:hyperlink w:anchor="_Toc90052" w:history="1">
        <w:r>
          <w:t xml:space="preserve">13.1 Safety obligations and pre-mobilization submissions</w:t>
        </w:r>
      </w:hyperlink>
    </w:p>
    <w:p>
      <w:pPr>
        <w:pStyle w:val="TOC2"/>
      </w:pPr>
      <w:hyperlink w:anchor="_Toc90053" w:history="1">
        <w:r>
          <w:t xml:space="preserve">13.2 Environmental controls, waste and sustainability</w:t>
        </w:r>
      </w:hyperlink>
    </w:p>
    <w:p>
      <w:pPr>
        <w:pStyle w:val="TOC2"/>
      </w:pPr>
      <w:hyperlink w:anchor="_Toc90054" w:history="1">
        <w:r>
          <w:t xml:space="preserve">13.3 HSE evidence schedule</w:t>
        </w:r>
      </w:hyperlink>
    </w:p>
    <w:p>
      <w:pPr>
        <w:pStyle w:val="TOC1"/>
      </w:pPr>
      <w:hyperlink w:anchor="_Toc90055" w:history="1">
        <w:r>
          <w:t xml:space="preserve">14. Submittals and Deliverables Register</w:t>
        </w:r>
      </w:hyperlink>
    </w:p>
    <w:p>
      <w:pPr>
        <w:pStyle w:val="TOC1"/>
      </w:pPr>
      <w:hyperlink w:anchor="_Toc90056" w:history="1">
        <w:r>
          <w:t xml:space="preserve">15. Commercial Framework</w:t>
        </w:r>
      </w:hyperlink>
    </w:p>
    <w:p>
      <w:pPr>
        <w:pStyle w:val="TOC2"/>
      </w:pPr>
      <w:hyperlink w:anchor="_Toc90057" w:history="1">
        <w:r>
          <w:t xml:space="preserve">15.1 Pricing basis</w:t>
        </w:r>
      </w:hyperlink>
    </w:p>
    <w:p>
      <w:pPr>
        <w:pStyle w:val="TOC2"/>
      </w:pPr>
      <w:hyperlink w:anchor="_Toc90058" w:history="1">
        <w:r>
          <w:t xml:space="preserve">15.2 Schedule of values structure</w:t>
        </w:r>
      </w:hyperlink>
    </w:p>
    <w:p>
      <w:pPr>
        <w:pStyle w:val="TOC2"/>
      </w:pPr>
      <w:hyperlink w:anchor="_Toc90059" w:history="1">
        <w:r>
          <w:t xml:space="preserve">15.3 Allowances, and price escalation</w:t>
        </w:r>
      </w:hyperlink>
    </w:p>
    <w:p>
      <w:pPr>
        <w:pStyle w:val="TOC2"/>
      </w:pPr>
      <w:hyperlink w:anchor="_Toc90060" w:history="1">
        <w:r>
          <w:t xml:space="preserve">15.4 Changes, valuation and force account work</w:t>
        </w:r>
      </w:hyperlink>
    </w:p>
    <w:p>
      <w:pPr>
        <w:pStyle w:val="TOC2"/>
      </w:pPr>
      <w:hyperlink w:anchor="_Toc90061" w:history="1">
        <w:r>
          <w:t xml:space="preserve">15.5 Payment, retainage and security</w:t>
        </w:r>
      </w:hyperlink>
    </w:p>
    <w:p>
      <w:pPr>
        <w:pStyle w:val="TOC2"/>
      </w:pPr>
      <w:hyperlink w:anchor="_Toc90062" w:history="1">
        <w:r>
          <w:t xml:space="preserve">15.6 Prolongation and disruption</w:t>
        </w:r>
      </w:hyperlink>
    </w:p>
    <w:p>
      <w:pPr>
        <w:pStyle w:val="TOC1"/>
      </w:pPr>
      <w:hyperlink w:anchor="_Toc90063" w:history="1">
        <w:r>
          <w:t xml:space="preserve">16. Completion, Handover and Warranty</w:t>
        </w:r>
      </w:hyperlink>
    </w:p>
    <w:p>
      <w:pPr>
        <w:pStyle w:val="TOC2"/>
      </w:pPr>
      <w:hyperlink w:anchor="_Toc90064" w:history="1">
        <w:r>
          <w:t xml:space="preserve">16.1 Substantial Completion criteria</w:t>
        </w:r>
      </w:hyperlink>
    </w:p>
    <w:p>
      <w:pPr>
        <w:pStyle w:val="TOC2"/>
      </w:pPr>
      <w:hyperlink w:anchor="_Toc90065" w:history="1">
        <w:r>
          <w:t xml:space="preserve">16.2 Commissioning and performance verification</w:t>
        </w:r>
      </w:hyperlink>
    </w:p>
    <w:p>
      <w:pPr>
        <w:pStyle w:val="TOC2"/>
      </w:pPr>
      <w:hyperlink w:anchor="_Toc90066" w:history="1">
        <w:r>
          <w:t xml:space="preserve">16.3 Handover documentation and training</w:t>
        </w:r>
      </w:hyperlink>
    </w:p>
    <w:p>
      <w:pPr>
        <w:pStyle w:val="TOC2"/>
      </w:pPr>
      <w:hyperlink w:anchor="_Toc90067" w:history="1">
        <w:r>
          <w:t xml:space="preserve">16.4 Spares and attic stock</w:t>
        </w:r>
      </w:hyperlink>
    </w:p>
    <w:p>
      <w:pPr>
        <w:pStyle w:val="TOC2"/>
      </w:pPr>
      <w:hyperlink w:anchor="_Toc90068" w:history="1">
        <w:r>
          <w:t xml:space="preserve">16.5 Correction period and final completion</w:t>
        </w:r>
      </w:hyperlink>
    </w:p>
    <w:p>
      <w:pPr>
        <w:pStyle w:val="TOC1"/>
      </w:pPr>
      <w:hyperlink w:anchor="_Toc90069" w:history="1">
        <w:r>
          <w:t xml:space="preserve">17. Assumptions, Clarifications and Qualifications</w:t>
        </w:r>
      </w:hyperlink>
    </w:p>
    <w:p>
      <w:pPr>
        <w:pStyle w:val="TOC1"/>
      </w:pPr>
      <w:hyperlink w:anchor="_Toc90070" w:history="1">
        <w:r>
          <w:t xml:space="preserve">18. Acceptance and Execution</w:t>
        </w:r>
      </w:hyperlink>
    </w:p>
    <w:p>
      <w:pPr>
        <w:pStyle w:val="TOC1"/>
      </w:pPr>
      <w:hyperlink w:anchor="_Toc90071" w:history="1">
        <w:r>
          <w:t xml:space="preserve">Appendices</w:t>
        </w:r>
      </w:hyperlink>
      <w:r>
        <w:fldChar w:fldCharType="end"/>
      </w:r>
    </w:p>
    <w:p>
      <w:pPr>
        <w:pStyle w:val="Heading1"/>
      </w:pPr>
      <w:bookmarkStart w:id="9005" w:name="_Toc90005"/>
      <w:r>
        <w:t>3. Introduction and Project Overview</w:t>
      </w:r>
      <w:bookmarkEnd w:id="9005"/>
    </w:p>
    <w:p>
      <w:pPr>
        <w:pStyle w:val="BodyLead"/>
      </w:pPr>
      <w:r>
        <w:t>This section orients a reader who has never seen the project. It is complete when an estimator can tell, without asking a question, what is being built, where, for whom, under what contract form, and at what level this scope applies — head contract, trade package or subcontract.</w:t>
      </w:r>
    </w:p>
    <w:p>
      <w:pPr>
        <w:pStyle w:val="Heading2"/>
      </w:pPr>
      <w:bookmarkStart w:id="9006" w:name="_Toc90006"/>
      <w:r>
        <w:t>3.1 The project</w:t>
      </w:r>
      <w:bookmarkEnd w:id="9006"/>
    </w:p>
    <w:p>
      <w:pPr>
        <w:pStyle w:val="Placeholder"/>
      </w:pPr>
      <w:r>
        <w:t>[Insert 150-250 words: the asset delivered, its size and use, buildings, levels and gross floor area, the delivery model (traditional, design and construct, construction management, managing contractor), the stage this contract covers and how it relates to any earlier or later stage. Name the end use — it drives the standard of workmanship, because a clinical, food-handling, laboratory or data-center environment is judged differently from a warehouse.]</w:t>
      </w:r>
    </w:p>
    <w:p>
      <w:pPr>
        <w:pStyle w:val="Note"/>
      </w:pPr>
      <w:r>
        <w:t>Worked example — Northbank Health Campus — Stage 2.  A new six-level Acute Services Building of 18,400 m² over a two-level basement, with a glazed link bridge to the operating Ward Block C, an ambulance set-down and reconfigured external works, procured as a lump sum construct-only head contract with performance-specified facade and mechanical packages. Stage 1 (the energy center) is complete and operating; Stage 3 follows and is not part of this contract. Delete this example.</w:t>
      </w:r>
    </w:p>
    <w:p>
      <w:pPr>
        <w:pStyle w:val="Heading2"/>
      </w:pPr>
      <w:bookmarkStart w:id="9007" w:name="_Toc90007"/>
      <w:r>
        <w:t>3.2 The site and its constraints</w:t>
      </w:r>
      <w:bookmarkEnd w:id="9007"/>
    </w:p>
    <w:p>
      <w:pPr>
        <w:pStyle w:val="Placeholder"/>
      </w:pPr>
      <w:r>
        <w:t>[Insert 100-200 words: boundaries, levels and fall, existing structures to remain, ground conditions in summary (detail at Section 5.4), the access points available, and every constraint that will shape the price — restricted hours, live operations, shared access, over-sail restrictions, heritage fabric, sensitive receivers. Constraints stated here must be repeated as obligations at Section 10: this is the narrative, Section 10 is the requirement.]</w:t>
      </w:r>
    </w:p>
    <w:p>
      <w:pPr>
        <w:pStyle w:val="Heading2"/>
      </w:pPr>
      <w:bookmarkStart w:id="9008" w:name="_Toc90008"/>
      <w:r>
        <w:t>3.3 Parties and authority</w:t>
      </w:r>
      <w:bookmarkEnd w:id="9008"/>
    </w:p>
    <w:p>
      <w:pPr>
        <w:pStyle w:val="Body"/>
      </w:pPr>
      <w:r>
        <w:t>Name the parties and state exactly what each is authorized to do. The most common cause of an invalid claim is an instruction taken from a person with no authority to give it. State the monetary and subject-matter limits of each authority, and require instructions in writing.</w:t>
      </w:r>
    </w:p>
    <w:p>
      <w:pPr>
        <w:pStyle w:val="Note"/>
      </w:pPr>
      <w:r>
        <w:t>Example rows shown in gray italic — replace with the actual parties and authority limits, and delete any role the project does not use. Where this scope is issued as a trade package, the Contractor stands in the position of the Owner for the purposes of this table and the Subcontractor's only contractual channel is the Contractor.</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040"/>
        <w:gridCol w:w="1927"/>
        <w:gridCol w:w="2267"/>
        <w:gridCol w:w="3404"/>
      </w:tblGrid>
      <w:tr>
        <w:trPr>
          <w:tblHeader w:val="true"/>
          <w:cantSplit w:val="true"/>
        </w:trPr>
        <w:tc>
          <w:tcPr>
            <w:tcW w:w="2040" w:type="dxa"/>
            <w:shd w:val="clear" w:color="auto" w:fill="1D3245"/>
            <w:vAlign w:val="center"/>
          </w:tcPr>
          <w:p>
            <w:pPr>
              <w:pStyle w:val="TableHeader"/>
              <w:jc w:val="left"/>
            </w:pPr>
            <w:r/>
            <w:r>
              <w:t>Role</w:t>
            </w:r>
          </w:p>
        </w:tc>
        <w:tc>
          <w:tcPr>
            <w:tcW w:w="1927" w:type="dxa"/>
            <w:shd w:val="clear" w:color="auto" w:fill="1D3245"/>
            <w:vAlign w:val="center"/>
          </w:tcPr>
          <w:p>
            <w:pPr>
              <w:pStyle w:val="TableHeader"/>
              <w:jc w:val="left"/>
            </w:pPr>
            <w:r/>
            <w:r>
              <w:t>Organization</w:t>
            </w:r>
          </w:p>
        </w:tc>
        <w:tc>
          <w:tcPr>
            <w:tcW w:w="2267" w:type="dxa"/>
            <w:shd w:val="clear" w:color="auto" w:fill="1D3245"/>
            <w:vAlign w:val="center"/>
          </w:tcPr>
          <w:p>
            <w:pPr>
              <w:pStyle w:val="TableHeader"/>
              <w:jc w:val="left"/>
            </w:pPr>
            <w:r/>
            <w:r>
              <w:t>Contact</w:t>
            </w:r>
          </w:p>
        </w:tc>
        <w:tc>
          <w:tcPr>
            <w:tcW w:w="3404" w:type="dxa"/>
            <w:shd w:val="clear" w:color="auto" w:fill="1D3245"/>
            <w:vAlign w:val="center"/>
          </w:tcPr>
          <w:p>
            <w:pPr>
              <w:pStyle w:val="TableHeader"/>
              <w:jc w:val="left"/>
            </w:pPr>
            <w:r/>
            <w:r>
              <w:t>Authority under the contract</w:t>
            </w:r>
          </w:p>
        </w:tc>
      </w:tr>
      <w:tr>
        <w:trPr>
          <w:cantSplit w:val="true"/>
        </w:trPr>
        <w:tc>
          <w:tcPr>
            <w:tcW w:w="2040" w:type="dxa"/>
            <w:vAlign w:val="center"/>
          </w:tcPr>
          <w:p>
            <w:pPr>
              <w:pStyle w:val="TableTextExample"/>
              <w:jc w:val="left"/>
            </w:pPr>
            <w:r/>
            <w:r>
              <w:t>Owner</w:t>
            </w:r>
          </w:p>
        </w:tc>
        <w:tc>
          <w:tcPr>
            <w:tcW w:w="1927" w:type="dxa"/>
            <w:vAlign w:val="center"/>
          </w:tcPr>
          <w:p>
            <w:pPr>
              <w:pStyle w:val="TableTextExample"/>
              <w:jc w:val="left"/>
            </w:pPr>
            <w:r/>
            <w:r>
              <w:t>Northbank Health System</w:t>
            </w:r>
          </w:p>
        </w:tc>
        <w:tc>
          <w:tcPr>
            <w:tcW w:w="2267" w:type="dxa"/>
            <w:vAlign w:val="center"/>
          </w:tcPr>
          <w:p>
            <w:pPr>
              <w:pStyle w:val="TableTextExample"/>
              <w:jc w:val="left"/>
            </w:pPr>
            <w:r/>
            <w:r>
              <w:t>[Name · title · email · telephone]</w:t>
            </w:r>
          </w:p>
        </w:tc>
        <w:tc>
          <w:tcPr>
            <w:tcW w:w="3404" w:type="dxa"/>
            <w:vAlign w:val="center"/>
          </w:tcPr>
          <w:p>
            <w:pPr>
              <w:pStyle w:val="TableTextExample"/>
              <w:jc w:val="left"/>
            </w:pPr>
            <w:r/>
            <w:r>
              <w:t>Party to the contract. Approves changes above [CUR] 250,000 and any change to the Substantial Completion date</w:t>
            </w:r>
          </w:p>
        </w:tc>
      </w:tr>
      <w:tr>
        <w:trPr>
          <w:cantSplit w:val="true"/>
        </w:trPr>
        <w:tc>
          <w:tcPr>
            <w:tcW w:w="2040" w:type="dxa"/>
            <w:vAlign w:val="center"/>
          </w:tcPr>
          <w:p>
            <w:pPr>
              <w:pStyle w:val="TableTextExample"/>
              <w:jc w:val="left"/>
            </w:pPr>
            <w:r/>
            <w:r>
              <w:t>Owner's Representative</w:t>
            </w:r>
          </w:p>
        </w:tc>
        <w:tc>
          <w:tcPr>
            <w:tcW w:w="1927" w:type="dxa"/>
            <w:vAlign w:val="center"/>
          </w:tcPr>
          <w:p>
            <w:pPr>
              <w:pStyle w:val="TableTextExample"/>
              <w:jc w:val="left"/>
            </w:pPr>
            <w:r/>
            <w:r>
              <w:t>[Consultant entity]</w:t>
            </w:r>
          </w:p>
        </w:tc>
        <w:tc>
          <w:tcPr>
            <w:tcW w:w="2267" w:type="dxa"/>
            <w:vAlign w:val="center"/>
          </w:tcPr>
          <w:p>
            <w:pPr>
              <w:pStyle w:val="TableTextExample"/>
              <w:jc w:val="left"/>
            </w:pPr>
            <w:r/>
            <w:r>
              <w:t>[Name · title · email · telephone]</w:t>
            </w:r>
          </w:p>
        </w:tc>
        <w:tc>
          <w:tcPr>
            <w:tcW w:w="3404" w:type="dxa"/>
            <w:vAlign w:val="center"/>
          </w:tcPr>
          <w:p>
            <w:pPr>
              <w:pStyle w:val="TableTextExample"/>
              <w:jc w:val="left"/>
            </w:pPr>
            <w:r/>
            <w:r>
              <w:t>Issues instructions, valuations, certificates and directions. Sole channel for formal instructions. Authority limit [CUR] 250,000 per change</w:t>
            </w:r>
          </w:p>
        </w:tc>
      </w:tr>
      <w:tr>
        <w:trPr>
          <w:cantSplit w:val="true"/>
        </w:trPr>
        <w:tc>
          <w:tcPr>
            <w:tcW w:w="2040" w:type="dxa"/>
            <w:vAlign w:val="center"/>
          </w:tcPr>
          <w:p>
            <w:pPr>
              <w:pStyle w:val="TableTextExample"/>
              <w:jc w:val="left"/>
            </w:pPr>
            <w:r/>
            <w:r>
              <w:t>Project Manager</w:t>
            </w:r>
          </w:p>
        </w:tc>
        <w:tc>
          <w:tcPr>
            <w:tcW w:w="1927" w:type="dxa"/>
            <w:vAlign w:val="center"/>
          </w:tcPr>
          <w:p>
            <w:pPr>
              <w:pStyle w:val="TableTextExample"/>
              <w:jc w:val="left"/>
            </w:pPr>
            <w:r/>
            <w:r>
              <w:t>[Consultant entity]</w:t>
            </w:r>
          </w:p>
        </w:tc>
        <w:tc>
          <w:tcPr>
            <w:tcW w:w="2267" w:type="dxa"/>
            <w:vAlign w:val="center"/>
          </w:tcPr>
          <w:p>
            <w:pPr>
              <w:pStyle w:val="TableTextExample"/>
              <w:jc w:val="left"/>
            </w:pPr>
            <w:r/>
            <w:r>
              <w:t>[Name · title · email]</w:t>
            </w:r>
          </w:p>
        </w:tc>
        <w:tc>
          <w:tcPr>
            <w:tcW w:w="3404" w:type="dxa"/>
            <w:vAlign w:val="center"/>
          </w:tcPr>
          <w:p>
            <w:pPr>
              <w:pStyle w:val="TableTextExample"/>
              <w:jc w:val="left"/>
            </w:pPr>
            <w:r/>
            <w:r>
              <w:t>Schedule, coordination and reporting. No authority to vary the Work or the contract sum</w:t>
            </w:r>
          </w:p>
        </w:tc>
      </w:tr>
      <w:tr>
        <w:trPr>
          <w:cantSplit w:val="true"/>
        </w:trPr>
        <w:tc>
          <w:tcPr>
            <w:tcW w:w="2040" w:type="dxa"/>
            <w:vAlign w:val="center"/>
          </w:tcPr>
          <w:p>
            <w:pPr>
              <w:pStyle w:val="TableTextExample"/>
              <w:jc w:val="left"/>
            </w:pPr>
            <w:r/>
            <w:r>
              <w:t>Contractor</w:t>
            </w:r>
          </w:p>
        </w:tc>
        <w:tc>
          <w:tcPr>
            <w:tcW w:w="1927" w:type="dxa"/>
            <w:vAlign w:val="center"/>
          </w:tcPr>
          <w:p>
            <w:pPr>
              <w:pStyle w:val="TableTextExample"/>
              <w:jc w:val="left"/>
            </w:pPr>
            <w:r/>
            <w:r>
              <w:t>[Contractor entity]</w:t>
            </w:r>
          </w:p>
        </w:tc>
        <w:tc>
          <w:tcPr>
            <w:tcW w:w="2267" w:type="dxa"/>
            <w:vAlign w:val="center"/>
          </w:tcPr>
          <w:p>
            <w:pPr>
              <w:pStyle w:val="TableTextExample"/>
              <w:jc w:val="left"/>
            </w:pPr>
            <w:r/>
            <w:r>
              <w:t>[Name · title · email]</w:t>
            </w:r>
          </w:p>
        </w:tc>
        <w:tc>
          <w:tcPr>
            <w:tcW w:w="3404" w:type="dxa"/>
            <w:vAlign w:val="center"/>
          </w:tcPr>
          <w:p>
            <w:pPr>
              <w:pStyle w:val="TableTextExample"/>
              <w:jc w:val="left"/>
            </w:pPr>
            <w:r/>
            <w:r>
              <w:t>Executes the Work; carries design responsibility only for the elements identified as performance-specified at Section 6.3</w:t>
            </w:r>
          </w:p>
        </w:tc>
      </w:tr>
      <w:tr>
        <w:trPr>
          <w:cantSplit w:val="true"/>
        </w:trPr>
        <w:tc>
          <w:tcPr>
            <w:tcW w:w="2040" w:type="dxa"/>
            <w:vAlign w:val="center"/>
          </w:tcPr>
          <w:p>
            <w:pPr>
              <w:pStyle w:val="TableTextExample"/>
              <w:jc w:val="left"/>
            </w:pPr>
            <w:r/>
            <w:r>
              <w:t>Subcontractor (this package)</w:t>
            </w:r>
          </w:p>
        </w:tc>
        <w:tc>
          <w:tcPr>
            <w:tcW w:w="1927" w:type="dxa"/>
            <w:vAlign w:val="center"/>
          </w:tcPr>
          <w:p>
            <w:pPr>
              <w:pStyle w:val="TableTextExample"/>
              <w:jc w:val="left"/>
            </w:pPr>
            <w:r/>
            <w:r>
              <w:t>[Entity]</w:t>
            </w:r>
          </w:p>
        </w:tc>
        <w:tc>
          <w:tcPr>
            <w:tcW w:w="2267" w:type="dxa"/>
            <w:vAlign w:val="center"/>
          </w:tcPr>
          <w:p>
            <w:pPr>
              <w:pStyle w:val="TableTextExample"/>
              <w:jc w:val="left"/>
            </w:pPr>
            <w:r/>
            <w:r>
              <w:t>[Name · title · email]</w:t>
            </w:r>
          </w:p>
        </w:tc>
        <w:tc>
          <w:tcPr>
            <w:tcW w:w="3404" w:type="dxa"/>
            <w:vAlign w:val="center"/>
          </w:tcPr>
          <w:p>
            <w:pPr>
              <w:pStyle w:val="TableTextExample"/>
              <w:jc w:val="left"/>
            </w:pPr>
            <w:r/>
            <w:r>
              <w:t>Executes the package scope. Takes instruction only from the Contractor, never directly from the Owner or Owner's Representative</w:t>
            </w:r>
          </w:p>
        </w:tc>
      </w:tr>
      <w:tr>
        <w:trPr>
          <w:cantSplit w:val="true"/>
        </w:trPr>
        <w:tc>
          <w:tcPr>
            <w:tcW w:w="2040" w:type="dxa"/>
            <w:vAlign w:val="center"/>
          </w:tcPr>
          <w:p>
            <w:pPr>
              <w:pStyle w:val="TableText"/>
              <w:jc w:val="left"/>
            </w:pPr>
            <w:r/>
          </w:p>
        </w:tc>
        <w:tc>
          <w:tcPr>
            <w:tcW w:w="1927" w:type="dxa"/>
            <w:vAlign w:val="center"/>
          </w:tcPr>
          <w:p>
            <w:pPr>
              <w:pStyle w:val="TableText"/>
              <w:jc w:val="left"/>
            </w:pPr>
            <w:r/>
          </w:p>
        </w:tc>
        <w:tc>
          <w:tcPr>
            <w:tcW w:w="2267" w:type="dxa"/>
            <w:vAlign w:val="center"/>
          </w:tcPr>
          <w:p>
            <w:pPr>
              <w:pStyle w:val="TableText"/>
              <w:jc w:val="left"/>
            </w:pPr>
            <w:r/>
          </w:p>
        </w:tc>
        <w:tc>
          <w:tcPr>
            <w:tcW w:w="3404" w:type="dxa"/>
            <w:vAlign w:val="center"/>
          </w:tcPr>
          <w:p>
            <w:pPr>
              <w:pStyle w:val="TableText"/>
              <w:jc w:val="left"/>
            </w:pPr>
            <w:r/>
          </w:p>
        </w:tc>
      </w:tr>
      <w:tr>
        <w:trPr>
          <w:cantSplit w:val="true"/>
        </w:trPr>
        <w:tc>
          <w:tcPr>
            <w:tcW w:w="2040" w:type="dxa"/>
            <w:vAlign w:val="center"/>
          </w:tcPr>
          <w:p>
            <w:pPr>
              <w:pStyle w:val="TableText"/>
              <w:jc w:val="left"/>
            </w:pPr>
            <w:r/>
          </w:p>
        </w:tc>
        <w:tc>
          <w:tcPr>
            <w:tcW w:w="1927" w:type="dxa"/>
            <w:vAlign w:val="center"/>
          </w:tcPr>
          <w:p>
            <w:pPr>
              <w:pStyle w:val="TableText"/>
              <w:jc w:val="left"/>
            </w:pPr>
            <w:r/>
          </w:p>
        </w:tc>
        <w:tc>
          <w:tcPr>
            <w:tcW w:w="2267" w:type="dxa"/>
            <w:vAlign w:val="center"/>
          </w:tcPr>
          <w:p>
            <w:pPr>
              <w:pStyle w:val="TableText"/>
              <w:jc w:val="left"/>
            </w:pPr>
            <w:r/>
          </w:p>
        </w:tc>
        <w:tc>
          <w:tcPr>
            <w:tcW w:w="3404" w:type="dxa"/>
            <w:vAlign w:val="center"/>
          </w:tcPr>
          <w:p>
            <w:pPr>
              <w:pStyle w:val="TableText"/>
              <w:jc w:val="left"/>
            </w:pPr>
            <w:r/>
          </w:p>
        </w:tc>
      </w:tr>
    </w:tbl>
    <w:p>
      <w:pPr>
        <w:spacing w:before="0" w:after="0" w:line="60" w:lineRule="exact"/>
      </w:pPr>
    </w:p>
    <w:p>
      <w:pPr>
        <w:pStyle w:val="Heading2"/>
      </w:pPr>
      <w:bookmarkStart w:id="9009" w:name="_Toc90009"/>
      <w:r>
        <w:t>3.4 Contract form and level of application</w:t>
      </w:r>
      <w:bookmarkEnd w:id="9009"/>
    </w:p>
    <w:p>
      <w:pPr>
        <w:pStyle w:val="Body"/>
      </w:pPr>
      <w:r>
        <w:t>State the contract form and edition, whether it is amended, and the level at which this scope applies. The same text behaves differently under different forms: a form that defines the Work by a schedule of values treats an unmeasured item differently from a lump sum form that defines them by a scope document.</w:t>
      </w:r>
    </w:p>
    <w:p>
      <w:pPr>
        <w:pStyle w:val="BodyBullet"/>
      </w:pPr>
      <w:r>
        <w:rPr>
          <w:color w:val="3480BC"/>
        </w:rPr>
        <w:t xml:space="preserve">—   </w:t>
      </w:r>
      <w:r>
        <w:t>Head contract. This document is the Scope of Work / Employer's Requirements for the whole of the Work: "Contractor" means the head contractor and "by others" means work retained by the Owner or let separately. Complete Sections 6.1 and 6.2 for every trade element and keep Section 9.1 as the master interface register.</w:t>
      </w:r>
    </w:p>
    <w:p>
      <w:pPr>
        <w:pStyle w:val="BodyBullet"/>
      </w:pPr>
      <w:r>
        <w:rPr>
          <w:color w:val="3480BC"/>
        </w:rPr>
        <w:t xml:space="preserve">—   </w:t>
      </w:r>
      <w:r>
        <w:t>Trade package / subcontract. This document is the scope annexed to a subcontract: "Contractor" means the party executing the package and "by others" means the head contractor or another package. Reduce Section 6.1 to the package elements, state head contractor attendances at Section 9.2 explicitly, and align Section 15 with the subcontract's payment terms.</w:t>
      </w:r>
    </w:p>
    <w:p>
      <w:pPr>
        <w:pStyle w:val="BodyBullet"/>
      </w:pPr>
      <w:r>
        <w:rPr>
          <w:color w:val="3480BC"/>
        </w:rPr>
        <w:t xml:space="preserve">—   </w:t>
      </w:r>
      <w:r>
        <w:t>Works order. Cut the document down to Sections 3, 4, 6, 7, 8, 9 and 16, delete the rest and renumber — never leave an empty heading in a contract document.</w:t>
      </w:r>
    </w:p>
    <w:p>
      <w:pPr>
        <w:spacing w:before="0" w:after="0" w:line="80" w:lineRule="exact"/>
      </w:pPr>
    </w:p>
    <w:p>
      <w:pPr>
        <w:pStyle w:val="Note"/>
      </w:pPr>
      <w:r>
        <w:t>Record the level that applies in the LEVEL OF APPLICATION field on the cover, and delete the bullets above that do not.</w:t>
      </w:r>
    </w:p>
    <w:p>
      <w:pPr>
        <w:pStyle w:val="Heading2"/>
      </w:pPr>
      <w:bookmarkStart w:id="9010" w:name="_Toc90010"/>
      <w:r>
        <w:t>3.5 Defined terms</w:t>
      </w:r>
      <w:bookmarkEnd w:id="9010"/>
    </w:p>
    <w:p>
      <w:pPr>
        <w:pStyle w:val="Body"/>
      </w:pPr>
      <w:r>
        <w:t>These definitions are jurisdiction-neutral and are provided so this scope reads consistently. Where the General Conditions define the same term the contract prevails and the definition below must be deleted or aligned — two definitions of "Substantial Completion" in one document set is a dispute waiting to happen.</w:t>
      </w:r>
    </w:p>
    <w:p>
      <w:pPr>
        <w:pStyle w:val="Note"/>
      </w:pPr>
      <w:r>
        <w:t>This table is a reference list — its rows are the content. Delete any term the contract already defines, and add any project-specific term used in this scope (for example a specific zone, stage or system name) so that the document never uses an undefined capitalised term.</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927"/>
        <w:gridCol w:w="7711"/>
      </w:tblGrid>
      <w:tr>
        <w:trPr>
          <w:tblHeader w:val="true"/>
          <w:cantSplit w:val="true"/>
        </w:trPr>
        <w:tc>
          <w:tcPr>
            <w:tcW w:w="1927" w:type="dxa"/>
            <w:shd w:val="clear" w:color="auto" w:fill="1D3245"/>
            <w:vAlign w:val="center"/>
          </w:tcPr>
          <w:p>
            <w:pPr>
              <w:pStyle w:val="TableHeader"/>
              <w:jc w:val="left"/>
            </w:pPr>
            <w:r/>
            <w:r>
              <w:t>Term</w:t>
            </w:r>
          </w:p>
        </w:tc>
        <w:tc>
          <w:tcPr>
            <w:tcW w:w="7711" w:type="dxa"/>
            <w:shd w:val="clear" w:color="auto" w:fill="1D3245"/>
            <w:vAlign w:val="center"/>
          </w:tcPr>
          <w:p>
            <w:pPr>
              <w:pStyle w:val="TableHeader"/>
              <w:jc w:val="left"/>
            </w:pPr>
            <w:r/>
            <w:r>
              <w:t>Meaning in this document</w:t>
            </w:r>
          </w:p>
        </w:tc>
      </w:tr>
      <w:tr>
        <w:trPr>
          <w:cantSplit w:val="true"/>
        </w:trPr>
        <w:tc>
          <w:tcPr>
            <w:tcW w:w="1927" w:type="dxa"/>
            <w:vAlign w:val="center"/>
          </w:tcPr>
          <w:p>
            <w:pPr>
              <w:pStyle w:val="TableText"/>
              <w:jc w:val="left"/>
            </w:pPr>
            <w:r/>
            <w:r>
              <w:t>Owner</w:t>
            </w:r>
          </w:p>
        </w:tc>
        <w:tc>
          <w:tcPr>
            <w:tcW w:w="7711" w:type="dxa"/>
            <w:vAlign w:val="center"/>
          </w:tcPr>
          <w:p>
            <w:pPr>
              <w:pStyle w:val="TableText"/>
              <w:jc w:val="left"/>
            </w:pPr>
            <w:r/>
            <w:r>
              <w:t>The party for whom the Work are carried out and who pays for them; the entity named in the contract agreement. Also called the Owner or the Employer elsewhere depending on the contract form. Not the Owner, which is a work health and safety role and is defined separately below.</w:t>
            </w:r>
          </w:p>
        </w:tc>
      </w:tr>
      <w:tr>
        <w:trPr>
          <w:cantSplit w:val="true"/>
        </w:trPr>
        <w:tc>
          <w:tcPr>
            <w:tcW w:w="1927" w:type="dxa"/>
            <w:vAlign w:val="center"/>
          </w:tcPr>
          <w:p>
            <w:pPr>
              <w:pStyle w:val="TableText"/>
              <w:jc w:val="left"/>
            </w:pPr>
            <w:r>
              <w:t>Owner</w:t>
            </w:r>
            <w:r/>
          </w:p>
        </w:tc>
        <w:tc>
          <w:tcPr>
            <w:tcW w:w="7711" w:type="dxa"/>
            <w:vAlign w:val="center"/>
          </w:tcPr>
          <w:p>
            <w:pPr>
              <w:pStyle w:val="TableText"/>
              <w:jc w:val="left"/>
            </w:pPr>
            <w:r/>
            <w:r>
              <w:t>The party with overall control of the site as a workplace for the purposes of [insert applicable jurisdiction's work health and safety legislation]. Often, but not always, the Owner.</w:t>
            </w:r>
          </w:p>
        </w:tc>
      </w:tr>
      <w:tr>
        <w:trPr>
          <w:cantSplit w:val="true"/>
        </w:trPr>
        <w:tc>
          <w:tcPr>
            <w:tcW w:w="1927" w:type="dxa"/>
            <w:vAlign w:val="center"/>
          </w:tcPr>
          <w:p>
            <w:pPr>
              <w:pStyle w:val="TableText"/>
              <w:jc w:val="left"/>
            </w:pPr>
            <w:r/>
            <w:r>
              <w:t>Contractor</w:t>
            </w:r>
          </w:p>
        </w:tc>
        <w:tc>
          <w:tcPr>
            <w:tcW w:w="7711" w:type="dxa"/>
            <w:vAlign w:val="center"/>
          </w:tcPr>
          <w:p>
            <w:pPr>
              <w:pStyle w:val="TableText"/>
              <w:jc w:val="left"/>
            </w:pPr>
            <w:r/>
            <w:r>
              <w:t>The party contracted to carry out the Work in this scope. Where this document is issued as a trade package, "Contractor" means the party executing that package.</w:t>
            </w:r>
          </w:p>
        </w:tc>
      </w:tr>
      <w:tr>
        <w:trPr>
          <w:cantSplit w:val="true"/>
        </w:trPr>
        <w:tc>
          <w:tcPr>
            <w:tcW w:w="1927" w:type="dxa"/>
            <w:vAlign w:val="center"/>
          </w:tcPr>
          <w:p>
            <w:pPr>
              <w:pStyle w:val="TableText"/>
              <w:jc w:val="left"/>
            </w:pPr>
            <w:r/>
            <w:r>
              <w:t>Subcontractor</w:t>
            </w:r>
          </w:p>
        </w:tc>
        <w:tc>
          <w:tcPr>
            <w:tcW w:w="7711" w:type="dxa"/>
            <w:vAlign w:val="center"/>
          </w:tcPr>
          <w:p>
            <w:pPr>
              <w:pStyle w:val="TableText"/>
              <w:jc w:val="left"/>
            </w:pPr>
            <w:r/>
            <w:r>
              <w:t>A party engaged by the Contractor for part of the Work. The Contractor remains fully responsible to the Owner for subcontracted work.</w:t>
            </w:r>
          </w:p>
        </w:tc>
      </w:tr>
      <w:tr>
        <w:trPr>
          <w:cantSplit w:val="true"/>
        </w:trPr>
        <w:tc>
          <w:tcPr>
            <w:tcW w:w="1927" w:type="dxa"/>
            <w:vAlign w:val="center"/>
          </w:tcPr>
          <w:p>
            <w:pPr>
              <w:pStyle w:val="TableText"/>
              <w:jc w:val="left"/>
            </w:pPr>
            <w:r/>
            <w:r>
              <w:t>Owner's Representative</w:t>
            </w:r>
          </w:p>
        </w:tc>
        <w:tc>
          <w:tcPr>
            <w:tcW w:w="7711" w:type="dxa"/>
            <w:vAlign w:val="center"/>
          </w:tcPr>
          <w:p>
            <w:pPr>
              <w:pStyle w:val="TableText"/>
              <w:jc w:val="left"/>
            </w:pPr>
            <w:r/>
            <w:r>
              <w:t>The person named in the contract to administer it — to value the Work, issue instructions and certificates, and assess claims. Called the Engineer or the Architect under some forms. Not the Contractor's Owner's Representative: under AIA A201 §3.9.1 that word names the Contractor's own site manager, so read every other reference in this document to the Owner's Representative as the Contract Administrator.</w:t>
            </w:r>
          </w:p>
        </w:tc>
      </w:tr>
      <w:tr>
        <w:trPr>
          <w:cantSplit w:val="true"/>
        </w:trPr>
        <w:tc>
          <w:tcPr>
            <w:tcW w:w="1927" w:type="dxa"/>
            <w:vAlign w:val="center"/>
          </w:tcPr>
          <w:p>
            <w:pPr>
              <w:pStyle w:val="TableText"/>
              <w:jc w:val="left"/>
            </w:pPr>
            <w:r/>
            <w:r>
              <w:t>Project Manager</w:t>
            </w:r>
          </w:p>
        </w:tc>
        <w:tc>
          <w:tcPr>
            <w:tcW w:w="7711" w:type="dxa"/>
            <w:vAlign w:val="center"/>
          </w:tcPr>
          <w:p>
            <w:pPr>
              <w:pStyle w:val="TableText"/>
              <w:jc w:val="left"/>
            </w:pPr>
            <w:r/>
            <w:r>
              <w:t>The person responsible for planning, coordinating and reporting on delivery. Unless the contract says otherwise, has no authority to vary the Work or the sum.</w:t>
            </w:r>
          </w:p>
        </w:tc>
      </w:tr>
      <w:tr>
        <w:trPr>
          <w:cantSplit w:val="true"/>
        </w:trPr>
        <w:tc>
          <w:tcPr>
            <w:tcW w:w="1927" w:type="dxa"/>
            <w:vAlign w:val="center"/>
          </w:tcPr>
          <w:p>
            <w:pPr>
              <w:pStyle w:val="TableText"/>
              <w:jc w:val="left"/>
            </w:pPr>
            <w:r/>
            <w:r>
              <w:t>the Work</w:t>
            </w:r>
          </w:p>
        </w:tc>
        <w:tc>
          <w:tcPr>
            <w:tcW w:w="7711" w:type="dxa"/>
            <w:vAlign w:val="center"/>
          </w:tcPr>
          <w:p>
            <w:pPr>
              <w:pStyle w:val="TableText"/>
              <w:jc w:val="left"/>
            </w:pPr>
            <w:r/>
            <w:r>
              <w:t>Everything the Contractor must do, provide and complete under the contract — including temporary works, testing, commissioning, documentation and rectification of defects, not only the permanent physical work.</w:t>
            </w:r>
          </w:p>
        </w:tc>
      </w:tr>
      <w:tr>
        <w:trPr>
          <w:cantSplit w:val="true"/>
        </w:trPr>
        <w:tc>
          <w:tcPr>
            <w:tcW w:w="1927" w:type="dxa"/>
            <w:vAlign w:val="center"/>
          </w:tcPr>
          <w:p>
            <w:pPr>
              <w:pStyle w:val="TableText"/>
              <w:jc w:val="left"/>
            </w:pPr>
            <w:r/>
            <w:r>
              <w:t>the Site</w:t>
            </w:r>
          </w:p>
        </w:tc>
        <w:tc>
          <w:tcPr>
            <w:tcW w:w="7711" w:type="dxa"/>
            <w:vAlign w:val="center"/>
          </w:tcPr>
          <w:p>
            <w:pPr>
              <w:pStyle w:val="TableText"/>
              <w:jc w:val="left"/>
            </w:pPr>
            <w:r/>
            <w:r>
              <w:t>The land and other places made available to the Contractor, as shown on the site plan at Appendix E, including restricted-use areas and the limits of possession.</w:t>
            </w:r>
          </w:p>
        </w:tc>
      </w:tr>
      <w:tr>
        <w:trPr>
          <w:cantSplit w:val="true"/>
        </w:trPr>
        <w:tc>
          <w:tcPr>
            <w:tcW w:w="1927" w:type="dxa"/>
            <w:vAlign w:val="center"/>
          </w:tcPr>
          <w:p>
            <w:pPr>
              <w:pStyle w:val="TableText"/>
              <w:jc w:val="left"/>
            </w:pPr>
            <w:r/>
            <w:r>
              <w:t>Substantial Completion</w:t>
            </w:r>
          </w:p>
        </w:tc>
        <w:tc>
          <w:tcPr>
            <w:tcW w:w="7711" w:type="dxa"/>
            <w:vAlign w:val="center"/>
          </w:tcPr>
          <w:p>
            <w:pPr>
              <w:pStyle w:val="TableText"/>
              <w:jc w:val="left"/>
            </w:pPr>
            <w:r/>
            <w:r>
              <w:t>The stage at which the Work are complete except for minor defects that do not prevent use for the intended purpose, all required certificates and test results have been provided, and the Owner can take possession. Criteria at Section 16.1.</w:t>
            </w:r>
          </w:p>
        </w:tc>
      </w:tr>
      <w:tr>
        <w:trPr>
          <w:cantSplit w:val="true"/>
        </w:trPr>
        <w:tc>
          <w:tcPr>
            <w:tcW w:w="1927" w:type="dxa"/>
            <w:vAlign w:val="center"/>
          </w:tcPr>
          <w:p>
            <w:pPr>
              <w:pStyle w:val="TableText"/>
              <w:jc w:val="left"/>
            </w:pPr>
            <w:r/>
            <w:r>
              <w:t>Correction period</w:t>
            </w:r>
          </w:p>
        </w:tc>
        <w:tc>
          <w:tcPr>
            <w:tcW w:w="7711" w:type="dxa"/>
            <w:vAlign w:val="center"/>
          </w:tcPr>
          <w:p>
            <w:pPr>
              <w:pStyle w:val="TableText"/>
              <w:jc w:val="left"/>
            </w:pPr>
            <w:r/>
            <w:r>
              <w:t>The period after Substantial Completion in which the Contractor must rectify notified defects. Also called the defects notification or rectification period — Section 16.5.</w:t>
            </w:r>
          </w:p>
        </w:tc>
      </w:tr>
      <w:tr>
        <w:trPr>
          <w:cantSplit w:val="true"/>
        </w:trPr>
        <w:tc>
          <w:tcPr>
            <w:tcW w:w="1927" w:type="dxa"/>
            <w:vAlign w:val="center"/>
          </w:tcPr>
          <w:p>
            <w:pPr>
              <w:pStyle w:val="TableText"/>
              <w:jc w:val="left"/>
            </w:pPr>
            <w:r/>
            <w:r>
              <w:t>Allowance</w:t>
            </w:r>
          </w:p>
        </w:tc>
        <w:tc>
          <w:tcPr>
            <w:tcW w:w="7711" w:type="dxa"/>
            <w:vAlign w:val="center"/>
          </w:tcPr>
          <w:p>
            <w:pPr>
              <w:pStyle w:val="TableText"/>
              <w:jc w:val="left"/>
            </w:pPr>
            <w:r/>
            <w:r>
              <w:t>An amount in the contract sum for work required but not yet defined well enough to price. Expended only on written instruction and adjusted against actual value — Section 15.3. Not a contingency, and not the Contractor's money.</w:t>
            </w:r>
          </w:p>
        </w:tc>
      </w:tr>
      <w:tr>
        <w:trPr>
          <w:cantSplit w:val="true"/>
        </w:trPr>
        <w:tc>
          <w:tcPr>
            <w:tcW w:w="1927" w:type="dxa"/>
            <w:vAlign w:val="center"/>
          </w:tcPr>
          <w:p>
            <w:pPr>
              <w:pStyle w:val="TableText"/>
              <w:jc w:val="left"/>
            </w:pPr>
            <w:r/>
            <w:r>
              <w:t>Change</w:t>
            </w:r>
          </w:p>
        </w:tc>
        <w:tc>
          <w:tcPr>
            <w:tcW w:w="7711" w:type="dxa"/>
            <w:vAlign w:val="center"/>
          </w:tcPr>
          <w:p>
            <w:pPr>
              <w:pStyle w:val="TableText"/>
              <w:jc w:val="left"/>
            </w:pPr>
            <w:r/>
            <w:r>
              <w:t>An authorized change to the scope, quality, quantity or sequence of the Work, instructed in writing by the person with authority. Work outside this scope without a written instruction is at the Contractor's risk.</w:t>
            </w:r>
          </w:p>
        </w:tc>
      </w:tr>
      <w:tr>
        <w:trPr>
          <w:cantSplit w:val="true"/>
        </w:trPr>
        <w:tc>
          <w:tcPr>
            <w:tcW w:w="1927" w:type="dxa"/>
            <w:vAlign w:val="center"/>
          </w:tcPr>
          <w:p>
            <w:pPr>
              <w:pStyle w:val="TableText"/>
              <w:jc w:val="left"/>
            </w:pPr>
            <w:r/>
            <w:r>
              <w:t>Separable Portion</w:t>
            </w:r>
          </w:p>
        </w:tc>
        <w:tc>
          <w:tcPr>
            <w:tcW w:w="7711" w:type="dxa"/>
            <w:vAlign w:val="center"/>
          </w:tcPr>
          <w:p>
            <w:pPr>
              <w:pStyle w:val="TableText"/>
              <w:jc w:val="left"/>
            </w:pPr>
            <w:r/>
            <w:r>
              <w:t>A part of the Work identified in the contract as capable of reaching Substantial Completion and being handed over separately. Each carries its own dates, liquidated damages and correction period — Section 11.2.</w:t>
            </w:r>
          </w:p>
        </w:tc>
      </w:tr>
    </w:tbl>
    <w:p>
      <w:pPr>
        <w:spacing w:before="0" w:after="0" w:line="60" w:lineRule="exact"/>
      </w:pPr>
    </w:p>
    <w:p>
      <w:pPr>
        <w:pStyle w:val="Heading1"/>
      </w:pPr>
      <w:bookmarkStart w:id="9011" w:name="_Toc90011"/>
      <w:r>
        <w:t>4. Scope Summary</w:t>
      </w:r>
      <w:bookmarkEnd w:id="9011"/>
    </w:p>
    <w:p>
      <w:pPr>
        <w:pStyle w:val="BodyLead"/>
      </w:pPr>
      <w:r>
        <w:t>One page, plain English, no clauses. A subcontractor's estimator, a site foreman and the Owner's board member should each be able to read this page and describe the Work correctly. If the summary cannot be written without listing exceptions, the scope boundary is not yet clear enough to price.</w:t>
      </w:r>
    </w:p>
    <w:p>
      <w:pPr>
        <w:pStyle w:val="Heading2"/>
      </w:pPr>
      <w:bookmarkStart w:id="9012" w:name="_Toc90012"/>
      <w:r>
        <w:t>4.1 Statement of the Work</w:t>
      </w:r>
      <w:bookmarkEnd w:id="9012"/>
    </w:p>
    <w:p>
      <w:pPr>
        <w:pStyle w:val="Placeholder"/>
      </w:pPr>
      <w:r>
        <w:t>[Insert 200-350 words in plain English. Start with a single sentence of the form: "The Contractor must design (where applicable), supply, fabricate, deliver, install, test, commission and hand over …". Then describe the Work element by element in the order they will be built. State the extent by reference to a physical boundary — grid lines, levels, chainages, zones or building elements — not by reference to a drawing number alone. Finish with the three things most often misunderstood on this package, stated as plain propositions.]</w:t>
      </w:r>
    </w:p>
    <w:p>
      <w:pPr>
        <w:pStyle w:val="Note"/>
      </w:pPr>
      <w:r>
        <w:t>Worked example — PKG-14 Structural steelwork.  "The Contractor must design connections, supply, fabricate, surface-treat, deliver, erect, align, bolt, weld and hand over the structural steel frame and metal deck to the Acute Services Building from the top of the Level 2 transfer slab to the underside of the roof equipment screen, between grids A-K and 1-14, including all temporary bracing, erection engineering and survey." The three things most often misunderstood: holding-down bolts are supplied by this package but cast in by the concrete package; applied fire protection is excluded but substrate preparation for it is included; and the crane is a head contractor attendance only to the extent stated at Section 9.2. Delete this example.</w:t>
      </w:r>
    </w:p>
    <w:p>
      <w:pPr>
        <w:pStyle w:val="Heading2"/>
      </w:pPr>
      <w:bookmarkStart w:id="9013" w:name="_Toc90013"/>
      <w:r>
        <w:t>4.2 Scope at a glance</w:t>
      </w:r>
      <w:bookmarkEnd w:id="9013"/>
    </w:p>
    <w:p>
      <w:pPr>
        <w:pStyle w:val="Body"/>
      </w:pPr>
      <w:r>
        <w:t>A single view of where each element sits. Mark every element for every column — an element with no mark is the ambiguity that becomes a claim. This table is indicative only.</w:t>
      </w:r>
    </w:p>
    <w:p>
      <w:pPr>
        <w:pStyle w:val="Note"/>
      </w:pPr>
      <w:r>
        <w:t>Example rows shown in gray italic — delete before use. Add a row for every element in the work breakdown at Section 6.1 so that the two tables reconcile line for line.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3426"/>
        <w:gridCol w:w="1392"/>
        <w:gridCol w:w="1392"/>
        <w:gridCol w:w="1713"/>
        <w:gridCol w:w="1715"/>
      </w:tblGrid>
      <w:tr>
        <w:trPr>
          <w:tblHeader w:val="true"/>
          <w:cantSplit w:val="true"/>
        </w:trPr>
        <w:tc>
          <w:tcPr>
            <w:tcW w:w="3426" w:type="dxa"/>
            <w:shd w:val="clear" w:color="auto" w:fill="1D3245"/>
            <w:vAlign w:val="center"/>
          </w:tcPr>
          <w:p>
            <w:pPr>
              <w:pStyle w:val="TableHeader"/>
              <w:jc w:val="left"/>
            </w:pPr>
            <w:r/>
            <w:r>
              <w:t>Element</w:t>
            </w:r>
          </w:p>
        </w:tc>
        <w:tc>
          <w:tcPr>
            <w:tcW w:w="1392" w:type="dxa"/>
            <w:shd w:val="clear" w:color="auto" w:fill="1D3245"/>
            <w:vAlign w:val="center"/>
          </w:tcPr>
          <w:p>
            <w:pPr>
              <w:pStyle w:val="TableHeader"/>
              <w:jc w:val="center"/>
            </w:pPr>
            <w:r/>
            <w:r>
              <w:t>Included</w:t>
            </w:r>
          </w:p>
        </w:tc>
        <w:tc>
          <w:tcPr>
            <w:tcW w:w="1392" w:type="dxa"/>
            <w:shd w:val="clear" w:color="auto" w:fill="1D3245"/>
            <w:vAlign w:val="center"/>
          </w:tcPr>
          <w:p>
            <w:pPr>
              <w:pStyle w:val="TableHeader"/>
              <w:jc w:val="center"/>
            </w:pPr>
            <w:r/>
            <w:r>
              <w:t>Excluded</w:t>
            </w:r>
          </w:p>
        </w:tc>
        <w:tc>
          <w:tcPr>
            <w:tcW w:w="1713" w:type="dxa"/>
            <w:shd w:val="clear" w:color="auto" w:fill="1D3245"/>
            <w:vAlign w:val="center"/>
          </w:tcPr>
          <w:p>
            <w:pPr>
              <w:pStyle w:val="TableHeader"/>
              <w:jc w:val="left"/>
            </w:pPr>
            <w:r/>
            <w:r>
              <w:t>By others</w:t>
            </w:r>
          </w:p>
        </w:tc>
        <w:tc>
          <w:tcPr>
            <w:tcW w:w="1715" w:type="dxa"/>
            <w:shd w:val="clear" w:color="auto" w:fill="1D3245"/>
            <w:vAlign w:val="center"/>
          </w:tcPr>
          <w:p>
            <w:pPr>
              <w:pStyle w:val="TableHeader"/>
              <w:jc w:val="left"/>
            </w:pPr>
            <w:r/>
            <w:r>
              <w:t>Allowance</w:t>
            </w:r>
          </w:p>
        </w:tc>
      </w:tr>
      <w:tr>
        <w:trPr>
          <w:cantSplit w:val="true"/>
        </w:trPr>
        <w:tc>
          <w:tcPr>
            <w:tcW w:w="3426" w:type="dxa"/>
            <w:vAlign w:val="center"/>
          </w:tcPr>
          <w:p>
            <w:pPr>
              <w:pStyle w:val="TableTextExample"/>
              <w:jc w:val="left"/>
            </w:pPr>
            <w:r/>
            <w:r>
              <w:t>Mobilization and temporary facilities and temporary works</w:t>
            </w:r>
          </w:p>
        </w:tc>
        <w:tc>
          <w:tcPr>
            <w:tcW w:w="1392" w:type="dxa"/>
            <w:vAlign w:val="center"/>
          </w:tcPr>
          <w:p>
            <w:pPr>
              <w:pStyle w:val="TableTextExample"/>
              <w:jc w:val="center"/>
            </w:pPr>
            <w:r/>
            <w:r>
              <w:t>Yes</w:t>
            </w:r>
          </w:p>
        </w:tc>
        <w:tc>
          <w:tcPr>
            <w:tcW w:w="1392" w:type="dxa"/>
            <w:vAlign w:val="center"/>
          </w:tcPr>
          <w:p>
            <w:pPr>
              <w:pStyle w:val="TableTextExample"/>
              <w:jc w:val="center"/>
            </w:pPr>
            <w:r/>
            <w:r>
              <w:t>—</w:t>
            </w:r>
          </w:p>
        </w:tc>
        <w:tc>
          <w:tcPr>
            <w:tcW w:w="1713" w:type="dxa"/>
            <w:vAlign w:val="center"/>
          </w:tcPr>
          <w:p>
            <w:pPr>
              <w:pStyle w:val="TableTextExample"/>
              <w:jc w:val="left"/>
            </w:pPr>
            <w:r/>
            <w:r>
              <w:t>—</w:t>
            </w:r>
          </w:p>
        </w:tc>
        <w:tc>
          <w:tcPr>
            <w:tcW w:w="1715" w:type="dxa"/>
            <w:vAlign w:val="center"/>
          </w:tcPr>
          <w:p>
            <w:pPr>
              <w:pStyle w:val="TableTextExample"/>
              <w:jc w:val="left"/>
            </w:pPr>
            <w:r/>
            <w:r>
              <w:t>—</w:t>
            </w:r>
          </w:p>
        </w:tc>
      </w:tr>
      <w:tr>
        <w:trPr>
          <w:cantSplit w:val="true"/>
        </w:trPr>
        <w:tc>
          <w:tcPr>
            <w:tcW w:w="3426" w:type="dxa"/>
            <w:vAlign w:val="center"/>
          </w:tcPr>
          <w:p>
            <w:pPr>
              <w:pStyle w:val="TableTextExample"/>
              <w:jc w:val="left"/>
            </w:pPr>
            <w:r/>
            <w:r>
              <w:t>Demolition of the Ward Block D annexe</w:t>
            </w:r>
          </w:p>
        </w:tc>
        <w:tc>
          <w:tcPr>
            <w:tcW w:w="1392" w:type="dxa"/>
            <w:vAlign w:val="center"/>
          </w:tcPr>
          <w:p>
            <w:pPr>
              <w:pStyle w:val="TableTextExample"/>
              <w:jc w:val="center"/>
            </w:pPr>
            <w:r/>
            <w:r>
              <w:t>Yes</w:t>
            </w:r>
          </w:p>
        </w:tc>
        <w:tc>
          <w:tcPr>
            <w:tcW w:w="1392" w:type="dxa"/>
            <w:vAlign w:val="center"/>
          </w:tcPr>
          <w:p>
            <w:pPr>
              <w:pStyle w:val="TableTextExample"/>
              <w:jc w:val="center"/>
            </w:pPr>
            <w:r/>
            <w:r>
              <w:t>—</w:t>
            </w:r>
          </w:p>
        </w:tc>
        <w:tc>
          <w:tcPr>
            <w:tcW w:w="1713" w:type="dxa"/>
            <w:vAlign w:val="center"/>
          </w:tcPr>
          <w:p>
            <w:pPr>
              <w:pStyle w:val="TableTextExample"/>
              <w:jc w:val="left"/>
            </w:pPr>
            <w:r/>
            <w:r>
              <w:t>—</w:t>
            </w:r>
          </w:p>
        </w:tc>
        <w:tc>
          <w:tcPr>
            <w:tcW w:w="1715" w:type="dxa"/>
            <w:vAlign w:val="center"/>
          </w:tcPr>
          <w:p>
            <w:pPr>
              <w:pStyle w:val="TableTextExample"/>
              <w:jc w:val="left"/>
            </w:pPr>
            <w:r/>
            <w:r>
              <w:t>Partly — ACM removal under PS-02</w:t>
            </w:r>
          </w:p>
        </w:tc>
      </w:tr>
      <w:tr>
        <w:trPr>
          <w:cantSplit w:val="true"/>
        </w:trPr>
        <w:tc>
          <w:tcPr>
            <w:tcW w:w="3426" w:type="dxa"/>
            <w:vAlign w:val="center"/>
          </w:tcPr>
          <w:p>
            <w:pPr>
              <w:pStyle w:val="TableTextExample"/>
              <w:jc w:val="left"/>
            </w:pPr>
            <w:r/>
            <w:r>
              <w:t>Bulk and detailed excavation, shoring, piling</w:t>
            </w:r>
          </w:p>
        </w:tc>
        <w:tc>
          <w:tcPr>
            <w:tcW w:w="1392" w:type="dxa"/>
            <w:vAlign w:val="center"/>
          </w:tcPr>
          <w:p>
            <w:pPr>
              <w:pStyle w:val="TableTextExample"/>
              <w:jc w:val="center"/>
            </w:pPr>
            <w:r/>
            <w:r>
              <w:t>Yes</w:t>
            </w:r>
          </w:p>
        </w:tc>
        <w:tc>
          <w:tcPr>
            <w:tcW w:w="1392" w:type="dxa"/>
            <w:vAlign w:val="center"/>
          </w:tcPr>
          <w:p>
            <w:pPr>
              <w:pStyle w:val="TableTextExample"/>
              <w:jc w:val="center"/>
            </w:pPr>
            <w:r/>
            <w:r>
              <w:t>—</w:t>
            </w:r>
          </w:p>
        </w:tc>
        <w:tc>
          <w:tcPr>
            <w:tcW w:w="1713" w:type="dxa"/>
            <w:vAlign w:val="center"/>
          </w:tcPr>
          <w:p>
            <w:pPr>
              <w:pStyle w:val="TableTextExample"/>
              <w:jc w:val="left"/>
            </w:pPr>
            <w:r/>
            <w:r>
              <w:t>—</w:t>
            </w:r>
          </w:p>
        </w:tc>
        <w:tc>
          <w:tcPr>
            <w:tcW w:w="1715" w:type="dxa"/>
            <w:vAlign w:val="center"/>
          </w:tcPr>
          <w:p>
            <w:pPr>
              <w:pStyle w:val="TableTextExample"/>
              <w:jc w:val="left"/>
            </w:pPr>
            <w:r/>
            <w:r>
              <w:t>Rock excavation above 5% of volume</w:t>
            </w:r>
          </w:p>
        </w:tc>
      </w:tr>
      <w:tr>
        <w:trPr>
          <w:cantSplit w:val="true"/>
        </w:trPr>
        <w:tc>
          <w:tcPr>
            <w:tcW w:w="3426" w:type="dxa"/>
            <w:vAlign w:val="center"/>
          </w:tcPr>
          <w:p>
            <w:pPr>
              <w:pStyle w:val="TableTextExample"/>
              <w:jc w:val="left"/>
            </w:pPr>
            <w:r/>
            <w:r>
              <w:t>Structural steel frame and metal deck</w:t>
            </w:r>
          </w:p>
        </w:tc>
        <w:tc>
          <w:tcPr>
            <w:tcW w:w="1392" w:type="dxa"/>
            <w:vAlign w:val="center"/>
          </w:tcPr>
          <w:p>
            <w:pPr>
              <w:pStyle w:val="TableTextExample"/>
              <w:jc w:val="center"/>
            </w:pPr>
            <w:r/>
            <w:r>
              <w:t>Yes</w:t>
            </w:r>
          </w:p>
        </w:tc>
        <w:tc>
          <w:tcPr>
            <w:tcW w:w="1392" w:type="dxa"/>
            <w:vAlign w:val="center"/>
          </w:tcPr>
          <w:p>
            <w:pPr>
              <w:pStyle w:val="TableTextExample"/>
              <w:jc w:val="center"/>
            </w:pPr>
            <w:r/>
            <w:r>
              <w:t>—</w:t>
            </w:r>
          </w:p>
        </w:tc>
        <w:tc>
          <w:tcPr>
            <w:tcW w:w="1713" w:type="dxa"/>
            <w:vAlign w:val="center"/>
          </w:tcPr>
          <w:p>
            <w:pPr>
              <w:pStyle w:val="TableTextExample"/>
              <w:jc w:val="left"/>
            </w:pPr>
            <w:r/>
            <w:r>
              <w:t>—</w:t>
            </w:r>
          </w:p>
        </w:tc>
        <w:tc>
          <w:tcPr>
            <w:tcW w:w="1715" w:type="dxa"/>
            <w:vAlign w:val="center"/>
          </w:tcPr>
          <w:p>
            <w:pPr>
              <w:pStyle w:val="TableTextExample"/>
              <w:jc w:val="left"/>
            </w:pPr>
            <w:r/>
            <w:r>
              <w:t>—</w:t>
            </w:r>
          </w:p>
        </w:tc>
      </w:tr>
      <w:tr>
        <w:trPr>
          <w:cantSplit w:val="true"/>
        </w:trPr>
        <w:tc>
          <w:tcPr>
            <w:tcW w:w="3426" w:type="dxa"/>
            <w:vAlign w:val="center"/>
          </w:tcPr>
          <w:p>
            <w:pPr>
              <w:pStyle w:val="TableTextExample"/>
              <w:jc w:val="left"/>
            </w:pPr>
            <w:r/>
            <w:r>
              <w:t>Applied fire protection to steel</w:t>
            </w:r>
          </w:p>
        </w:tc>
        <w:tc>
          <w:tcPr>
            <w:tcW w:w="1392" w:type="dxa"/>
            <w:vAlign w:val="center"/>
          </w:tcPr>
          <w:p>
            <w:pPr>
              <w:pStyle w:val="TableTextExample"/>
              <w:jc w:val="center"/>
            </w:pPr>
            <w:r/>
            <w:r>
              <w:t>—</w:t>
            </w:r>
          </w:p>
        </w:tc>
        <w:tc>
          <w:tcPr>
            <w:tcW w:w="1392" w:type="dxa"/>
            <w:vAlign w:val="center"/>
          </w:tcPr>
          <w:p>
            <w:pPr>
              <w:pStyle w:val="TableTextExample"/>
              <w:jc w:val="center"/>
            </w:pPr>
            <w:r/>
            <w:r>
              <w:t>Yes</w:t>
            </w:r>
          </w:p>
        </w:tc>
        <w:tc>
          <w:tcPr>
            <w:tcW w:w="1713" w:type="dxa"/>
            <w:vAlign w:val="center"/>
          </w:tcPr>
          <w:p>
            <w:pPr>
              <w:pStyle w:val="TableTextExample"/>
              <w:jc w:val="left"/>
            </w:pPr>
            <w:r/>
            <w:r>
              <w:t>Fire protection package</w:t>
            </w:r>
          </w:p>
        </w:tc>
        <w:tc>
          <w:tcPr>
            <w:tcW w:w="1715" w:type="dxa"/>
            <w:vAlign w:val="center"/>
          </w:tcPr>
          <w:p>
            <w:pPr>
              <w:pStyle w:val="TableTextExample"/>
              <w:jc w:val="left"/>
            </w:pPr>
            <w:r/>
            <w:r>
              <w:t>—</w:t>
            </w:r>
          </w:p>
        </w:tc>
      </w:tr>
      <w:tr>
        <w:trPr>
          <w:cantSplit w:val="true"/>
        </w:trPr>
        <w:tc>
          <w:tcPr>
            <w:tcW w:w="3426" w:type="dxa"/>
            <w:vAlign w:val="center"/>
          </w:tcPr>
          <w:p>
            <w:pPr>
              <w:pStyle w:val="TableTextExample"/>
              <w:jc w:val="left"/>
            </w:pPr>
            <w:r/>
            <w:r>
              <w:t>Medical equipment — imaging, theatre pendants</w:t>
            </w:r>
          </w:p>
        </w:tc>
        <w:tc>
          <w:tcPr>
            <w:tcW w:w="1392" w:type="dxa"/>
            <w:vAlign w:val="center"/>
          </w:tcPr>
          <w:p>
            <w:pPr>
              <w:pStyle w:val="TableTextExample"/>
              <w:jc w:val="center"/>
            </w:pPr>
            <w:r/>
            <w:r>
              <w:t>Install only</w:t>
            </w:r>
          </w:p>
        </w:tc>
        <w:tc>
          <w:tcPr>
            <w:tcW w:w="1392" w:type="dxa"/>
            <w:vAlign w:val="center"/>
          </w:tcPr>
          <w:p>
            <w:pPr>
              <w:pStyle w:val="TableTextExample"/>
              <w:jc w:val="center"/>
            </w:pPr>
            <w:r/>
            <w:r>
              <w:t>Supply</w:t>
            </w:r>
          </w:p>
        </w:tc>
        <w:tc>
          <w:tcPr>
            <w:tcW w:w="1713" w:type="dxa"/>
            <w:vAlign w:val="center"/>
          </w:tcPr>
          <w:p>
            <w:pPr>
              <w:pStyle w:val="TableTextExample"/>
              <w:jc w:val="left"/>
            </w:pPr>
            <w:r/>
            <w:r>
              <w:t>Owner direct supply</w:t>
            </w:r>
          </w:p>
        </w:tc>
        <w:tc>
          <w:tcPr>
            <w:tcW w:w="1715" w:type="dxa"/>
            <w:vAlign w:val="center"/>
          </w:tcPr>
          <w:p>
            <w:pPr>
              <w:pStyle w:val="TableTextExample"/>
              <w:jc w:val="left"/>
            </w:pPr>
            <w:r/>
            <w:r>
              <w:t>—</w:t>
            </w:r>
          </w:p>
        </w:tc>
      </w:tr>
      <w:tr>
        <w:trPr>
          <w:cantSplit w:val="true"/>
        </w:trPr>
        <w:tc>
          <w:tcPr>
            <w:tcW w:w="3426" w:type="dxa"/>
            <w:vAlign w:val="center"/>
          </w:tcPr>
          <w:p>
            <w:pPr>
              <w:pStyle w:val="TableText"/>
              <w:jc w:val="left"/>
            </w:pPr>
            <w:r/>
          </w:p>
        </w:tc>
        <w:tc>
          <w:tcPr>
            <w:tcW w:w="1392" w:type="dxa"/>
            <w:vAlign w:val="center"/>
          </w:tcPr>
          <w:p>
            <w:pPr>
              <w:pStyle w:val="TableTextCentre"/>
              <w:jc w:val="center"/>
            </w:pPr>
            <w:r/>
          </w:p>
        </w:tc>
        <w:tc>
          <w:tcPr>
            <w:tcW w:w="1392" w:type="dxa"/>
            <w:vAlign w:val="center"/>
          </w:tcPr>
          <w:p>
            <w:pPr>
              <w:pStyle w:val="TableTextCentre"/>
              <w:jc w:val="center"/>
            </w:pPr>
            <w:r/>
          </w:p>
        </w:tc>
        <w:tc>
          <w:tcPr>
            <w:tcW w:w="1713" w:type="dxa"/>
            <w:vAlign w:val="center"/>
          </w:tcPr>
          <w:p>
            <w:pPr>
              <w:pStyle w:val="TableText"/>
              <w:jc w:val="left"/>
            </w:pPr>
            <w:r/>
          </w:p>
        </w:tc>
        <w:tc>
          <w:tcPr>
            <w:tcW w:w="1715" w:type="dxa"/>
            <w:vAlign w:val="center"/>
          </w:tcPr>
          <w:p>
            <w:pPr>
              <w:pStyle w:val="TableText"/>
              <w:jc w:val="left"/>
            </w:pPr>
            <w:r/>
          </w:p>
        </w:tc>
      </w:tr>
      <w:tr>
        <w:trPr>
          <w:cantSplit w:val="true"/>
        </w:trPr>
        <w:tc>
          <w:tcPr>
            <w:tcW w:w="3426" w:type="dxa"/>
            <w:vAlign w:val="center"/>
          </w:tcPr>
          <w:p>
            <w:pPr>
              <w:pStyle w:val="TableText"/>
              <w:jc w:val="left"/>
            </w:pPr>
            <w:r/>
          </w:p>
        </w:tc>
        <w:tc>
          <w:tcPr>
            <w:tcW w:w="1392" w:type="dxa"/>
            <w:vAlign w:val="center"/>
          </w:tcPr>
          <w:p>
            <w:pPr>
              <w:pStyle w:val="TableTextCentre"/>
              <w:jc w:val="center"/>
            </w:pPr>
            <w:r/>
          </w:p>
        </w:tc>
        <w:tc>
          <w:tcPr>
            <w:tcW w:w="1392" w:type="dxa"/>
            <w:vAlign w:val="center"/>
          </w:tcPr>
          <w:p>
            <w:pPr>
              <w:pStyle w:val="TableTextCentre"/>
              <w:jc w:val="center"/>
            </w:pPr>
            <w:r/>
          </w:p>
        </w:tc>
        <w:tc>
          <w:tcPr>
            <w:tcW w:w="1713" w:type="dxa"/>
            <w:vAlign w:val="center"/>
          </w:tcPr>
          <w:p>
            <w:pPr>
              <w:pStyle w:val="TableText"/>
              <w:jc w:val="left"/>
            </w:pPr>
            <w:r/>
          </w:p>
        </w:tc>
        <w:tc>
          <w:tcPr>
            <w:tcW w:w="1715" w:type="dxa"/>
            <w:vAlign w:val="center"/>
          </w:tcPr>
          <w:p>
            <w:pPr>
              <w:pStyle w:val="TableText"/>
              <w:jc w:val="left"/>
            </w:pPr>
            <w:r/>
          </w:p>
        </w:tc>
      </w:tr>
      <w:tr>
        <w:trPr>
          <w:cantSplit w:val="true"/>
        </w:trPr>
        <w:tc>
          <w:tcPr>
            <w:tcW w:w="3426" w:type="dxa"/>
            <w:vAlign w:val="center"/>
          </w:tcPr>
          <w:p>
            <w:pPr>
              <w:pStyle w:val="TableText"/>
              <w:jc w:val="left"/>
            </w:pPr>
            <w:r/>
          </w:p>
        </w:tc>
        <w:tc>
          <w:tcPr>
            <w:tcW w:w="1392" w:type="dxa"/>
            <w:vAlign w:val="center"/>
          </w:tcPr>
          <w:p>
            <w:pPr>
              <w:pStyle w:val="TableTextCentre"/>
              <w:jc w:val="center"/>
            </w:pPr>
            <w:r/>
          </w:p>
        </w:tc>
        <w:tc>
          <w:tcPr>
            <w:tcW w:w="1392" w:type="dxa"/>
            <w:vAlign w:val="center"/>
          </w:tcPr>
          <w:p>
            <w:pPr>
              <w:pStyle w:val="TableTextCentre"/>
              <w:jc w:val="center"/>
            </w:pPr>
            <w:r/>
          </w:p>
        </w:tc>
        <w:tc>
          <w:tcPr>
            <w:tcW w:w="1713" w:type="dxa"/>
            <w:vAlign w:val="center"/>
          </w:tcPr>
          <w:p>
            <w:pPr>
              <w:pStyle w:val="TableText"/>
              <w:jc w:val="left"/>
            </w:pPr>
            <w:r/>
          </w:p>
        </w:tc>
        <w:tc>
          <w:tcPr>
            <w:tcW w:w="1715" w:type="dxa"/>
            <w:vAlign w:val="center"/>
          </w:tcPr>
          <w:p>
            <w:pPr>
              <w:pStyle w:val="TableText"/>
              <w:jc w:val="left"/>
            </w:pPr>
            <w:r/>
          </w:p>
        </w:tc>
      </w:tr>
    </w:tbl>
    <w:p>
      <w:pPr>
        <w:spacing w:before="0" w:after="0" w:line="60" w:lineRule="exact"/>
      </w:pPr>
    </w:p>
    <w:p>
      <w:pPr>
        <w:pStyle w:val="BodyLead"/>
      </w:pPr>
      <w:r>
        <w:t>This summary is indicative only and is provided for orientation. It does not define the Work. Section 6 governs the extent of the Work, read with the inclusions at Section 7, the exclusions at Section 8 and the interfaces at Section 9. Where this summary and Section 6 differ, Section 6 prevails.</w:t>
      </w:r>
    </w:p>
    <w:p>
      <w:pPr>
        <w:pStyle w:val="Heading1"/>
      </w:pPr>
      <w:bookmarkStart w:id="9014" w:name="_Toc90014"/>
      <w:r>
        <w:t>5. Basis of the Scope</w:t>
      </w:r>
      <w:bookmarkEnd w:id="9014"/>
    </w:p>
    <w:p>
      <w:pPr>
        <w:pStyle w:val="BodyLead"/>
      </w:pPr>
      <w:r>
        <w:t>The documents listed in this section, at the revisions listed, are the documents on which the price and the schedule are based. The registers are complete when every document a bidder needs is listed with its revision and status, and nothing is listed that the bidder has not been given. Never write "latest revision": a scope based on an unidentified revision cannot be re-priced when that revision changes, so neither party can later demonstrate what was included. State the revision and the date, always.</w:t>
      </w:r>
    </w:p>
    <w:p>
      <w:pPr>
        <w:pStyle w:val="Heading2"/>
      </w:pPr>
      <w:bookmarkStart w:id="9015" w:name="_Toc90015"/>
      <w:r>
        <w:t>5.1 Drawing register</w:t>
      </w:r>
      <w:bookmarkEnd w:id="9015"/>
    </w:p>
    <w:p>
      <w:pPr>
        <w:pStyle w:val="Note"/>
      </w:pPr>
      <w:r>
        <w:t>Example rows shown in gray italic — delete before use. Status must be one of: For construction · For bid · For information only · Superseded. See Section 5.5 for what each status means and what may be built from it.</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474"/>
        <w:gridCol w:w="4308"/>
        <w:gridCol w:w="623"/>
        <w:gridCol w:w="1247"/>
        <w:gridCol w:w="1986"/>
      </w:tblGrid>
      <w:tr>
        <w:trPr>
          <w:tblHeader w:val="true"/>
          <w:cantSplit w:val="true"/>
        </w:trPr>
        <w:tc>
          <w:tcPr>
            <w:tcW w:w="1474" w:type="dxa"/>
            <w:shd w:val="clear" w:color="auto" w:fill="1D3245"/>
            <w:vAlign w:val="center"/>
          </w:tcPr>
          <w:p>
            <w:pPr>
              <w:pStyle w:val="TableHeader"/>
              <w:jc w:val="left"/>
            </w:pPr>
            <w:r/>
            <w:r>
              <w:t>Drawing no.</w:t>
            </w:r>
          </w:p>
        </w:tc>
        <w:tc>
          <w:tcPr>
            <w:tcW w:w="4308" w:type="dxa"/>
            <w:shd w:val="clear" w:color="auto" w:fill="1D3245"/>
            <w:vAlign w:val="center"/>
          </w:tcPr>
          <w:p>
            <w:pPr>
              <w:pStyle w:val="TableHeader"/>
              <w:jc w:val="left"/>
            </w:pPr>
            <w:r/>
            <w:r>
              <w:t>Title</w:t>
            </w:r>
          </w:p>
        </w:tc>
        <w:tc>
          <w:tcPr>
            <w:tcW w:w="623" w:type="dxa"/>
            <w:shd w:val="clear" w:color="auto" w:fill="1D3245"/>
            <w:vAlign w:val="center"/>
          </w:tcPr>
          <w:p>
            <w:pPr>
              <w:pStyle w:val="TableHeader"/>
              <w:jc w:val="center"/>
            </w:pPr>
            <w:r/>
            <w:r>
              <w:t>Rev</w:t>
            </w:r>
          </w:p>
        </w:tc>
        <w:tc>
          <w:tcPr>
            <w:tcW w:w="1247" w:type="dxa"/>
            <w:shd w:val="clear" w:color="auto" w:fill="1D3245"/>
            <w:vAlign w:val="center"/>
          </w:tcPr>
          <w:p>
            <w:pPr>
              <w:pStyle w:val="TableHeader"/>
              <w:jc w:val="center"/>
            </w:pPr>
            <w:r/>
            <w:r>
              <w:t>Date</w:t>
            </w:r>
          </w:p>
        </w:tc>
        <w:tc>
          <w:tcPr>
            <w:tcW w:w="1986" w:type="dxa"/>
            <w:shd w:val="clear" w:color="auto" w:fill="1D3245"/>
            <w:vAlign w:val="center"/>
          </w:tcPr>
          <w:p>
            <w:pPr>
              <w:pStyle w:val="TableHeader"/>
              <w:jc w:val="left"/>
            </w:pPr>
            <w:r/>
            <w:r>
              <w:t>Status</w:t>
            </w:r>
          </w:p>
        </w:tc>
      </w:tr>
      <w:tr>
        <w:trPr>
          <w:cantSplit w:val="true"/>
        </w:trPr>
        <w:tc>
          <w:tcPr>
            <w:tcW w:w="1474" w:type="dxa"/>
            <w:vAlign w:val="center"/>
          </w:tcPr>
          <w:p>
            <w:pPr>
              <w:pStyle w:val="TableTextExample"/>
              <w:jc w:val="left"/>
            </w:pPr>
            <w:r/>
            <w:r>
              <w:t>S2-ST-2100</w:t>
            </w:r>
          </w:p>
        </w:tc>
        <w:tc>
          <w:tcPr>
            <w:tcW w:w="4308" w:type="dxa"/>
            <w:vAlign w:val="center"/>
          </w:tcPr>
          <w:p>
            <w:pPr>
              <w:pStyle w:val="TableTextExample"/>
              <w:jc w:val="left"/>
            </w:pPr>
            <w:r/>
            <w:r>
              <w:t>Basement retainage — plan and sections</w:t>
            </w:r>
          </w:p>
        </w:tc>
        <w:tc>
          <w:tcPr>
            <w:tcW w:w="623" w:type="dxa"/>
            <w:vAlign w:val="center"/>
          </w:tcPr>
          <w:p>
            <w:pPr>
              <w:pStyle w:val="TableTextExample"/>
              <w:jc w:val="center"/>
            </w:pPr>
            <w:r/>
            <w:r>
              <w:t>C</w:t>
            </w:r>
          </w:p>
        </w:tc>
        <w:tc>
          <w:tcPr>
            <w:tcW w:w="1247" w:type="dxa"/>
            <w:vAlign w:val="center"/>
          </w:tcPr>
          <w:p>
            <w:pPr>
              <w:pStyle w:val="TableTextExample"/>
              <w:jc w:val="center"/>
            </w:pPr>
            <w:r/>
            <w:r>
              <w:t>[MM/DD/YY]</w:t>
            </w:r>
          </w:p>
        </w:tc>
        <w:tc>
          <w:tcPr>
            <w:tcW w:w="1986" w:type="dxa"/>
            <w:vAlign w:val="center"/>
          </w:tcPr>
          <w:p>
            <w:pPr>
              <w:pStyle w:val="TableTextExample"/>
              <w:jc w:val="left"/>
            </w:pPr>
            <w:r/>
            <w:r>
              <w:t>For construction</w:t>
            </w:r>
          </w:p>
        </w:tc>
      </w:tr>
      <w:tr>
        <w:trPr>
          <w:cantSplit w:val="true"/>
        </w:trPr>
        <w:tc>
          <w:tcPr>
            <w:tcW w:w="1474" w:type="dxa"/>
            <w:vAlign w:val="center"/>
          </w:tcPr>
          <w:p>
            <w:pPr>
              <w:pStyle w:val="TableTextExample"/>
              <w:jc w:val="left"/>
            </w:pPr>
            <w:r/>
            <w:r>
              <w:t>S2-ST-4001</w:t>
            </w:r>
          </w:p>
        </w:tc>
        <w:tc>
          <w:tcPr>
            <w:tcW w:w="4308" w:type="dxa"/>
            <w:vAlign w:val="center"/>
          </w:tcPr>
          <w:p>
            <w:pPr>
              <w:pStyle w:val="TableTextExample"/>
              <w:jc w:val="left"/>
            </w:pPr>
            <w:r/>
            <w:r>
              <w:t>Structural steel — Level 3 framing plan</w:t>
            </w:r>
          </w:p>
        </w:tc>
        <w:tc>
          <w:tcPr>
            <w:tcW w:w="623" w:type="dxa"/>
            <w:vAlign w:val="center"/>
          </w:tcPr>
          <w:p>
            <w:pPr>
              <w:pStyle w:val="TableTextExample"/>
              <w:jc w:val="center"/>
            </w:pPr>
            <w:r/>
            <w:r>
              <w:t>B</w:t>
            </w:r>
          </w:p>
        </w:tc>
        <w:tc>
          <w:tcPr>
            <w:tcW w:w="1247" w:type="dxa"/>
            <w:vAlign w:val="center"/>
          </w:tcPr>
          <w:p>
            <w:pPr>
              <w:pStyle w:val="TableTextExample"/>
              <w:jc w:val="center"/>
            </w:pPr>
            <w:r/>
            <w:r>
              <w:t>[MM/DD/YY]</w:t>
            </w:r>
          </w:p>
        </w:tc>
        <w:tc>
          <w:tcPr>
            <w:tcW w:w="1986" w:type="dxa"/>
            <w:vAlign w:val="center"/>
          </w:tcPr>
          <w:p>
            <w:pPr>
              <w:pStyle w:val="TableTextExample"/>
              <w:jc w:val="left"/>
            </w:pPr>
            <w:r/>
            <w:r>
              <w:t>For construction</w:t>
            </w:r>
          </w:p>
        </w:tc>
      </w:tr>
      <w:tr>
        <w:trPr>
          <w:cantSplit w:val="true"/>
        </w:trPr>
        <w:tc>
          <w:tcPr>
            <w:tcW w:w="1474" w:type="dxa"/>
            <w:vAlign w:val="center"/>
          </w:tcPr>
          <w:p>
            <w:pPr>
              <w:pStyle w:val="TableTextExample"/>
              <w:jc w:val="left"/>
            </w:pPr>
            <w:r/>
            <w:r>
              <w:t>S2-AR-5200</w:t>
            </w:r>
          </w:p>
        </w:tc>
        <w:tc>
          <w:tcPr>
            <w:tcW w:w="4308" w:type="dxa"/>
            <w:vAlign w:val="center"/>
          </w:tcPr>
          <w:p>
            <w:pPr>
              <w:pStyle w:val="TableTextExample"/>
              <w:jc w:val="left"/>
            </w:pPr>
            <w:r/>
            <w:r>
              <w:t>Facade — typical unitized panel details</w:t>
            </w:r>
          </w:p>
        </w:tc>
        <w:tc>
          <w:tcPr>
            <w:tcW w:w="623" w:type="dxa"/>
            <w:vAlign w:val="center"/>
          </w:tcPr>
          <w:p>
            <w:pPr>
              <w:pStyle w:val="TableTextExample"/>
              <w:jc w:val="center"/>
            </w:pPr>
            <w:r/>
            <w:r>
              <w:t>A</w:t>
            </w:r>
          </w:p>
        </w:tc>
        <w:tc>
          <w:tcPr>
            <w:tcW w:w="1247" w:type="dxa"/>
            <w:vAlign w:val="center"/>
          </w:tcPr>
          <w:p>
            <w:pPr>
              <w:pStyle w:val="TableTextExample"/>
              <w:jc w:val="center"/>
            </w:pPr>
            <w:r/>
            <w:r>
              <w:t>[MM/DD/YY]</w:t>
            </w:r>
          </w:p>
        </w:tc>
        <w:tc>
          <w:tcPr>
            <w:tcW w:w="1986" w:type="dxa"/>
            <w:vAlign w:val="center"/>
          </w:tcPr>
          <w:p>
            <w:pPr>
              <w:pStyle w:val="TableTextExample"/>
              <w:jc w:val="left"/>
            </w:pPr>
            <w:r/>
            <w:r>
              <w:t>For bid — design intent only</w:t>
            </w:r>
          </w:p>
        </w:tc>
      </w:tr>
      <w:tr>
        <w:trPr>
          <w:cantSplit w:val="true"/>
        </w:trPr>
        <w:tc>
          <w:tcPr>
            <w:tcW w:w="1474" w:type="dxa"/>
            <w:vAlign w:val="center"/>
          </w:tcPr>
          <w:p>
            <w:pPr>
              <w:pStyle w:val="TableText"/>
              <w:jc w:val="left"/>
            </w:pPr>
            <w:r/>
          </w:p>
        </w:tc>
        <w:tc>
          <w:tcPr>
            <w:tcW w:w="4308" w:type="dxa"/>
            <w:vAlign w:val="center"/>
          </w:tcPr>
          <w:p>
            <w:pPr>
              <w:pStyle w:val="TableText"/>
              <w:jc w:val="left"/>
            </w:pPr>
            <w:r/>
          </w:p>
        </w:tc>
        <w:tc>
          <w:tcPr>
            <w:tcW w:w="623" w:type="dxa"/>
            <w:vAlign w:val="center"/>
          </w:tcPr>
          <w:p>
            <w:pPr>
              <w:pStyle w:val="TableTextCentre"/>
              <w:jc w:val="center"/>
            </w:pPr>
            <w:r/>
          </w:p>
        </w:tc>
        <w:tc>
          <w:tcPr>
            <w:tcW w:w="1247" w:type="dxa"/>
            <w:vAlign w:val="center"/>
          </w:tcPr>
          <w:p>
            <w:pPr>
              <w:pStyle w:val="TableTextCentre"/>
              <w:jc w:val="center"/>
            </w:pPr>
            <w:r/>
          </w:p>
        </w:tc>
        <w:tc>
          <w:tcPr>
            <w:tcW w:w="1986" w:type="dxa"/>
            <w:vAlign w:val="center"/>
          </w:tcPr>
          <w:p>
            <w:pPr>
              <w:pStyle w:val="TableText"/>
              <w:jc w:val="left"/>
            </w:pPr>
            <w:r/>
          </w:p>
        </w:tc>
      </w:tr>
      <w:tr>
        <w:trPr>
          <w:cantSplit w:val="true"/>
        </w:trPr>
        <w:tc>
          <w:tcPr>
            <w:tcW w:w="1474" w:type="dxa"/>
            <w:vAlign w:val="center"/>
          </w:tcPr>
          <w:p>
            <w:pPr>
              <w:pStyle w:val="TableText"/>
              <w:jc w:val="left"/>
            </w:pPr>
            <w:r/>
          </w:p>
        </w:tc>
        <w:tc>
          <w:tcPr>
            <w:tcW w:w="4308" w:type="dxa"/>
            <w:vAlign w:val="center"/>
          </w:tcPr>
          <w:p>
            <w:pPr>
              <w:pStyle w:val="TableText"/>
              <w:jc w:val="left"/>
            </w:pPr>
            <w:r/>
          </w:p>
        </w:tc>
        <w:tc>
          <w:tcPr>
            <w:tcW w:w="623" w:type="dxa"/>
            <w:vAlign w:val="center"/>
          </w:tcPr>
          <w:p>
            <w:pPr>
              <w:pStyle w:val="TableTextCentre"/>
              <w:jc w:val="center"/>
            </w:pPr>
            <w:r/>
          </w:p>
        </w:tc>
        <w:tc>
          <w:tcPr>
            <w:tcW w:w="1247" w:type="dxa"/>
            <w:vAlign w:val="center"/>
          </w:tcPr>
          <w:p>
            <w:pPr>
              <w:pStyle w:val="TableTextCentre"/>
              <w:jc w:val="center"/>
            </w:pPr>
            <w:r/>
          </w:p>
        </w:tc>
        <w:tc>
          <w:tcPr>
            <w:tcW w:w="1986" w:type="dxa"/>
            <w:vAlign w:val="center"/>
          </w:tcPr>
          <w:p>
            <w:pPr>
              <w:pStyle w:val="TableText"/>
              <w:jc w:val="left"/>
            </w:pPr>
            <w:r/>
          </w:p>
        </w:tc>
      </w:tr>
      <w:tr>
        <w:trPr>
          <w:cantSplit w:val="true"/>
        </w:trPr>
        <w:tc>
          <w:tcPr>
            <w:tcW w:w="1474" w:type="dxa"/>
            <w:vAlign w:val="center"/>
          </w:tcPr>
          <w:p>
            <w:pPr>
              <w:pStyle w:val="TableText"/>
              <w:jc w:val="left"/>
            </w:pPr>
            <w:r/>
          </w:p>
        </w:tc>
        <w:tc>
          <w:tcPr>
            <w:tcW w:w="4308" w:type="dxa"/>
            <w:vAlign w:val="center"/>
          </w:tcPr>
          <w:p>
            <w:pPr>
              <w:pStyle w:val="TableText"/>
              <w:jc w:val="left"/>
            </w:pPr>
            <w:r/>
          </w:p>
        </w:tc>
        <w:tc>
          <w:tcPr>
            <w:tcW w:w="623" w:type="dxa"/>
            <w:vAlign w:val="center"/>
          </w:tcPr>
          <w:p>
            <w:pPr>
              <w:pStyle w:val="TableTextCentre"/>
              <w:jc w:val="center"/>
            </w:pPr>
            <w:r/>
          </w:p>
        </w:tc>
        <w:tc>
          <w:tcPr>
            <w:tcW w:w="1247" w:type="dxa"/>
            <w:vAlign w:val="center"/>
          </w:tcPr>
          <w:p>
            <w:pPr>
              <w:pStyle w:val="TableTextCentre"/>
              <w:jc w:val="center"/>
            </w:pPr>
            <w:r/>
          </w:p>
        </w:tc>
        <w:tc>
          <w:tcPr>
            <w:tcW w:w="1986" w:type="dxa"/>
            <w:vAlign w:val="center"/>
          </w:tcPr>
          <w:p>
            <w:pPr>
              <w:pStyle w:val="TableText"/>
              <w:jc w:val="left"/>
            </w:pPr>
            <w:r/>
          </w:p>
        </w:tc>
      </w:tr>
    </w:tbl>
    <w:p>
      <w:pPr>
        <w:spacing w:before="0" w:after="0" w:line="60" w:lineRule="exact"/>
      </w:pPr>
    </w:p>
    <w:p>
      <w:pPr>
        <w:pStyle w:val="Heading2"/>
      </w:pPr>
      <w:bookmarkStart w:id="9016" w:name="_Toc90016"/>
      <w:r>
        <w:t>5.2 Specification register</w:t>
      </w:r>
      <w:bookmarkEnd w:id="9016"/>
    </w:p>
    <w:p>
      <w:pPr>
        <w:pStyle w:val="Note"/>
      </w:pPr>
      <w:r>
        <w:t>Example rows shown in gray italic — delete before use. Marking each specification prescriptive or performance in this register is what tells a bidder where design liability sits. Do not leave the last column blank — see Section 6.3.</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247"/>
        <w:gridCol w:w="3968"/>
        <w:gridCol w:w="623"/>
        <w:gridCol w:w="1247"/>
        <w:gridCol w:w="2553"/>
      </w:tblGrid>
      <w:tr>
        <w:trPr>
          <w:tblHeader w:val="true"/>
          <w:cantSplit w:val="true"/>
        </w:trPr>
        <w:tc>
          <w:tcPr>
            <w:tcW w:w="1247" w:type="dxa"/>
            <w:shd w:val="clear" w:color="auto" w:fill="1D3245"/>
            <w:vAlign w:val="center"/>
          </w:tcPr>
          <w:p>
            <w:pPr>
              <w:pStyle w:val="TableHeader"/>
              <w:jc w:val="left"/>
            </w:pPr>
            <w:r/>
            <w:r>
              <w:t>Spec. no.</w:t>
            </w:r>
          </w:p>
        </w:tc>
        <w:tc>
          <w:tcPr>
            <w:tcW w:w="3968" w:type="dxa"/>
            <w:shd w:val="clear" w:color="auto" w:fill="1D3245"/>
            <w:vAlign w:val="center"/>
          </w:tcPr>
          <w:p>
            <w:pPr>
              <w:pStyle w:val="TableHeader"/>
              <w:jc w:val="left"/>
            </w:pPr>
            <w:r/>
            <w:r>
              <w:t>Title</w:t>
            </w:r>
          </w:p>
        </w:tc>
        <w:tc>
          <w:tcPr>
            <w:tcW w:w="623" w:type="dxa"/>
            <w:shd w:val="clear" w:color="auto" w:fill="1D3245"/>
            <w:vAlign w:val="center"/>
          </w:tcPr>
          <w:p>
            <w:pPr>
              <w:pStyle w:val="TableHeader"/>
              <w:jc w:val="center"/>
            </w:pPr>
            <w:r/>
            <w:r>
              <w:t>Rev</w:t>
            </w:r>
          </w:p>
        </w:tc>
        <w:tc>
          <w:tcPr>
            <w:tcW w:w="1247" w:type="dxa"/>
            <w:shd w:val="clear" w:color="auto" w:fill="1D3245"/>
            <w:vAlign w:val="center"/>
          </w:tcPr>
          <w:p>
            <w:pPr>
              <w:pStyle w:val="TableHeader"/>
              <w:jc w:val="center"/>
            </w:pPr>
            <w:r/>
            <w:r>
              <w:t>Date</w:t>
            </w:r>
          </w:p>
        </w:tc>
        <w:tc>
          <w:tcPr>
            <w:tcW w:w="2553" w:type="dxa"/>
            <w:shd w:val="clear" w:color="auto" w:fill="1D3245"/>
            <w:vAlign w:val="center"/>
          </w:tcPr>
          <w:p>
            <w:pPr>
              <w:pStyle w:val="TableHeader"/>
              <w:jc w:val="left"/>
            </w:pPr>
            <w:r/>
            <w:r>
              <w:t>Prescriptive or performance</w:t>
            </w:r>
          </w:p>
        </w:tc>
      </w:tr>
      <w:tr>
        <w:trPr>
          <w:cantSplit w:val="true"/>
        </w:trPr>
        <w:tc>
          <w:tcPr>
            <w:tcW w:w="1247" w:type="dxa"/>
            <w:vAlign w:val="center"/>
          </w:tcPr>
          <w:p>
            <w:pPr>
              <w:pStyle w:val="TableTextExample"/>
              <w:jc w:val="left"/>
            </w:pPr>
            <w:r/>
            <w:r>
              <w:t>SPEC-08</w:t>
            </w:r>
          </w:p>
        </w:tc>
        <w:tc>
          <w:tcPr>
            <w:tcW w:w="3968" w:type="dxa"/>
            <w:vAlign w:val="center"/>
          </w:tcPr>
          <w:p>
            <w:pPr>
              <w:pStyle w:val="TableTextExample"/>
              <w:jc w:val="left"/>
            </w:pPr>
            <w:r/>
            <w:r>
              <w:t>Structural steelwork and metal decking</w:t>
            </w:r>
          </w:p>
        </w:tc>
        <w:tc>
          <w:tcPr>
            <w:tcW w:w="623" w:type="dxa"/>
            <w:vAlign w:val="center"/>
          </w:tcPr>
          <w:p>
            <w:pPr>
              <w:pStyle w:val="TableTextExample"/>
              <w:jc w:val="center"/>
            </w:pPr>
            <w:r/>
            <w:r>
              <w:t>3</w:t>
            </w:r>
          </w:p>
        </w:tc>
        <w:tc>
          <w:tcPr>
            <w:tcW w:w="1247" w:type="dxa"/>
            <w:vAlign w:val="center"/>
          </w:tcPr>
          <w:p>
            <w:pPr>
              <w:pStyle w:val="TableTextExample"/>
              <w:jc w:val="center"/>
            </w:pPr>
            <w:r/>
            <w:r>
              <w:t>[MM/DD/YY]</w:t>
            </w:r>
          </w:p>
        </w:tc>
        <w:tc>
          <w:tcPr>
            <w:tcW w:w="2553" w:type="dxa"/>
            <w:vAlign w:val="center"/>
          </w:tcPr>
          <w:p>
            <w:pPr>
              <w:pStyle w:val="TableTextExample"/>
              <w:jc w:val="left"/>
            </w:pPr>
            <w:r/>
            <w:r>
              <w:t>Prescriptive</w:t>
            </w:r>
          </w:p>
        </w:tc>
      </w:tr>
      <w:tr>
        <w:trPr>
          <w:cantSplit w:val="true"/>
        </w:trPr>
        <w:tc>
          <w:tcPr>
            <w:tcW w:w="1247" w:type="dxa"/>
            <w:vAlign w:val="center"/>
          </w:tcPr>
          <w:p>
            <w:pPr>
              <w:pStyle w:val="TableTextExample"/>
              <w:jc w:val="left"/>
            </w:pPr>
            <w:r/>
            <w:r>
              <w:t>SPEC-10</w:t>
            </w:r>
          </w:p>
        </w:tc>
        <w:tc>
          <w:tcPr>
            <w:tcW w:w="3968" w:type="dxa"/>
            <w:vAlign w:val="center"/>
          </w:tcPr>
          <w:p>
            <w:pPr>
              <w:pStyle w:val="TableTextExample"/>
              <w:jc w:val="left"/>
            </w:pPr>
            <w:r/>
            <w:r>
              <w:t>Facade and curtain wall</w:t>
            </w:r>
          </w:p>
        </w:tc>
        <w:tc>
          <w:tcPr>
            <w:tcW w:w="623" w:type="dxa"/>
            <w:vAlign w:val="center"/>
          </w:tcPr>
          <w:p>
            <w:pPr>
              <w:pStyle w:val="TableTextExample"/>
              <w:jc w:val="center"/>
            </w:pPr>
            <w:r/>
            <w:r>
              <w:t>2</w:t>
            </w:r>
          </w:p>
        </w:tc>
        <w:tc>
          <w:tcPr>
            <w:tcW w:w="1247" w:type="dxa"/>
            <w:vAlign w:val="center"/>
          </w:tcPr>
          <w:p>
            <w:pPr>
              <w:pStyle w:val="TableTextExample"/>
              <w:jc w:val="center"/>
            </w:pPr>
            <w:r/>
            <w:r>
              <w:t>[MM/DD/YY]</w:t>
            </w:r>
          </w:p>
        </w:tc>
        <w:tc>
          <w:tcPr>
            <w:tcW w:w="2553" w:type="dxa"/>
            <w:vAlign w:val="center"/>
          </w:tcPr>
          <w:p>
            <w:pPr>
              <w:pStyle w:val="TableTextExample"/>
              <w:jc w:val="left"/>
            </w:pPr>
            <w:r/>
            <w:r>
              <w:t>Performance — Contractor-designed</w:t>
            </w:r>
          </w:p>
        </w:tc>
      </w:tr>
      <w:tr>
        <w:trPr>
          <w:cantSplit w:val="true"/>
        </w:trPr>
        <w:tc>
          <w:tcPr>
            <w:tcW w:w="1247" w:type="dxa"/>
            <w:vAlign w:val="center"/>
          </w:tcPr>
          <w:p>
            <w:pPr>
              <w:pStyle w:val="TableTextExample"/>
              <w:jc w:val="left"/>
            </w:pPr>
            <w:r/>
            <w:r>
              <w:t>SPEC-14</w:t>
            </w:r>
          </w:p>
        </w:tc>
        <w:tc>
          <w:tcPr>
            <w:tcW w:w="3968" w:type="dxa"/>
            <w:vAlign w:val="center"/>
          </w:tcPr>
          <w:p>
            <w:pPr>
              <w:pStyle w:val="TableTextExample"/>
              <w:jc w:val="left"/>
            </w:pPr>
            <w:r/>
            <w:r>
              <w:t>Mechanical services</w:t>
            </w:r>
          </w:p>
        </w:tc>
        <w:tc>
          <w:tcPr>
            <w:tcW w:w="623" w:type="dxa"/>
            <w:vAlign w:val="center"/>
          </w:tcPr>
          <w:p>
            <w:pPr>
              <w:pStyle w:val="TableTextExample"/>
              <w:jc w:val="center"/>
            </w:pPr>
            <w:r/>
            <w:r>
              <w:t>2</w:t>
            </w:r>
          </w:p>
        </w:tc>
        <w:tc>
          <w:tcPr>
            <w:tcW w:w="1247" w:type="dxa"/>
            <w:vAlign w:val="center"/>
          </w:tcPr>
          <w:p>
            <w:pPr>
              <w:pStyle w:val="TableTextExample"/>
              <w:jc w:val="center"/>
            </w:pPr>
            <w:r/>
            <w:r>
              <w:t>[MM/DD/YY]</w:t>
            </w:r>
          </w:p>
        </w:tc>
        <w:tc>
          <w:tcPr>
            <w:tcW w:w="2553" w:type="dxa"/>
            <w:vAlign w:val="center"/>
          </w:tcPr>
          <w:p>
            <w:pPr>
              <w:pStyle w:val="TableTextExample"/>
              <w:jc w:val="left"/>
            </w:pPr>
            <w:r/>
            <w:r>
              <w:t>Performance, with prescriptive equipment schedules</w:t>
            </w:r>
          </w:p>
        </w:tc>
      </w:tr>
      <w:tr>
        <w:trPr>
          <w:cantSplit w:val="true"/>
        </w:trPr>
        <w:tc>
          <w:tcPr>
            <w:tcW w:w="1247" w:type="dxa"/>
            <w:vAlign w:val="center"/>
          </w:tcPr>
          <w:p>
            <w:pPr>
              <w:pStyle w:val="TableText"/>
              <w:jc w:val="left"/>
            </w:pPr>
            <w:r/>
          </w:p>
        </w:tc>
        <w:tc>
          <w:tcPr>
            <w:tcW w:w="3968" w:type="dxa"/>
            <w:vAlign w:val="center"/>
          </w:tcPr>
          <w:p>
            <w:pPr>
              <w:pStyle w:val="TableText"/>
              <w:jc w:val="left"/>
            </w:pPr>
            <w:r/>
          </w:p>
        </w:tc>
        <w:tc>
          <w:tcPr>
            <w:tcW w:w="623" w:type="dxa"/>
            <w:vAlign w:val="center"/>
          </w:tcPr>
          <w:p>
            <w:pPr>
              <w:pStyle w:val="TableTextCentre"/>
              <w:jc w:val="center"/>
            </w:pPr>
            <w:r/>
          </w:p>
        </w:tc>
        <w:tc>
          <w:tcPr>
            <w:tcW w:w="1247" w:type="dxa"/>
            <w:vAlign w:val="center"/>
          </w:tcPr>
          <w:p>
            <w:pPr>
              <w:pStyle w:val="TableTextCentre"/>
              <w:jc w:val="center"/>
            </w:pPr>
            <w:r/>
          </w:p>
        </w:tc>
        <w:tc>
          <w:tcPr>
            <w:tcW w:w="2553" w:type="dxa"/>
            <w:vAlign w:val="center"/>
          </w:tcPr>
          <w:p>
            <w:pPr>
              <w:pStyle w:val="TableText"/>
              <w:jc w:val="left"/>
            </w:pPr>
            <w:r/>
          </w:p>
        </w:tc>
      </w:tr>
      <w:tr>
        <w:trPr>
          <w:cantSplit w:val="true"/>
        </w:trPr>
        <w:tc>
          <w:tcPr>
            <w:tcW w:w="1247" w:type="dxa"/>
            <w:vAlign w:val="center"/>
          </w:tcPr>
          <w:p>
            <w:pPr>
              <w:pStyle w:val="TableText"/>
              <w:jc w:val="left"/>
            </w:pPr>
            <w:r/>
          </w:p>
        </w:tc>
        <w:tc>
          <w:tcPr>
            <w:tcW w:w="3968" w:type="dxa"/>
            <w:vAlign w:val="center"/>
          </w:tcPr>
          <w:p>
            <w:pPr>
              <w:pStyle w:val="TableText"/>
              <w:jc w:val="left"/>
            </w:pPr>
            <w:r/>
          </w:p>
        </w:tc>
        <w:tc>
          <w:tcPr>
            <w:tcW w:w="623" w:type="dxa"/>
            <w:vAlign w:val="center"/>
          </w:tcPr>
          <w:p>
            <w:pPr>
              <w:pStyle w:val="TableTextCentre"/>
              <w:jc w:val="center"/>
            </w:pPr>
            <w:r/>
          </w:p>
        </w:tc>
        <w:tc>
          <w:tcPr>
            <w:tcW w:w="1247" w:type="dxa"/>
            <w:vAlign w:val="center"/>
          </w:tcPr>
          <w:p>
            <w:pPr>
              <w:pStyle w:val="TableTextCentre"/>
              <w:jc w:val="center"/>
            </w:pPr>
            <w:r/>
          </w:p>
        </w:tc>
        <w:tc>
          <w:tcPr>
            <w:tcW w:w="2553" w:type="dxa"/>
            <w:vAlign w:val="center"/>
          </w:tcPr>
          <w:p>
            <w:pPr>
              <w:pStyle w:val="TableText"/>
              <w:jc w:val="left"/>
            </w:pPr>
            <w:r/>
          </w:p>
        </w:tc>
      </w:tr>
      <w:tr>
        <w:trPr>
          <w:cantSplit w:val="true"/>
        </w:trPr>
        <w:tc>
          <w:tcPr>
            <w:tcW w:w="1247" w:type="dxa"/>
            <w:vAlign w:val="center"/>
          </w:tcPr>
          <w:p>
            <w:pPr>
              <w:pStyle w:val="TableText"/>
              <w:jc w:val="left"/>
            </w:pPr>
            <w:r/>
          </w:p>
        </w:tc>
        <w:tc>
          <w:tcPr>
            <w:tcW w:w="3968" w:type="dxa"/>
            <w:vAlign w:val="center"/>
          </w:tcPr>
          <w:p>
            <w:pPr>
              <w:pStyle w:val="TableText"/>
              <w:jc w:val="left"/>
            </w:pPr>
            <w:r/>
          </w:p>
        </w:tc>
        <w:tc>
          <w:tcPr>
            <w:tcW w:w="623" w:type="dxa"/>
            <w:vAlign w:val="center"/>
          </w:tcPr>
          <w:p>
            <w:pPr>
              <w:pStyle w:val="TableTextCentre"/>
              <w:jc w:val="center"/>
            </w:pPr>
            <w:r/>
          </w:p>
        </w:tc>
        <w:tc>
          <w:tcPr>
            <w:tcW w:w="1247" w:type="dxa"/>
            <w:vAlign w:val="center"/>
          </w:tcPr>
          <w:p>
            <w:pPr>
              <w:pStyle w:val="TableTextCentre"/>
              <w:jc w:val="center"/>
            </w:pPr>
            <w:r/>
          </w:p>
        </w:tc>
        <w:tc>
          <w:tcPr>
            <w:tcW w:w="2553" w:type="dxa"/>
            <w:vAlign w:val="center"/>
          </w:tcPr>
          <w:p>
            <w:pPr>
              <w:pStyle w:val="TableText"/>
              <w:jc w:val="left"/>
            </w:pPr>
            <w:r/>
          </w:p>
        </w:tc>
      </w:tr>
    </w:tbl>
    <w:p>
      <w:pPr>
        <w:spacing w:before="0" w:after="0" w:line="60" w:lineRule="exact"/>
      </w:pPr>
    </w:p>
    <w:p>
      <w:pPr>
        <w:pStyle w:val="Heading2"/>
      </w:pPr>
      <w:bookmarkStart w:id="9017" w:name="_Toc90017"/>
      <w:r>
        <w:t>5.3 Schedules, models and information containers</w:t>
      </w:r>
      <w:bookmarkEnd w:id="9017"/>
    </w:p>
    <w:p>
      <w:pPr>
        <w:pStyle w:val="Body"/>
      </w:pPr>
      <w:r>
        <w:t>List every schedule and information container the Contractor is given, using the project's ISO 19650 container identification convention, and state the Level of Information Need for each. State plainly whether a model is a contract document; if it is not, say what it may be relied upon for.</w:t>
      </w:r>
    </w:p>
    <w:p>
      <w:pPr>
        <w:pStyle w:val="Note"/>
      </w:pPr>
      <w:r>
        <w:t>Example rows shown in gray italic — delete before use. Level of Information Need is defined in accordance with ISO 19650-1 and the project Exchange Information Requirements. Where a container is issued for information only, say so here as well as at Section 5.5.</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927"/>
        <w:gridCol w:w="1700"/>
        <w:gridCol w:w="2494"/>
        <w:gridCol w:w="2154"/>
        <w:gridCol w:w="1363"/>
      </w:tblGrid>
      <w:tr>
        <w:trPr>
          <w:tblHeader w:val="true"/>
          <w:cantSplit w:val="true"/>
        </w:trPr>
        <w:tc>
          <w:tcPr>
            <w:tcW w:w="1927" w:type="dxa"/>
            <w:shd w:val="clear" w:color="auto" w:fill="1D3245"/>
            <w:vAlign w:val="center"/>
          </w:tcPr>
          <w:p>
            <w:pPr>
              <w:pStyle w:val="TableHeader"/>
              <w:jc w:val="left"/>
            </w:pPr>
            <w:r/>
            <w:r>
              <w:t>Container / schedule ID</w:t>
            </w:r>
          </w:p>
        </w:tc>
        <w:tc>
          <w:tcPr>
            <w:tcW w:w="1700" w:type="dxa"/>
            <w:shd w:val="clear" w:color="auto" w:fill="1D3245"/>
            <w:vAlign w:val="center"/>
          </w:tcPr>
          <w:p>
            <w:pPr>
              <w:pStyle w:val="TableHeader"/>
              <w:jc w:val="left"/>
            </w:pPr>
            <w:r/>
            <w:r>
              <w:t>Discipline / content</w:t>
            </w:r>
          </w:p>
        </w:tc>
        <w:tc>
          <w:tcPr>
            <w:tcW w:w="2494" w:type="dxa"/>
            <w:shd w:val="clear" w:color="auto" w:fill="1D3245"/>
            <w:vAlign w:val="center"/>
          </w:tcPr>
          <w:p>
            <w:pPr>
              <w:pStyle w:val="TableHeader"/>
              <w:jc w:val="left"/>
            </w:pPr>
            <w:r/>
            <w:r>
              <w:t>Purpose the Contractor may rely on it for</w:t>
            </w:r>
          </w:p>
        </w:tc>
        <w:tc>
          <w:tcPr>
            <w:tcW w:w="2154" w:type="dxa"/>
            <w:shd w:val="clear" w:color="auto" w:fill="1D3245"/>
            <w:vAlign w:val="center"/>
          </w:tcPr>
          <w:p>
            <w:pPr>
              <w:pStyle w:val="TableHeader"/>
              <w:jc w:val="left"/>
            </w:pPr>
            <w:r/>
            <w:r>
              <w:t>Level of Information Need</w:t>
            </w:r>
          </w:p>
        </w:tc>
        <w:tc>
          <w:tcPr>
            <w:tcW w:w="1363" w:type="dxa"/>
            <w:shd w:val="clear" w:color="auto" w:fill="1D3245"/>
            <w:vAlign w:val="center"/>
          </w:tcPr>
          <w:p>
            <w:pPr>
              <w:pStyle w:val="TableHeader"/>
              <w:jc w:val="left"/>
            </w:pPr>
            <w:r/>
            <w:r>
              <w:t>Owner</w:t>
            </w:r>
          </w:p>
        </w:tc>
      </w:tr>
      <w:tr>
        <w:trPr>
          <w:cantSplit w:val="true"/>
        </w:trPr>
        <w:tc>
          <w:tcPr>
            <w:tcW w:w="1927" w:type="dxa"/>
            <w:vAlign w:val="center"/>
          </w:tcPr>
          <w:p>
            <w:pPr>
              <w:pStyle w:val="TableTextExample"/>
              <w:jc w:val="left"/>
            </w:pPr>
            <w:r/>
            <w:r>
              <w:t>NHP2-XXX-ZZ-M3-S-0001</w:t>
            </w:r>
          </w:p>
        </w:tc>
        <w:tc>
          <w:tcPr>
            <w:tcW w:w="1700" w:type="dxa"/>
            <w:vAlign w:val="center"/>
          </w:tcPr>
          <w:p>
            <w:pPr>
              <w:pStyle w:val="TableTextExample"/>
              <w:jc w:val="left"/>
            </w:pPr>
            <w:r/>
            <w:r>
              <w:t>Structural — federated model</w:t>
            </w:r>
          </w:p>
        </w:tc>
        <w:tc>
          <w:tcPr>
            <w:tcW w:w="2494" w:type="dxa"/>
            <w:vAlign w:val="center"/>
          </w:tcPr>
          <w:p>
            <w:pPr>
              <w:pStyle w:val="TableTextExample"/>
              <w:jc w:val="left"/>
            </w:pPr>
            <w:r/>
            <w:r>
              <w:t>Coordination and clash detection; quantities for the Contractor's own use only</w:t>
            </w:r>
          </w:p>
        </w:tc>
        <w:tc>
          <w:tcPr>
            <w:tcW w:w="2154" w:type="dxa"/>
            <w:vAlign w:val="center"/>
          </w:tcPr>
          <w:p>
            <w:pPr>
              <w:pStyle w:val="TableTextExample"/>
              <w:jc w:val="left"/>
            </w:pPr>
            <w:r/>
            <w:r>
              <w:t>LOIN 4 — construction, geometric to ±25 mm, with asset data for tagged equipment</w:t>
            </w:r>
          </w:p>
        </w:tc>
        <w:tc>
          <w:tcPr>
            <w:tcW w:w="1363" w:type="dxa"/>
            <w:vAlign w:val="center"/>
          </w:tcPr>
          <w:p>
            <w:pPr>
              <w:pStyle w:val="TableTextExample"/>
              <w:jc w:val="left"/>
            </w:pPr>
            <w:r/>
            <w:r>
              <w:t>Structural engineer</w:t>
            </w:r>
          </w:p>
        </w:tc>
      </w:tr>
      <w:tr>
        <w:trPr>
          <w:cantSplit w:val="true"/>
        </w:trPr>
        <w:tc>
          <w:tcPr>
            <w:tcW w:w="1927" w:type="dxa"/>
            <w:vAlign w:val="center"/>
          </w:tcPr>
          <w:p>
            <w:pPr>
              <w:pStyle w:val="TableTextExample"/>
              <w:jc w:val="left"/>
            </w:pPr>
            <w:r/>
            <w:r>
              <w:t>NHP2-XXX-ZZ-M3-ME-0001</w:t>
            </w:r>
          </w:p>
        </w:tc>
        <w:tc>
          <w:tcPr>
            <w:tcW w:w="1700" w:type="dxa"/>
            <w:vAlign w:val="center"/>
          </w:tcPr>
          <w:p>
            <w:pPr>
              <w:pStyle w:val="TableTextExample"/>
              <w:jc w:val="left"/>
            </w:pPr>
            <w:r/>
            <w:r>
              <w:t>Mechanical services</w:t>
            </w:r>
          </w:p>
        </w:tc>
        <w:tc>
          <w:tcPr>
            <w:tcW w:w="2494" w:type="dxa"/>
            <w:vAlign w:val="center"/>
          </w:tcPr>
          <w:p>
            <w:pPr>
              <w:pStyle w:val="TableTextExample"/>
              <w:jc w:val="left"/>
            </w:pPr>
            <w:r/>
            <w:r>
              <w:t>Coordination of services zones and builder's work openings</w:t>
            </w:r>
          </w:p>
        </w:tc>
        <w:tc>
          <w:tcPr>
            <w:tcW w:w="2154" w:type="dxa"/>
            <w:vAlign w:val="center"/>
          </w:tcPr>
          <w:p>
            <w:pPr>
              <w:pStyle w:val="TableTextExample"/>
              <w:jc w:val="left"/>
            </w:pPr>
            <w:r/>
            <w:r>
              <w:t>LOIN 3 — spatial coordination only; not for fabrication</w:t>
            </w:r>
          </w:p>
        </w:tc>
        <w:tc>
          <w:tcPr>
            <w:tcW w:w="1363" w:type="dxa"/>
            <w:vAlign w:val="center"/>
          </w:tcPr>
          <w:p>
            <w:pPr>
              <w:pStyle w:val="TableTextExample"/>
              <w:jc w:val="left"/>
            </w:pPr>
            <w:r/>
            <w:r>
              <w:t>Services engineer</w:t>
            </w:r>
          </w:p>
        </w:tc>
      </w:tr>
      <w:tr>
        <w:trPr>
          <w:cantSplit w:val="true"/>
        </w:trPr>
        <w:tc>
          <w:tcPr>
            <w:tcW w:w="1927" w:type="dxa"/>
            <w:vAlign w:val="center"/>
          </w:tcPr>
          <w:p>
            <w:pPr>
              <w:pStyle w:val="TableText"/>
              <w:jc w:val="left"/>
            </w:pPr>
            <w:r/>
          </w:p>
        </w:tc>
        <w:tc>
          <w:tcPr>
            <w:tcW w:w="1700" w:type="dxa"/>
            <w:vAlign w:val="center"/>
          </w:tcPr>
          <w:p>
            <w:pPr>
              <w:pStyle w:val="TableText"/>
              <w:jc w:val="left"/>
            </w:pPr>
            <w:r/>
          </w:p>
        </w:tc>
        <w:tc>
          <w:tcPr>
            <w:tcW w:w="2494" w:type="dxa"/>
            <w:vAlign w:val="center"/>
          </w:tcPr>
          <w:p>
            <w:pPr>
              <w:pStyle w:val="TableText"/>
              <w:jc w:val="left"/>
            </w:pPr>
            <w:r/>
          </w:p>
        </w:tc>
        <w:tc>
          <w:tcPr>
            <w:tcW w:w="2154" w:type="dxa"/>
            <w:vAlign w:val="center"/>
          </w:tcPr>
          <w:p>
            <w:pPr>
              <w:pStyle w:val="TableText"/>
              <w:jc w:val="left"/>
            </w:pPr>
            <w:r/>
          </w:p>
        </w:tc>
        <w:tc>
          <w:tcPr>
            <w:tcW w:w="1363" w:type="dxa"/>
            <w:vAlign w:val="center"/>
          </w:tcPr>
          <w:p>
            <w:pPr>
              <w:pStyle w:val="TableText"/>
              <w:jc w:val="left"/>
            </w:pPr>
            <w:r/>
          </w:p>
        </w:tc>
      </w:tr>
      <w:tr>
        <w:trPr>
          <w:cantSplit w:val="true"/>
        </w:trPr>
        <w:tc>
          <w:tcPr>
            <w:tcW w:w="1927" w:type="dxa"/>
            <w:vAlign w:val="center"/>
          </w:tcPr>
          <w:p>
            <w:pPr>
              <w:pStyle w:val="TableText"/>
              <w:jc w:val="left"/>
            </w:pPr>
            <w:r/>
          </w:p>
        </w:tc>
        <w:tc>
          <w:tcPr>
            <w:tcW w:w="1700" w:type="dxa"/>
            <w:vAlign w:val="center"/>
          </w:tcPr>
          <w:p>
            <w:pPr>
              <w:pStyle w:val="TableText"/>
              <w:jc w:val="left"/>
            </w:pPr>
            <w:r/>
          </w:p>
        </w:tc>
        <w:tc>
          <w:tcPr>
            <w:tcW w:w="2494" w:type="dxa"/>
            <w:vAlign w:val="center"/>
          </w:tcPr>
          <w:p>
            <w:pPr>
              <w:pStyle w:val="TableText"/>
              <w:jc w:val="left"/>
            </w:pPr>
            <w:r/>
          </w:p>
        </w:tc>
        <w:tc>
          <w:tcPr>
            <w:tcW w:w="2154" w:type="dxa"/>
            <w:vAlign w:val="center"/>
          </w:tcPr>
          <w:p>
            <w:pPr>
              <w:pStyle w:val="TableText"/>
              <w:jc w:val="left"/>
            </w:pPr>
            <w:r/>
          </w:p>
        </w:tc>
        <w:tc>
          <w:tcPr>
            <w:tcW w:w="1363" w:type="dxa"/>
            <w:vAlign w:val="center"/>
          </w:tcPr>
          <w:p>
            <w:pPr>
              <w:pStyle w:val="TableText"/>
              <w:jc w:val="left"/>
            </w:pPr>
            <w:r/>
          </w:p>
        </w:tc>
      </w:tr>
      <w:tr>
        <w:trPr>
          <w:cantSplit w:val="true"/>
        </w:trPr>
        <w:tc>
          <w:tcPr>
            <w:tcW w:w="1927" w:type="dxa"/>
            <w:vAlign w:val="center"/>
          </w:tcPr>
          <w:p>
            <w:pPr>
              <w:pStyle w:val="TableText"/>
              <w:jc w:val="left"/>
            </w:pPr>
            <w:r/>
          </w:p>
        </w:tc>
        <w:tc>
          <w:tcPr>
            <w:tcW w:w="1700" w:type="dxa"/>
            <w:vAlign w:val="center"/>
          </w:tcPr>
          <w:p>
            <w:pPr>
              <w:pStyle w:val="TableText"/>
              <w:jc w:val="left"/>
            </w:pPr>
            <w:r/>
          </w:p>
        </w:tc>
        <w:tc>
          <w:tcPr>
            <w:tcW w:w="2494" w:type="dxa"/>
            <w:vAlign w:val="center"/>
          </w:tcPr>
          <w:p>
            <w:pPr>
              <w:pStyle w:val="TableText"/>
              <w:jc w:val="left"/>
            </w:pPr>
            <w:r/>
          </w:p>
        </w:tc>
        <w:tc>
          <w:tcPr>
            <w:tcW w:w="2154" w:type="dxa"/>
            <w:vAlign w:val="center"/>
          </w:tcPr>
          <w:p>
            <w:pPr>
              <w:pStyle w:val="TableText"/>
              <w:jc w:val="left"/>
            </w:pPr>
            <w:r/>
          </w:p>
        </w:tc>
        <w:tc>
          <w:tcPr>
            <w:tcW w:w="1363" w:type="dxa"/>
            <w:vAlign w:val="center"/>
          </w:tcPr>
          <w:p>
            <w:pPr>
              <w:pStyle w:val="TableText"/>
              <w:jc w:val="left"/>
            </w:pPr>
            <w:r/>
          </w:p>
        </w:tc>
      </w:tr>
    </w:tbl>
    <w:p>
      <w:pPr>
        <w:spacing w:before="0" w:after="0" w:line="60" w:lineRule="exact"/>
      </w:pPr>
    </w:p>
    <w:p>
      <w:pPr>
        <w:pStyle w:val="Heading2"/>
      </w:pPr>
      <w:bookmarkStart w:id="9018" w:name="_Toc90018"/>
      <w:r>
        <w:t>5.4 Geotechnical, survey and existing-conditions information</w:t>
      </w:r>
      <w:bookmarkEnd w:id="9018"/>
    </w:p>
    <w:p>
      <w:pPr>
        <w:pStyle w:val="Body"/>
      </w:pPr>
      <w:r>
        <w:t>State what investigation and survey information is provided, who prepared it and what the Contractor may rely on it for. Differing site conditions risk is allocated by the General Conditions; this section describes the information, it does not reallocate the risk.</w:t>
      </w:r>
    </w:p>
    <w:p>
      <w:pPr>
        <w:pStyle w:val="Note"/>
      </w:pPr>
      <w:r>
        <w:t>Example rows shown in gray italic — delete before use. Add a row for the hazardous materials survey and register, any contamination assessment, and any acoustic, traffic or arborist report the Contractor is entitled to rely on. Allowances cover what the surveys could not reach — see Section 15.3.</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834"/>
        <w:gridCol w:w="2040"/>
        <w:gridCol w:w="1133"/>
        <w:gridCol w:w="3631"/>
      </w:tblGrid>
      <w:tr>
        <w:trPr>
          <w:tblHeader w:val="true"/>
          <w:cantSplit w:val="true"/>
        </w:trPr>
        <w:tc>
          <w:tcPr>
            <w:tcW w:w="2834" w:type="dxa"/>
            <w:shd w:val="clear" w:color="auto" w:fill="1D3245"/>
            <w:vAlign w:val="center"/>
          </w:tcPr>
          <w:p>
            <w:pPr>
              <w:pStyle w:val="TableHeader"/>
              <w:jc w:val="left"/>
            </w:pPr>
            <w:r/>
            <w:r>
              <w:t>Information provided</w:t>
            </w:r>
          </w:p>
        </w:tc>
        <w:tc>
          <w:tcPr>
            <w:tcW w:w="2040" w:type="dxa"/>
            <w:shd w:val="clear" w:color="auto" w:fill="1D3245"/>
            <w:vAlign w:val="center"/>
          </w:tcPr>
          <w:p>
            <w:pPr>
              <w:pStyle w:val="TableHeader"/>
              <w:jc w:val="left"/>
            </w:pPr>
            <w:r/>
            <w:r>
              <w:t>Author and date</w:t>
            </w:r>
          </w:p>
        </w:tc>
        <w:tc>
          <w:tcPr>
            <w:tcW w:w="1133" w:type="dxa"/>
            <w:shd w:val="clear" w:color="auto" w:fill="1D3245"/>
            <w:vAlign w:val="center"/>
          </w:tcPr>
          <w:p>
            <w:pPr>
              <w:pStyle w:val="TableHeader"/>
              <w:jc w:val="left"/>
            </w:pPr>
            <w:r/>
            <w:r>
              <w:t>Reference</w:t>
            </w:r>
          </w:p>
        </w:tc>
        <w:tc>
          <w:tcPr>
            <w:tcW w:w="3631" w:type="dxa"/>
            <w:shd w:val="clear" w:color="auto" w:fill="1D3245"/>
            <w:vAlign w:val="center"/>
          </w:tcPr>
          <w:p>
            <w:pPr>
              <w:pStyle w:val="TableHeader"/>
              <w:jc w:val="left"/>
            </w:pPr>
            <w:r/>
            <w:r>
              <w:t>Reliance</w:t>
            </w:r>
          </w:p>
        </w:tc>
      </w:tr>
      <w:tr>
        <w:trPr>
          <w:cantSplit w:val="true"/>
        </w:trPr>
        <w:tc>
          <w:tcPr>
            <w:tcW w:w="2834" w:type="dxa"/>
            <w:vAlign w:val="center"/>
          </w:tcPr>
          <w:p>
            <w:pPr>
              <w:pStyle w:val="TableTextExample"/>
              <w:jc w:val="left"/>
            </w:pPr>
            <w:r/>
            <w:r>
              <w:t>Geotechnical investigation report — 24 boreholes, 6 test pits, laboratory results</w:t>
            </w:r>
          </w:p>
        </w:tc>
        <w:tc>
          <w:tcPr>
            <w:tcW w:w="2040" w:type="dxa"/>
            <w:vAlign w:val="center"/>
          </w:tcPr>
          <w:p>
            <w:pPr>
              <w:pStyle w:val="TableTextExample"/>
              <w:jc w:val="left"/>
            </w:pPr>
            <w:r/>
            <w:r>
              <w:t>[Geotechnical consultant] · [MM/DD/YY]</w:t>
            </w:r>
          </w:p>
        </w:tc>
        <w:tc>
          <w:tcPr>
            <w:tcW w:w="1133" w:type="dxa"/>
            <w:vAlign w:val="center"/>
          </w:tcPr>
          <w:p>
            <w:pPr>
              <w:pStyle w:val="TableTextExample"/>
              <w:jc w:val="left"/>
            </w:pPr>
            <w:r/>
            <w:r>
              <w:t>Appendix C</w:t>
            </w:r>
          </w:p>
        </w:tc>
        <w:tc>
          <w:tcPr>
            <w:tcW w:w="3631" w:type="dxa"/>
            <w:vAlign w:val="center"/>
          </w:tcPr>
          <w:p>
            <w:pPr>
              <w:pStyle w:val="TableTextExample"/>
              <w:jc w:val="left"/>
            </w:pPr>
            <w:r/>
            <w:r>
              <w:t>Factual data may be relied upon at the locations tested. Interpretation and recommendations are provided for information only</w:t>
            </w:r>
          </w:p>
        </w:tc>
      </w:tr>
      <w:tr>
        <w:trPr>
          <w:cantSplit w:val="true"/>
        </w:trPr>
        <w:tc>
          <w:tcPr>
            <w:tcW w:w="2834" w:type="dxa"/>
            <w:vAlign w:val="center"/>
          </w:tcPr>
          <w:p>
            <w:pPr>
              <w:pStyle w:val="TableTextExample"/>
              <w:jc w:val="left"/>
            </w:pPr>
            <w:r/>
            <w:r>
              <w:t>Detailed and feature survey, including existing levels and boundary</w:t>
            </w:r>
          </w:p>
        </w:tc>
        <w:tc>
          <w:tcPr>
            <w:tcW w:w="2040" w:type="dxa"/>
            <w:vAlign w:val="center"/>
          </w:tcPr>
          <w:p>
            <w:pPr>
              <w:pStyle w:val="TableTextExample"/>
              <w:jc w:val="left"/>
            </w:pPr>
            <w:r/>
            <w:r>
              <w:t>[Surveyor] · [MM/DD/YY]</w:t>
            </w:r>
          </w:p>
        </w:tc>
        <w:tc>
          <w:tcPr>
            <w:tcW w:w="1133" w:type="dxa"/>
            <w:vAlign w:val="center"/>
          </w:tcPr>
          <w:p>
            <w:pPr>
              <w:pStyle w:val="TableTextExample"/>
              <w:jc w:val="left"/>
            </w:pPr>
            <w:r/>
            <w:r>
              <w:t>Appendix D</w:t>
            </w:r>
          </w:p>
        </w:tc>
        <w:tc>
          <w:tcPr>
            <w:tcW w:w="3631" w:type="dxa"/>
            <w:vAlign w:val="center"/>
          </w:tcPr>
          <w:p>
            <w:pPr>
              <w:pStyle w:val="TableTextExample"/>
              <w:jc w:val="left"/>
            </w:pPr>
            <w:r/>
            <w:r>
              <w:t>May be relied upon. The Contractor must verify levels at the control points before setting out — see Section 9.4</w:t>
            </w:r>
          </w:p>
        </w:tc>
      </w:tr>
      <w:tr>
        <w:trPr>
          <w:cantSplit w:val="true"/>
        </w:trPr>
        <w:tc>
          <w:tcPr>
            <w:tcW w:w="2834" w:type="dxa"/>
            <w:vAlign w:val="center"/>
          </w:tcPr>
          <w:p>
            <w:pPr>
              <w:pStyle w:val="TableTextExample"/>
              <w:jc w:val="left"/>
            </w:pPr>
            <w:r/>
            <w:r>
              <w:t>Service location survey — non-destructive and potholing records</w:t>
            </w:r>
          </w:p>
        </w:tc>
        <w:tc>
          <w:tcPr>
            <w:tcW w:w="2040" w:type="dxa"/>
            <w:vAlign w:val="center"/>
          </w:tcPr>
          <w:p>
            <w:pPr>
              <w:pStyle w:val="TableTextExample"/>
              <w:jc w:val="left"/>
            </w:pPr>
            <w:r/>
            <w:r>
              <w:t>[Service locator] · [MM/DD/YY]</w:t>
            </w:r>
          </w:p>
        </w:tc>
        <w:tc>
          <w:tcPr>
            <w:tcW w:w="1133" w:type="dxa"/>
            <w:vAlign w:val="center"/>
          </w:tcPr>
          <w:p>
            <w:pPr>
              <w:pStyle w:val="TableTextExample"/>
              <w:jc w:val="left"/>
            </w:pPr>
            <w:r/>
            <w:r>
              <w:t>Appendix D</w:t>
            </w:r>
          </w:p>
        </w:tc>
        <w:tc>
          <w:tcPr>
            <w:tcW w:w="3631" w:type="dxa"/>
            <w:vAlign w:val="center"/>
          </w:tcPr>
          <w:p>
            <w:pPr>
              <w:pStyle w:val="TableTextExample"/>
              <w:jc w:val="left"/>
            </w:pPr>
            <w:r/>
            <w:r>
              <w:t>Indicative only. The Contractor must prove the location of every service before excavation — see Section 10.2</w:t>
            </w:r>
          </w:p>
        </w:tc>
      </w:tr>
      <w:tr>
        <w:trPr>
          <w:cantSplit w:val="true"/>
        </w:trPr>
        <w:tc>
          <w:tcPr>
            <w:tcW w:w="2834" w:type="dxa"/>
            <w:vAlign w:val="center"/>
          </w:tcPr>
          <w:p>
            <w:pPr>
              <w:pStyle w:val="TableText"/>
              <w:jc w:val="left"/>
            </w:pPr>
            <w:r/>
          </w:p>
        </w:tc>
        <w:tc>
          <w:tcPr>
            <w:tcW w:w="2040" w:type="dxa"/>
            <w:vAlign w:val="center"/>
          </w:tcPr>
          <w:p>
            <w:pPr>
              <w:pStyle w:val="TableText"/>
              <w:jc w:val="left"/>
            </w:pPr>
            <w:r/>
          </w:p>
        </w:tc>
        <w:tc>
          <w:tcPr>
            <w:tcW w:w="1133" w:type="dxa"/>
            <w:vAlign w:val="center"/>
          </w:tcPr>
          <w:p>
            <w:pPr>
              <w:pStyle w:val="TableText"/>
              <w:jc w:val="left"/>
            </w:pPr>
            <w:r/>
          </w:p>
        </w:tc>
        <w:tc>
          <w:tcPr>
            <w:tcW w:w="3631" w:type="dxa"/>
            <w:vAlign w:val="center"/>
          </w:tcPr>
          <w:p>
            <w:pPr>
              <w:pStyle w:val="TableText"/>
              <w:jc w:val="left"/>
            </w:pPr>
            <w:r/>
          </w:p>
        </w:tc>
      </w:tr>
      <w:tr>
        <w:trPr>
          <w:cantSplit w:val="true"/>
        </w:trPr>
        <w:tc>
          <w:tcPr>
            <w:tcW w:w="2834" w:type="dxa"/>
            <w:vAlign w:val="center"/>
          </w:tcPr>
          <w:p>
            <w:pPr>
              <w:pStyle w:val="TableText"/>
              <w:jc w:val="left"/>
            </w:pPr>
            <w:r/>
          </w:p>
        </w:tc>
        <w:tc>
          <w:tcPr>
            <w:tcW w:w="2040" w:type="dxa"/>
            <w:vAlign w:val="center"/>
          </w:tcPr>
          <w:p>
            <w:pPr>
              <w:pStyle w:val="TableText"/>
              <w:jc w:val="left"/>
            </w:pPr>
            <w:r/>
          </w:p>
        </w:tc>
        <w:tc>
          <w:tcPr>
            <w:tcW w:w="1133" w:type="dxa"/>
            <w:vAlign w:val="center"/>
          </w:tcPr>
          <w:p>
            <w:pPr>
              <w:pStyle w:val="TableText"/>
              <w:jc w:val="left"/>
            </w:pPr>
            <w:r/>
          </w:p>
        </w:tc>
        <w:tc>
          <w:tcPr>
            <w:tcW w:w="3631" w:type="dxa"/>
            <w:vAlign w:val="center"/>
          </w:tcPr>
          <w:p>
            <w:pPr>
              <w:pStyle w:val="TableText"/>
              <w:jc w:val="left"/>
            </w:pPr>
            <w:r/>
          </w:p>
        </w:tc>
      </w:tr>
    </w:tbl>
    <w:p>
      <w:pPr>
        <w:spacing w:before="0" w:after="0" w:line="60" w:lineRule="exact"/>
      </w:pPr>
    </w:p>
    <w:p>
      <w:pPr>
        <w:pStyle w:val="Heading2"/>
      </w:pPr>
      <w:bookmarkStart w:id="9019" w:name="_Toc90019"/>
      <w:r>
        <w:t>5.5 Status of information issued</w:t>
      </w:r>
      <w:bookmarkEnd w:id="9019"/>
    </w:p>
    <w:p>
      <w:pPr>
        <w:pStyle w:val="Body"/>
      </w:pPr>
      <w:r>
        <w:t>The status attached to a document decides what may be done with it. State the convention once, here, and apply it in every register.</w:t>
      </w:r>
    </w:p>
    <w:p>
      <w:pPr>
        <w:pStyle w:val="Note"/>
      </w:pPr>
      <w:r>
        <w:t>This table is a reference list — its rows are the content. Keep it as written unless the project uses a different status convention, in which case align it with the project information management plan.</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814"/>
        <w:gridCol w:w="3628"/>
        <w:gridCol w:w="4196"/>
      </w:tblGrid>
      <w:tr>
        <w:trPr>
          <w:tblHeader w:val="true"/>
          <w:cantSplit w:val="true"/>
        </w:trPr>
        <w:tc>
          <w:tcPr>
            <w:tcW w:w="1814" w:type="dxa"/>
            <w:shd w:val="clear" w:color="auto" w:fill="1D3245"/>
            <w:vAlign w:val="center"/>
          </w:tcPr>
          <w:p>
            <w:pPr>
              <w:pStyle w:val="TableHeader"/>
              <w:jc w:val="left"/>
            </w:pPr>
            <w:r/>
            <w:r>
              <w:t>Status</w:t>
            </w:r>
          </w:p>
        </w:tc>
        <w:tc>
          <w:tcPr>
            <w:tcW w:w="3628" w:type="dxa"/>
            <w:shd w:val="clear" w:color="auto" w:fill="1D3245"/>
            <w:vAlign w:val="center"/>
          </w:tcPr>
          <w:p>
            <w:pPr>
              <w:pStyle w:val="TableHeader"/>
              <w:jc w:val="left"/>
            </w:pPr>
            <w:r/>
            <w:r>
              <w:t>What it means</w:t>
            </w:r>
          </w:p>
        </w:tc>
        <w:tc>
          <w:tcPr>
            <w:tcW w:w="4196" w:type="dxa"/>
            <w:shd w:val="clear" w:color="auto" w:fill="1D3245"/>
            <w:vAlign w:val="center"/>
          </w:tcPr>
          <w:p>
            <w:pPr>
              <w:pStyle w:val="TableHeader"/>
              <w:jc w:val="left"/>
            </w:pPr>
            <w:r/>
            <w:r>
              <w:t>What the Contractor may do with it</w:t>
            </w:r>
          </w:p>
        </w:tc>
      </w:tr>
      <w:tr>
        <w:trPr>
          <w:cantSplit w:val="true"/>
        </w:trPr>
        <w:tc>
          <w:tcPr>
            <w:tcW w:w="1814" w:type="dxa"/>
            <w:vAlign w:val="center"/>
          </w:tcPr>
          <w:p>
            <w:pPr>
              <w:pStyle w:val="TableText"/>
              <w:jc w:val="left"/>
            </w:pPr>
            <w:r/>
            <w:r>
              <w:t>For construction</w:t>
            </w:r>
          </w:p>
        </w:tc>
        <w:tc>
          <w:tcPr>
            <w:tcW w:w="3628" w:type="dxa"/>
            <w:vAlign w:val="center"/>
          </w:tcPr>
          <w:p>
            <w:pPr>
              <w:pStyle w:val="TableText"/>
              <w:jc w:val="left"/>
            </w:pPr>
            <w:r/>
            <w:r>
              <w:t>Complete, coordinated and authorized to build from.</w:t>
            </w:r>
          </w:p>
        </w:tc>
        <w:tc>
          <w:tcPr>
            <w:tcW w:w="4196" w:type="dxa"/>
            <w:vAlign w:val="center"/>
          </w:tcPr>
          <w:p>
            <w:pPr>
              <w:pStyle w:val="TableText"/>
              <w:jc w:val="left"/>
            </w:pPr>
            <w:r/>
            <w:r>
              <w:t>Procure, fabricate and build. The only status from which permanent work may be built.</w:t>
            </w:r>
          </w:p>
        </w:tc>
      </w:tr>
      <w:tr>
        <w:trPr>
          <w:cantSplit w:val="true"/>
        </w:trPr>
        <w:tc>
          <w:tcPr>
            <w:tcW w:w="1814" w:type="dxa"/>
            <w:vAlign w:val="center"/>
          </w:tcPr>
          <w:p>
            <w:pPr>
              <w:pStyle w:val="TableText"/>
              <w:jc w:val="left"/>
            </w:pPr>
            <w:r/>
            <w:r>
              <w:t>For bid</w:t>
            </w:r>
          </w:p>
        </w:tc>
        <w:tc>
          <w:tcPr>
            <w:tcW w:w="3628" w:type="dxa"/>
            <w:vAlign w:val="center"/>
          </w:tcPr>
          <w:p>
            <w:pPr>
              <w:pStyle w:val="TableText"/>
              <w:jc w:val="left"/>
            </w:pPr>
            <w:r/>
            <w:r>
              <w:t>Developed enough to price, but may change before construction issue.</w:t>
            </w:r>
          </w:p>
        </w:tc>
        <w:tc>
          <w:tcPr>
            <w:tcW w:w="4196" w:type="dxa"/>
            <w:vAlign w:val="center"/>
          </w:tcPr>
          <w:p>
            <w:pPr>
              <w:pStyle w:val="TableText"/>
              <w:jc w:val="left"/>
            </w:pPr>
            <w:r/>
            <w:r>
              <w:t>Price and plan; do not fabricate. Changes before construction issue are assessed against the bid revision.</w:t>
            </w:r>
          </w:p>
        </w:tc>
      </w:tr>
      <w:tr>
        <w:trPr>
          <w:cantSplit w:val="true"/>
        </w:trPr>
        <w:tc>
          <w:tcPr>
            <w:tcW w:w="1814" w:type="dxa"/>
            <w:vAlign w:val="center"/>
          </w:tcPr>
          <w:p>
            <w:pPr>
              <w:pStyle w:val="TableText"/>
              <w:jc w:val="left"/>
            </w:pPr>
            <w:r/>
            <w:r>
              <w:t>For information only</w:t>
            </w:r>
          </w:p>
        </w:tc>
        <w:tc>
          <w:tcPr>
            <w:tcW w:w="3628" w:type="dxa"/>
            <w:vAlign w:val="center"/>
          </w:tcPr>
          <w:p>
            <w:pPr>
              <w:pStyle w:val="TableText"/>
              <w:jc w:val="left"/>
            </w:pPr>
            <w:r/>
            <w:r>
              <w:t>Provided for context, existing conditions or another party's work.</w:t>
            </w:r>
          </w:p>
        </w:tc>
        <w:tc>
          <w:tcPr>
            <w:tcW w:w="4196" w:type="dxa"/>
            <w:vAlign w:val="center"/>
          </w:tcPr>
          <w:p>
            <w:pPr>
              <w:pStyle w:val="TableText"/>
              <w:jc w:val="left"/>
            </w:pPr>
            <w:r/>
            <w:r>
              <w:t>Read and coordinate. Nothing in it forms part of the Work and no dimension or quantity may be relied upon.</w:t>
            </w:r>
          </w:p>
        </w:tc>
      </w:tr>
      <w:tr>
        <w:trPr>
          <w:cantSplit w:val="true"/>
        </w:trPr>
        <w:tc>
          <w:tcPr>
            <w:tcW w:w="1814" w:type="dxa"/>
            <w:vAlign w:val="center"/>
          </w:tcPr>
          <w:p>
            <w:pPr>
              <w:pStyle w:val="TableText"/>
              <w:jc w:val="left"/>
            </w:pPr>
            <w:r/>
            <w:r>
              <w:t>Preliminary / for coordination</w:t>
            </w:r>
          </w:p>
        </w:tc>
        <w:tc>
          <w:tcPr>
            <w:tcW w:w="3628" w:type="dxa"/>
            <w:vAlign w:val="center"/>
          </w:tcPr>
          <w:p>
            <w:pPr>
              <w:pStyle w:val="TableText"/>
              <w:jc w:val="left"/>
            </w:pPr>
            <w:r/>
            <w:r>
              <w:t>Work in progress, issued to allow interface resolution.</w:t>
            </w:r>
          </w:p>
        </w:tc>
        <w:tc>
          <w:tcPr>
            <w:tcW w:w="4196" w:type="dxa"/>
            <w:vAlign w:val="center"/>
          </w:tcPr>
          <w:p>
            <w:pPr>
              <w:pStyle w:val="TableText"/>
              <w:jc w:val="left"/>
            </w:pPr>
            <w:r/>
            <w:r>
              <w:t>Coordinate only. Work carried out from it is at the Contractor's risk.</w:t>
            </w:r>
          </w:p>
        </w:tc>
      </w:tr>
      <w:tr>
        <w:trPr>
          <w:cantSplit w:val="true"/>
        </w:trPr>
        <w:tc>
          <w:tcPr>
            <w:tcW w:w="1814" w:type="dxa"/>
            <w:vAlign w:val="center"/>
          </w:tcPr>
          <w:p>
            <w:pPr>
              <w:pStyle w:val="TableText"/>
              <w:jc w:val="left"/>
            </w:pPr>
            <w:r/>
            <w:r>
              <w:t>Superseded</w:t>
            </w:r>
          </w:p>
        </w:tc>
        <w:tc>
          <w:tcPr>
            <w:tcW w:w="3628" w:type="dxa"/>
            <w:vAlign w:val="center"/>
          </w:tcPr>
          <w:p>
            <w:pPr>
              <w:pStyle w:val="TableText"/>
              <w:jc w:val="left"/>
            </w:pPr>
            <w:r/>
            <w:r>
              <w:t>Replaced by a later revision.</w:t>
            </w:r>
          </w:p>
        </w:tc>
        <w:tc>
          <w:tcPr>
            <w:tcW w:w="4196" w:type="dxa"/>
            <w:vAlign w:val="center"/>
          </w:tcPr>
          <w:p>
            <w:pPr>
              <w:pStyle w:val="TableText"/>
              <w:jc w:val="left"/>
            </w:pPr>
            <w:r/>
            <w:r>
              <w:t>Withdraw from use. Building from it is a nonconformance, rectified at the Contractor's cost.</w:t>
            </w:r>
          </w:p>
        </w:tc>
      </w:tr>
    </w:tbl>
    <w:p>
      <w:pPr>
        <w:spacing w:before="0" w:after="0" w:line="60" w:lineRule="exact"/>
      </w:pPr>
    </w:p>
    <w:p>
      <w:pPr>
        <w:pStyle w:val="Heading1"/>
      </w:pPr>
      <w:bookmarkStart w:id="9020" w:name="_Toc90020"/>
      <w:r>
        <w:t>6. Detailed Scope of Work</w:t>
      </w:r>
      <w:bookmarkEnd w:id="9020"/>
    </w:p>
    <w:p>
      <w:pPr>
        <w:pStyle w:val="BodyLead"/>
      </w:pPr>
      <w:r>
        <w:t>This is the operative section: it defines the Work. It is set out two ways — by work breakdown and trade element at Section 6.1, and by construction stage at Section 6.2 — so that the same document serves a prime contract and a trade package. Both views describe the same Work; they must reconcile, and where they do not, Section 6.1 prevails. Key every line to its CSI MasterFormat section number. A US estimator reads a scope sheet by section number first, and a scope with no section keys reads as incomplete however well the prose is written.</w:t>
      </w:r>
    </w:p>
    <w:tbl>
      <w:tblPr>
        <w:tblLook w:firstColumn="1" w:firstRow="1" w:lastColumn="0" w:lastRow="0" w:noHBand="0" w:noVBand="1" w:val="04A0"/>
        <w:tblLayout w:type="fixed"/>
        <w:tblW w:w="9638" w:type="dxa"/>
        <w:tblInd w:w="0" w:type="dxa"/>
        <w:tblCellMar>
          <w:top w:w="110" w:type="dxa"/>
          <w:left w:w="170" w:type="dxa"/>
          <w:bottom w:w="110" w:type="dxa"/>
          <w:right w:w="170" w:type="dxa"/>
        </w:tblCellMar>
      </w:tblPr>
      <w:tblGrid>
        <w:gridCol w:w="9638"/>
      </w:tblGrid>
      <w:tr>
        <w:tc>
          <w:tcPr>
            <w:tcW w:w="9638" w:type="dxa"/>
            <w:shd w:val="clear" w:color="auto" w:fill="F6F9FC"/>
            <w:tcBorders>
              <w:left w:val="single" w:sz="4" w:space="0" w:color="3480BC"/>
            </w:tcBorders>
          </w:tcPr>
          <w:p>
            <w:pPr>
              <w:pStyle w:val="Body"/>
            </w:pPr>
            <w:r/>
            <w:r>
              <w:t>Apply three tests to every line. Boundary: can two reasonable people reading only that line agree where the work starts and stops, by reference to a grid, a level, a chainage or a named element? Standard: is the required outcome measurable, and is the test that proves it named? Responsibility: is it clear who does the work, who supplies the material, and who accepts it? A line that fails any of the three is where the next change order request will be made.</w:t>
            </w:r>
          </w:p>
        </w:tc>
      </w:tr>
    </w:tbl>
    <w:p>
      <w:pPr>
        <w:spacing w:before="0" w:after="0" w:line="160" w:lineRule="exact"/>
      </w:pPr>
    </w:p>
    <w:p>
      <w:pPr>
        <w:sectPr>
          <w:headerReference w:type="default" r:id="rId11"/>
          <w:footerReference w:type="default" r:id="rId12"/>
          <w:pgSz w:w="11906" w:h="16838"/>
          <w:pgMar w:top="1049" w:right="1134" w:bottom="850" w:left="1134" w:header="482" w:footer="454" w:gutter="0"/>
          <w:cols w:space="720"/>
        </w:sectPr>
      </w:pPr>
    </w:p>
    <w:p>
      <w:pPr>
        <w:pStyle w:val="Heading2"/>
      </w:pPr>
      <w:bookmarkStart w:id="9021" w:name="_Toc90021"/>
      <w:r>
        <w:t>6.1 Scope by work breakdown and trade element</w:t>
      </w:r>
      <w:bookmarkEnd w:id="9021"/>
    </w:p>
    <w:p>
      <w:pPr>
        <w:pStyle w:val="Note"/>
      </w:pPr>
      <w:r>
        <w:t>Example rows shown in gray italic — delete before use. One row per work breakdown element. Quantity basis must be one of: Measured (re-measured at the unit price) · Lump sum (fixed; quantity risk with the Contractor) · Allowance (instructed and adjusted under Section 15.3) · Rate only (no quantity committed). Where a performance requirement is stated the Contractor carries design responsibility for that element — see Section 6.3.</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14570" w:type="dxa"/>
        <w:tblInd w:w="0" w:type="dxa"/>
        <w:tblCellMar>
          <w:top w:w="45" w:type="dxa"/>
          <w:left w:w="100" w:type="dxa"/>
          <w:bottom w:w="45" w:type="dxa"/>
          <w:right w:w="100" w:type="dxa"/>
        </w:tblCellMar>
      </w:tblPr>
      <w:tblGrid>
        <w:gridCol w:w="818"/>
        <w:gridCol w:w="1321"/>
        <w:gridCol w:w="3052"/>
        <w:gridCol w:w="1101"/>
        <w:gridCol w:w="1006"/>
        <w:gridCol w:w="723"/>
        <w:gridCol w:w="1006"/>
        <w:gridCol w:w="2580"/>
        <w:gridCol w:w="1132"/>
        <w:gridCol w:w="1831"/>
      </w:tblGrid>
      <w:tr>
        <w:trPr>
          <w:tblHeader w:val="true"/>
          <w:cantSplit w:val="true"/>
        </w:trPr>
        <w:tc>
          <w:tcPr>
            <w:tcW w:w="818" w:type="dxa"/>
            <w:shd w:val="clear" w:color="auto" w:fill="1D3245"/>
            <w:vAlign w:val="center"/>
          </w:tcPr>
          <w:p>
            <w:pPr>
              <w:pStyle w:val="TableHeader"/>
              <w:jc w:val="left"/>
            </w:pPr>
            <w:r/>
            <w:r>
              <w:t>WBS</w:t>
            </w:r>
          </w:p>
        </w:tc>
        <w:tc>
          <w:tcPr>
            <w:tcW w:w="1321" w:type="dxa"/>
            <w:shd w:val="clear" w:color="auto" w:fill="1D3245"/>
            <w:vAlign w:val="center"/>
          </w:tcPr>
          <w:p>
            <w:pPr>
              <w:pStyle w:val="TableHeader"/>
              <w:jc w:val="left"/>
            </w:pPr>
            <w:r/>
            <w:r>
              <w:t>Element</w:t>
            </w:r>
          </w:p>
        </w:tc>
        <w:tc>
          <w:tcPr>
            <w:tcW w:w="3052" w:type="dxa"/>
            <w:shd w:val="clear" w:color="auto" w:fill="1D3245"/>
            <w:vAlign w:val="center"/>
          </w:tcPr>
          <w:p>
            <w:pPr>
              <w:pStyle w:val="TableHeader"/>
              <w:jc w:val="left"/>
            </w:pPr>
            <w:r/>
            <w:r>
              <w:t>Description of works required</w:t>
            </w:r>
          </w:p>
        </w:tc>
        <w:tc>
          <w:tcPr>
            <w:tcW w:w="1101" w:type="dxa"/>
            <w:shd w:val="clear" w:color="auto" w:fill="1D3245"/>
            <w:vAlign w:val="center"/>
          </w:tcPr>
          <w:p>
            <w:pPr>
              <w:pStyle w:val="TableHeader"/>
              <w:jc w:val="left"/>
            </w:pPr>
            <w:r/>
            <w:r>
              <w:t>Spec. ref</w:t>
            </w:r>
          </w:p>
        </w:tc>
        <w:tc>
          <w:tcPr>
            <w:tcW w:w="1006" w:type="dxa"/>
            <w:shd w:val="clear" w:color="auto" w:fill="1D3245"/>
            <w:vAlign w:val="center"/>
          </w:tcPr>
          <w:p>
            <w:pPr>
              <w:pStyle w:val="TableHeader"/>
              <w:jc w:val="left"/>
            </w:pPr>
            <w:r/>
            <w:r>
              <w:t>Drawing ref</w:t>
            </w:r>
          </w:p>
        </w:tc>
        <w:tc>
          <w:tcPr>
            <w:tcW w:w="723" w:type="dxa"/>
            <w:shd w:val="clear" w:color="auto" w:fill="1D3245"/>
            <w:vAlign w:val="center"/>
          </w:tcPr>
          <w:p>
            <w:pPr>
              <w:pStyle w:val="TableHeader"/>
              <w:jc w:val="left"/>
            </w:pPr>
            <w:r/>
            <w:r>
              <w:t>Unit</w:t>
            </w:r>
          </w:p>
        </w:tc>
        <w:tc>
          <w:tcPr>
            <w:tcW w:w="1006" w:type="dxa"/>
            <w:shd w:val="clear" w:color="auto" w:fill="1D3245"/>
            <w:vAlign w:val="center"/>
          </w:tcPr>
          <w:p>
            <w:pPr>
              <w:pStyle w:val="TableHeader"/>
              <w:jc w:val="left"/>
            </w:pPr>
            <w:r/>
            <w:r>
              <w:t>Quantity basis</w:t>
            </w:r>
          </w:p>
        </w:tc>
        <w:tc>
          <w:tcPr>
            <w:tcW w:w="2580" w:type="dxa"/>
            <w:shd w:val="clear" w:color="auto" w:fill="1D3245"/>
            <w:vAlign w:val="center"/>
          </w:tcPr>
          <w:p>
            <w:pPr>
              <w:pStyle w:val="TableHeader"/>
              <w:jc w:val="left"/>
            </w:pPr>
            <w:r/>
            <w:r>
              <w:t>Performance requirement</w:t>
            </w:r>
          </w:p>
        </w:tc>
        <w:tc>
          <w:tcPr>
            <w:tcW w:w="1132" w:type="dxa"/>
            <w:shd w:val="clear" w:color="auto" w:fill="1D3245"/>
            <w:vAlign w:val="center"/>
          </w:tcPr>
          <w:p>
            <w:pPr>
              <w:pStyle w:val="TableHeader"/>
              <w:jc w:val="left"/>
            </w:pPr>
            <w:r/>
            <w:r>
              <w:t>By whom</w:t>
            </w:r>
          </w:p>
        </w:tc>
        <w:tc>
          <w:tcPr>
            <w:tcW w:w="1831" w:type="dxa"/>
            <w:shd w:val="clear" w:color="auto" w:fill="1D3245"/>
            <w:vAlign w:val="center"/>
          </w:tcPr>
          <w:p>
            <w:pPr>
              <w:pStyle w:val="TableHeader"/>
              <w:jc w:val="left"/>
            </w:pPr>
            <w:r/>
            <w:r>
              <w:t>Notes</w:t>
            </w:r>
          </w:p>
        </w:tc>
      </w:tr>
      <w:tr>
        <w:trPr>
          <w:cantSplit w:val="true"/>
        </w:trPr>
        <w:tc>
          <w:tcPr>
            <w:tcW w:w="818" w:type="dxa"/>
            <w:vAlign w:val="center"/>
          </w:tcPr>
          <w:p>
            <w:pPr>
              <w:pStyle w:val="TableTextExample"/>
              <w:jc w:val="left"/>
            </w:pPr>
            <w:r/>
            <w:r>
              <w:t>01-10</w:t>
            </w:r>
          </w:p>
        </w:tc>
        <w:tc>
          <w:tcPr>
            <w:tcW w:w="1321" w:type="dxa"/>
            <w:vAlign w:val="center"/>
          </w:tcPr>
          <w:p>
            <w:pPr>
              <w:pStyle w:val="TableTextExample"/>
              <w:jc w:val="left"/>
            </w:pPr>
            <w:r/>
            <w:r>
              <w:t>Mobilization and temporary facilities</w:t>
            </w:r>
          </w:p>
        </w:tc>
        <w:tc>
          <w:tcPr>
            <w:tcW w:w="3052" w:type="dxa"/>
            <w:vAlign w:val="center"/>
          </w:tcPr>
          <w:p>
            <w:pPr>
              <w:pStyle w:val="TableTextExample"/>
              <w:jc w:val="left"/>
            </w:pPr>
            <w:r/>
            <w:r>
              <w:t>Sheds and welfare facilities, perimeter fence to Riverside Terrace, gatehouse, wheel wash, temporary services, hospital wayfinding</w:t>
            </w:r>
          </w:p>
        </w:tc>
        <w:tc>
          <w:tcPr>
            <w:tcW w:w="1101" w:type="dxa"/>
            <w:vAlign w:val="center"/>
          </w:tcPr>
          <w:p>
            <w:pPr>
              <w:pStyle w:val="TableTextExample"/>
              <w:jc w:val="left"/>
            </w:pPr>
            <w:r/>
            <w:r>
              <w:t>SPEC-01 §2</w:t>
            </w:r>
          </w:p>
        </w:tc>
        <w:tc>
          <w:tcPr>
            <w:tcW w:w="1006" w:type="dxa"/>
            <w:vAlign w:val="center"/>
          </w:tcPr>
          <w:p>
            <w:pPr>
              <w:pStyle w:val="TableTextExample"/>
              <w:jc w:val="left"/>
            </w:pPr>
            <w:r/>
            <w:r>
              <w:t>S2-SI-1001 C</w:t>
            </w:r>
          </w:p>
        </w:tc>
        <w:tc>
          <w:tcPr>
            <w:tcW w:w="723" w:type="dxa"/>
            <w:vAlign w:val="center"/>
          </w:tcPr>
          <w:p>
            <w:pPr>
              <w:pStyle w:val="TableTextExample"/>
              <w:jc w:val="left"/>
            </w:pPr>
            <w:r/>
            <w:r>
              <w:t>item</w:t>
            </w:r>
          </w:p>
        </w:tc>
        <w:tc>
          <w:tcPr>
            <w:tcW w:w="1006" w:type="dxa"/>
            <w:vAlign w:val="center"/>
          </w:tcPr>
          <w:p>
            <w:pPr>
              <w:pStyle w:val="TableTextExample"/>
              <w:jc w:val="left"/>
            </w:pPr>
            <w:r/>
            <w:r>
              <w:t>Lump sum</w:t>
            </w:r>
          </w:p>
        </w:tc>
        <w:tc>
          <w:tcPr>
            <w:tcW w:w="2580" w:type="dxa"/>
            <w:vAlign w:val="center"/>
          </w:tcPr>
          <w:p>
            <w:pPr>
              <w:pStyle w:val="TableTextExample"/>
              <w:jc w:val="left"/>
            </w:pPr>
            <w:r/>
            <w:r>
              <w:t>Perimeter fence to [insert applicable national standard] wind load; 1.8 m clear hospital pedestrian route at all times</w:t>
            </w:r>
          </w:p>
        </w:tc>
        <w:tc>
          <w:tcPr>
            <w:tcW w:w="1132" w:type="dxa"/>
            <w:vAlign w:val="center"/>
          </w:tcPr>
          <w:p>
            <w:pPr>
              <w:pStyle w:val="TableTextExample"/>
              <w:jc w:val="left"/>
            </w:pPr>
            <w:r/>
            <w:r>
              <w:t>Contractor</w:t>
            </w:r>
          </w:p>
        </w:tc>
        <w:tc>
          <w:tcPr>
            <w:tcW w:w="1831" w:type="dxa"/>
            <w:vAlign w:val="center"/>
          </w:tcPr>
          <w:p>
            <w:pPr>
              <w:pStyle w:val="TableTextExample"/>
              <w:jc w:val="left"/>
            </w:pPr>
            <w:r/>
            <w:r>
              <w:t>Layout agreed with the Owner's facilities manager</w:t>
            </w:r>
          </w:p>
        </w:tc>
      </w:tr>
      <w:tr>
        <w:trPr>
          <w:cantSplit w:val="true"/>
        </w:trPr>
        <w:tc>
          <w:tcPr>
            <w:tcW w:w="818" w:type="dxa"/>
            <w:vAlign w:val="center"/>
          </w:tcPr>
          <w:p>
            <w:pPr>
              <w:pStyle w:val="TableTextExample"/>
              <w:jc w:val="left"/>
            </w:pPr>
            <w:r/>
            <w:r>
              <w:t>02-10</w:t>
            </w:r>
          </w:p>
        </w:tc>
        <w:tc>
          <w:tcPr>
            <w:tcW w:w="1321" w:type="dxa"/>
            <w:vAlign w:val="center"/>
          </w:tcPr>
          <w:p>
            <w:pPr>
              <w:pStyle w:val="TableTextExample"/>
              <w:jc w:val="left"/>
            </w:pPr>
            <w:r/>
            <w:r>
              <w:t>Demolition and make-safe</w:t>
            </w:r>
          </w:p>
        </w:tc>
        <w:tc>
          <w:tcPr>
            <w:tcW w:w="3052" w:type="dxa"/>
            <w:vAlign w:val="center"/>
          </w:tcPr>
          <w:p>
            <w:pPr>
              <w:pStyle w:val="TableTextExample"/>
              <w:jc w:val="left"/>
            </w:pPr>
            <w:r/>
            <w:r>
              <w:t>Ward Block D annexe (1,240 m²), ACM removal, capping of redundant services</w:t>
            </w:r>
          </w:p>
        </w:tc>
        <w:tc>
          <w:tcPr>
            <w:tcW w:w="1101" w:type="dxa"/>
            <w:vAlign w:val="center"/>
          </w:tcPr>
          <w:p>
            <w:pPr>
              <w:pStyle w:val="TableTextExample"/>
              <w:jc w:val="left"/>
            </w:pPr>
            <w:r/>
            <w:r>
              <w:t>SPEC-02 §3</w:t>
            </w:r>
          </w:p>
        </w:tc>
        <w:tc>
          <w:tcPr>
            <w:tcW w:w="1006" w:type="dxa"/>
            <w:vAlign w:val="center"/>
          </w:tcPr>
          <w:p>
            <w:pPr>
              <w:pStyle w:val="TableTextExample"/>
              <w:jc w:val="left"/>
            </w:pPr>
            <w:r/>
            <w:r>
              <w:t>S2-DE-1100 B</w:t>
            </w:r>
          </w:p>
        </w:tc>
        <w:tc>
          <w:tcPr>
            <w:tcW w:w="723" w:type="dxa"/>
            <w:vAlign w:val="center"/>
          </w:tcPr>
          <w:p>
            <w:pPr>
              <w:pStyle w:val="TableTextExample"/>
              <w:jc w:val="left"/>
            </w:pPr>
            <w:r/>
            <w:r>
              <w:t>m²</w:t>
            </w:r>
          </w:p>
        </w:tc>
        <w:tc>
          <w:tcPr>
            <w:tcW w:w="1006" w:type="dxa"/>
            <w:vAlign w:val="center"/>
          </w:tcPr>
          <w:p>
            <w:pPr>
              <w:pStyle w:val="TableTextExample"/>
              <w:jc w:val="left"/>
            </w:pPr>
            <w:r/>
            <w:r>
              <w:t>Measured</w:t>
            </w:r>
          </w:p>
        </w:tc>
        <w:tc>
          <w:tcPr>
            <w:tcW w:w="2580" w:type="dxa"/>
            <w:vAlign w:val="center"/>
          </w:tcPr>
          <w:p>
            <w:pPr>
              <w:pStyle w:val="TableTextExample"/>
              <w:jc w:val="left"/>
            </w:pPr>
            <w:r/>
            <w:r>
              <w:t>Area safe for public access; clearance certificate before hand-back</w:t>
            </w:r>
          </w:p>
        </w:tc>
        <w:tc>
          <w:tcPr>
            <w:tcW w:w="1132" w:type="dxa"/>
            <w:vAlign w:val="center"/>
          </w:tcPr>
          <w:p>
            <w:pPr>
              <w:pStyle w:val="TableTextExample"/>
              <w:jc w:val="left"/>
            </w:pPr>
            <w:r/>
            <w:r>
              <w:t>Contractor</w:t>
            </w:r>
          </w:p>
        </w:tc>
        <w:tc>
          <w:tcPr>
            <w:tcW w:w="1831" w:type="dxa"/>
            <w:vAlign w:val="center"/>
          </w:tcPr>
          <w:p>
            <w:pPr>
              <w:pStyle w:val="TableTextExample"/>
              <w:jc w:val="left"/>
            </w:pPr>
            <w:r/>
            <w:r>
              <w:t>ACM quantity allowance — PS-02</w:t>
            </w:r>
          </w:p>
        </w:tc>
      </w:tr>
      <w:tr>
        <w:trPr>
          <w:cantSplit w:val="true"/>
        </w:trPr>
        <w:tc>
          <w:tcPr>
            <w:tcW w:w="818" w:type="dxa"/>
            <w:vAlign w:val="center"/>
          </w:tcPr>
          <w:p>
            <w:pPr>
              <w:pStyle w:val="TableTextExample"/>
              <w:jc w:val="left"/>
            </w:pPr>
            <w:r/>
            <w:r>
              <w:t>03-10</w:t>
            </w:r>
          </w:p>
        </w:tc>
        <w:tc>
          <w:tcPr>
            <w:tcW w:w="1321" w:type="dxa"/>
            <w:vAlign w:val="center"/>
          </w:tcPr>
          <w:p>
            <w:pPr>
              <w:pStyle w:val="TableTextExample"/>
              <w:jc w:val="left"/>
            </w:pPr>
            <w:r/>
            <w:r>
              <w:t>Excavation, bulk and detailed</w:t>
            </w:r>
          </w:p>
        </w:tc>
        <w:tc>
          <w:tcPr>
            <w:tcW w:w="3052" w:type="dxa"/>
            <w:vAlign w:val="center"/>
          </w:tcPr>
          <w:p>
            <w:pPr>
              <w:pStyle w:val="TableTextExample"/>
              <w:jc w:val="left"/>
            </w:pPr>
            <w:r/>
            <w:r>
              <w:t>26,500 m³ to underside of Basement 2 slab at RL 8.40, with dewatering and disposal; pile caps, pits and trenches</w:t>
            </w:r>
          </w:p>
        </w:tc>
        <w:tc>
          <w:tcPr>
            <w:tcW w:w="1101" w:type="dxa"/>
            <w:vAlign w:val="center"/>
          </w:tcPr>
          <w:p>
            <w:pPr>
              <w:pStyle w:val="TableTextExample"/>
              <w:jc w:val="left"/>
            </w:pPr>
            <w:r/>
            <w:r>
              <w:t>SPEC-03 §4-§5</w:t>
            </w:r>
          </w:p>
        </w:tc>
        <w:tc>
          <w:tcPr>
            <w:tcW w:w="1006" w:type="dxa"/>
            <w:vAlign w:val="center"/>
          </w:tcPr>
          <w:p>
            <w:pPr>
              <w:pStyle w:val="TableTextExample"/>
              <w:jc w:val="left"/>
            </w:pPr>
            <w:r/>
            <w:r>
              <w:t>S2-CV-2010 D</w:t>
            </w:r>
          </w:p>
        </w:tc>
        <w:tc>
          <w:tcPr>
            <w:tcW w:w="723" w:type="dxa"/>
            <w:vAlign w:val="center"/>
          </w:tcPr>
          <w:p>
            <w:pPr>
              <w:pStyle w:val="TableTextExample"/>
              <w:jc w:val="left"/>
            </w:pPr>
            <w:r/>
            <w:r>
              <w:t>m³</w:t>
            </w:r>
          </w:p>
        </w:tc>
        <w:tc>
          <w:tcPr>
            <w:tcW w:w="1006" w:type="dxa"/>
            <w:vAlign w:val="center"/>
          </w:tcPr>
          <w:p>
            <w:pPr>
              <w:pStyle w:val="TableTextExample"/>
              <w:jc w:val="left"/>
            </w:pPr>
            <w:r/>
            <w:r>
              <w:t>Measured</w:t>
            </w:r>
          </w:p>
        </w:tc>
        <w:tc>
          <w:tcPr>
            <w:tcW w:w="2580" w:type="dxa"/>
            <w:vAlign w:val="center"/>
          </w:tcPr>
          <w:p>
            <w:pPr>
              <w:pStyle w:val="TableTextExample"/>
              <w:jc w:val="left"/>
            </w:pPr>
            <w:r/>
            <w:r>
              <w:t>Formation proof-rolled and accepted by the geotechnical engineer; levels ±25 mm</w:t>
            </w:r>
          </w:p>
        </w:tc>
        <w:tc>
          <w:tcPr>
            <w:tcW w:w="1132" w:type="dxa"/>
            <w:vAlign w:val="center"/>
          </w:tcPr>
          <w:p>
            <w:pPr>
              <w:pStyle w:val="TableTextExample"/>
              <w:jc w:val="left"/>
            </w:pPr>
            <w:r/>
            <w:r>
              <w:t>Contractor</w:t>
            </w:r>
          </w:p>
        </w:tc>
        <w:tc>
          <w:tcPr>
            <w:tcW w:w="1831" w:type="dxa"/>
            <w:vAlign w:val="center"/>
          </w:tcPr>
          <w:p>
            <w:pPr>
              <w:pStyle w:val="TableTextExample"/>
              <w:jc w:val="left"/>
            </w:pPr>
            <w:r/>
            <w:r>
              <w:t>Rock above 5% at rate PR-03; hand excavation within 1.0 m of services — Section 10.2</w:t>
            </w:r>
          </w:p>
        </w:tc>
      </w:tr>
      <w:tr>
        <w:trPr>
          <w:cantSplit w:val="true"/>
        </w:trPr>
        <w:tc>
          <w:tcPr>
            <w:tcW w:w="818" w:type="dxa"/>
            <w:vAlign w:val="center"/>
          </w:tcPr>
          <w:p>
            <w:pPr>
              <w:pStyle w:val="TableTextExample"/>
              <w:jc w:val="left"/>
            </w:pPr>
            <w:r/>
            <w:r>
              <w:t>04-10</w:t>
            </w:r>
          </w:p>
        </w:tc>
        <w:tc>
          <w:tcPr>
            <w:tcW w:w="1321" w:type="dxa"/>
            <w:vAlign w:val="center"/>
          </w:tcPr>
          <w:p>
            <w:pPr>
              <w:pStyle w:val="TableTextExample"/>
              <w:jc w:val="left"/>
            </w:pPr>
            <w:r/>
            <w:r>
              <w:t>Shoring, ground support and piling</w:t>
            </w:r>
          </w:p>
        </w:tc>
        <w:tc>
          <w:tcPr>
            <w:tcW w:w="3052" w:type="dxa"/>
            <w:vAlign w:val="center"/>
          </w:tcPr>
          <w:p>
            <w:pPr>
              <w:pStyle w:val="TableTextExample"/>
              <w:jc w:val="left"/>
            </w:pPr>
            <w:r/>
            <w:r>
              <w:t>Contiguous piled wall 612 m, two rows of ground anchors, capping beam, movement instrumentation; 214 no. bored piles 750-1200 mm to design set with integrity testing of 10%</w:t>
            </w:r>
          </w:p>
        </w:tc>
        <w:tc>
          <w:tcPr>
            <w:tcW w:w="1101" w:type="dxa"/>
            <w:vAlign w:val="center"/>
          </w:tcPr>
          <w:p>
            <w:pPr>
              <w:pStyle w:val="TableTextExample"/>
              <w:jc w:val="left"/>
            </w:pPr>
            <w:r/>
            <w:r>
              <w:t>SPEC-04 §2</w:t>
            </w:r>
          </w:p>
          <w:p>
            <w:pPr>
              <w:pStyle w:val="TableTextExample"/>
              <w:jc w:val="left"/>
            </w:pPr>
            <w:r>
              <w:t>SPEC-05 §3</w:t>
            </w:r>
          </w:p>
        </w:tc>
        <w:tc>
          <w:tcPr>
            <w:tcW w:w="1006" w:type="dxa"/>
            <w:vAlign w:val="center"/>
          </w:tcPr>
          <w:p>
            <w:pPr>
              <w:pStyle w:val="TableTextExample"/>
              <w:jc w:val="left"/>
            </w:pPr>
            <w:r/>
            <w:r>
              <w:t>S2-ST-2100 C</w:t>
            </w:r>
          </w:p>
          <w:p>
            <w:pPr>
              <w:pStyle w:val="TableTextExample"/>
              <w:jc w:val="left"/>
            </w:pPr>
            <w:r>
              <w:t>S2-ST-2200 B</w:t>
            </w:r>
          </w:p>
        </w:tc>
        <w:tc>
          <w:tcPr>
            <w:tcW w:w="723" w:type="dxa"/>
            <w:vAlign w:val="center"/>
          </w:tcPr>
          <w:p>
            <w:pPr>
              <w:pStyle w:val="TableTextExample"/>
              <w:jc w:val="left"/>
            </w:pPr>
            <w:r/>
            <w:r>
              <w:t>m</w:t>
            </w:r>
          </w:p>
          <w:p>
            <w:pPr>
              <w:pStyle w:val="TableTextExample"/>
              <w:jc w:val="left"/>
            </w:pPr>
            <w:r>
              <w:t>no.</w:t>
            </w:r>
          </w:p>
        </w:tc>
        <w:tc>
          <w:tcPr>
            <w:tcW w:w="1006" w:type="dxa"/>
            <w:vAlign w:val="center"/>
          </w:tcPr>
          <w:p>
            <w:pPr>
              <w:pStyle w:val="TableTextExample"/>
              <w:jc w:val="left"/>
            </w:pPr>
            <w:r/>
            <w:r>
              <w:t>Lump sum</w:t>
            </w:r>
          </w:p>
          <w:p>
            <w:pPr>
              <w:pStyle w:val="TableTextExample"/>
              <w:jc w:val="left"/>
            </w:pPr>
            <w:r>
              <w:t>Measured</w:t>
            </w:r>
          </w:p>
        </w:tc>
        <w:tc>
          <w:tcPr>
            <w:tcW w:w="2580" w:type="dxa"/>
            <w:vAlign w:val="center"/>
          </w:tcPr>
          <w:p>
            <w:pPr>
              <w:pStyle w:val="TableTextExample"/>
              <w:jc w:val="left"/>
            </w:pPr>
            <w:r/>
            <w:r>
              <w:t>Wall deflection ≤ 0.15% of retained height and movement at Ward Block C ≤ 8 mm, trigger 5 mm; static load test on 2 no. piles; vibration ≤ 2.5 mm/s PPV</w:t>
            </w:r>
          </w:p>
        </w:tc>
        <w:tc>
          <w:tcPr>
            <w:tcW w:w="1132" w:type="dxa"/>
            <w:vAlign w:val="center"/>
          </w:tcPr>
          <w:p>
            <w:pPr>
              <w:pStyle w:val="TableTextExample"/>
              <w:jc w:val="left"/>
            </w:pPr>
            <w:r/>
            <w:r>
              <w:t>Contractor — D&amp;C</w:t>
            </w:r>
          </w:p>
        </w:tc>
        <w:tc>
          <w:tcPr>
            <w:tcW w:w="1831" w:type="dxa"/>
            <w:vAlign w:val="center"/>
          </w:tcPr>
          <w:p>
            <w:pPr>
              <w:pStyle w:val="TableTextExample"/>
              <w:jc w:val="left"/>
            </w:pPr>
            <w:r/>
            <w:r>
              <w:t>Temporary works certified by an independent reviewer; no piling 07:00-14:00 theatre days — Section 10.3</w:t>
            </w:r>
          </w:p>
        </w:tc>
      </w:tr>
      <w:tr>
        <w:trPr>
          <w:cantSplit w:val="true"/>
        </w:trPr>
        <w:tc>
          <w:tcPr>
            <w:tcW w:w="818" w:type="dxa"/>
            <w:vAlign w:val="center"/>
          </w:tcPr>
          <w:p>
            <w:pPr>
              <w:pStyle w:val="TableTextExample"/>
              <w:jc w:val="left"/>
            </w:pPr>
            <w:r/>
            <w:r>
              <w:t>06-10</w:t>
            </w:r>
          </w:p>
        </w:tc>
        <w:tc>
          <w:tcPr>
            <w:tcW w:w="1321" w:type="dxa"/>
            <w:vAlign w:val="center"/>
          </w:tcPr>
          <w:p>
            <w:pPr>
              <w:pStyle w:val="TableTextExample"/>
              <w:jc w:val="left"/>
            </w:pPr>
            <w:r/>
            <w:r>
              <w:t>Concrete — in-situ and precast</w:t>
            </w:r>
          </w:p>
        </w:tc>
        <w:tc>
          <w:tcPr>
            <w:tcW w:w="3052" w:type="dxa"/>
            <w:vAlign w:val="center"/>
          </w:tcPr>
          <w:p>
            <w:pPr>
              <w:pStyle w:val="TableTextExample"/>
              <w:jc w:val="left"/>
            </w:pPr>
            <w:r/>
            <w:r>
              <w:t>In-situ substructure, basement and core walls to L6, L2 transfer slab and suspended slabs; precast stair flights and landings and 96 no. facade spandrel units</w:t>
            </w:r>
          </w:p>
        </w:tc>
        <w:tc>
          <w:tcPr>
            <w:tcW w:w="1101" w:type="dxa"/>
            <w:vAlign w:val="center"/>
          </w:tcPr>
          <w:p>
            <w:pPr>
              <w:pStyle w:val="TableTextExample"/>
              <w:jc w:val="left"/>
            </w:pPr>
            <w:r/>
            <w:r>
              <w:t>SPEC-06 §2-§7</w:t>
            </w:r>
          </w:p>
          <w:p>
            <w:pPr>
              <w:pStyle w:val="TableTextExample"/>
              <w:jc w:val="left"/>
            </w:pPr>
            <w:r>
              <w:t>SPEC-07 §2</w:t>
            </w:r>
          </w:p>
        </w:tc>
        <w:tc>
          <w:tcPr>
            <w:tcW w:w="1006" w:type="dxa"/>
            <w:vAlign w:val="center"/>
          </w:tcPr>
          <w:p>
            <w:pPr>
              <w:pStyle w:val="TableTextExample"/>
              <w:jc w:val="left"/>
            </w:pPr>
            <w:r/>
            <w:r>
              <w:t>S2-ST-3000 series</w:t>
            </w:r>
          </w:p>
          <w:p>
            <w:pPr>
              <w:pStyle w:val="TableTextExample"/>
              <w:jc w:val="left"/>
            </w:pPr>
            <w:r>
              <w:t>S2-ST-3400 A</w:t>
            </w:r>
          </w:p>
        </w:tc>
        <w:tc>
          <w:tcPr>
            <w:tcW w:w="723" w:type="dxa"/>
            <w:vAlign w:val="center"/>
          </w:tcPr>
          <w:p>
            <w:pPr>
              <w:pStyle w:val="TableTextExample"/>
              <w:jc w:val="left"/>
            </w:pPr>
            <w:r/>
            <w:r>
              <w:t>m³</w:t>
            </w:r>
          </w:p>
          <w:p>
            <w:pPr>
              <w:pStyle w:val="TableTextExample"/>
              <w:jc w:val="left"/>
            </w:pPr>
            <w:r>
              <w:t>no.</w:t>
            </w:r>
          </w:p>
        </w:tc>
        <w:tc>
          <w:tcPr>
            <w:tcW w:w="1006" w:type="dxa"/>
            <w:vAlign w:val="center"/>
          </w:tcPr>
          <w:p>
            <w:pPr>
              <w:pStyle w:val="TableTextExample"/>
              <w:jc w:val="left"/>
            </w:pPr>
            <w:r/>
            <w:r>
              <w:t>Measured</w:t>
            </w:r>
          </w:p>
          <w:p>
            <w:pPr>
              <w:pStyle w:val="TableTextExample"/>
              <w:jc w:val="left"/>
            </w:pPr>
            <w:r>
              <w:t>Lump sum</w:t>
            </w:r>
          </w:p>
        </w:tc>
        <w:tc>
          <w:tcPr>
            <w:tcW w:w="2580" w:type="dxa"/>
            <w:vAlign w:val="center"/>
          </w:tcPr>
          <w:p>
            <w:pPr>
              <w:pStyle w:val="TableTextExample"/>
              <w:jc w:val="left"/>
            </w:pPr>
            <w:r/>
            <w:r>
              <w:t>In-situ: 40 MPa at 28 days, cover ±5 mm, class 2 finish to exposed soffits. Precast: face tolerance ±3 mm, no visible crazing or repair to exposed faces</w:t>
            </w:r>
          </w:p>
        </w:tc>
        <w:tc>
          <w:tcPr>
            <w:tcW w:w="1132" w:type="dxa"/>
            <w:vAlign w:val="center"/>
          </w:tcPr>
          <w:p>
            <w:pPr>
              <w:pStyle w:val="TableTextExample"/>
              <w:jc w:val="left"/>
            </w:pPr>
            <w:r/>
            <w:r>
              <w:t>Contractor</w:t>
            </w:r>
          </w:p>
        </w:tc>
        <w:tc>
          <w:tcPr>
            <w:tcW w:w="1831" w:type="dxa"/>
            <w:vAlign w:val="center"/>
          </w:tcPr>
          <w:p>
            <w:pPr>
              <w:pStyle w:val="TableTextExample"/>
              <w:jc w:val="left"/>
            </w:pPr>
            <w:r/>
            <w:r>
              <w:t>Transfer slab post-tensioning by a specialty; precast benchmark unit before production — Section 12.3</w:t>
            </w:r>
          </w:p>
        </w:tc>
      </w:tr>
      <w:tr>
        <w:trPr>
          <w:cantSplit w:val="true"/>
        </w:trPr>
        <w:tc>
          <w:tcPr>
            <w:tcW w:w="818" w:type="dxa"/>
            <w:vAlign w:val="center"/>
          </w:tcPr>
          <w:p>
            <w:pPr>
              <w:pStyle w:val="TableTextExample"/>
              <w:jc w:val="left"/>
            </w:pPr>
            <w:r/>
            <w:r>
              <w:t>08-10</w:t>
            </w:r>
          </w:p>
        </w:tc>
        <w:tc>
          <w:tcPr>
            <w:tcW w:w="1321" w:type="dxa"/>
            <w:vAlign w:val="center"/>
          </w:tcPr>
          <w:p>
            <w:pPr>
              <w:pStyle w:val="TableTextExample"/>
              <w:jc w:val="left"/>
            </w:pPr>
            <w:r/>
            <w:r>
              <w:t>Structural steelwork</w:t>
            </w:r>
          </w:p>
        </w:tc>
        <w:tc>
          <w:tcPr>
            <w:tcW w:w="3052" w:type="dxa"/>
            <w:vAlign w:val="center"/>
          </w:tcPr>
          <w:p>
            <w:pPr>
              <w:pStyle w:val="TableTextExample"/>
              <w:jc w:val="left"/>
            </w:pPr>
            <w:r/>
            <w:r>
              <w:t>Connection design, supply, fabrication, coating, delivery and erection of 1,480 t to L3-L6, metal deck, shear studs</w:t>
            </w:r>
          </w:p>
        </w:tc>
        <w:tc>
          <w:tcPr>
            <w:tcW w:w="1101" w:type="dxa"/>
            <w:vAlign w:val="center"/>
          </w:tcPr>
          <w:p>
            <w:pPr>
              <w:pStyle w:val="TableTextExample"/>
              <w:jc w:val="left"/>
            </w:pPr>
            <w:r/>
            <w:r>
              <w:t>SPEC-08 §2</w:t>
            </w:r>
          </w:p>
        </w:tc>
        <w:tc>
          <w:tcPr>
            <w:tcW w:w="1006" w:type="dxa"/>
            <w:vAlign w:val="center"/>
          </w:tcPr>
          <w:p>
            <w:pPr>
              <w:pStyle w:val="TableTextExample"/>
              <w:jc w:val="left"/>
            </w:pPr>
            <w:r/>
            <w:r>
              <w:t>S2-ST-4000 series</w:t>
            </w:r>
          </w:p>
        </w:tc>
        <w:tc>
          <w:tcPr>
            <w:tcW w:w="723" w:type="dxa"/>
            <w:vAlign w:val="center"/>
          </w:tcPr>
          <w:p>
            <w:pPr>
              <w:pStyle w:val="TableTextExample"/>
              <w:jc w:val="left"/>
            </w:pPr>
            <w:r/>
            <w:r>
              <w:t>t</w:t>
            </w:r>
          </w:p>
        </w:tc>
        <w:tc>
          <w:tcPr>
            <w:tcW w:w="1006" w:type="dxa"/>
            <w:vAlign w:val="center"/>
          </w:tcPr>
          <w:p>
            <w:pPr>
              <w:pStyle w:val="TableTextExample"/>
              <w:jc w:val="left"/>
            </w:pPr>
            <w:r/>
            <w:r>
              <w:t>Measured</w:t>
            </w:r>
          </w:p>
        </w:tc>
        <w:tc>
          <w:tcPr>
            <w:tcW w:w="2580" w:type="dxa"/>
            <w:vAlign w:val="center"/>
          </w:tcPr>
          <w:p>
            <w:pPr>
              <w:pStyle w:val="TableTextExample"/>
              <w:jc w:val="left"/>
            </w:pPr>
            <w:r/>
            <w:r>
              <w:t>Execution class EXC3; erection tolerances to [insert applicable national standard]; welds to ISO 5817 level B</w:t>
            </w:r>
          </w:p>
        </w:tc>
        <w:tc>
          <w:tcPr>
            <w:tcW w:w="1132" w:type="dxa"/>
            <w:vAlign w:val="center"/>
          </w:tcPr>
          <w:p>
            <w:pPr>
              <w:pStyle w:val="TableTextExample"/>
              <w:jc w:val="left"/>
            </w:pPr>
            <w:r/>
            <w:r>
              <w:t>Contractor</w:t>
            </w:r>
          </w:p>
        </w:tc>
        <w:tc>
          <w:tcPr>
            <w:tcW w:w="1831" w:type="dxa"/>
            <w:vAlign w:val="center"/>
          </w:tcPr>
          <w:p>
            <w:pPr>
              <w:pStyle w:val="TableTextExample"/>
              <w:jc w:val="left"/>
            </w:pPr>
            <w:r/>
            <w:r>
              <w:t>The worked example package — PKG-14</w:t>
            </w:r>
          </w:p>
        </w:tc>
      </w:tr>
      <w:tr>
        <w:trPr>
          <w:cantSplit w:val="true"/>
        </w:trPr>
        <w:tc>
          <w:tcPr>
            <w:tcW w:w="818" w:type="dxa"/>
            <w:vAlign w:val="center"/>
          </w:tcPr>
          <w:p>
            <w:pPr>
              <w:pStyle w:val="TableTextExample"/>
              <w:jc w:val="left"/>
            </w:pPr>
            <w:r/>
            <w:r>
              <w:t>09-10</w:t>
            </w:r>
          </w:p>
        </w:tc>
        <w:tc>
          <w:tcPr>
            <w:tcW w:w="1321" w:type="dxa"/>
            <w:vAlign w:val="center"/>
          </w:tcPr>
          <w:p>
            <w:pPr>
              <w:pStyle w:val="TableTextExample"/>
              <w:jc w:val="left"/>
            </w:pPr>
            <w:r/>
            <w:r>
              <w:t>Roofing and cladding</w:t>
            </w:r>
          </w:p>
        </w:tc>
        <w:tc>
          <w:tcPr>
            <w:tcW w:w="3052" w:type="dxa"/>
            <w:vAlign w:val="center"/>
          </w:tcPr>
          <w:p>
            <w:pPr>
              <w:pStyle w:val="TableTextExample"/>
              <w:jc w:val="left"/>
            </w:pPr>
            <w:r/>
            <w:r>
              <w:t>Membrane, insulation, parapet capping, equipment screen, metal wall cladding to L3-L6</w:t>
            </w:r>
          </w:p>
        </w:tc>
        <w:tc>
          <w:tcPr>
            <w:tcW w:w="1101" w:type="dxa"/>
            <w:vAlign w:val="center"/>
          </w:tcPr>
          <w:p>
            <w:pPr>
              <w:pStyle w:val="TableTextExample"/>
              <w:jc w:val="left"/>
            </w:pPr>
            <w:r/>
            <w:r>
              <w:t>SPEC-09 §2</w:t>
            </w:r>
          </w:p>
        </w:tc>
        <w:tc>
          <w:tcPr>
            <w:tcW w:w="1006" w:type="dxa"/>
            <w:vAlign w:val="center"/>
          </w:tcPr>
          <w:p>
            <w:pPr>
              <w:pStyle w:val="TableTextExample"/>
              <w:jc w:val="left"/>
            </w:pPr>
            <w:r/>
            <w:r>
              <w:t>S2-AR-5100 B</w:t>
            </w:r>
          </w:p>
        </w:tc>
        <w:tc>
          <w:tcPr>
            <w:tcW w:w="723" w:type="dxa"/>
            <w:vAlign w:val="center"/>
          </w:tcPr>
          <w:p>
            <w:pPr>
              <w:pStyle w:val="TableTextExample"/>
              <w:jc w:val="left"/>
            </w:pPr>
            <w:r/>
            <w:r>
              <w:t>m²</w:t>
            </w:r>
          </w:p>
        </w:tc>
        <w:tc>
          <w:tcPr>
            <w:tcW w:w="1006" w:type="dxa"/>
            <w:vAlign w:val="center"/>
          </w:tcPr>
          <w:p>
            <w:pPr>
              <w:pStyle w:val="TableTextExample"/>
              <w:jc w:val="left"/>
            </w:pPr>
            <w:r/>
            <w:r>
              <w:t>Measured</w:t>
            </w:r>
          </w:p>
        </w:tc>
        <w:tc>
          <w:tcPr>
            <w:tcW w:w="2580" w:type="dxa"/>
            <w:vAlign w:val="center"/>
          </w:tcPr>
          <w:p>
            <w:pPr>
              <w:pStyle w:val="TableTextExample"/>
              <w:jc w:val="left"/>
            </w:pPr>
            <w:r/>
            <w:r>
              <w:t>Weathertightness by water test; U-value ≤ [insert] W/m²K</w:t>
            </w:r>
          </w:p>
        </w:tc>
        <w:tc>
          <w:tcPr>
            <w:tcW w:w="1132" w:type="dxa"/>
            <w:vAlign w:val="center"/>
          </w:tcPr>
          <w:p>
            <w:pPr>
              <w:pStyle w:val="TableTextExample"/>
              <w:jc w:val="left"/>
            </w:pPr>
            <w:r/>
            <w:r>
              <w:t>Contractor</w:t>
            </w:r>
          </w:p>
        </w:tc>
        <w:tc>
          <w:tcPr>
            <w:tcW w:w="1831" w:type="dxa"/>
            <w:vAlign w:val="center"/>
          </w:tcPr>
          <w:p>
            <w:pPr>
              <w:pStyle w:val="TableTextExample"/>
              <w:jc w:val="left"/>
            </w:pPr>
            <w:r/>
            <w:r>
              <w:t>Roof equipment plinths by mechanical — IF-08</w:t>
            </w:r>
          </w:p>
        </w:tc>
      </w:tr>
      <w:tr>
        <w:trPr>
          <w:cantSplit w:val="true"/>
        </w:trPr>
        <w:tc>
          <w:tcPr>
            <w:tcW w:w="818" w:type="dxa"/>
            <w:vAlign w:val="center"/>
          </w:tcPr>
          <w:p>
            <w:pPr>
              <w:pStyle w:val="TableTextExample"/>
              <w:jc w:val="left"/>
            </w:pPr>
            <w:r/>
            <w:r>
              <w:t>10-10</w:t>
            </w:r>
          </w:p>
        </w:tc>
        <w:tc>
          <w:tcPr>
            <w:tcW w:w="1321" w:type="dxa"/>
            <w:vAlign w:val="center"/>
          </w:tcPr>
          <w:p>
            <w:pPr>
              <w:pStyle w:val="TableTextExample"/>
              <w:jc w:val="left"/>
            </w:pPr>
            <w:r/>
            <w:r>
              <w:t>Facade</w:t>
            </w:r>
          </w:p>
        </w:tc>
        <w:tc>
          <w:tcPr>
            <w:tcW w:w="3052" w:type="dxa"/>
            <w:vAlign w:val="center"/>
          </w:tcPr>
          <w:p>
            <w:pPr>
              <w:pStyle w:val="TableTextExample"/>
              <w:jc w:val="left"/>
            </w:pPr>
            <w:r/>
            <w:r>
              <w:t>Design, supply and install unitized curtain wall 3,240 m², including the link bridge enclosure</w:t>
            </w:r>
          </w:p>
        </w:tc>
        <w:tc>
          <w:tcPr>
            <w:tcW w:w="1101" w:type="dxa"/>
            <w:vAlign w:val="center"/>
          </w:tcPr>
          <w:p>
            <w:pPr>
              <w:pStyle w:val="TableTextExample"/>
              <w:jc w:val="left"/>
            </w:pPr>
            <w:r/>
            <w:r>
              <w:t>SPEC-10 §2</w:t>
            </w:r>
          </w:p>
        </w:tc>
        <w:tc>
          <w:tcPr>
            <w:tcW w:w="1006" w:type="dxa"/>
            <w:vAlign w:val="center"/>
          </w:tcPr>
          <w:p>
            <w:pPr>
              <w:pStyle w:val="TableTextExample"/>
              <w:jc w:val="left"/>
            </w:pPr>
            <w:r/>
            <w:r>
              <w:t>S2-AR-5200 A</w:t>
            </w:r>
          </w:p>
        </w:tc>
        <w:tc>
          <w:tcPr>
            <w:tcW w:w="723" w:type="dxa"/>
            <w:vAlign w:val="center"/>
          </w:tcPr>
          <w:p>
            <w:pPr>
              <w:pStyle w:val="TableTextExample"/>
              <w:jc w:val="left"/>
            </w:pPr>
            <w:r/>
            <w:r>
              <w:t>m²</w:t>
            </w:r>
          </w:p>
        </w:tc>
        <w:tc>
          <w:tcPr>
            <w:tcW w:w="1006" w:type="dxa"/>
            <w:vAlign w:val="center"/>
          </w:tcPr>
          <w:p>
            <w:pPr>
              <w:pStyle w:val="TableTextExample"/>
              <w:jc w:val="left"/>
            </w:pPr>
            <w:r/>
            <w:r>
              <w:t>Lump sum</w:t>
            </w:r>
          </w:p>
        </w:tc>
        <w:tc>
          <w:tcPr>
            <w:tcW w:w="2580" w:type="dxa"/>
            <w:vAlign w:val="center"/>
          </w:tcPr>
          <w:p>
            <w:pPr>
              <w:pStyle w:val="TableTextExample"/>
              <w:jc w:val="left"/>
            </w:pPr>
            <w:r/>
            <w:r>
              <w:t>Air, water, structural and seismic performance proven on a mock-up before fabrication</w:t>
            </w:r>
          </w:p>
        </w:tc>
        <w:tc>
          <w:tcPr>
            <w:tcW w:w="1132" w:type="dxa"/>
            <w:vAlign w:val="center"/>
          </w:tcPr>
          <w:p>
            <w:pPr>
              <w:pStyle w:val="TableTextExample"/>
              <w:jc w:val="left"/>
            </w:pPr>
            <w:r/>
            <w:r>
              <w:t>Contractor — performance</w:t>
            </w:r>
          </w:p>
        </w:tc>
        <w:tc>
          <w:tcPr>
            <w:tcW w:w="1831" w:type="dxa"/>
            <w:vAlign w:val="center"/>
          </w:tcPr>
          <w:p>
            <w:pPr>
              <w:pStyle w:val="TableTextExample"/>
              <w:jc w:val="left"/>
            </w:pPr>
            <w:r/>
            <w:r>
              <w:t>Performance-specified — Section 6.3; drawings are intent only</w:t>
            </w:r>
          </w:p>
        </w:tc>
      </w:tr>
      <w:tr>
        <w:trPr>
          <w:cantSplit w:val="true"/>
        </w:trPr>
        <w:tc>
          <w:tcPr>
            <w:tcW w:w="818" w:type="dxa"/>
            <w:vAlign w:val="center"/>
          </w:tcPr>
          <w:p>
            <w:pPr>
              <w:pStyle w:val="TableTextExample"/>
              <w:jc w:val="left"/>
            </w:pPr>
            <w:r/>
            <w:r>
              <w:t>11-10</w:t>
            </w:r>
          </w:p>
        </w:tc>
        <w:tc>
          <w:tcPr>
            <w:tcW w:w="1321" w:type="dxa"/>
            <w:vAlign w:val="center"/>
          </w:tcPr>
          <w:p>
            <w:pPr>
              <w:pStyle w:val="TableTextExample"/>
              <w:jc w:val="left"/>
            </w:pPr>
            <w:r/>
            <w:r>
              <w:t>Partitions and linings</w:t>
            </w:r>
          </w:p>
        </w:tc>
        <w:tc>
          <w:tcPr>
            <w:tcW w:w="3052" w:type="dxa"/>
            <w:vAlign w:val="center"/>
          </w:tcPr>
          <w:p>
            <w:pPr>
              <w:pStyle w:val="TableTextExample"/>
              <w:jc w:val="left"/>
            </w:pPr>
            <w:r/>
            <w:r>
              <w:t>Framed partitions, shaft walls, radiation-shielded walls to imaging, acoustic linings</w:t>
            </w:r>
          </w:p>
        </w:tc>
        <w:tc>
          <w:tcPr>
            <w:tcW w:w="1101" w:type="dxa"/>
            <w:vAlign w:val="center"/>
          </w:tcPr>
          <w:p>
            <w:pPr>
              <w:pStyle w:val="TableTextExample"/>
              <w:jc w:val="left"/>
            </w:pPr>
            <w:r/>
            <w:r>
              <w:t>SPEC-11 §3</w:t>
            </w:r>
          </w:p>
        </w:tc>
        <w:tc>
          <w:tcPr>
            <w:tcW w:w="1006" w:type="dxa"/>
            <w:vAlign w:val="center"/>
          </w:tcPr>
          <w:p>
            <w:pPr>
              <w:pStyle w:val="TableTextExample"/>
              <w:jc w:val="left"/>
            </w:pPr>
            <w:r/>
            <w:r>
              <w:t>S2-AR-6100 series</w:t>
            </w:r>
          </w:p>
        </w:tc>
        <w:tc>
          <w:tcPr>
            <w:tcW w:w="723" w:type="dxa"/>
            <w:vAlign w:val="center"/>
          </w:tcPr>
          <w:p>
            <w:pPr>
              <w:pStyle w:val="TableTextExample"/>
              <w:jc w:val="left"/>
            </w:pPr>
            <w:r/>
            <w:r>
              <w:t>m²</w:t>
            </w:r>
          </w:p>
        </w:tc>
        <w:tc>
          <w:tcPr>
            <w:tcW w:w="1006" w:type="dxa"/>
            <w:vAlign w:val="center"/>
          </w:tcPr>
          <w:p>
            <w:pPr>
              <w:pStyle w:val="TableTextExample"/>
              <w:jc w:val="left"/>
            </w:pPr>
            <w:r/>
            <w:r>
              <w:t>Measured</w:t>
            </w:r>
          </w:p>
        </w:tc>
        <w:tc>
          <w:tcPr>
            <w:tcW w:w="2580" w:type="dxa"/>
            <w:vAlign w:val="center"/>
          </w:tcPr>
          <w:p>
            <w:pPr>
              <w:pStyle w:val="TableTextExample"/>
              <w:jc w:val="left"/>
            </w:pPr>
            <w:r/>
            <w:r>
              <w:t>Rw 50 to ward corridors; shielding continuity verified by survey</w:t>
            </w:r>
          </w:p>
        </w:tc>
        <w:tc>
          <w:tcPr>
            <w:tcW w:w="1132" w:type="dxa"/>
            <w:vAlign w:val="center"/>
          </w:tcPr>
          <w:p>
            <w:pPr>
              <w:pStyle w:val="TableTextExample"/>
              <w:jc w:val="left"/>
            </w:pPr>
            <w:r/>
            <w:r>
              <w:t>Contractor</w:t>
            </w:r>
          </w:p>
        </w:tc>
        <w:tc>
          <w:tcPr>
            <w:tcW w:w="1831" w:type="dxa"/>
            <w:vAlign w:val="center"/>
          </w:tcPr>
          <w:p>
            <w:pPr>
              <w:pStyle w:val="TableTextExample"/>
              <w:jc w:val="left"/>
            </w:pPr>
            <w:r/>
            <w:r>
              <w:t>Shielding survey by a Owner-appointed physicist</w:t>
            </w:r>
          </w:p>
        </w:tc>
      </w:tr>
      <w:tr>
        <w:trPr>
          <w:cantSplit w:val="true"/>
        </w:trPr>
        <w:tc>
          <w:tcPr>
            <w:tcW w:w="818" w:type="dxa"/>
            <w:vAlign w:val="center"/>
          </w:tcPr>
          <w:p>
            <w:pPr>
              <w:pStyle w:val="TableTextExample"/>
              <w:jc w:val="left"/>
            </w:pPr>
            <w:r/>
            <w:r>
              <w:t>12-10</w:t>
            </w:r>
          </w:p>
        </w:tc>
        <w:tc>
          <w:tcPr>
            <w:tcW w:w="1321" w:type="dxa"/>
            <w:vAlign w:val="center"/>
          </w:tcPr>
          <w:p>
            <w:pPr>
              <w:pStyle w:val="TableTextExample"/>
              <w:jc w:val="left"/>
            </w:pPr>
            <w:r/>
            <w:r>
              <w:t>Joinery and fitments</w:t>
            </w:r>
          </w:p>
        </w:tc>
        <w:tc>
          <w:tcPr>
            <w:tcW w:w="3052" w:type="dxa"/>
            <w:vAlign w:val="center"/>
          </w:tcPr>
          <w:p>
            <w:pPr>
              <w:pStyle w:val="TableTextExample"/>
              <w:jc w:val="left"/>
            </w:pPr>
            <w:r/>
            <w:r>
              <w:t>Nurse stations, bench units, bedhead service panels, consult room joinery</w:t>
            </w:r>
          </w:p>
        </w:tc>
        <w:tc>
          <w:tcPr>
            <w:tcW w:w="1101" w:type="dxa"/>
            <w:vAlign w:val="center"/>
          </w:tcPr>
          <w:p>
            <w:pPr>
              <w:pStyle w:val="TableTextExample"/>
              <w:jc w:val="left"/>
            </w:pPr>
            <w:r/>
            <w:r>
              <w:t>SPEC-12 §2</w:t>
            </w:r>
          </w:p>
        </w:tc>
        <w:tc>
          <w:tcPr>
            <w:tcW w:w="1006" w:type="dxa"/>
            <w:vAlign w:val="center"/>
          </w:tcPr>
          <w:p>
            <w:pPr>
              <w:pStyle w:val="TableTextExample"/>
              <w:jc w:val="left"/>
            </w:pPr>
            <w:r/>
            <w:r>
              <w:t>S2-AR-6400 B</w:t>
            </w:r>
          </w:p>
        </w:tc>
        <w:tc>
          <w:tcPr>
            <w:tcW w:w="723" w:type="dxa"/>
            <w:vAlign w:val="center"/>
          </w:tcPr>
          <w:p>
            <w:pPr>
              <w:pStyle w:val="TableTextExample"/>
              <w:jc w:val="left"/>
            </w:pPr>
            <w:r/>
            <w:r>
              <w:t>m</w:t>
            </w:r>
          </w:p>
        </w:tc>
        <w:tc>
          <w:tcPr>
            <w:tcW w:w="1006" w:type="dxa"/>
            <w:vAlign w:val="center"/>
          </w:tcPr>
          <w:p>
            <w:pPr>
              <w:pStyle w:val="TableTextExample"/>
              <w:jc w:val="left"/>
            </w:pPr>
            <w:r/>
            <w:r>
              <w:t>Measured</w:t>
            </w:r>
          </w:p>
        </w:tc>
        <w:tc>
          <w:tcPr>
            <w:tcW w:w="2580" w:type="dxa"/>
            <w:vAlign w:val="center"/>
          </w:tcPr>
          <w:p>
            <w:pPr>
              <w:pStyle w:val="TableTextExample"/>
              <w:jc w:val="left"/>
            </w:pPr>
            <w:r/>
            <w:r>
              <w:t>Surfaces impervious, sealed and cleanable to infection-control requirements</w:t>
            </w:r>
          </w:p>
        </w:tc>
        <w:tc>
          <w:tcPr>
            <w:tcW w:w="1132" w:type="dxa"/>
            <w:vAlign w:val="center"/>
          </w:tcPr>
          <w:p>
            <w:pPr>
              <w:pStyle w:val="TableTextExample"/>
              <w:jc w:val="left"/>
            </w:pPr>
            <w:r/>
            <w:r>
              <w:t>Contractor</w:t>
            </w:r>
          </w:p>
        </w:tc>
        <w:tc>
          <w:tcPr>
            <w:tcW w:w="1831" w:type="dxa"/>
            <w:vAlign w:val="center"/>
          </w:tcPr>
          <w:p>
            <w:pPr>
              <w:pStyle w:val="TableTextExample"/>
              <w:jc w:val="left"/>
            </w:pPr>
            <w:r/>
            <w:r>
              <w:t>Bedhead medical gas outlets by hydraulic — IF-14</w:t>
            </w:r>
          </w:p>
        </w:tc>
      </w:tr>
      <w:tr>
        <w:trPr>
          <w:cantSplit w:val="true"/>
        </w:trPr>
        <w:tc>
          <w:tcPr>
            <w:tcW w:w="818" w:type="dxa"/>
            <w:vAlign w:val="center"/>
          </w:tcPr>
          <w:p>
            <w:pPr>
              <w:pStyle w:val="TableTextExample"/>
              <w:jc w:val="left"/>
            </w:pPr>
            <w:r/>
            <w:r>
              <w:t>13-10</w:t>
            </w:r>
          </w:p>
        </w:tc>
        <w:tc>
          <w:tcPr>
            <w:tcW w:w="1321" w:type="dxa"/>
            <w:vAlign w:val="center"/>
          </w:tcPr>
          <w:p>
            <w:pPr>
              <w:pStyle w:val="TableTextExample"/>
              <w:jc w:val="left"/>
            </w:pPr>
            <w:r/>
            <w:r>
              <w:t>Finishes</w:t>
            </w:r>
          </w:p>
        </w:tc>
        <w:tc>
          <w:tcPr>
            <w:tcW w:w="3052" w:type="dxa"/>
            <w:vAlign w:val="center"/>
          </w:tcPr>
          <w:p>
            <w:pPr>
              <w:pStyle w:val="TableTextExample"/>
              <w:jc w:val="left"/>
            </w:pPr>
            <w:r/>
            <w:r>
              <w:t>Floor, wall and ceiling finishes; welded vinyl with coved skirtings to clinical areas; painting</w:t>
            </w:r>
          </w:p>
        </w:tc>
        <w:tc>
          <w:tcPr>
            <w:tcW w:w="1101" w:type="dxa"/>
            <w:vAlign w:val="center"/>
          </w:tcPr>
          <w:p>
            <w:pPr>
              <w:pStyle w:val="TableTextExample"/>
              <w:jc w:val="left"/>
            </w:pPr>
            <w:r/>
            <w:r>
              <w:t>SPEC-13 §2</w:t>
            </w:r>
          </w:p>
        </w:tc>
        <w:tc>
          <w:tcPr>
            <w:tcW w:w="1006" w:type="dxa"/>
            <w:vAlign w:val="center"/>
          </w:tcPr>
          <w:p>
            <w:pPr>
              <w:pStyle w:val="TableTextExample"/>
              <w:jc w:val="left"/>
            </w:pPr>
            <w:r/>
            <w:r>
              <w:t>S2-AR-6600 series</w:t>
            </w:r>
          </w:p>
        </w:tc>
        <w:tc>
          <w:tcPr>
            <w:tcW w:w="723" w:type="dxa"/>
            <w:vAlign w:val="center"/>
          </w:tcPr>
          <w:p>
            <w:pPr>
              <w:pStyle w:val="TableTextExample"/>
              <w:jc w:val="left"/>
            </w:pPr>
            <w:r/>
            <w:r>
              <w:t>m²</w:t>
            </w:r>
          </w:p>
        </w:tc>
        <w:tc>
          <w:tcPr>
            <w:tcW w:w="1006" w:type="dxa"/>
            <w:vAlign w:val="center"/>
          </w:tcPr>
          <w:p>
            <w:pPr>
              <w:pStyle w:val="TableTextExample"/>
              <w:jc w:val="left"/>
            </w:pPr>
            <w:r/>
            <w:r>
              <w:t>Measured</w:t>
            </w:r>
          </w:p>
        </w:tc>
        <w:tc>
          <w:tcPr>
            <w:tcW w:w="2580" w:type="dxa"/>
            <w:vAlign w:val="center"/>
          </w:tcPr>
          <w:p>
            <w:pPr>
              <w:pStyle w:val="TableTextExample"/>
              <w:jc w:val="left"/>
            </w:pPr>
            <w:r/>
            <w:r>
              <w:t>Continuously welded seams; slip resistance class per spec; coving without voids</w:t>
            </w:r>
          </w:p>
        </w:tc>
        <w:tc>
          <w:tcPr>
            <w:tcW w:w="1132" w:type="dxa"/>
            <w:vAlign w:val="center"/>
          </w:tcPr>
          <w:p>
            <w:pPr>
              <w:pStyle w:val="TableTextExample"/>
              <w:jc w:val="left"/>
            </w:pPr>
            <w:r/>
            <w:r>
              <w:t>Contractor</w:t>
            </w:r>
          </w:p>
        </w:tc>
        <w:tc>
          <w:tcPr>
            <w:tcW w:w="1831" w:type="dxa"/>
            <w:vAlign w:val="center"/>
          </w:tcPr>
          <w:p>
            <w:pPr>
              <w:pStyle w:val="TableTextExample"/>
              <w:jc w:val="left"/>
            </w:pPr>
            <w:r/>
            <w:r>
              <w:t>Colours confirmed at sample review — Section 12.3</w:t>
            </w:r>
          </w:p>
        </w:tc>
      </w:tr>
      <w:tr>
        <w:trPr>
          <w:cantSplit w:val="true"/>
        </w:trPr>
        <w:tc>
          <w:tcPr>
            <w:tcW w:w="818" w:type="dxa"/>
            <w:vAlign w:val="center"/>
          </w:tcPr>
          <w:p>
            <w:pPr>
              <w:pStyle w:val="TableTextExample"/>
              <w:jc w:val="left"/>
            </w:pPr>
            <w:r/>
            <w:r>
              <w:t>14-10</w:t>
            </w:r>
          </w:p>
        </w:tc>
        <w:tc>
          <w:tcPr>
            <w:tcW w:w="1321" w:type="dxa"/>
            <w:vAlign w:val="center"/>
          </w:tcPr>
          <w:p>
            <w:pPr>
              <w:pStyle w:val="TableTextExample"/>
              <w:jc w:val="left"/>
            </w:pPr>
            <w:r/>
            <w:r>
              <w:t>Mechanical services</w:t>
            </w:r>
          </w:p>
        </w:tc>
        <w:tc>
          <w:tcPr>
            <w:tcW w:w="3052" w:type="dxa"/>
            <w:vAlign w:val="center"/>
          </w:tcPr>
          <w:p>
            <w:pPr>
              <w:pStyle w:val="TableTextExample"/>
              <w:jc w:val="left"/>
            </w:pPr>
            <w:r/>
            <w:r>
              <w:t>AHUs, chilled and heating water, ductwork, HEPA theatre air handling, controls and BMS</w:t>
            </w:r>
          </w:p>
        </w:tc>
        <w:tc>
          <w:tcPr>
            <w:tcW w:w="1101" w:type="dxa"/>
            <w:vAlign w:val="center"/>
          </w:tcPr>
          <w:p>
            <w:pPr>
              <w:pStyle w:val="TableTextExample"/>
              <w:jc w:val="left"/>
            </w:pPr>
            <w:r/>
            <w:r>
              <w:t>SPEC-14 §2</w:t>
            </w:r>
          </w:p>
        </w:tc>
        <w:tc>
          <w:tcPr>
            <w:tcW w:w="1006" w:type="dxa"/>
            <w:vAlign w:val="center"/>
          </w:tcPr>
          <w:p>
            <w:pPr>
              <w:pStyle w:val="TableTextExample"/>
              <w:jc w:val="left"/>
            </w:pPr>
            <w:r/>
            <w:r>
              <w:t>S2-ME-7000 series</w:t>
            </w:r>
          </w:p>
        </w:tc>
        <w:tc>
          <w:tcPr>
            <w:tcW w:w="723" w:type="dxa"/>
            <w:vAlign w:val="center"/>
          </w:tcPr>
          <w:p>
            <w:pPr>
              <w:pStyle w:val="TableTextExample"/>
              <w:jc w:val="left"/>
            </w:pPr>
            <w:r/>
            <w:r>
              <w:t>item</w:t>
            </w:r>
          </w:p>
        </w:tc>
        <w:tc>
          <w:tcPr>
            <w:tcW w:w="1006" w:type="dxa"/>
            <w:vAlign w:val="center"/>
          </w:tcPr>
          <w:p>
            <w:pPr>
              <w:pStyle w:val="TableTextExample"/>
              <w:jc w:val="left"/>
            </w:pPr>
            <w:r/>
            <w:r>
              <w:t>Lump sum</w:t>
            </w:r>
          </w:p>
        </w:tc>
        <w:tc>
          <w:tcPr>
            <w:tcW w:w="2580" w:type="dxa"/>
            <w:vAlign w:val="center"/>
          </w:tcPr>
          <w:p>
            <w:pPr>
              <w:pStyle w:val="TableTextExample"/>
              <w:jc w:val="left"/>
            </w:pPr>
            <w:r/>
            <w:r>
              <w:t>Theatre air change rate ≥ 25/hour; room pressure cascade verified at commissioning</w:t>
            </w:r>
          </w:p>
        </w:tc>
        <w:tc>
          <w:tcPr>
            <w:tcW w:w="1132" w:type="dxa"/>
            <w:vAlign w:val="center"/>
          </w:tcPr>
          <w:p>
            <w:pPr>
              <w:pStyle w:val="TableTextExample"/>
              <w:jc w:val="left"/>
            </w:pPr>
            <w:r/>
            <w:r>
              <w:t>Contractor — performance</w:t>
            </w:r>
          </w:p>
        </w:tc>
        <w:tc>
          <w:tcPr>
            <w:tcW w:w="1831" w:type="dxa"/>
            <w:vAlign w:val="center"/>
          </w:tcPr>
          <w:p>
            <w:pPr>
              <w:pStyle w:val="TableTextExample"/>
              <w:jc w:val="left"/>
            </w:pPr>
            <w:r/>
            <w:r>
              <w:t>Commissioning witnessed by the Owner — Section 16.2</w:t>
            </w:r>
          </w:p>
        </w:tc>
      </w:tr>
      <w:tr>
        <w:trPr>
          <w:cantSplit w:val="true"/>
        </w:trPr>
        <w:tc>
          <w:tcPr>
            <w:tcW w:w="818" w:type="dxa"/>
            <w:vAlign w:val="center"/>
          </w:tcPr>
          <w:p>
            <w:pPr>
              <w:pStyle w:val="TableTextExample"/>
              <w:jc w:val="left"/>
            </w:pPr>
            <w:r/>
            <w:r>
              <w:t>15-10</w:t>
            </w:r>
          </w:p>
        </w:tc>
        <w:tc>
          <w:tcPr>
            <w:tcW w:w="1321" w:type="dxa"/>
            <w:vAlign w:val="center"/>
          </w:tcPr>
          <w:p>
            <w:pPr>
              <w:pStyle w:val="TableTextExample"/>
              <w:jc w:val="left"/>
            </w:pPr>
            <w:r/>
            <w:r>
              <w:t>Electrical services</w:t>
            </w:r>
          </w:p>
        </w:tc>
        <w:tc>
          <w:tcPr>
            <w:tcW w:w="3052" w:type="dxa"/>
            <w:vAlign w:val="center"/>
          </w:tcPr>
          <w:p>
            <w:pPr>
              <w:pStyle w:val="TableTextExample"/>
              <w:jc w:val="left"/>
            </w:pPr>
            <w:r/>
            <w:r>
              <w:t>HV and LV reticulation, essential and UPS supplies, lighting, generator connection, nurse call, security</w:t>
            </w:r>
          </w:p>
        </w:tc>
        <w:tc>
          <w:tcPr>
            <w:tcW w:w="1101" w:type="dxa"/>
            <w:vAlign w:val="center"/>
          </w:tcPr>
          <w:p>
            <w:pPr>
              <w:pStyle w:val="TableTextExample"/>
              <w:jc w:val="left"/>
            </w:pPr>
            <w:r/>
            <w:r>
              <w:t>SPEC-15 §2</w:t>
            </w:r>
          </w:p>
        </w:tc>
        <w:tc>
          <w:tcPr>
            <w:tcW w:w="1006" w:type="dxa"/>
            <w:vAlign w:val="center"/>
          </w:tcPr>
          <w:p>
            <w:pPr>
              <w:pStyle w:val="TableTextExample"/>
              <w:jc w:val="left"/>
            </w:pPr>
            <w:r/>
            <w:r>
              <w:t>S2-EL-7500 series</w:t>
            </w:r>
          </w:p>
        </w:tc>
        <w:tc>
          <w:tcPr>
            <w:tcW w:w="723" w:type="dxa"/>
            <w:vAlign w:val="center"/>
          </w:tcPr>
          <w:p>
            <w:pPr>
              <w:pStyle w:val="TableTextExample"/>
              <w:jc w:val="left"/>
            </w:pPr>
            <w:r/>
            <w:r>
              <w:t>item</w:t>
            </w:r>
          </w:p>
        </w:tc>
        <w:tc>
          <w:tcPr>
            <w:tcW w:w="1006" w:type="dxa"/>
            <w:vAlign w:val="center"/>
          </w:tcPr>
          <w:p>
            <w:pPr>
              <w:pStyle w:val="TableTextExample"/>
              <w:jc w:val="left"/>
            </w:pPr>
            <w:r/>
            <w:r>
              <w:t>Lump sum</w:t>
            </w:r>
          </w:p>
        </w:tc>
        <w:tc>
          <w:tcPr>
            <w:tcW w:w="2580" w:type="dxa"/>
            <w:vAlign w:val="center"/>
          </w:tcPr>
          <w:p>
            <w:pPr>
              <w:pStyle w:val="TableTextExample"/>
              <w:jc w:val="left"/>
            </w:pPr>
            <w:r/>
            <w:r>
              <w:t>Essential supply changeover ≤ 10 s; medical-location earthing to [insert applicable national standard]</w:t>
            </w:r>
          </w:p>
        </w:tc>
        <w:tc>
          <w:tcPr>
            <w:tcW w:w="1132" w:type="dxa"/>
            <w:vAlign w:val="center"/>
          </w:tcPr>
          <w:p>
            <w:pPr>
              <w:pStyle w:val="TableTextExample"/>
              <w:jc w:val="left"/>
            </w:pPr>
            <w:r/>
            <w:r>
              <w:t>Contractor</w:t>
            </w:r>
          </w:p>
        </w:tc>
        <w:tc>
          <w:tcPr>
            <w:tcW w:w="1831" w:type="dxa"/>
            <w:vAlign w:val="center"/>
          </w:tcPr>
          <w:p>
            <w:pPr>
              <w:pStyle w:val="TableTextExample"/>
              <w:jc w:val="left"/>
            </w:pPr>
            <w:r/>
            <w:r>
              <w:t>HV switching by the Owner's operator only</w:t>
            </w:r>
          </w:p>
        </w:tc>
      </w:tr>
      <w:tr>
        <w:trPr>
          <w:cantSplit w:val="true"/>
        </w:trPr>
        <w:tc>
          <w:tcPr>
            <w:tcW w:w="818" w:type="dxa"/>
            <w:vAlign w:val="center"/>
          </w:tcPr>
          <w:p>
            <w:pPr>
              <w:pStyle w:val="TableTextExample"/>
              <w:jc w:val="left"/>
            </w:pPr>
            <w:r/>
            <w:r>
              <w:t>16-10</w:t>
            </w:r>
          </w:p>
        </w:tc>
        <w:tc>
          <w:tcPr>
            <w:tcW w:w="1321" w:type="dxa"/>
            <w:vAlign w:val="center"/>
          </w:tcPr>
          <w:p>
            <w:pPr>
              <w:pStyle w:val="TableTextExample"/>
              <w:jc w:val="left"/>
            </w:pPr>
            <w:r/>
            <w:r>
              <w:t>Hydraulic services</w:t>
            </w:r>
          </w:p>
        </w:tc>
        <w:tc>
          <w:tcPr>
            <w:tcW w:w="3052" w:type="dxa"/>
            <w:vAlign w:val="center"/>
          </w:tcPr>
          <w:p>
            <w:pPr>
              <w:pStyle w:val="TableTextExample"/>
              <w:jc w:val="left"/>
            </w:pPr>
            <w:r/>
            <w:r>
              <w:t>Potable and non-potable water, sanitary drainage, trade waste, medical gas pipeline</w:t>
            </w:r>
          </w:p>
        </w:tc>
        <w:tc>
          <w:tcPr>
            <w:tcW w:w="1101" w:type="dxa"/>
            <w:vAlign w:val="center"/>
          </w:tcPr>
          <w:p>
            <w:pPr>
              <w:pStyle w:val="TableTextExample"/>
              <w:jc w:val="left"/>
            </w:pPr>
            <w:r/>
            <w:r>
              <w:t>SPEC-16 §2</w:t>
            </w:r>
          </w:p>
        </w:tc>
        <w:tc>
          <w:tcPr>
            <w:tcW w:w="1006" w:type="dxa"/>
            <w:vAlign w:val="center"/>
          </w:tcPr>
          <w:p>
            <w:pPr>
              <w:pStyle w:val="TableTextExample"/>
              <w:jc w:val="left"/>
            </w:pPr>
            <w:r/>
            <w:r>
              <w:t>S2-HY-7800 series</w:t>
            </w:r>
          </w:p>
        </w:tc>
        <w:tc>
          <w:tcPr>
            <w:tcW w:w="723" w:type="dxa"/>
            <w:vAlign w:val="center"/>
          </w:tcPr>
          <w:p>
            <w:pPr>
              <w:pStyle w:val="TableTextExample"/>
              <w:jc w:val="left"/>
            </w:pPr>
            <w:r/>
            <w:r>
              <w:t>item</w:t>
            </w:r>
          </w:p>
        </w:tc>
        <w:tc>
          <w:tcPr>
            <w:tcW w:w="1006" w:type="dxa"/>
            <w:vAlign w:val="center"/>
          </w:tcPr>
          <w:p>
            <w:pPr>
              <w:pStyle w:val="TableTextExample"/>
              <w:jc w:val="left"/>
            </w:pPr>
            <w:r/>
            <w:r>
              <w:t>Lump sum</w:t>
            </w:r>
          </w:p>
        </w:tc>
        <w:tc>
          <w:tcPr>
            <w:tcW w:w="2580" w:type="dxa"/>
            <w:vAlign w:val="center"/>
          </w:tcPr>
          <w:p>
            <w:pPr>
              <w:pStyle w:val="TableTextExample"/>
              <w:jc w:val="left"/>
            </w:pPr>
            <w:r/>
            <w:r>
              <w:t>Medical gas installed, tested, purity-tested and certified before use</w:t>
            </w:r>
          </w:p>
        </w:tc>
        <w:tc>
          <w:tcPr>
            <w:tcW w:w="1132" w:type="dxa"/>
            <w:vAlign w:val="center"/>
          </w:tcPr>
          <w:p>
            <w:pPr>
              <w:pStyle w:val="TableTextExample"/>
              <w:jc w:val="left"/>
            </w:pPr>
            <w:r/>
            <w:r>
              <w:t>Contractor</w:t>
            </w:r>
          </w:p>
        </w:tc>
        <w:tc>
          <w:tcPr>
            <w:tcW w:w="1831" w:type="dxa"/>
            <w:vAlign w:val="center"/>
          </w:tcPr>
          <w:p>
            <w:pPr>
              <w:pStyle w:val="TableTextExample"/>
              <w:jc w:val="left"/>
            </w:pPr>
            <w:r/>
            <w:r>
              <w:t>Certification is a hold point — Section 12.2</w:t>
            </w:r>
          </w:p>
        </w:tc>
      </w:tr>
      <w:tr>
        <w:trPr>
          <w:cantSplit w:val="true"/>
        </w:trPr>
        <w:tc>
          <w:tcPr>
            <w:tcW w:w="818" w:type="dxa"/>
            <w:vAlign w:val="center"/>
          </w:tcPr>
          <w:p>
            <w:pPr>
              <w:pStyle w:val="TableTextExample"/>
              <w:jc w:val="left"/>
            </w:pPr>
            <w:r/>
            <w:r>
              <w:t>17-10</w:t>
            </w:r>
          </w:p>
        </w:tc>
        <w:tc>
          <w:tcPr>
            <w:tcW w:w="1321" w:type="dxa"/>
            <w:vAlign w:val="center"/>
          </w:tcPr>
          <w:p>
            <w:pPr>
              <w:pStyle w:val="TableTextExample"/>
              <w:jc w:val="left"/>
            </w:pPr>
            <w:r/>
            <w:r>
              <w:t>Fire services</w:t>
            </w:r>
          </w:p>
        </w:tc>
        <w:tc>
          <w:tcPr>
            <w:tcW w:w="3052" w:type="dxa"/>
            <w:vAlign w:val="center"/>
          </w:tcPr>
          <w:p>
            <w:pPr>
              <w:pStyle w:val="TableTextExample"/>
              <w:jc w:val="left"/>
            </w:pPr>
            <w:r/>
            <w:r>
              <w:t>Sprinklers, hydrants, detection and alarm, smoke exhaust, fire-rated penetrations</w:t>
            </w:r>
          </w:p>
        </w:tc>
        <w:tc>
          <w:tcPr>
            <w:tcW w:w="1101" w:type="dxa"/>
            <w:vAlign w:val="center"/>
          </w:tcPr>
          <w:p>
            <w:pPr>
              <w:pStyle w:val="TableTextExample"/>
              <w:jc w:val="left"/>
            </w:pPr>
            <w:r/>
            <w:r>
              <w:t>SPEC-17 §2</w:t>
            </w:r>
          </w:p>
        </w:tc>
        <w:tc>
          <w:tcPr>
            <w:tcW w:w="1006" w:type="dxa"/>
            <w:vAlign w:val="center"/>
          </w:tcPr>
          <w:p>
            <w:pPr>
              <w:pStyle w:val="TableTextExample"/>
              <w:jc w:val="left"/>
            </w:pPr>
            <w:r/>
            <w:r>
              <w:t>S2-FP-8000 series</w:t>
            </w:r>
          </w:p>
        </w:tc>
        <w:tc>
          <w:tcPr>
            <w:tcW w:w="723" w:type="dxa"/>
            <w:vAlign w:val="center"/>
          </w:tcPr>
          <w:p>
            <w:pPr>
              <w:pStyle w:val="TableTextExample"/>
              <w:jc w:val="left"/>
            </w:pPr>
            <w:r/>
            <w:r>
              <w:t>item</w:t>
            </w:r>
          </w:p>
        </w:tc>
        <w:tc>
          <w:tcPr>
            <w:tcW w:w="1006" w:type="dxa"/>
            <w:vAlign w:val="center"/>
          </w:tcPr>
          <w:p>
            <w:pPr>
              <w:pStyle w:val="TableTextExample"/>
              <w:jc w:val="left"/>
            </w:pPr>
            <w:r/>
            <w:r>
              <w:t>Lump sum</w:t>
            </w:r>
          </w:p>
        </w:tc>
        <w:tc>
          <w:tcPr>
            <w:tcW w:w="2580" w:type="dxa"/>
            <w:vAlign w:val="center"/>
          </w:tcPr>
          <w:p>
            <w:pPr>
              <w:pStyle w:val="TableTextExample"/>
              <w:jc w:val="left"/>
            </w:pPr>
            <w:r/>
            <w:r>
              <w:t>Full cause-and-effect matrix demonstrated to the fire engineer, systems live</w:t>
            </w:r>
          </w:p>
        </w:tc>
        <w:tc>
          <w:tcPr>
            <w:tcW w:w="1132" w:type="dxa"/>
            <w:vAlign w:val="center"/>
          </w:tcPr>
          <w:p>
            <w:pPr>
              <w:pStyle w:val="TableTextExample"/>
              <w:jc w:val="left"/>
            </w:pPr>
            <w:r/>
            <w:r>
              <w:t>Contractor</w:t>
            </w:r>
          </w:p>
        </w:tc>
        <w:tc>
          <w:tcPr>
            <w:tcW w:w="1831" w:type="dxa"/>
            <w:vAlign w:val="center"/>
          </w:tcPr>
          <w:p>
            <w:pPr>
              <w:pStyle w:val="TableTextExample"/>
              <w:jc w:val="left"/>
            </w:pPr>
            <w:r/>
            <w:r>
              <w:t>Penetrations sealed by whoever forms them — 9.3</w:t>
            </w:r>
          </w:p>
        </w:tc>
      </w:tr>
      <w:tr>
        <w:trPr>
          <w:cantSplit w:val="true"/>
        </w:trPr>
        <w:tc>
          <w:tcPr>
            <w:tcW w:w="818" w:type="dxa"/>
            <w:vAlign w:val="center"/>
          </w:tcPr>
          <w:p>
            <w:pPr>
              <w:pStyle w:val="TableTextExample"/>
              <w:jc w:val="left"/>
            </w:pPr>
            <w:r/>
            <w:r>
              <w:t>18-10</w:t>
            </w:r>
          </w:p>
        </w:tc>
        <w:tc>
          <w:tcPr>
            <w:tcW w:w="1321" w:type="dxa"/>
            <w:vAlign w:val="center"/>
          </w:tcPr>
          <w:p>
            <w:pPr>
              <w:pStyle w:val="TableTextExample"/>
              <w:jc w:val="left"/>
            </w:pPr>
            <w:r/>
            <w:r>
              <w:t>Vertical transportation</w:t>
            </w:r>
          </w:p>
        </w:tc>
        <w:tc>
          <w:tcPr>
            <w:tcW w:w="3052" w:type="dxa"/>
            <w:vAlign w:val="center"/>
          </w:tcPr>
          <w:p>
            <w:pPr>
              <w:pStyle w:val="TableTextExample"/>
              <w:jc w:val="left"/>
            </w:pPr>
            <w:r/>
            <w:r>
              <w:t>4 no. bed elevators, 2 no. passenger, 1 no. freight elevator, with car and shaft fitout</w:t>
            </w:r>
          </w:p>
        </w:tc>
        <w:tc>
          <w:tcPr>
            <w:tcW w:w="1101" w:type="dxa"/>
            <w:vAlign w:val="center"/>
          </w:tcPr>
          <w:p>
            <w:pPr>
              <w:pStyle w:val="TableTextExample"/>
              <w:jc w:val="left"/>
            </w:pPr>
            <w:r/>
            <w:r>
              <w:t>SPEC-18 §2</w:t>
            </w:r>
          </w:p>
        </w:tc>
        <w:tc>
          <w:tcPr>
            <w:tcW w:w="1006" w:type="dxa"/>
            <w:vAlign w:val="center"/>
          </w:tcPr>
          <w:p>
            <w:pPr>
              <w:pStyle w:val="TableTextExample"/>
              <w:jc w:val="left"/>
            </w:pPr>
            <w:r/>
            <w:r>
              <w:t>S2-VT-8500 A</w:t>
            </w:r>
          </w:p>
        </w:tc>
        <w:tc>
          <w:tcPr>
            <w:tcW w:w="723" w:type="dxa"/>
            <w:vAlign w:val="center"/>
          </w:tcPr>
          <w:p>
            <w:pPr>
              <w:pStyle w:val="TableTextExample"/>
              <w:jc w:val="left"/>
            </w:pPr>
            <w:r/>
            <w:r>
              <w:t>no.</w:t>
            </w:r>
          </w:p>
        </w:tc>
        <w:tc>
          <w:tcPr>
            <w:tcW w:w="1006" w:type="dxa"/>
            <w:vAlign w:val="center"/>
          </w:tcPr>
          <w:p>
            <w:pPr>
              <w:pStyle w:val="TableTextExample"/>
              <w:jc w:val="left"/>
            </w:pPr>
            <w:r/>
            <w:r>
              <w:t>Lump sum</w:t>
            </w:r>
          </w:p>
        </w:tc>
        <w:tc>
          <w:tcPr>
            <w:tcW w:w="2580" w:type="dxa"/>
            <w:vAlign w:val="center"/>
          </w:tcPr>
          <w:p>
            <w:pPr>
              <w:pStyle w:val="TableTextExample"/>
              <w:jc w:val="left"/>
            </w:pPr>
            <w:r/>
            <w:r>
              <w:t>Bed elevator car 1,600 × 2,700 mm clear; ride quality and door timing per spec</w:t>
            </w:r>
          </w:p>
        </w:tc>
        <w:tc>
          <w:tcPr>
            <w:tcW w:w="1132" w:type="dxa"/>
            <w:vAlign w:val="center"/>
          </w:tcPr>
          <w:p>
            <w:pPr>
              <w:pStyle w:val="TableTextExample"/>
              <w:jc w:val="left"/>
            </w:pPr>
            <w:r/>
            <w:r>
              <w:t>Contractor</w:t>
            </w:r>
          </w:p>
        </w:tc>
        <w:tc>
          <w:tcPr>
            <w:tcW w:w="1831" w:type="dxa"/>
            <w:vAlign w:val="center"/>
          </w:tcPr>
          <w:p>
            <w:pPr>
              <w:pStyle w:val="TableTextExample"/>
              <w:jc w:val="left"/>
            </w:pPr>
            <w:r/>
            <w:r>
              <w:t>Builder's work to shafts by structure — IF-11</w:t>
            </w:r>
          </w:p>
        </w:tc>
      </w:tr>
      <w:tr>
        <w:trPr>
          <w:cantSplit w:val="true"/>
        </w:trPr>
        <w:tc>
          <w:tcPr>
            <w:tcW w:w="818" w:type="dxa"/>
            <w:vAlign w:val="center"/>
          </w:tcPr>
          <w:p>
            <w:pPr>
              <w:pStyle w:val="TableTextExample"/>
              <w:jc w:val="left"/>
            </w:pPr>
            <w:r/>
            <w:r>
              <w:t>19-10</w:t>
            </w:r>
          </w:p>
        </w:tc>
        <w:tc>
          <w:tcPr>
            <w:tcW w:w="1321" w:type="dxa"/>
            <w:vAlign w:val="center"/>
          </w:tcPr>
          <w:p>
            <w:pPr>
              <w:pStyle w:val="TableTextExample"/>
              <w:jc w:val="left"/>
            </w:pPr>
            <w:r/>
            <w:r>
              <w:t>External works and landscaping</w:t>
            </w:r>
          </w:p>
        </w:tc>
        <w:tc>
          <w:tcPr>
            <w:tcW w:w="3052" w:type="dxa"/>
            <w:vAlign w:val="center"/>
          </w:tcPr>
          <w:p>
            <w:pPr>
              <w:pStyle w:val="TableTextExample"/>
              <w:jc w:val="left"/>
            </w:pPr>
            <w:r/>
            <w:r>
              <w:t>Ambulance set-down, parking structure, paving, drainage, planting, furniture, wayfinding</w:t>
            </w:r>
          </w:p>
        </w:tc>
        <w:tc>
          <w:tcPr>
            <w:tcW w:w="1101" w:type="dxa"/>
            <w:vAlign w:val="center"/>
          </w:tcPr>
          <w:p>
            <w:pPr>
              <w:pStyle w:val="TableTextExample"/>
              <w:jc w:val="left"/>
            </w:pPr>
            <w:r/>
            <w:r>
              <w:t>SPEC-19 §2</w:t>
            </w:r>
          </w:p>
        </w:tc>
        <w:tc>
          <w:tcPr>
            <w:tcW w:w="1006" w:type="dxa"/>
            <w:vAlign w:val="center"/>
          </w:tcPr>
          <w:p>
            <w:pPr>
              <w:pStyle w:val="TableTextExample"/>
              <w:jc w:val="left"/>
            </w:pPr>
            <w:r/>
            <w:r>
              <w:t>S2-LA-9000 B</w:t>
            </w:r>
          </w:p>
        </w:tc>
        <w:tc>
          <w:tcPr>
            <w:tcW w:w="723" w:type="dxa"/>
            <w:vAlign w:val="center"/>
          </w:tcPr>
          <w:p>
            <w:pPr>
              <w:pStyle w:val="TableTextExample"/>
              <w:jc w:val="left"/>
            </w:pPr>
            <w:r/>
            <w:r>
              <w:t>m²</w:t>
            </w:r>
          </w:p>
        </w:tc>
        <w:tc>
          <w:tcPr>
            <w:tcW w:w="1006" w:type="dxa"/>
            <w:vAlign w:val="center"/>
          </w:tcPr>
          <w:p>
            <w:pPr>
              <w:pStyle w:val="TableTextExample"/>
              <w:jc w:val="left"/>
            </w:pPr>
            <w:r/>
            <w:r>
              <w:t>Measured</w:t>
            </w:r>
          </w:p>
        </w:tc>
        <w:tc>
          <w:tcPr>
            <w:tcW w:w="2580" w:type="dxa"/>
            <w:vAlign w:val="center"/>
          </w:tcPr>
          <w:p>
            <w:pPr>
              <w:pStyle w:val="TableTextExample"/>
              <w:jc w:val="left"/>
            </w:pPr>
            <w:r/>
            <w:r>
              <w:t>Falls not flatter than 1:100; accessible path gradients to [insert applicable national standard]</w:t>
            </w:r>
          </w:p>
        </w:tc>
        <w:tc>
          <w:tcPr>
            <w:tcW w:w="1132" w:type="dxa"/>
            <w:vAlign w:val="center"/>
          </w:tcPr>
          <w:p>
            <w:pPr>
              <w:pStyle w:val="TableTextExample"/>
              <w:jc w:val="left"/>
            </w:pPr>
            <w:r/>
            <w:r>
              <w:t>Contractor</w:t>
            </w:r>
          </w:p>
        </w:tc>
        <w:tc>
          <w:tcPr>
            <w:tcW w:w="1831" w:type="dxa"/>
            <w:vAlign w:val="center"/>
          </w:tcPr>
          <w:p>
            <w:pPr>
              <w:pStyle w:val="TableTextExample"/>
              <w:jc w:val="left"/>
            </w:pPr>
            <w:r/>
            <w:r>
              <w:t>Public art plinth under PS-05</w:t>
            </w:r>
          </w:p>
        </w:tc>
      </w:tr>
      <w:tr>
        <w:trPr>
          <w:cantSplit w:val="true"/>
        </w:trPr>
        <w:tc>
          <w:tcPr>
            <w:tcW w:w="818" w:type="dxa"/>
            <w:vAlign w:val="center"/>
          </w:tcPr>
          <w:p>
            <w:pPr>
              <w:pStyle w:val="TableTextExample"/>
              <w:jc w:val="left"/>
            </w:pPr>
            <w:r/>
            <w:r>
              <w:t>20-10</w:t>
            </w:r>
          </w:p>
        </w:tc>
        <w:tc>
          <w:tcPr>
            <w:tcW w:w="1321" w:type="dxa"/>
            <w:vAlign w:val="center"/>
          </w:tcPr>
          <w:p>
            <w:pPr>
              <w:pStyle w:val="TableTextExample"/>
              <w:jc w:val="left"/>
            </w:pPr>
            <w:r/>
            <w:r>
              <w:t>Commissioning and integrated testing</w:t>
            </w:r>
          </w:p>
        </w:tc>
        <w:tc>
          <w:tcPr>
            <w:tcW w:w="3052" w:type="dxa"/>
            <w:vAlign w:val="center"/>
          </w:tcPr>
          <w:p>
            <w:pPr>
              <w:pStyle w:val="TableTextExample"/>
              <w:jc w:val="left"/>
            </w:pPr>
            <w:r/>
            <w:r>
              <w:t>Pre-commissioning, commissioning, integrated systems testing, seasonal fine tuning</w:t>
            </w:r>
          </w:p>
        </w:tc>
        <w:tc>
          <w:tcPr>
            <w:tcW w:w="1101" w:type="dxa"/>
            <w:vAlign w:val="center"/>
          </w:tcPr>
          <w:p>
            <w:pPr>
              <w:pStyle w:val="TableTextExample"/>
              <w:jc w:val="left"/>
            </w:pPr>
            <w:r/>
            <w:r>
              <w:t>SPEC-20 §2</w:t>
            </w:r>
          </w:p>
        </w:tc>
        <w:tc>
          <w:tcPr>
            <w:tcW w:w="1006" w:type="dxa"/>
            <w:vAlign w:val="center"/>
          </w:tcPr>
          <w:p>
            <w:pPr>
              <w:pStyle w:val="TableTextExample"/>
              <w:jc w:val="left"/>
            </w:pPr>
            <w:r/>
            <w:r>
              <w:t>—</w:t>
            </w:r>
          </w:p>
        </w:tc>
        <w:tc>
          <w:tcPr>
            <w:tcW w:w="723" w:type="dxa"/>
            <w:vAlign w:val="center"/>
          </w:tcPr>
          <w:p>
            <w:pPr>
              <w:pStyle w:val="TableTextExample"/>
              <w:jc w:val="left"/>
            </w:pPr>
            <w:r/>
            <w:r>
              <w:t>item</w:t>
            </w:r>
          </w:p>
        </w:tc>
        <w:tc>
          <w:tcPr>
            <w:tcW w:w="1006" w:type="dxa"/>
            <w:vAlign w:val="center"/>
          </w:tcPr>
          <w:p>
            <w:pPr>
              <w:pStyle w:val="TableTextExample"/>
              <w:jc w:val="left"/>
            </w:pPr>
            <w:r/>
            <w:r>
              <w:t>Lump sum</w:t>
            </w:r>
          </w:p>
        </w:tc>
        <w:tc>
          <w:tcPr>
            <w:tcW w:w="2580" w:type="dxa"/>
            <w:vAlign w:val="center"/>
          </w:tcPr>
          <w:p>
            <w:pPr>
              <w:pStyle w:val="TableTextExample"/>
              <w:jc w:val="left"/>
            </w:pPr>
            <w:r/>
            <w:r>
              <w:t>Integrated systems test passed with every system live and witnessed; 12 months fine tuning</w:t>
            </w:r>
          </w:p>
        </w:tc>
        <w:tc>
          <w:tcPr>
            <w:tcW w:w="1132" w:type="dxa"/>
            <w:vAlign w:val="center"/>
          </w:tcPr>
          <w:p>
            <w:pPr>
              <w:pStyle w:val="TableTextExample"/>
              <w:jc w:val="left"/>
            </w:pPr>
            <w:r/>
            <w:r>
              <w:t>Contractor</w:t>
            </w:r>
          </w:p>
        </w:tc>
        <w:tc>
          <w:tcPr>
            <w:tcW w:w="1831" w:type="dxa"/>
            <w:vAlign w:val="center"/>
          </w:tcPr>
          <w:p>
            <w:pPr>
              <w:pStyle w:val="TableTextExample"/>
              <w:jc w:val="left"/>
            </w:pPr>
            <w:r/>
            <w:r>
              <w:t>Extends beyond PC — Section 16.2</w:t>
            </w:r>
          </w:p>
        </w:tc>
      </w:tr>
      <w:tr>
        <w:trPr>
          <w:cantSplit w:val="true"/>
        </w:trPr>
        <w:tc>
          <w:tcPr>
            <w:tcW w:w="818" w:type="dxa"/>
            <w:vAlign w:val="center"/>
          </w:tcPr>
          <w:p>
            <w:pPr>
              <w:pStyle w:val="TableText"/>
              <w:jc w:val="left"/>
            </w:pPr>
            <w:r/>
          </w:p>
        </w:tc>
        <w:tc>
          <w:tcPr>
            <w:tcW w:w="1321" w:type="dxa"/>
            <w:vAlign w:val="center"/>
          </w:tcPr>
          <w:p>
            <w:pPr>
              <w:pStyle w:val="TableText"/>
              <w:jc w:val="left"/>
            </w:pPr>
            <w:r/>
          </w:p>
        </w:tc>
        <w:tc>
          <w:tcPr>
            <w:tcW w:w="3052" w:type="dxa"/>
            <w:vAlign w:val="center"/>
          </w:tcPr>
          <w:p>
            <w:pPr>
              <w:pStyle w:val="TableText"/>
              <w:jc w:val="left"/>
            </w:pPr>
            <w:r/>
          </w:p>
        </w:tc>
        <w:tc>
          <w:tcPr>
            <w:tcW w:w="1101" w:type="dxa"/>
            <w:vAlign w:val="center"/>
          </w:tcPr>
          <w:p>
            <w:pPr>
              <w:pStyle w:val="TableText"/>
              <w:jc w:val="left"/>
            </w:pPr>
            <w:r/>
          </w:p>
        </w:tc>
        <w:tc>
          <w:tcPr>
            <w:tcW w:w="1006" w:type="dxa"/>
            <w:vAlign w:val="center"/>
          </w:tcPr>
          <w:p>
            <w:pPr>
              <w:pStyle w:val="TableText"/>
              <w:jc w:val="left"/>
            </w:pPr>
            <w:r/>
          </w:p>
        </w:tc>
        <w:tc>
          <w:tcPr>
            <w:tcW w:w="723" w:type="dxa"/>
            <w:vAlign w:val="center"/>
          </w:tcPr>
          <w:p>
            <w:pPr>
              <w:pStyle w:val="TableText"/>
              <w:jc w:val="left"/>
            </w:pPr>
            <w:r/>
          </w:p>
        </w:tc>
        <w:tc>
          <w:tcPr>
            <w:tcW w:w="1006" w:type="dxa"/>
            <w:vAlign w:val="center"/>
          </w:tcPr>
          <w:p>
            <w:pPr>
              <w:pStyle w:val="TableText"/>
              <w:jc w:val="left"/>
            </w:pPr>
            <w:r/>
          </w:p>
        </w:tc>
        <w:tc>
          <w:tcPr>
            <w:tcW w:w="2580" w:type="dxa"/>
            <w:vAlign w:val="center"/>
          </w:tcPr>
          <w:p>
            <w:pPr>
              <w:pStyle w:val="TableText"/>
              <w:jc w:val="left"/>
            </w:pPr>
            <w:r/>
          </w:p>
        </w:tc>
        <w:tc>
          <w:tcPr>
            <w:tcW w:w="1132" w:type="dxa"/>
            <w:vAlign w:val="center"/>
          </w:tcPr>
          <w:p>
            <w:pPr>
              <w:pStyle w:val="TableText"/>
              <w:jc w:val="left"/>
            </w:pPr>
            <w:r/>
          </w:p>
        </w:tc>
        <w:tc>
          <w:tcPr>
            <w:tcW w:w="1831" w:type="dxa"/>
            <w:vAlign w:val="center"/>
          </w:tcPr>
          <w:p>
            <w:pPr>
              <w:pStyle w:val="TableText"/>
              <w:jc w:val="left"/>
            </w:pPr>
            <w:r/>
          </w:p>
        </w:tc>
      </w:tr>
      <w:tr>
        <w:trPr>
          <w:cantSplit w:val="true"/>
        </w:trPr>
        <w:tc>
          <w:tcPr>
            <w:tcW w:w="818" w:type="dxa"/>
            <w:vAlign w:val="center"/>
          </w:tcPr>
          <w:p>
            <w:pPr>
              <w:pStyle w:val="TableText"/>
              <w:jc w:val="left"/>
            </w:pPr>
            <w:r/>
          </w:p>
        </w:tc>
        <w:tc>
          <w:tcPr>
            <w:tcW w:w="1321" w:type="dxa"/>
            <w:vAlign w:val="center"/>
          </w:tcPr>
          <w:p>
            <w:pPr>
              <w:pStyle w:val="TableText"/>
              <w:jc w:val="left"/>
            </w:pPr>
            <w:r/>
          </w:p>
        </w:tc>
        <w:tc>
          <w:tcPr>
            <w:tcW w:w="3052" w:type="dxa"/>
            <w:vAlign w:val="center"/>
          </w:tcPr>
          <w:p>
            <w:pPr>
              <w:pStyle w:val="TableText"/>
              <w:jc w:val="left"/>
            </w:pPr>
            <w:r/>
          </w:p>
        </w:tc>
        <w:tc>
          <w:tcPr>
            <w:tcW w:w="1101" w:type="dxa"/>
            <w:vAlign w:val="center"/>
          </w:tcPr>
          <w:p>
            <w:pPr>
              <w:pStyle w:val="TableText"/>
              <w:jc w:val="left"/>
            </w:pPr>
            <w:r/>
          </w:p>
        </w:tc>
        <w:tc>
          <w:tcPr>
            <w:tcW w:w="1006" w:type="dxa"/>
            <w:vAlign w:val="center"/>
          </w:tcPr>
          <w:p>
            <w:pPr>
              <w:pStyle w:val="TableText"/>
              <w:jc w:val="left"/>
            </w:pPr>
            <w:r/>
          </w:p>
        </w:tc>
        <w:tc>
          <w:tcPr>
            <w:tcW w:w="723" w:type="dxa"/>
            <w:vAlign w:val="center"/>
          </w:tcPr>
          <w:p>
            <w:pPr>
              <w:pStyle w:val="TableText"/>
              <w:jc w:val="left"/>
            </w:pPr>
            <w:r/>
          </w:p>
        </w:tc>
        <w:tc>
          <w:tcPr>
            <w:tcW w:w="1006" w:type="dxa"/>
            <w:vAlign w:val="center"/>
          </w:tcPr>
          <w:p>
            <w:pPr>
              <w:pStyle w:val="TableText"/>
              <w:jc w:val="left"/>
            </w:pPr>
            <w:r/>
          </w:p>
        </w:tc>
        <w:tc>
          <w:tcPr>
            <w:tcW w:w="2580" w:type="dxa"/>
            <w:vAlign w:val="center"/>
          </w:tcPr>
          <w:p>
            <w:pPr>
              <w:pStyle w:val="TableText"/>
              <w:jc w:val="left"/>
            </w:pPr>
            <w:r/>
          </w:p>
        </w:tc>
        <w:tc>
          <w:tcPr>
            <w:tcW w:w="1132" w:type="dxa"/>
            <w:vAlign w:val="center"/>
          </w:tcPr>
          <w:p>
            <w:pPr>
              <w:pStyle w:val="TableText"/>
              <w:jc w:val="left"/>
            </w:pPr>
            <w:r/>
          </w:p>
        </w:tc>
        <w:tc>
          <w:tcPr>
            <w:tcW w:w="1831" w:type="dxa"/>
            <w:vAlign w:val="center"/>
          </w:tcPr>
          <w:p>
            <w:pPr>
              <w:pStyle w:val="TableText"/>
              <w:jc w:val="left"/>
            </w:pPr>
            <w:r/>
          </w:p>
        </w:tc>
      </w:tr>
    </w:tbl>
    <w:p>
      <w:pPr>
        <w:spacing w:before="0" w:after="0" w:line="80" w:lineRule="exact"/>
      </w:pPr>
    </w:p>
    <w:p>
      <w:pPr>
        <w:pStyle w:val="Heading2"/>
      </w:pPr>
      <w:bookmarkStart w:id="9022" w:name="_Toc90022"/>
      <w:r>
        <w:t>6.2 Scope by construction stage</w:t>
      </w:r>
      <w:bookmarkEnd w:id="9022"/>
    </w:p>
    <w:p>
      <w:pPr>
        <w:pStyle w:val="Body"/>
      </w:pPr>
      <w:r>
        <w:t>The same works, sequenced — the view a Owner's Representative uses to decide whether a stage may start and whether it is finished. A stage cannot start until its prerequisites are satisfied and is not complete until the deliverables in the last column are accepted. Where a prerequisite is another party's obligation, cross-refer it to the interface register at Section 9.1 and the access dates at Section 11.1.</w:t>
      </w:r>
    </w:p>
    <w:p>
      <w:pPr>
        <w:pStyle w:val="Note"/>
      </w:pPr>
      <w:r>
        <w:t>Example rows shown in gray italic — delete before use. Add or delete stages to match the project. Every stage in this table must appear as a milestone or an activity grouping in the schedule required at Section 11.4.</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14570" w:type="dxa"/>
        <w:tblInd w:w="0" w:type="dxa"/>
        <w:tblCellMar>
          <w:top w:w="45" w:type="dxa"/>
          <w:left w:w="100" w:type="dxa"/>
          <w:bottom w:w="45" w:type="dxa"/>
          <w:right w:w="100" w:type="dxa"/>
        </w:tblCellMar>
      </w:tblPr>
      <w:tblGrid>
        <w:gridCol w:w="1552"/>
        <w:gridCol w:w="2507"/>
        <w:gridCol w:w="3821"/>
        <w:gridCol w:w="2985"/>
        <w:gridCol w:w="3705"/>
      </w:tblGrid>
      <w:tr>
        <w:trPr>
          <w:tblHeader w:val="true"/>
          <w:cantSplit w:val="true"/>
        </w:trPr>
        <w:tc>
          <w:tcPr>
            <w:tcW w:w="1552" w:type="dxa"/>
            <w:shd w:val="clear" w:color="auto" w:fill="1D3245"/>
            <w:vAlign w:val="center"/>
          </w:tcPr>
          <w:p>
            <w:pPr>
              <w:pStyle w:val="TableHeader"/>
              <w:jc w:val="left"/>
            </w:pPr>
            <w:r/>
            <w:r>
              <w:t>Stage</w:t>
            </w:r>
          </w:p>
        </w:tc>
        <w:tc>
          <w:tcPr>
            <w:tcW w:w="2507" w:type="dxa"/>
            <w:shd w:val="clear" w:color="auto" w:fill="1D3245"/>
            <w:vAlign w:val="center"/>
          </w:tcPr>
          <w:p>
            <w:pPr>
              <w:pStyle w:val="TableHeader"/>
              <w:jc w:val="left"/>
            </w:pPr>
            <w:r/>
            <w:r>
              <w:t>Works required</w:t>
            </w:r>
          </w:p>
        </w:tc>
        <w:tc>
          <w:tcPr>
            <w:tcW w:w="3821" w:type="dxa"/>
            <w:shd w:val="clear" w:color="auto" w:fill="1D3245"/>
            <w:vAlign w:val="center"/>
          </w:tcPr>
          <w:p>
            <w:pPr>
              <w:pStyle w:val="TableHeader"/>
              <w:jc w:val="left"/>
            </w:pPr>
            <w:r/>
            <w:r>
              <w:t>Prerequisites before the stage may start</w:t>
            </w:r>
          </w:p>
        </w:tc>
        <w:tc>
          <w:tcPr>
            <w:tcW w:w="2985" w:type="dxa"/>
            <w:shd w:val="clear" w:color="auto" w:fill="1D3245"/>
            <w:vAlign w:val="center"/>
          </w:tcPr>
          <w:p>
            <w:pPr>
              <w:pStyle w:val="TableHeader"/>
              <w:jc w:val="left"/>
            </w:pPr>
            <w:r/>
            <w:r>
              <w:t>Hold points within the stage</w:t>
            </w:r>
          </w:p>
        </w:tc>
        <w:tc>
          <w:tcPr>
            <w:tcW w:w="3705" w:type="dxa"/>
            <w:shd w:val="clear" w:color="auto" w:fill="1D3245"/>
            <w:vAlign w:val="center"/>
          </w:tcPr>
          <w:p>
            <w:pPr>
              <w:pStyle w:val="TableHeader"/>
              <w:jc w:val="left"/>
            </w:pPr>
            <w:r/>
            <w:r>
              <w:t>Deliverables at stage end</w:t>
            </w:r>
          </w:p>
        </w:tc>
      </w:tr>
      <w:tr>
        <w:trPr>
          <w:cantSplit w:val="true"/>
        </w:trPr>
        <w:tc>
          <w:tcPr>
            <w:tcW w:w="1552" w:type="dxa"/>
            <w:vAlign w:val="center"/>
          </w:tcPr>
          <w:p>
            <w:pPr>
              <w:pStyle w:val="TableTextExample"/>
              <w:jc w:val="left"/>
            </w:pPr>
            <w:r/>
            <w:r>
              <w:t>S1 — Mobilization and mobilization and temporary facilities</w:t>
            </w:r>
          </w:p>
        </w:tc>
        <w:tc>
          <w:tcPr>
            <w:tcW w:w="2507" w:type="dxa"/>
            <w:vAlign w:val="center"/>
          </w:tcPr>
          <w:p>
            <w:pPr>
              <w:pStyle w:val="TableTextExample"/>
              <w:jc w:val="left"/>
            </w:pPr>
            <w:r/>
            <w:r>
              <w:t>Perimeter fence, sheds, services, access, traffic management, hospital wayfinding diversion</w:t>
            </w:r>
          </w:p>
        </w:tc>
        <w:tc>
          <w:tcPr>
            <w:tcW w:w="3821" w:type="dxa"/>
            <w:vAlign w:val="center"/>
          </w:tcPr>
          <w:p>
            <w:pPr>
              <w:pStyle w:val="TableTextExample"/>
              <w:jc w:val="left"/>
            </w:pPr>
            <w:r/>
            <w:r>
              <w:t>Contract executed; insurances and security provided; Safety Management Plan accepted; site possession granted at the access date at Section 11.1</w:t>
            </w:r>
          </w:p>
        </w:tc>
        <w:tc>
          <w:tcPr>
            <w:tcW w:w="2985" w:type="dxa"/>
            <w:vAlign w:val="center"/>
          </w:tcPr>
          <w:p>
            <w:pPr>
              <w:pStyle w:val="TableTextExample"/>
              <w:jc w:val="left"/>
            </w:pPr>
            <w:r/>
            <w:r>
              <w:t>Perimeter fence and public interface inspection; traffic management implementation check</w:t>
            </w:r>
          </w:p>
        </w:tc>
        <w:tc>
          <w:tcPr>
            <w:tcW w:w="3705" w:type="dxa"/>
            <w:vAlign w:val="center"/>
          </w:tcPr>
          <w:p>
            <w:pPr>
              <w:pStyle w:val="TableTextExample"/>
              <w:jc w:val="left"/>
            </w:pPr>
            <w:r/>
            <w:r>
              <w:t>Mobilization and temporary facilities complete and inspected; approved traffic management plan in force; pre-condition survey of Ward Block C and adjoining property issued</w:t>
            </w:r>
          </w:p>
        </w:tc>
      </w:tr>
      <w:tr>
        <w:trPr>
          <w:cantSplit w:val="true"/>
        </w:trPr>
        <w:tc>
          <w:tcPr>
            <w:tcW w:w="1552" w:type="dxa"/>
            <w:vAlign w:val="center"/>
          </w:tcPr>
          <w:p>
            <w:pPr>
              <w:pStyle w:val="TableTextExample"/>
              <w:jc w:val="left"/>
            </w:pPr>
            <w:r/>
            <w:r>
              <w:t>S3 — Retainage and bulk earthworks</w:t>
            </w:r>
          </w:p>
        </w:tc>
        <w:tc>
          <w:tcPr>
            <w:tcW w:w="2507" w:type="dxa"/>
            <w:vAlign w:val="center"/>
          </w:tcPr>
          <w:p>
            <w:pPr>
              <w:pStyle w:val="TableTextExample"/>
              <w:jc w:val="left"/>
            </w:pPr>
            <w:r/>
            <w:r>
              <w:t>Contiguous piled wall, capping beam, ground anchors, bulk excavation, dewatering</w:t>
            </w:r>
          </w:p>
        </w:tc>
        <w:tc>
          <w:tcPr>
            <w:tcW w:w="3821" w:type="dxa"/>
            <w:vAlign w:val="center"/>
          </w:tcPr>
          <w:p>
            <w:pPr>
              <w:pStyle w:val="TableTextExample"/>
              <w:jc w:val="left"/>
            </w:pPr>
            <w:r/>
            <w:r>
              <w:t>Temporary works design certified; monitoring instrumentation installed and baseline readings taken; services proved and isolated; vibration limits agreed with the hospital</w:t>
            </w:r>
          </w:p>
        </w:tc>
        <w:tc>
          <w:tcPr>
            <w:tcW w:w="2985" w:type="dxa"/>
            <w:vAlign w:val="center"/>
          </w:tcPr>
          <w:p>
            <w:pPr>
              <w:pStyle w:val="TableTextExample"/>
              <w:jc w:val="left"/>
            </w:pPr>
            <w:r/>
            <w:r>
              <w:t>Pre-anchor stressing hold point; formation level acceptance by the geotechnical engineer</w:t>
            </w:r>
          </w:p>
        </w:tc>
        <w:tc>
          <w:tcPr>
            <w:tcW w:w="3705" w:type="dxa"/>
            <w:vAlign w:val="center"/>
          </w:tcPr>
          <w:p>
            <w:pPr>
              <w:pStyle w:val="TableTextExample"/>
              <w:jc w:val="left"/>
            </w:pPr>
            <w:r/>
            <w:r>
              <w:t>Verified formation level survey; anchor stressing records; monitoring report demonstrating movement within trigger</w:t>
            </w:r>
          </w:p>
        </w:tc>
      </w:tr>
      <w:tr>
        <w:trPr>
          <w:cantSplit w:val="true"/>
        </w:trPr>
        <w:tc>
          <w:tcPr>
            <w:tcW w:w="1552" w:type="dxa"/>
            <w:vAlign w:val="center"/>
          </w:tcPr>
          <w:p>
            <w:pPr>
              <w:pStyle w:val="TableTextExample"/>
              <w:jc w:val="left"/>
            </w:pPr>
            <w:r/>
            <w:r>
              <w:t>S5 — Superstructure</w:t>
            </w:r>
          </w:p>
        </w:tc>
        <w:tc>
          <w:tcPr>
            <w:tcW w:w="2507" w:type="dxa"/>
            <w:vAlign w:val="center"/>
          </w:tcPr>
          <w:p>
            <w:pPr>
              <w:pStyle w:val="TableTextExample"/>
              <w:jc w:val="left"/>
            </w:pPr>
            <w:r/>
            <w:r>
              <w:t>Transfer slab, cores, structural steel frame, metal deck, suspended slabs</w:t>
            </w:r>
          </w:p>
        </w:tc>
        <w:tc>
          <w:tcPr>
            <w:tcW w:w="3821" w:type="dxa"/>
            <w:vAlign w:val="center"/>
          </w:tcPr>
          <w:p>
            <w:pPr>
              <w:pStyle w:val="TableTextExample"/>
              <w:jc w:val="left"/>
            </w:pPr>
            <w:r/>
            <w:r>
              <w:t>Substructure surveyed and accepted; holding-down bolt record survey issued to the steel fabricator; crane erected and certified; steel shop drawings reviewed</w:t>
            </w:r>
          </w:p>
        </w:tc>
        <w:tc>
          <w:tcPr>
            <w:tcW w:w="2985" w:type="dxa"/>
            <w:vAlign w:val="center"/>
          </w:tcPr>
          <w:p>
            <w:pPr>
              <w:pStyle w:val="TableTextExample"/>
              <w:jc w:val="left"/>
            </w:pPr>
            <w:r/>
            <w:r>
              <w:t>Pre-pour hold point to each slab; pre-erection survey release; bolt torque and weld inspection witness points</w:t>
            </w:r>
          </w:p>
        </w:tc>
        <w:tc>
          <w:tcPr>
            <w:tcW w:w="3705" w:type="dxa"/>
            <w:vAlign w:val="center"/>
          </w:tcPr>
          <w:p>
            <w:pPr>
              <w:pStyle w:val="TableTextExample"/>
              <w:jc w:val="left"/>
            </w:pPr>
            <w:r/>
            <w:r>
              <w:t>Record survey of frame within tolerance; weld and bolt inspection reports; steel erection completion certificate</w:t>
            </w:r>
          </w:p>
        </w:tc>
      </w:tr>
      <w:tr>
        <w:trPr>
          <w:cantSplit w:val="true"/>
        </w:trPr>
        <w:tc>
          <w:tcPr>
            <w:tcW w:w="1552" w:type="dxa"/>
            <w:vAlign w:val="center"/>
          </w:tcPr>
          <w:p>
            <w:pPr>
              <w:pStyle w:val="TableTextExample"/>
              <w:jc w:val="left"/>
            </w:pPr>
            <w:r/>
            <w:r>
              <w:t>S9 — Commissioning and integrated testing</w:t>
            </w:r>
          </w:p>
        </w:tc>
        <w:tc>
          <w:tcPr>
            <w:tcW w:w="2507" w:type="dxa"/>
            <w:vAlign w:val="center"/>
          </w:tcPr>
          <w:p>
            <w:pPr>
              <w:pStyle w:val="TableTextExample"/>
              <w:jc w:val="left"/>
            </w:pPr>
            <w:r/>
            <w:r>
              <w:t>Pre-commissioning, commissioning, integrated systems test, clinical simulation</w:t>
            </w:r>
          </w:p>
        </w:tc>
        <w:tc>
          <w:tcPr>
            <w:tcW w:w="3821" w:type="dxa"/>
            <w:vAlign w:val="center"/>
          </w:tcPr>
          <w:p>
            <w:pPr>
              <w:pStyle w:val="TableTextExample"/>
              <w:jc w:val="left"/>
            </w:pPr>
            <w:r/>
            <w:r>
              <w:t>All systems installed and statically tested; commissioning plan and test sheets accepted; permanent power and water available; operator training scheduled</w:t>
            </w:r>
          </w:p>
        </w:tc>
        <w:tc>
          <w:tcPr>
            <w:tcW w:w="2985" w:type="dxa"/>
            <w:vAlign w:val="center"/>
          </w:tcPr>
          <w:p>
            <w:pPr>
              <w:pStyle w:val="TableTextExample"/>
              <w:jc w:val="left"/>
            </w:pPr>
            <w:r/>
            <w:r>
              <w:t>Medical gas purity certification; essential supply changeover test; integrated systems test</w:t>
            </w:r>
          </w:p>
        </w:tc>
        <w:tc>
          <w:tcPr>
            <w:tcW w:w="3705" w:type="dxa"/>
            <w:vAlign w:val="center"/>
          </w:tcPr>
          <w:p>
            <w:pPr>
              <w:pStyle w:val="TableTextExample"/>
              <w:jc w:val="left"/>
            </w:pPr>
            <w:r/>
            <w:r>
              <w:t>Full commissioning records; integrated systems test report; regulatory certificates; training completed and recorded</w:t>
            </w:r>
          </w:p>
        </w:tc>
      </w:tr>
      <w:tr>
        <w:trPr>
          <w:cantSplit w:val="true"/>
        </w:trPr>
        <w:tc>
          <w:tcPr>
            <w:tcW w:w="1552" w:type="dxa"/>
            <w:vAlign w:val="center"/>
          </w:tcPr>
          <w:p>
            <w:pPr>
              <w:pStyle w:val="TableText"/>
              <w:jc w:val="left"/>
            </w:pPr>
            <w:r/>
          </w:p>
        </w:tc>
        <w:tc>
          <w:tcPr>
            <w:tcW w:w="2507" w:type="dxa"/>
            <w:vAlign w:val="center"/>
          </w:tcPr>
          <w:p>
            <w:pPr>
              <w:pStyle w:val="TableText"/>
              <w:jc w:val="left"/>
            </w:pPr>
            <w:r/>
          </w:p>
        </w:tc>
        <w:tc>
          <w:tcPr>
            <w:tcW w:w="3821" w:type="dxa"/>
            <w:vAlign w:val="center"/>
          </w:tcPr>
          <w:p>
            <w:pPr>
              <w:pStyle w:val="TableText"/>
              <w:jc w:val="left"/>
            </w:pPr>
            <w:r/>
          </w:p>
        </w:tc>
        <w:tc>
          <w:tcPr>
            <w:tcW w:w="2985" w:type="dxa"/>
            <w:vAlign w:val="center"/>
          </w:tcPr>
          <w:p>
            <w:pPr>
              <w:pStyle w:val="TableText"/>
              <w:jc w:val="left"/>
            </w:pPr>
            <w:r/>
          </w:p>
        </w:tc>
        <w:tc>
          <w:tcPr>
            <w:tcW w:w="3705" w:type="dxa"/>
            <w:vAlign w:val="center"/>
          </w:tcPr>
          <w:p>
            <w:pPr>
              <w:pStyle w:val="TableText"/>
              <w:jc w:val="left"/>
            </w:pPr>
            <w:r/>
          </w:p>
        </w:tc>
      </w:tr>
      <w:tr>
        <w:trPr>
          <w:cantSplit w:val="true"/>
        </w:trPr>
        <w:tc>
          <w:tcPr>
            <w:tcW w:w="1552" w:type="dxa"/>
            <w:vAlign w:val="center"/>
          </w:tcPr>
          <w:p>
            <w:pPr>
              <w:pStyle w:val="TableText"/>
              <w:jc w:val="left"/>
            </w:pPr>
            <w:r/>
          </w:p>
        </w:tc>
        <w:tc>
          <w:tcPr>
            <w:tcW w:w="2507" w:type="dxa"/>
            <w:vAlign w:val="center"/>
          </w:tcPr>
          <w:p>
            <w:pPr>
              <w:pStyle w:val="TableText"/>
              <w:jc w:val="left"/>
            </w:pPr>
            <w:r/>
          </w:p>
        </w:tc>
        <w:tc>
          <w:tcPr>
            <w:tcW w:w="3821" w:type="dxa"/>
            <w:vAlign w:val="center"/>
          </w:tcPr>
          <w:p>
            <w:pPr>
              <w:pStyle w:val="TableText"/>
              <w:jc w:val="left"/>
            </w:pPr>
            <w:r/>
          </w:p>
        </w:tc>
        <w:tc>
          <w:tcPr>
            <w:tcW w:w="2985" w:type="dxa"/>
            <w:vAlign w:val="center"/>
          </w:tcPr>
          <w:p>
            <w:pPr>
              <w:pStyle w:val="TableText"/>
              <w:jc w:val="left"/>
            </w:pPr>
            <w:r/>
          </w:p>
        </w:tc>
        <w:tc>
          <w:tcPr>
            <w:tcW w:w="3705" w:type="dxa"/>
            <w:vAlign w:val="center"/>
          </w:tcPr>
          <w:p>
            <w:pPr>
              <w:pStyle w:val="TableText"/>
              <w:jc w:val="left"/>
            </w:pPr>
            <w:r/>
          </w:p>
        </w:tc>
      </w:tr>
    </w:tbl>
    <w:p>
      <w:pPr>
        <w:spacing w:before="0" w:after="0" w:line="60" w:lineRule="exact"/>
      </w:pPr>
    </w:p>
    <w:p>
      <w:pPr>
        <w:pStyle w:val="Heading2"/>
      </w:pPr>
      <w:bookmarkStart w:id="9023" w:name="_Toc90023"/>
      <w:r>
        <w:t>6.3 Workmanship, standards and tolerances</w:t>
      </w:r>
      <w:bookmarkEnd w:id="9023"/>
    </w:p>
    <w:p>
      <w:pPr>
        <w:pStyle w:val="Body"/>
      </w:pPr>
      <w:r>
        <w:t>A scope that states what to build but not how well to build it is incomplete. For every element name the applicable standard, the tolerance, the test that proves it and the criterion by which the result is accepted or rejected. Where no national standard exists, state the acceptance criterion in measurable terms and name the person who accepts it.</w:t>
      </w:r>
    </w:p>
    <w:p>
      <w:pPr>
        <w:pStyle w:val="Note"/>
      </w:pPr>
      <w:r>
        <w:t>Example rows shown in gray italic — delete before use. Complete one row for every element in Section 6.1 that has a measurable quality outcome. Where a standard is cited, cite the clause, not the whole standard.</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14570" w:type="dxa"/>
        <w:tblInd w:w="0" w:type="dxa"/>
        <w:tblCellMar>
          <w:top w:w="45" w:type="dxa"/>
          <w:left w:w="100" w:type="dxa"/>
          <w:bottom w:w="45" w:type="dxa"/>
          <w:right w:w="100" w:type="dxa"/>
        </w:tblCellMar>
      </w:tblPr>
      <w:tblGrid>
        <w:gridCol w:w="2013"/>
        <w:gridCol w:w="2606"/>
        <w:gridCol w:w="3079"/>
        <w:gridCol w:w="3316"/>
        <w:gridCol w:w="3556"/>
      </w:tblGrid>
      <w:tr>
        <w:trPr>
          <w:tblHeader w:val="true"/>
          <w:cantSplit w:val="true"/>
        </w:trPr>
        <w:tc>
          <w:tcPr>
            <w:tcW w:w="2013" w:type="dxa"/>
            <w:shd w:val="clear" w:color="auto" w:fill="1D3245"/>
            <w:vAlign w:val="center"/>
          </w:tcPr>
          <w:p>
            <w:pPr>
              <w:pStyle w:val="TableHeader"/>
              <w:jc w:val="left"/>
            </w:pPr>
            <w:r/>
            <w:r>
              <w:t>Element</w:t>
            </w:r>
          </w:p>
        </w:tc>
        <w:tc>
          <w:tcPr>
            <w:tcW w:w="2606" w:type="dxa"/>
            <w:shd w:val="clear" w:color="auto" w:fill="1D3245"/>
            <w:vAlign w:val="center"/>
          </w:tcPr>
          <w:p>
            <w:pPr>
              <w:pStyle w:val="TableHeader"/>
              <w:jc w:val="left"/>
            </w:pPr>
            <w:r/>
            <w:r>
              <w:t>Applicable standard</w:t>
            </w:r>
          </w:p>
        </w:tc>
        <w:tc>
          <w:tcPr>
            <w:tcW w:w="3079" w:type="dxa"/>
            <w:shd w:val="clear" w:color="auto" w:fill="1D3245"/>
            <w:vAlign w:val="center"/>
          </w:tcPr>
          <w:p>
            <w:pPr>
              <w:pStyle w:val="TableHeader"/>
              <w:jc w:val="left"/>
            </w:pPr>
            <w:r/>
            <w:r>
              <w:t>Tolerance</w:t>
            </w:r>
          </w:p>
        </w:tc>
        <w:tc>
          <w:tcPr>
            <w:tcW w:w="3316" w:type="dxa"/>
            <w:shd w:val="clear" w:color="auto" w:fill="1D3245"/>
            <w:vAlign w:val="center"/>
          </w:tcPr>
          <w:p>
            <w:pPr>
              <w:pStyle w:val="TableHeader"/>
              <w:jc w:val="left"/>
            </w:pPr>
            <w:r/>
            <w:r>
              <w:t>Test method</w:t>
            </w:r>
          </w:p>
        </w:tc>
        <w:tc>
          <w:tcPr>
            <w:tcW w:w="3556" w:type="dxa"/>
            <w:shd w:val="clear" w:color="auto" w:fill="1D3245"/>
            <w:vAlign w:val="center"/>
          </w:tcPr>
          <w:p>
            <w:pPr>
              <w:pStyle w:val="TableHeader"/>
              <w:jc w:val="left"/>
            </w:pPr>
            <w:r/>
            <w:r>
              <w:t>Acceptance criteria</w:t>
            </w:r>
          </w:p>
        </w:tc>
      </w:tr>
      <w:tr>
        <w:trPr>
          <w:cantSplit w:val="true"/>
        </w:trPr>
        <w:tc>
          <w:tcPr>
            <w:tcW w:w="2013" w:type="dxa"/>
            <w:vAlign w:val="center"/>
          </w:tcPr>
          <w:p>
            <w:pPr>
              <w:pStyle w:val="TableTextExample"/>
              <w:jc w:val="left"/>
            </w:pPr>
            <w:r/>
            <w:r>
              <w:t>Structural steel fabrication and erection</w:t>
            </w:r>
          </w:p>
        </w:tc>
        <w:tc>
          <w:tcPr>
            <w:tcW w:w="2606" w:type="dxa"/>
            <w:vAlign w:val="center"/>
          </w:tcPr>
          <w:p>
            <w:pPr>
              <w:pStyle w:val="TableTextExample"/>
              <w:jc w:val="left"/>
            </w:pPr>
            <w:r/>
            <w:r>
              <w:t>ISO 5817 (weld quality) · [insert applicable national standard] (fabrication and erection)</w:t>
            </w:r>
          </w:p>
        </w:tc>
        <w:tc>
          <w:tcPr>
            <w:tcW w:w="3079" w:type="dxa"/>
            <w:vAlign w:val="center"/>
          </w:tcPr>
          <w:p>
            <w:pPr>
              <w:pStyle w:val="TableTextExample"/>
              <w:jc w:val="left"/>
            </w:pPr>
            <w:r/>
            <w:r>
              <w:t>Column plumb ≤ h/500 to a maximum 25 mm; beam level ±5 mm; bolt hole position ±2 mm</w:t>
            </w:r>
          </w:p>
        </w:tc>
        <w:tc>
          <w:tcPr>
            <w:tcW w:w="3316" w:type="dxa"/>
            <w:vAlign w:val="center"/>
          </w:tcPr>
          <w:p>
            <w:pPr>
              <w:pStyle w:val="TableTextExample"/>
              <w:jc w:val="left"/>
            </w:pPr>
            <w:r/>
            <w:r>
              <w:t>Visual and dimensional survey; ultrasonic testing of 10% of full penetration butt welds; bolt torque check on 5% of connections</w:t>
            </w:r>
          </w:p>
        </w:tc>
        <w:tc>
          <w:tcPr>
            <w:tcW w:w="3556" w:type="dxa"/>
            <w:vAlign w:val="center"/>
          </w:tcPr>
          <w:p>
            <w:pPr>
              <w:pStyle w:val="TableTextExample"/>
              <w:jc w:val="left"/>
            </w:pPr>
            <w:r/>
            <w:r>
              <w:t>Zero category-1 weld defects; survey within tolerance before load transfer; non-conforming welds ground out and re-tested at the Contractor's cost</w:t>
            </w:r>
          </w:p>
        </w:tc>
      </w:tr>
      <w:tr>
        <w:trPr>
          <w:cantSplit w:val="true"/>
        </w:trPr>
        <w:tc>
          <w:tcPr>
            <w:tcW w:w="2013" w:type="dxa"/>
            <w:vAlign w:val="center"/>
          </w:tcPr>
          <w:p>
            <w:pPr>
              <w:pStyle w:val="TableTextExample"/>
              <w:jc w:val="left"/>
            </w:pPr>
            <w:r/>
            <w:r>
              <w:t>In-situ concrete — exposed soffits</w:t>
            </w:r>
          </w:p>
        </w:tc>
        <w:tc>
          <w:tcPr>
            <w:tcW w:w="2606" w:type="dxa"/>
            <w:vAlign w:val="center"/>
          </w:tcPr>
          <w:p>
            <w:pPr>
              <w:pStyle w:val="TableTextExample"/>
              <w:jc w:val="left"/>
            </w:pPr>
            <w:r/>
            <w:r>
              <w:t>[insert applicable national standard] (concrete structures) · ISO 1920 (testing of concrete)</w:t>
            </w:r>
          </w:p>
        </w:tc>
        <w:tc>
          <w:tcPr>
            <w:tcW w:w="3079" w:type="dxa"/>
            <w:vAlign w:val="center"/>
          </w:tcPr>
          <w:p>
            <w:pPr>
              <w:pStyle w:val="TableTextExample"/>
              <w:jc w:val="left"/>
            </w:pPr>
            <w:r/>
            <w:r>
              <w:t>Surface deviation ≤ 3 mm under a 1.5 m straightedge; cover ±5 mm; level ±10 mm over any 5 m</w:t>
            </w:r>
          </w:p>
        </w:tc>
        <w:tc>
          <w:tcPr>
            <w:tcW w:w="3316" w:type="dxa"/>
            <w:vAlign w:val="center"/>
          </w:tcPr>
          <w:p>
            <w:pPr>
              <w:pStyle w:val="TableTextExample"/>
              <w:jc w:val="left"/>
            </w:pPr>
            <w:r/>
            <w:r>
              <w:t>Straightedge survey; cover meter on 10% of elements; compressive strength on standard cylinders at 7 and 28 days</w:t>
            </w:r>
          </w:p>
        </w:tc>
        <w:tc>
          <w:tcPr>
            <w:tcW w:w="3556" w:type="dxa"/>
            <w:vAlign w:val="center"/>
          </w:tcPr>
          <w:p>
            <w:pPr>
              <w:pStyle w:val="TableTextExample"/>
              <w:jc w:val="left"/>
            </w:pPr>
            <w:r/>
            <w:r>
              <w:t>Class 2 finish achieved without applied render; characteristic strength met; areas outside tolerance rectified by an engineered solution accepted in writing</w:t>
            </w:r>
          </w:p>
        </w:tc>
      </w:tr>
      <w:tr>
        <w:trPr>
          <w:cantSplit w:val="true"/>
        </w:trPr>
        <w:tc>
          <w:tcPr>
            <w:tcW w:w="2013" w:type="dxa"/>
            <w:vAlign w:val="center"/>
          </w:tcPr>
          <w:p>
            <w:pPr>
              <w:pStyle w:val="TableTextExample"/>
              <w:jc w:val="left"/>
            </w:pPr>
            <w:r/>
            <w:r>
              <w:t>Curtain wall — performance specified</w:t>
            </w:r>
          </w:p>
        </w:tc>
        <w:tc>
          <w:tcPr>
            <w:tcW w:w="2606" w:type="dxa"/>
            <w:vAlign w:val="center"/>
          </w:tcPr>
          <w:p>
            <w:pPr>
              <w:pStyle w:val="TableTextExample"/>
              <w:jc w:val="left"/>
            </w:pPr>
            <w:r/>
            <w:r>
              <w:t>ISO 6613 / ISO 15821 or [insert applicable national standard] equivalents (air, water, structural)</w:t>
            </w:r>
          </w:p>
        </w:tc>
        <w:tc>
          <w:tcPr>
            <w:tcW w:w="3079" w:type="dxa"/>
            <w:vAlign w:val="center"/>
          </w:tcPr>
          <w:p>
            <w:pPr>
              <w:pStyle w:val="TableTextExample"/>
              <w:jc w:val="left"/>
            </w:pPr>
            <w:r/>
            <w:r>
              <w:t>Deflection ≤ span/180; joint width tolerance ±2 mm; interstorey movement accommodated without transfer of load</w:t>
            </w:r>
          </w:p>
        </w:tc>
        <w:tc>
          <w:tcPr>
            <w:tcW w:w="3316" w:type="dxa"/>
            <w:vAlign w:val="center"/>
          </w:tcPr>
          <w:p>
            <w:pPr>
              <w:pStyle w:val="TableTextExample"/>
              <w:jc w:val="left"/>
            </w:pPr>
            <w:r/>
            <w:r>
              <w:t>Visual mock-up test sequence before fabrication; field water test on 2% of the installed area and on every 50th panel</w:t>
            </w:r>
          </w:p>
        </w:tc>
        <w:tc>
          <w:tcPr>
            <w:tcW w:w="3556" w:type="dxa"/>
            <w:vAlign w:val="center"/>
          </w:tcPr>
          <w:p>
            <w:pPr>
              <w:pStyle w:val="TableTextExample"/>
              <w:jc w:val="left"/>
            </w:pPr>
            <w:r/>
            <w:r>
              <w:t>No water penetration beyond the drainage plane at the specified test pressure; deflections within limits under design wind load</w:t>
            </w:r>
          </w:p>
        </w:tc>
      </w:tr>
      <w:tr>
        <w:trPr>
          <w:cantSplit w:val="true"/>
        </w:trPr>
        <w:tc>
          <w:tcPr>
            <w:tcW w:w="2013" w:type="dxa"/>
            <w:vAlign w:val="center"/>
          </w:tcPr>
          <w:p>
            <w:pPr>
              <w:pStyle w:val="TableText"/>
              <w:jc w:val="left"/>
            </w:pPr>
            <w:r/>
          </w:p>
        </w:tc>
        <w:tc>
          <w:tcPr>
            <w:tcW w:w="2606" w:type="dxa"/>
            <w:vAlign w:val="center"/>
          </w:tcPr>
          <w:p>
            <w:pPr>
              <w:pStyle w:val="TableText"/>
              <w:jc w:val="left"/>
            </w:pPr>
            <w:r/>
          </w:p>
        </w:tc>
        <w:tc>
          <w:tcPr>
            <w:tcW w:w="3079" w:type="dxa"/>
            <w:vAlign w:val="center"/>
          </w:tcPr>
          <w:p>
            <w:pPr>
              <w:pStyle w:val="TableText"/>
              <w:jc w:val="left"/>
            </w:pPr>
            <w:r/>
          </w:p>
        </w:tc>
        <w:tc>
          <w:tcPr>
            <w:tcW w:w="3316" w:type="dxa"/>
            <w:vAlign w:val="center"/>
          </w:tcPr>
          <w:p>
            <w:pPr>
              <w:pStyle w:val="TableText"/>
              <w:jc w:val="left"/>
            </w:pPr>
            <w:r/>
          </w:p>
        </w:tc>
        <w:tc>
          <w:tcPr>
            <w:tcW w:w="3556" w:type="dxa"/>
            <w:vAlign w:val="center"/>
          </w:tcPr>
          <w:p>
            <w:pPr>
              <w:pStyle w:val="TableText"/>
              <w:jc w:val="left"/>
            </w:pPr>
            <w:r/>
          </w:p>
        </w:tc>
      </w:tr>
      <w:tr>
        <w:trPr>
          <w:cantSplit w:val="true"/>
        </w:trPr>
        <w:tc>
          <w:tcPr>
            <w:tcW w:w="2013" w:type="dxa"/>
            <w:vAlign w:val="center"/>
          </w:tcPr>
          <w:p>
            <w:pPr>
              <w:pStyle w:val="TableText"/>
              <w:jc w:val="left"/>
            </w:pPr>
            <w:r/>
          </w:p>
        </w:tc>
        <w:tc>
          <w:tcPr>
            <w:tcW w:w="2606" w:type="dxa"/>
            <w:vAlign w:val="center"/>
          </w:tcPr>
          <w:p>
            <w:pPr>
              <w:pStyle w:val="TableText"/>
              <w:jc w:val="left"/>
            </w:pPr>
            <w:r/>
          </w:p>
        </w:tc>
        <w:tc>
          <w:tcPr>
            <w:tcW w:w="3079" w:type="dxa"/>
            <w:vAlign w:val="center"/>
          </w:tcPr>
          <w:p>
            <w:pPr>
              <w:pStyle w:val="TableText"/>
              <w:jc w:val="left"/>
            </w:pPr>
            <w:r/>
          </w:p>
        </w:tc>
        <w:tc>
          <w:tcPr>
            <w:tcW w:w="3316" w:type="dxa"/>
            <w:vAlign w:val="center"/>
          </w:tcPr>
          <w:p>
            <w:pPr>
              <w:pStyle w:val="TableText"/>
              <w:jc w:val="left"/>
            </w:pPr>
            <w:r/>
          </w:p>
        </w:tc>
        <w:tc>
          <w:tcPr>
            <w:tcW w:w="3556" w:type="dxa"/>
            <w:vAlign w:val="center"/>
          </w:tcPr>
          <w:p>
            <w:pPr>
              <w:pStyle w:val="TableText"/>
              <w:jc w:val="left"/>
            </w:pPr>
            <w:r/>
          </w:p>
        </w:tc>
      </w:tr>
      <w:tr>
        <w:trPr>
          <w:cantSplit w:val="true"/>
        </w:trPr>
        <w:tc>
          <w:tcPr>
            <w:tcW w:w="2013" w:type="dxa"/>
            <w:vAlign w:val="center"/>
          </w:tcPr>
          <w:p>
            <w:pPr>
              <w:pStyle w:val="TableText"/>
              <w:jc w:val="left"/>
            </w:pPr>
            <w:r/>
          </w:p>
        </w:tc>
        <w:tc>
          <w:tcPr>
            <w:tcW w:w="2606" w:type="dxa"/>
            <w:vAlign w:val="center"/>
          </w:tcPr>
          <w:p>
            <w:pPr>
              <w:pStyle w:val="TableText"/>
              <w:jc w:val="left"/>
            </w:pPr>
            <w:r/>
          </w:p>
        </w:tc>
        <w:tc>
          <w:tcPr>
            <w:tcW w:w="3079" w:type="dxa"/>
            <w:vAlign w:val="center"/>
          </w:tcPr>
          <w:p>
            <w:pPr>
              <w:pStyle w:val="TableText"/>
              <w:jc w:val="left"/>
            </w:pPr>
            <w:r/>
          </w:p>
        </w:tc>
        <w:tc>
          <w:tcPr>
            <w:tcW w:w="3316" w:type="dxa"/>
            <w:vAlign w:val="center"/>
          </w:tcPr>
          <w:p>
            <w:pPr>
              <w:pStyle w:val="TableText"/>
              <w:jc w:val="left"/>
            </w:pPr>
            <w:r/>
          </w:p>
        </w:tc>
        <w:tc>
          <w:tcPr>
            <w:tcW w:w="3556" w:type="dxa"/>
            <w:vAlign w:val="center"/>
          </w:tcPr>
          <w:p>
            <w:pPr>
              <w:pStyle w:val="TableText"/>
              <w:jc w:val="left"/>
            </w:pPr>
            <w:r/>
          </w:p>
        </w:tc>
      </w:tr>
    </w:tbl>
    <w:p>
      <w:pPr>
        <w:spacing w:before="0" w:after="0" w:line="60" w:lineRule="exact"/>
      </w:pPr>
    </w:p>
    <w:p>
      <w:pPr>
        <w:pStyle w:val="Heading3"/>
      </w:pPr>
      <w:bookmarkStart w:id="9024" w:name="_Toc90024"/>
      <w:r>
        <w:t>PRESCRIPTIVE OR PERFORMANCE — WHICH TO USE</w:t>
      </w:r>
      <w:bookmarkEnd w:id="9024"/>
    </w:p>
    <w:p>
      <w:pPr>
        <w:pStyle w:val="Body"/>
      </w:pPr>
      <w:r>
        <w:t>A prescriptive specification tells the Contractor exactly what to provide: this product, this thickness, this fastener spacing. Compliance is proved by inspection, and if the specified thing is provided and it does not work, the risk sits with the party who specified it. A performance specification states the outcome the element must achieve — a U-value, an air change rate, a load capacity, a weathertightness class — and leaves the means to the Contractor. Compliance is proved by test, and the design risk sits with the Contractor.</w:t>
      </w:r>
    </w:p>
    <w:p>
      <w:pPr>
        <w:pStyle w:val="BodyBullet"/>
      </w:pPr>
      <w:r>
        <w:rPr>
          <w:color w:val="3480BC"/>
        </w:rPr>
        <w:t xml:space="preserve">—   </w:t>
      </w:r>
      <w:r>
        <w:t>Use prescriptive where the element must match existing fabric, where the Owner's maintenance regime or spare-parts holding depends on a particular product, where an authority approval was granted on a specific basis, or where the consequence of a novel solution is out of proportion to its value.</w:t>
      </w:r>
    </w:p>
    <w:p>
      <w:pPr>
        <w:pStyle w:val="BodyBullet"/>
      </w:pPr>
      <w:r>
        <w:rPr>
          <w:color w:val="3480BC"/>
        </w:rPr>
        <w:t xml:space="preserve">—   </w:t>
      </w:r>
      <w:r>
        <w:t>Use performance where the market knows more than the design team, where a proprietary system carries its own warranty and testing regime, and where a witnessable test exists — facades, proprietary structural systems, elevators, specialty mechanical equipment.</w:t>
      </w:r>
    </w:p>
    <w:p>
      <w:pPr>
        <w:pStyle w:val="BodyBullet"/>
      </w:pPr>
      <w:r>
        <w:rPr>
          <w:color w:val="3480BC"/>
        </w:rPr>
        <w:t xml:space="preserve">—   </w:t>
      </w:r>
      <w:r>
        <w:t>Never mix the two in one element without saying which governs: "provide system X or equivalent, achieving a U-value of Y" hands the Contractor a defense for any failure of X and the designer a defense for any failure to reach Y. Where an element is performance-specified, say so at Section 5.2, state the requirement at 6.1, name the test at 6.3 and require design certification as a submittal at Section 14 — if any of the four is missing, design responsibility is not transferred.</w:t>
      </w:r>
    </w:p>
    <w:p>
      <w:pPr>
        <w:sectPr>
          <w:headerReference w:type="default" r:id="rId13"/>
          <w:footerReference w:type="default" r:id="rId14"/>
          <w:pgSz w:w="16838" w:h="11906" w:orient="landscape"/>
          <w:pgMar w:top="964" w:right="1134" w:bottom="794" w:left="1134" w:header="482" w:footer="454" w:gutter="0"/>
          <w:cols w:space="720"/>
        </w:sectPr>
      </w:pPr>
    </w:p>
    <w:p>
      <w:pPr>
        <w:pStyle w:val="Heading1"/>
      </w:pPr>
      <w:bookmarkStart w:id="9025" w:name="_Toc90025"/>
      <w:r>
        <w:t>7. Inclusions</w:t>
      </w:r>
      <w:bookmarkEnd w:id="9025"/>
    </w:p>
    <w:p>
      <w:pPr>
        <w:pStyle w:val="BodyLead"/>
      </w:pPr>
      <w:r>
        <w:t>Inclusions do not extend the scope; they close off the arguments that arise at the margins of it. Everything necessary to complete the Work described at Section 6 is included whether or not it is listed here. The list exists because certain items are habitually assumed to belong to the other party.</w:t>
      </w:r>
    </w:p>
    <w:p>
      <w:pPr>
        <w:pStyle w:val="Heading2"/>
      </w:pPr>
      <w:bookmarkStart w:id="9026" w:name="_Toc90026"/>
      <w:r>
        <w:t>7.1 Inclusions schedule</w:t>
      </w:r>
      <w:bookmarkEnd w:id="9026"/>
    </w:p>
    <w:p>
      <w:pPr>
        <w:pStyle w:val="Note"/>
      </w:pPr>
      <w:r>
        <w:t>This table is a reference list — its rows are the content. Review every row against the project and edit, do not delete wholesale; each row exists because that item is commonly disputed. Add project-specific inclusions below.</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927"/>
        <w:gridCol w:w="4195"/>
        <w:gridCol w:w="3516"/>
      </w:tblGrid>
      <w:tr>
        <w:trPr>
          <w:tblHeader w:val="true"/>
          <w:cantSplit w:val="true"/>
        </w:trPr>
        <w:tc>
          <w:tcPr>
            <w:tcW w:w="1927" w:type="dxa"/>
            <w:shd w:val="clear" w:color="auto" w:fill="1D3245"/>
            <w:vAlign w:val="center"/>
          </w:tcPr>
          <w:p>
            <w:pPr>
              <w:pStyle w:val="TableHeader"/>
              <w:jc w:val="left"/>
            </w:pPr>
            <w:r/>
            <w:r>
              <w:t>Group</w:t>
            </w:r>
          </w:p>
        </w:tc>
        <w:tc>
          <w:tcPr>
            <w:tcW w:w="4195" w:type="dxa"/>
            <w:shd w:val="clear" w:color="auto" w:fill="1D3245"/>
            <w:vAlign w:val="center"/>
          </w:tcPr>
          <w:p>
            <w:pPr>
              <w:pStyle w:val="TableHeader"/>
              <w:jc w:val="left"/>
            </w:pPr>
            <w:r/>
            <w:r>
              <w:t>Included in the Contractor's price</w:t>
            </w:r>
          </w:p>
        </w:tc>
        <w:tc>
          <w:tcPr>
            <w:tcW w:w="3516" w:type="dxa"/>
            <w:shd w:val="clear" w:color="auto" w:fill="1D3245"/>
            <w:vAlign w:val="center"/>
          </w:tcPr>
          <w:p>
            <w:pPr>
              <w:pStyle w:val="TableHeader"/>
              <w:jc w:val="left"/>
            </w:pPr>
            <w:r/>
            <w:r>
              <w:t>Clarification</w:t>
            </w:r>
          </w:p>
        </w:tc>
      </w:tr>
      <w:tr>
        <w:trPr>
          <w:cantSplit w:val="true"/>
        </w:trPr>
        <w:tc>
          <w:tcPr>
            <w:tcW w:w="1927" w:type="dxa"/>
            <w:vAlign w:val="center"/>
          </w:tcPr>
          <w:p>
            <w:pPr>
              <w:pStyle w:val="TableText"/>
              <w:jc w:val="left"/>
            </w:pPr>
            <w:r/>
            <w:r>
              <w:t>General conditions costs and mobilization and temporary facilities</w:t>
            </w:r>
          </w:p>
        </w:tc>
        <w:tc>
          <w:tcPr>
            <w:tcW w:w="4195" w:type="dxa"/>
            <w:vAlign w:val="center"/>
          </w:tcPr>
          <w:p>
            <w:pPr>
              <w:pStyle w:val="TableText"/>
              <w:jc w:val="left"/>
            </w:pPr>
            <w:r/>
            <w:r>
              <w:t>Site management and supervision, offices and welfare facilities, perimeter fence and fencing, temporary services and their consumption charges, signage, security, first aid, site-wide survey control</w:t>
            </w:r>
          </w:p>
        </w:tc>
        <w:tc>
          <w:tcPr>
            <w:tcW w:w="3516" w:type="dxa"/>
            <w:vAlign w:val="center"/>
          </w:tcPr>
          <w:p>
            <w:pPr>
              <w:pStyle w:val="TableText"/>
              <w:jc w:val="left"/>
            </w:pPr>
            <w:r/>
            <w:r>
              <w:t>Consumption charges run to Substantial Completion of the last separable portion, not the first</w:t>
            </w:r>
          </w:p>
        </w:tc>
      </w:tr>
      <w:tr>
        <w:trPr>
          <w:cantSplit w:val="true"/>
        </w:trPr>
        <w:tc>
          <w:tcPr>
            <w:tcW w:w="1927" w:type="dxa"/>
            <w:vAlign w:val="center"/>
          </w:tcPr>
          <w:p>
            <w:pPr>
              <w:pStyle w:val="TableText"/>
              <w:jc w:val="left"/>
            </w:pPr>
            <w:r/>
            <w:r>
              <w:t>Temporary works</w:t>
            </w:r>
          </w:p>
        </w:tc>
        <w:tc>
          <w:tcPr>
            <w:tcW w:w="4195" w:type="dxa"/>
            <w:vAlign w:val="center"/>
          </w:tcPr>
          <w:p>
            <w:pPr>
              <w:pStyle w:val="TableText"/>
              <w:jc w:val="left"/>
            </w:pPr>
            <w:r/>
            <w:r>
              <w:t>Design, certification, installation, monitoring, maintenance and removal of all temporary works — shoring, propping, formwork, falsework, edge protection, scaffolding, traffic control</w:t>
            </w:r>
          </w:p>
        </w:tc>
        <w:tc>
          <w:tcPr>
            <w:tcW w:w="3516" w:type="dxa"/>
            <w:vAlign w:val="center"/>
          </w:tcPr>
          <w:p>
            <w:pPr>
              <w:pStyle w:val="TableText"/>
              <w:jc w:val="left"/>
            </w:pPr>
            <w:r/>
            <w:r>
              <w:t>Design certified by a competent person independent of the designer; the certificate is a submittal at Section 14</w:t>
            </w:r>
          </w:p>
        </w:tc>
      </w:tr>
      <w:tr>
        <w:trPr>
          <w:cantSplit w:val="true"/>
        </w:trPr>
        <w:tc>
          <w:tcPr>
            <w:tcW w:w="1927" w:type="dxa"/>
            <w:vAlign w:val="center"/>
          </w:tcPr>
          <w:p>
            <w:pPr>
              <w:pStyle w:val="TableText"/>
              <w:jc w:val="left"/>
            </w:pPr>
            <w:r/>
            <w:r>
              <w:t>Equipment and equipment</w:t>
            </w:r>
          </w:p>
        </w:tc>
        <w:tc>
          <w:tcPr>
            <w:tcW w:w="4195" w:type="dxa"/>
            <w:vAlign w:val="center"/>
          </w:tcPr>
          <w:p>
            <w:pPr>
              <w:pStyle w:val="TableText"/>
              <w:jc w:val="left"/>
            </w:pPr>
            <w:r/>
            <w:r>
              <w:t>Supply, mobilization, operation, fuel, maintenance, statutory inspection, demobilization and standing time of all equipment, cranes, hoists and elevated work platforms</w:t>
            </w:r>
          </w:p>
        </w:tc>
        <w:tc>
          <w:tcPr>
            <w:tcW w:w="3516" w:type="dxa"/>
            <w:vAlign w:val="center"/>
          </w:tcPr>
          <w:p>
            <w:pPr>
              <w:pStyle w:val="TableText"/>
              <w:jc w:val="left"/>
            </w:pPr>
            <w:r/>
            <w:r>
              <w:t>Craneage provided as an attendance is stated at Section 9.2; anything beyond that extent is included here</w:t>
            </w:r>
          </w:p>
        </w:tc>
      </w:tr>
      <w:tr>
        <w:trPr>
          <w:cantSplit w:val="true"/>
        </w:trPr>
        <w:tc>
          <w:tcPr>
            <w:tcW w:w="1927" w:type="dxa"/>
            <w:vAlign w:val="center"/>
          </w:tcPr>
          <w:p>
            <w:pPr>
              <w:pStyle w:val="TableText"/>
              <w:jc w:val="left"/>
            </w:pPr>
            <w:r/>
            <w:r>
              <w:t>Labor and supervision</w:t>
            </w:r>
          </w:p>
        </w:tc>
        <w:tc>
          <w:tcPr>
            <w:tcW w:w="4195" w:type="dxa"/>
            <w:vAlign w:val="center"/>
          </w:tcPr>
          <w:p>
            <w:pPr>
              <w:pStyle w:val="TableText"/>
              <w:jc w:val="left"/>
            </w:pPr>
            <w:r/>
            <w:r>
              <w:t>All labor, competency verification, licenses, inductions, supervision, engineering, surveying, planning, quality and safety resources needed to deliver and prove the Work</w:t>
            </w:r>
          </w:p>
        </w:tc>
        <w:tc>
          <w:tcPr>
            <w:tcW w:w="3516" w:type="dxa"/>
            <w:vAlign w:val="center"/>
          </w:tcPr>
          <w:p>
            <w:pPr>
              <w:pStyle w:val="TableText"/>
              <w:jc w:val="left"/>
            </w:pPr>
            <w:r/>
            <w:r>
              <w:t>Named key personnel may not be substituted without the Owner's Representative's written consent</w:t>
            </w:r>
          </w:p>
        </w:tc>
      </w:tr>
      <w:tr>
        <w:trPr>
          <w:cantSplit w:val="true"/>
        </w:trPr>
        <w:tc>
          <w:tcPr>
            <w:tcW w:w="1927" w:type="dxa"/>
            <w:vAlign w:val="center"/>
          </w:tcPr>
          <w:p>
            <w:pPr>
              <w:pStyle w:val="TableText"/>
              <w:jc w:val="left"/>
            </w:pPr>
            <w:r/>
            <w:r>
              <w:t>Materials and supply</w:t>
            </w:r>
          </w:p>
        </w:tc>
        <w:tc>
          <w:tcPr>
            <w:tcW w:w="4195" w:type="dxa"/>
            <w:vAlign w:val="center"/>
          </w:tcPr>
          <w:p>
            <w:pPr>
              <w:pStyle w:val="TableText"/>
              <w:jc w:val="left"/>
            </w:pPr>
            <w:r/>
            <w:r>
              <w:t>Supply of all materials, products, fixings, sealants, consumables, accessories and proprietary items, including wastage, off-cuts, breakage and testing samples</w:t>
            </w:r>
          </w:p>
        </w:tc>
        <w:tc>
          <w:tcPr>
            <w:tcW w:w="3516" w:type="dxa"/>
            <w:vAlign w:val="center"/>
          </w:tcPr>
          <w:p>
            <w:pPr>
              <w:pStyle w:val="TableText"/>
              <w:jc w:val="left"/>
            </w:pPr>
            <w:r/>
            <w:r>
              <w:t>Owner-supplied items are listed at Section 8; everything not listed there is supplied by the Contractor</w:t>
            </w:r>
          </w:p>
        </w:tc>
      </w:tr>
      <w:tr>
        <w:trPr>
          <w:cantSplit w:val="true"/>
        </w:trPr>
        <w:tc>
          <w:tcPr>
            <w:tcW w:w="1927" w:type="dxa"/>
            <w:vAlign w:val="center"/>
          </w:tcPr>
          <w:p>
            <w:pPr>
              <w:pStyle w:val="TableText"/>
              <w:jc w:val="left"/>
            </w:pPr>
            <w:r/>
            <w:r>
              <w:t>Transport and logistics</w:t>
            </w:r>
          </w:p>
        </w:tc>
        <w:tc>
          <w:tcPr>
            <w:tcW w:w="4195" w:type="dxa"/>
            <w:vAlign w:val="center"/>
          </w:tcPr>
          <w:p>
            <w:pPr>
              <w:pStyle w:val="TableText"/>
              <w:jc w:val="left"/>
            </w:pPr>
            <w:r/>
            <w:r>
              <w:t>Delivery, offloading, double handling, horizontal and vertical distribution, storage and protection, return of packaging</w:t>
            </w:r>
          </w:p>
        </w:tc>
        <w:tc>
          <w:tcPr>
            <w:tcW w:w="3516" w:type="dxa"/>
            <w:vAlign w:val="center"/>
          </w:tcPr>
          <w:p>
            <w:pPr>
              <w:pStyle w:val="TableText"/>
              <w:jc w:val="left"/>
            </w:pPr>
            <w:r/>
            <w:r>
              <w:t>Where site storage is not available, off-site storage and just-in-time delivery are included — see Section 10.1</w:t>
            </w:r>
          </w:p>
        </w:tc>
      </w:tr>
      <w:tr>
        <w:trPr>
          <w:cantSplit w:val="true"/>
        </w:trPr>
        <w:tc>
          <w:tcPr>
            <w:tcW w:w="1927" w:type="dxa"/>
            <w:vAlign w:val="center"/>
          </w:tcPr>
          <w:p>
            <w:pPr>
              <w:pStyle w:val="TableText"/>
              <w:jc w:val="left"/>
            </w:pPr>
            <w:r/>
            <w:r>
              <w:t>Permits and approvals within the Contractor's gift</w:t>
            </w:r>
          </w:p>
        </w:tc>
        <w:tc>
          <w:tcPr>
            <w:tcW w:w="4195" w:type="dxa"/>
            <w:vAlign w:val="center"/>
          </w:tcPr>
          <w:p>
            <w:pPr>
              <w:pStyle w:val="TableText"/>
              <w:jc w:val="left"/>
            </w:pPr>
            <w:r/>
            <w:r>
              <w:t>Construction permits, road occupancy and crane over-sail permissions, hot work and confined space permits, waste transport licenses, and all fees for them</w:t>
            </w:r>
          </w:p>
        </w:tc>
        <w:tc>
          <w:tcPr>
            <w:tcW w:w="3516" w:type="dxa"/>
            <w:vAlign w:val="center"/>
          </w:tcPr>
          <w:p>
            <w:pPr>
              <w:pStyle w:val="TableText"/>
              <w:jc w:val="left"/>
            </w:pPr>
            <w:r/>
            <w:r>
              <w:t>Development, planning and building approvals obtained by the Owner are listed at Section 8; discharging their conditions is included here</w:t>
            </w:r>
          </w:p>
        </w:tc>
      </w:tr>
      <w:tr>
        <w:trPr>
          <w:cantSplit w:val="true"/>
        </w:trPr>
        <w:tc>
          <w:tcPr>
            <w:tcW w:w="1927" w:type="dxa"/>
            <w:vAlign w:val="center"/>
          </w:tcPr>
          <w:p>
            <w:pPr>
              <w:pStyle w:val="TableText"/>
              <w:jc w:val="left"/>
            </w:pPr>
            <w:r/>
            <w:r>
              <w:t>Testing and commissioning</w:t>
            </w:r>
          </w:p>
        </w:tc>
        <w:tc>
          <w:tcPr>
            <w:tcW w:w="4195" w:type="dxa"/>
            <w:vAlign w:val="center"/>
          </w:tcPr>
          <w:p>
            <w:pPr>
              <w:pStyle w:val="TableText"/>
              <w:jc w:val="left"/>
            </w:pPr>
            <w:r/>
            <w:r>
              <w:t>All factory and site testing, pre-commissioning, commissioning, integrated systems testing, retesting after any failure, and seasonal commissioning</w:t>
            </w:r>
          </w:p>
        </w:tc>
        <w:tc>
          <w:tcPr>
            <w:tcW w:w="3516" w:type="dxa"/>
            <w:vAlign w:val="center"/>
          </w:tcPr>
          <w:p>
            <w:pPr>
              <w:pStyle w:val="TableText"/>
              <w:jc w:val="left"/>
            </w:pPr>
            <w:r/>
            <w:r>
              <w:t>Retesting after a failure is at the Contractor's cost, including the witnessing parties' re-attendance</w:t>
            </w:r>
          </w:p>
        </w:tc>
      </w:tr>
      <w:tr>
        <w:trPr>
          <w:cantSplit w:val="true"/>
        </w:trPr>
        <w:tc>
          <w:tcPr>
            <w:tcW w:w="1927" w:type="dxa"/>
            <w:vAlign w:val="center"/>
          </w:tcPr>
          <w:p>
            <w:pPr>
              <w:pStyle w:val="TableText"/>
              <w:jc w:val="left"/>
            </w:pPr>
            <w:r/>
            <w:r>
              <w:t>Training and handover</w:t>
            </w:r>
          </w:p>
        </w:tc>
        <w:tc>
          <w:tcPr>
            <w:tcW w:w="4195" w:type="dxa"/>
            <w:vAlign w:val="center"/>
          </w:tcPr>
          <w:p>
            <w:pPr>
              <w:pStyle w:val="TableText"/>
              <w:jc w:val="left"/>
            </w:pPr>
            <w:r/>
            <w:r>
              <w:t>Operator and maintenance training, training materials, familiarisation sessions and a recorded refresher within the correction period</w:t>
            </w:r>
          </w:p>
        </w:tc>
        <w:tc>
          <w:tcPr>
            <w:tcW w:w="3516" w:type="dxa"/>
            <w:vAlign w:val="center"/>
          </w:tcPr>
          <w:p>
            <w:pPr>
              <w:pStyle w:val="TableText"/>
              <w:jc w:val="left"/>
            </w:pPr>
            <w:r/>
            <w:r>
              <w:t>Training is a Substantial Completion criterion — see Section 16.1 and 16.3</w:t>
            </w:r>
          </w:p>
        </w:tc>
      </w:tr>
      <w:tr>
        <w:trPr>
          <w:cantSplit w:val="true"/>
        </w:trPr>
        <w:tc>
          <w:tcPr>
            <w:tcW w:w="1927" w:type="dxa"/>
            <w:vAlign w:val="center"/>
          </w:tcPr>
          <w:p>
            <w:pPr>
              <w:pStyle w:val="TableText"/>
              <w:jc w:val="left"/>
            </w:pPr>
            <w:r/>
            <w:r>
              <w:t>Warranties and documentation</w:t>
            </w:r>
          </w:p>
        </w:tc>
        <w:tc>
          <w:tcPr>
            <w:tcW w:w="4195" w:type="dxa"/>
            <w:vAlign w:val="center"/>
          </w:tcPr>
          <w:p>
            <w:pPr>
              <w:pStyle w:val="TableText"/>
              <w:jc w:val="left"/>
            </w:pPr>
            <w:r/>
            <w:r>
              <w:t>Manufacturer and installer warranties, O&amp;M manuals, record documentation, asset data in the required format, and the handover data set</w:t>
            </w:r>
          </w:p>
        </w:tc>
        <w:tc>
          <w:tcPr>
            <w:tcW w:w="3516" w:type="dxa"/>
            <w:vAlign w:val="center"/>
          </w:tcPr>
          <w:p>
            <w:pPr>
              <w:pStyle w:val="TableText"/>
              <w:jc w:val="left"/>
            </w:pPr>
            <w:r/>
            <w:r>
              <w:t>Formats and due dates at Section 14; incomplete documentation prevents Substantial Completion</w:t>
            </w:r>
          </w:p>
        </w:tc>
      </w:tr>
      <w:tr>
        <w:trPr>
          <w:cantSplit w:val="true"/>
        </w:trPr>
        <w:tc>
          <w:tcPr>
            <w:tcW w:w="1927" w:type="dxa"/>
            <w:vAlign w:val="center"/>
          </w:tcPr>
          <w:p>
            <w:pPr>
              <w:pStyle w:val="TableText"/>
              <w:jc w:val="left"/>
            </w:pPr>
            <w:r/>
            <w:r>
              <w:t>Cleaning and waste</w:t>
            </w:r>
          </w:p>
        </w:tc>
        <w:tc>
          <w:tcPr>
            <w:tcW w:w="4195" w:type="dxa"/>
            <w:vAlign w:val="center"/>
          </w:tcPr>
          <w:p>
            <w:pPr>
              <w:pStyle w:val="TableText"/>
              <w:jc w:val="left"/>
            </w:pPr>
            <w:r/>
            <w:r>
              <w:t>Progressive cleaning, builder's clean, final clean to the standard required for the end use, waste classification, removal, recycling, disposal and all levies</w:t>
            </w:r>
          </w:p>
        </w:tc>
        <w:tc>
          <w:tcPr>
            <w:tcW w:w="3516" w:type="dxa"/>
            <w:vAlign w:val="center"/>
          </w:tcPr>
          <w:p>
            <w:pPr>
              <w:pStyle w:val="TableText"/>
              <w:jc w:val="left"/>
            </w:pPr>
            <w:r/>
            <w:r>
              <w:t>Clinical areas need a final clean to the infection-control standard, witnessed and recorded</w:t>
            </w:r>
          </w:p>
        </w:tc>
      </w:tr>
      <w:tr>
        <w:trPr>
          <w:cantSplit w:val="true"/>
        </w:trPr>
        <w:tc>
          <w:tcPr>
            <w:tcW w:w="1927" w:type="dxa"/>
            <w:vAlign w:val="center"/>
          </w:tcPr>
          <w:p>
            <w:pPr>
              <w:pStyle w:val="TableText"/>
              <w:jc w:val="left"/>
            </w:pPr>
            <w:r/>
            <w:r>
              <w:t>Insurances and bonds</w:t>
            </w:r>
          </w:p>
        </w:tc>
        <w:tc>
          <w:tcPr>
            <w:tcW w:w="4195" w:type="dxa"/>
            <w:vAlign w:val="center"/>
          </w:tcPr>
          <w:p>
            <w:pPr>
              <w:pStyle w:val="TableText"/>
              <w:jc w:val="left"/>
            </w:pPr>
            <w:r/>
            <w:r>
              <w:t>All insurances required by the contract, security or bonds, and the cost of maintaining them for the required period</w:t>
            </w:r>
          </w:p>
        </w:tc>
        <w:tc>
          <w:tcPr>
            <w:tcW w:w="3516" w:type="dxa"/>
            <w:vAlign w:val="center"/>
          </w:tcPr>
          <w:p>
            <w:pPr>
              <w:pStyle w:val="TableText"/>
              <w:jc w:val="left"/>
            </w:pPr>
            <w:r/>
            <w:r>
              <w:t>Insurances current at every application for payment; a lapsed policy is grounds to withhold certification</w:t>
            </w:r>
          </w:p>
        </w:tc>
      </w:tr>
      <w:tr>
        <w:trPr>
          <w:cantSplit w:val="true"/>
        </w:trPr>
        <w:tc>
          <w:tcPr>
            <w:tcW w:w="1927" w:type="dxa"/>
            <w:vAlign w:val="center"/>
          </w:tcPr>
          <w:p>
            <w:pPr>
              <w:pStyle w:val="TableText"/>
              <w:jc w:val="left"/>
            </w:pPr>
            <w:r/>
            <w:r>
              <w:t>Safety and environmental compliance</w:t>
            </w:r>
          </w:p>
        </w:tc>
        <w:tc>
          <w:tcPr>
            <w:tcW w:w="4195" w:type="dxa"/>
            <w:vAlign w:val="center"/>
          </w:tcPr>
          <w:p>
            <w:pPr>
              <w:pStyle w:val="TableText"/>
              <w:jc w:val="left"/>
            </w:pPr>
            <w:r/>
            <w:r>
              <w:t>Compliance with the project Safety Management Plan, all safety and environmental controls, monitoring, reporting, and the cost of all protective and mitigation measures</w:t>
            </w:r>
          </w:p>
        </w:tc>
        <w:tc>
          <w:tcPr>
            <w:tcW w:w="3516" w:type="dxa"/>
            <w:vAlign w:val="center"/>
          </w:tcPr>
          <w:p>
            <w:pPr>
              <w:pStyle w:val="TableText"/>
              <w:jc w:val="left"/>
            </w:pPr>
            <w:r/>
            <w:r>
              <w:t>See Section 13. Compliance with the law is never a change</w:t>
            </w:r>
          </w:p>
        </w:tc>
      </w:tr>
    </w:tbl>
    <w:p>
      <w:pPr>
        <w:spacing w:before="0" w:after="0" w:line="60" w:lineRule="exact"/>
      </w:pPr>
    </w:p>
    <w:p>
      <w:pPr>
        <w:pStyle w:val="Note"/>
      </w:pPr>
      <w:r>
        <w:t>Add a row to the table above for any item that is included on this project specifically because a bidder would otherwise assume it was not — for example, out-of-hours working on nominated nights for services connections into a live building, or a full-time interface coordinator for the duration of the basement works. Be blunt: a known cost stated before bid is absorbed by the market, and the same cost discovered after award is a claim.</w:t>
      </w:r>
    </w:p>
    <w:p>
      <w:pPr>
        <w:pStyle w:val="Heading1"/>
      </w:pPr>
      <w:bookmarkStart w:id="9027" w:name="_Toc90027"/>
      <w:r>
        <w:t>8. Exclusions and Work by Others</w:t>
      </w:r>
      <w:bookmarkEnd w:id="9027"/>
    </w:p>
    <w:p>
      <w:pPr>
        <w:pStyle w:val="BodyLead"/>
      </w:pPr>
      <w:r>
        <w:t>The mirror image of Section 7, and the section most often written carelessly. An exclusion is only effective if the excluded work is described precisely enough to be identified on a drawing, and if the party who does carry it is named. "Anything not shown" is not an exclusion; it is an invitation to argue.</w:t>
      </w:r>
    </w:p>
    <w:p>
      <w:pPr>
        <w:pStyle w:val="Note"/>
      </w:pPr>
      <w:r>
        <w:t>Example rows shown in gray italic — delete before use. Every row must name a responsible party. An exclusion with the responsible party left blank transfers nothing and creates a gap in the Work.</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3061"/>
        <w:gridCol w:w="1814"/>
        <w:gridCol w:w="3401"/>
        <w:gridCol w:w="1362"/>
      </w:tblGrid>
      <w:tr>
        <w:trPr>
          <w:tblHeader w:val="true"/>
          <w:cantSplit w:val="true"/>
        </w:trPr>
        <w:tc>
          <w:tcPr>
            <w:tcW w:w="3061" w:type="dxa"/>
            <w:shd w:val="clear" w:color="auto" w:fill="1D3245"/>
            <w:vAlign w:val="center"/>
          </w:tcPr>
          <w:p>
            <w:pPr>
              <w:pStyle w:val="TableHeader"/>
              <w:jc w:val="left"/>
            </w:pPr>
            <w:r/>
            <w:r>
              <w:t>Item</w:t>
            </w:r>
          </w:p>
        </w:tc>
        <w:tc>
          <w:tcPr>
            <w:tcW w:w="1814" w:type="dxa"/>
            <w:shd w:val="clear" w:color="auto" w:fill="1D3245"/>
            <w:vAlign w:val="center"/>
          </w:tcPr>
          <w:p>
            <w:pPr>
              <w:pStyle w:val="TableHeader"/>
              <w:jc w:val="left"/>
            </w:pPr>
            <w:r/>
            <w:r>
              <w:t>Excluded or by others</w:t>
            </w:r>
          </w:p>
        </w:tc>
        <w:tc>
          <w:tcPr>
            <w:tcW w:w="3401" w:type="dxa"/>
            <w:shd w:val="clear" w:color="auto" w:fill="1D3245"/>
            <w:vAlign w:val="center"/>
          </w:tcPr>
          <w:p>
            <w:pPr>
              <w:pStyle w:val="TableHeader"/>
              <w:jc w:val="left"/>
            </w:pPr>
            <w:r/>
            <w:r>
              <w:t>Who is responsible</w:t>
            </w:r>
          </w:p>
        </w:tc>
        <w:tc>
          <w:tcPr>
            <w:tcW w:w="1362" w:type="dxa"/>
            <w:shd w:val="clear" w:color="auto" w:fill="1D3245"/>
            <w:vAlign w:val="center"/>
          </w:tcPr>
          <w:p>
            <w:pPr>
              <w:pStyle w:val="TableHeader"/>
              <w:jc w:val="left"/>
            </w:pPr>
            <w:r/>
            <w:r>
              <w:t>Interface reference</w:t>
            </w:r>
          </w:p>
        </w:tc>
      </w:tr>
      <w:tr>
        <w:trPr>
          <w:cantSplit w:val="true"/>
        </w:trPr>
        <w:tc>
          <w:tcPr>
            <w:tcW w:w="3061" w:type="dxa"/>
            <w:vAlign w:val="center"/>
          </w:tcPr>
          <w:p>
            <w:pPr>
              <w:pStyle w:val="TableTextExample"/>
              <w:jc w:val="left"/>
            </w:pPr>
            <w:r/>
            <w:r>
              <w:t>Applied fire protection to structural steel</w:t>
            </w:r>
          </w:p>
        </w:tc>
        <w:tc>
          <w:tcPr>
            <w:tcW w:w="1814" w:type="dxa"/>
            <w:vAlign w:val="center"/>
          </w:tcPr>
          <w:p>
            <w:pPr>
              <w:pStyle w:val="TableTextExample"/>
              <w:jc w:val="left"/>
            </w:pPr>
            <w:r/>
            <w:r>
              <w:t>By others — separate package</w:t>
            </w:r>
          </w:p>
        </w:tc>
        <w:tc>
          <w:tcPr>
            <w:tcW w:w="3401" w:type="dxa"/>
            <w:vAlign w:val="center"/>
          </w:tcPr>
          <w:p>
            <w:pPr>
              <w:pStyle w:val="TableTextExample"/>
              <w:jc w:val="left"/>
            </w:pPr>
            <w:r/>
            <w:r>
              <w:t>Fire protection subcontractor engaged by the Contractor; substrate preparation and surface condition remain with the steel package</w:t>
            </w:r>
          </w:p>
        </w:tc>
        <w:tc>
          <w:tcPr>
            <w:tcW w:w="1362" w:type="dxa"/>
            <w:vAlign w:val="center"/>
          </w:tcPr>
          <w:p>
            <w:pPr>
              <w:pStyle w:val="TableTextExample"/>
              <w:jc w:val="left"/>
            </w:pPr>
            <w:r/>
            <w:r>
              <w:t>IF-05 — Section 9.1</w:t>
            </w:r>
          </w:p>
        </w:tc>
      </w:tr>
      <w:tr>
        <w:trPr>
          <w:cantSplit w:val="true"/>
        </w:trPr>
        <w:tc>
          <w:tcPr>
            <w:tcW w:w="3061" w:type="dxa"/>
            <w:vAlign w:val="center"/>
          </w:tcPr>
          <w:p>
            <w:pPr>
              <w:pStyle w:val="TableTextExample"/>
              <w:jc w:val="left"/>
            </w:pPr>
            <w:r/>
            <w:r>
              <w:t>Supply of medical imaging equipment, theatre pendants and sterilisers</w:t>
            </w:r>
          </w:p>
        </w:tc>
        <w:tc>
          <w:tcPr>
            <w:tcW w:w="1814" w:type="dxa"/>
            <w:vAlign w:val="center"/>
          </w:tcPr>
          <w:p>
            <w:pPr>
              <w:pStyle w:val="TableTextExample"/>
              <w:jc w:val="left"/>
            </w:pPr>
            <w:r/>
            <w:r>
              <w:t>Excluded — Owner direct supply</w:t>
            </w:r>
          </w:p>
        </w:tc>
        <w:tc>
          <w:tcPr>
            <w:tcW w:w="3401" w:type="dxa"/>
            <w:vAlign w:val="center"/>
          </w:tcPr>
          <w:p>
            <w:pPr>
              <w:pStyle w:val="TableTextExample"/>
              <w:jc w:val="left"/>
            </w:pPr>
            <w:r/>
            <w:r>
              <w:t>Owner. The Contractor installs, connects, commissions and provides all builder's work, services and structural support</w:t>
            </w:r>
          </w:p>
        </w:tc>
        <w:tc>
          <w:tcPr>
            <w:tcW w:w="1362" w:type="dxa"/>
            <w:vAlign w:val="center"/>
          </w:tcPr>
          <w:p>
            <w:pPr>
              <w:pStyle w:val="TableTextExample"/>
              <w:jc w:val="left"/>
            </w:pPr>
            <w:r/>
            <w:r>
              <w:t>IF-14 — Section 9.1; delivery dates at Section 11.1</w:t>
            </w:r>
          </w:p>
        </w:tc>
      </w:tr>
      <w:tr>
        <w:trPr>
          <w:cantSplit w:val="true"/>
        </w:trPr>
        <w:tc>
          <w:tcPr>
            <w:tcW w:w="3061" w:type="dxa"/>
            <w:vAlign w:val="center"/>
          </w:tcPr>
          <w:p>
            <w:pPr>
              <w:pStyle w:val="TableTextExample"/>
              <w:jc w:val="left"/>
            </w:pPr>
            <w:r/>
            <w:r>
              <w:t>Development, planning and building approvals for the Work</w:t>
            </w:r>
          </w:p>
        </w:tc>
        <w:tc>
          <w:tcPr>
            <w:tcW w:w="1814" w:type="dxa"/>
            <w:vAlign w:val="center"/>
          </w:tcPr>
          <w:p>
            <w:pPr>
              <w:pStyle w:val="TableTextExample"/>
              <w:jc w:val="left"/>
            </w:pPr>
            <w:r/>
            <w:r>
              <w:t>By others</w:t>
            </w:r>
          </w:p>
        </w:tc>
        <w:tc>
          <w:tcPr>
            <w:tcW w:w="3401" w:type="dxa"/>
            <w:vAlign w:val="center"/>
          </w:tcPr>
          <w:p>
            <w:pPr>
              <w:pStyle w:val="TableTextExample"/>
              <w:jc w:val="left"/>
            </w:pPr>
            <w:r/>
            <w:r>
              <w:t>Owner obtained them before award. The Contractor discharges the conditions of approval that relate to construction</w:t>
            </w:r>
          </w:p>
        </w:tc>
        <w:tc>
          <w:tcPr>
            <w:tcW w:w="1362" w:type="dxa"/>
            <w:vAlign w:val="center"/>
          </w:tcPr>
          <w:p>
            <w:pPr>
              <w:pStyle w:val="TableTextExample"/>
              <w:jc w:val="left"/>
            </w:pPr>
            <w:r/>
            <w:r>
              <w:t>Conditions register at Appendix B</w:t>
            </w:r>
          </w:p>
        </w:tc>
      </w:tr>
      <w:tr>
        <w:trPr>
          <w:cantSplit w:val="true"/>
        </w:trPr>
        <w:tc>
          <w:tcPr>
            <w:tcW w:w="3061" w:type="dxa"/>
            <w:vAlign w:val="center"/>
          </w:tcPr>
          <w:p>
            <w:pPr>
              <w:pStyle w:val="TableTextExample"/>
              <w:jc w:val="left"/>
            </w:pPr>
            <w:r/>
            <w:r>
              <w:t>High voltage switching and network operator connection</w:t>
            </w:r>
          </w:p>
        </w:tc>
        <w:tc>
          <w:tcPr>
            <w:tcW w:w="1814" w:type="dxa"/>
            <w:vAlign w:val="center"/>
          </w:tcPr>
          <w:p>
            <w:pPr>
              <w:pStyle w:val="TableTextExample"/>
              <w:jc w:val="left"/>
            </w:pPr>
            <w:r/>
            <w:r>
              <w:t>By others</w:t>
            </w:r>
          </w:p>
        </w:tc>
        <w:tc>
          <w:tcPr>
            <w:tcW w:w="3401" w:type="dxa"/>
            <w:vAlign w:val="center"/>
          </w:tcPr>
          <w:p>
            <w:pPr>
              <w:pStyle w:val="TableTextExample"/>
              <w:jc w:val="left"/>
            </w:pPr>
            <w:r/>
            <w:r>
              <w:t>Owner's authorized HV operator and the network utility. The Contractor provides the switchroom, cabling to the point of connection, and attendance</w:t>
            </w:r>
          </w:p>
        </w:tc>
        <w:tc>
          <w:tcPr>
            <w:tcW w:w="1362" w:type="dxa"/>
            <w:vAlign w:val="center"/>
          </w:tcPr>
          <w:p>
            <w:pPr>
              <w:pStyle w:val="TableTextExample"/>
              <w:jc w:val="left"/>
            </w:pPr>
            <w:r/>
            <w:r>
              <w:t>IF-09 — Section 9.1</w:t>
            </w:r>
          </w:p>
        </w:tc>
      </w:tr>
      <w:tr>
        <w:trPr>
          <w:cantSplit w:val="true"/>
        </w:trPr>
        <w:tc>
          <w:tcPr>
            <w:tcW w:w="3061" w:type="dxa"/>
            <w:vAlign w:val="center"/>
          </w:tcPr>
          <w:p>
            <w:pPr>
              <w:pStyle w:val="TableTextExample"/>
              <w:jc w:val="left"/>
            </w:pPr>
            <w:r/>
            <w:r>
              <w:t>Operational commissioning, clinical fit-up and staff relocation</w:t>
            </w:r>
          </w:p>
        </w:tc>
        <w:tc>
          <w:tcPr>
            <w:tcW w:w="1814" w:type="dxa"/>
            <w:vAlign w:val="center"/>
          </w:tcPr>
          <w:p>
            <w:pPr>
              <w:pStyle w:val="TableTextExample"/>
              <w:jc w:val="left"/>
            </w:pPr>
            <w:r/>
            <w:r>
              <w:t>Excluded</w:t>
            </w:r>
          </w:p>
        </w:tc>
        <w:tc>
          <w:tcPr>
            <w:tcW w:w="3401" w:type="dxa"/>
            <w:vAlign w:val="center"/>
          </w:tcPr>
          <w:p>
            <w:pPr>
              <w:pStyle w:val="TableTextExample"/>
              <w:jc w:val="left"/>
            </w:pPr>
            <w:r/>
            <w:r>
              <w:t>Owner. The Contractor provides access, attendance and technical support for a period of 20 working days before each separable portion handover</w:t>
            </w:r>
          </w:p>
        </w:tc>
        <w:tc>
          <w:tcPr>
            <w:tcW w:w="1362" w:type="dxa"/>
            <w:vAlign w:val="center"/>
          </w:tcPr>
          <w:p>
            <w:pPr>
              <w:pStyle w:val="TableTextExample"/>
              <w:jc w:val="left"/>
            </w:pPr>
            <w:r/>
            <w:r>
              <w:t>Section 16.3</w:t>
            </w:r>
          </w:p>
        </w:tc>
      </w:tr>
      <w:tr>
        <w:trPr>
          <w:cantSplit w:val="true"/>
        </w:trPr>
        <w:tc>
          <w:tcPr>
            <w:tcW w:w="3061" w:type="dxa"/>
            <w:vAlign w:val="center"/>
          </w:tcPr>
          <w:p>
            <w:pPr>
              <w:pStyle w:val="TableTextExample"/>
              <w:jc w:val="left"/>
            </w:pPr>
            <w:r/>
            <w:r>
              <w:t>Removal of contaminated soil beyond the volumes identified in the geotechnical report</w:t>
            </w:r>
          </w:p>
        </w:tc>
        <w:tc>
          <w:tcPr>
            <w:tcW w:w="1814" w:type="dxa"/>
            <w:vAlign w:val="center"/>
          </w:tcPr>
          <w:p>
            <w:pPr>
              <w:pStyle w:val="TableTextExample"/>
              <w:jc w:val="left"/>
            </w:pPr>
            <w:r/>
            <w:r>
              <w:t>Allowance — not excluded</w:t>
            </w:r>
          </w:p>
        </w:tc>
        <w:tc>
          <w:tcPr>
            <w:tcW w:w="3401" w:type="dxa"/>
            <w:vAlign w:val="center"/>
          </w:tcPr>
          <w:p>
            <w:pPr>
              <w:pStyle w:val="TableTextExample"/>
              <w:jc w:val="left"/>
            </w:pPr>
            <w:r/>
            <w:r>
              <w:t>Contractor on instruction, valued under allowance PS-04</w:t>
            </w:r>
          </w:p>
        </w:tc>
        <w:tc>
          <w:tcPr>
            <w:tcW w:w="1362" w:type="dxa"/>
            <w:vAlign w:val="center"/>
          </w:tcPr>
          <w:p>
            <w:pPr>
              <w:pStyle w:val="TableTextExample"/>
              <w:jc w:val="left"/>
            </w:pPr>
            <w:r/>
            <w:r>
              <w:t>Section 15.3</w:t>
            </w:r>
          </w:p>
        </w:tc>
      </w:tr>
      <w:tr>
        <w:trPr>
          <w:cantSplit w:val="true"/>
        </w:trPr>
        <w:tc>
          <w:tcPr>
            <w:tcW w:w="3061" w:type="dxa"/>
            <w:vAlign w:val="center"/>
          </w:tcPr>
          <w:p>
            <w:pPr>
              <w:pStyle w:val="TableText"/>
              <w:jc w:val="left"/>
            </w:pPr>
            <w:r/>
          </w:p>
        </w:tc>
        <w:tc>
          <w:tcPr>
            <w:tcW w:w="1814" w:type="dxa"/>
            <w:vAlign w:val="center"/>
          </w:tcPr>
          <w:p>
            <w:pPr>
              <w:pStyle w:val="TableText"/>
              <w:jc w:val="left"/>
            </w:pPr>
            <w:r/>
          </w:p>
        </w:tc>
        <w:tc>
          <w:tcPr>
            <w:tcW w:w="3401" w:type="dxa"/>
            <w:vAlign w:val="center"/>
          </w:tcPr>
          <w:p>
            <w:pPr>
              <w:pStyle w:val="TableText"/>
              <w:jc w:val="left"/>
            </w:pPr>
            <w:r/>
          </w:p>
        </w:tc>
        <w:tc>
          <w:tcPr>
            <w:tcW w:w="1362" w:type="dxa"/>
            <w:vAlign w:val="center"/>
          </w:tcPr>
          <w:p>
            <w:pPr>
              <w:pStyle w:val="TableText"/>
              <w:jc w:val="left"/>
            </w:pPr>
            <w:r/>
          </w:p>
        </w:tc>
      </w:tr>
      <w:tr>
        <w:trPr>
          <w:cantSplit w:val="true"/>
        </w:trPr>
        <w:tc>
          <w:tcPr>
            <w:tcW w:w="3061" w:type="dxa"/>
            <w:vAlign w:val="center"/>
          </w:tcPr>
          <w:p>
            <w:pPr>
              <w:pStyle w:val="TableText"/>
              <w:jc w:val="left"/>
            </w:pPr>
            <w:r/>
          </w:p>
        </w:tc>
        <w:tc>
          <w:tcPr>
            <w:tcW w:w="1814" w:type="dxa"/>
            <w:vAlign w:val="center"/>
          </w:tcPr>
          <w:p>
            <w:pPr>
              <w:pStyle w:val="TableText"/>
              <w:jc w:val="left"/>
            </w:pPr>
            <w:r/>
          </w:p>
        </w:tc>
        <w:tc>
          <w:tcPr>
            <w:tcW w:w="3401" w:type="dxa"/>
            <w:vAlign w:val="center"/>
          </w:tcPr>
          <w:p>
            <w:pPr>
              <w:pStyle w:val="TableText"/>
              <w:jc w:val="left"/>
            </w:pPr>
            <w:r/>
          </w:p>
        </w:tc>
        <w:tc>
          <w:tcPr>
            <w:tcW w:w="1362" w:type="dxa"/>
            <w:vAlign w:val="center"/>
          </w:tcPr>
          <w:p>
            <w:pPr>
              <w:pStyle w:val="TableText"/>
              <w:jc w:val="left"/>
            </w:pPr>
            <w:r/>
          </w:p>
        </w:tc>
      </w:tr>
      <w:tr>
        <w:trPr>
          <w:cantSplit w:val="true"/>
        </w:trPr>
        <w:tc>
          <w:tcPr>
            <w:tcW w:w="3061" w:type="dxa"/>
            <w:vAlign w:val="center"/>
          </w:tcPr>
          <w:p>
            <w:pPr>
              <w:pStyle w:val="TableText"/>
              <w:jc w:val="left"/>
            </w:pPr>
            <w:r/>
          </w:p>
        </w:tc>
        <w:tc>
          <w:tcPr>
            <w:tcW w:w="1814" w:type="dxa"/>
            <w:vAlign w:val="center"/>
          </w:tcPr>
          <w:p>
            <w:pPr>
              <w:pStyle w:val="TableText"/>
              <w:jc w:val="left"/>
            </w:pPr>
            <w:r/>
          </w:p>
        </w:tc>
        <w:tc>
          <w:tcPr>
            <w:tcW w:w="3401" w:type="dxa"/>
            <w:vAlign w:val="center"/>
          </w:tcPr>
          <w:p>
            <w:pPr>
              <w:pStyle w:val="TableText"/>
              <w:jc w:val="left"/>
            </w:pPr>
            <w:r/>
          </w:p>
        </w:tc>
        <w:tc>
          <w:tcPr>
            <w:tcW w:w="1362" w:type="dxa"/>
            <w:vAlign w:val="center"/>
          </w:tcPr>
          <w:p>
            <w:pPr>
              <w:pStyle w:val="TableText"/>
              <w:jc w:val="left"/>
            </w:pPr>
            <w:r/>
          </w:p>
        </w:tc>
      </w:tr>
    </w:tbl>
    <w:p>
      <w:pPr>
        <w:spacing w:before="0" w:after="0" w:line="60" w:lineRule="exact"/>
      </w:pPr>
    </w:p>
    <w:tbl>
      <w:tblPr>
        <w:tblLook w:firstColumn="1" w:firstRow="1" w:lastColumn="0" w:lastRow="0" w:noHBand="0" w:noVBand="1" w:val="04A0"/>
        <w:tblLayout w:type="fixed"/>
        <w:tblW w:w="9638" w:type="dxa"/>
        <w:tblInd w:w="0" w:type="dxa"/>
        <w:tblCellMar>
          <w:top w:w="110" w:type="dxa"/>
          <w:left w:w="170" w:type="dxa"/>
          <w:bottom w:w="110" w:type="dxa"/>
          <w:right w:w="170" w:type="dxa"/>
        </w:tblCellMar>
      </w:tblPr>
      <w:tblGrid>
        <w:gridCol w:w="9638"/>
      </w:tblGrid>
      <w:tr>
        <w:tc>
          <w:tcPr>
            <w:tcW w:w="9638" w:type="dxa"/>
            <w:shd w:val="clear" w:color="auto" w:fill="FBE6E2"/>
            <w:tcBorders>
              <w:left w:val="single" w:sz="4" w:space="0" w:color="B3341F"/>
            </w:tcBorders>
          </w:tcPr>
          <w:p>
            <w:pPr>
              <w:pStyle w:val="Body"/>
            </w:pPr>
            <w:r/>
            <w:r>
              <w:t>Anything not expressly excluded in this section is deemed included. Work that is reasonably inferable as necessary to complete the Work described at Section 6 is included whether or not it is shown on a drawing or listed in a specification. Before this scope is issued, the exclusions in this section must be reconciled line by line against the inclusions at Section 7 and the scope-at-a-glance table at Section 4.2: an item that appears in both lists, or in neither, must be resolved. Record the reconciliation, the date it was done, and who did it, in the revision history at Section 1.1.</w:t>
            </w:r>
          </w:p>
        </w:tc>
      </w:tr>
    </w:tbl>
    <w:p>
      <w:pPr>
        <w:spacing w:before="0" w:after="0" w:line="160" w:lineRule="exact"/>
      </w:pPr>
    </w:p>
    <w:p>
      <w:pPr>
        <w:sectPr>
          <w:headerReference w:type="default" r:id="rId11"/>
          <w:footerReference w:type="default" r:id="rId12"/>
          <w:pgSz w:w="11906" w:h="16838"/>
          <w:pgMar w:top="1049" w:right="1134" w:bottom="850" w:left="1134" w:header="482" w:footer="454" w:gutter="0"/>
          <w:cols w:space="720"/>
        </w:sectPr>
      </w:pPr>
    </w:p>
    <w:p>
      <w:pPr>
        <w:pStyle w:val="Heading1"/>
      </w:pPr>
      <w:bookmarkStart w:id="9028" w:name="_Toc90028"/>
      <w:r>
        <w:t>9. Interfaces and Coordination</w:t>
      </w:r>
      <w:bookmarkEnd w:id="9028"/>
    </w:p>
    <w:p>
      <w:pPr>
        <w:pStyle w:val="BodyLead"/>
      </w:pPr>
      <w:r>
        <w:t>More construction disputes arise at the boundary between two packages than inside either of them. An interface is properly defined when both parties can state, without reference to anyone else, what is handed over, in what condition, to what tolerance, on what date, and who accepts it. Anything less is a gap or an overlap.</w:t>
      </w:r>
    </w:p>
    <w:p>
      <w:pPr>
        <w:pStyle w:val="Heading2"/>
      </w:pPr>
      <w:bookmarkStart w:id="9029" w:name="_Toc90029"/>
      <w:r>
        <w:t>9.1 Interface register</w:t>
      </w:r>
      <w:bookmarkEnd w:id="9029"/>
    </w:p>
    <w:p>
      <w:pPr>
        <w:pStyle w:val="Note"/>
      </w:pPr>
      <w:r>
        <w:t>Example rows shown in gray italic — delete before use. Raise one row for every point at which this package hands over to, or receives from, another. The register is complete when no element in Section 6.1 has an undocumented boundary. Where an interface carries a date, that date must also appear in the schedule required at Section 11.4.</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14570" w:type="dxa"/>
        <w:tblInd w:w="0" w:type="dxa"/>
        <w:tblCellMar>
          <w:top w:w="45" w:type="dxa"/>
          <w:left w:w="100" w:type="dxa"/>
          <w:bottom w:w="45" w:type="dxa"/>
          <w:right w:w="100" w:type="dxa"/>
        </w:tblCellMar>
      </w:tblPr>
      <w:tblGrid>
        <w:gridCol w:w="748"/>
        <w:gridCol w:w="2245"/>
        <w:gridCol w:w="1439"/>
        <w:gridCol w:w="2245"/>
        <w:gridCol w:w="1209"/>
        <w:gridCol w:w="2937"/>
        <w:gridCol w:w="1670"/>
        <w:gridCol w:w="2077"/>
      </w:tblGrid>
      <w:tr>
        <w:trPr>
          <w:tblHeader w:val="true"/>
          <w:cantSplit w:val="true"/>
        </w:trPr>
        <w:tc>
          <w:tcPr>
            <w:tcW w:w="748" w:type="dxa"/>
            <w:shd w:val="clear" w:color="auto" w:fill="1D3245"/>
            <w:vAlign w:val="center"/>
          </w:tcPr>
          <w:p>
            <w:pPr>
              <w:pStyle w:val="TableHeader"/>
              <w:jc w:val="left"/>
            </w:pPr>
            <w:r/>
            <w:r>
              <w:t>Ref</w:t>
            </w:r>
          </w:p>
        </w:tc>
        <w:tc>
          <w:tcPr>
            <w:tcW w:w="2245" w:type="dxa"/>
            <w:shd w:val="clear" w:color="auto" w:fill="1D3245"/>
            <w:vAlign w:val="center"/>
          </w:tcPr>
          <w:p>
            <w:pPr>
              <w:pStyle w:val="TableHeader"/>
              <w:jc w:val="left"/>
            </w:pPr>
            <w:r/>
            <w:r>
              <w:t>This package provides</w:t>
            </w:r>
          </w:p>
        </w:tc>
        <w:tc>
          <w:tcPr>
            <w:tcW w:w="1439" w:type="dxa"/>
            <w:shd w:val="clear" w:color="auto" w:fill="1D3245"/>
            <w:vAlign w:val="center"/>
          </w:tcPr>
          <w:p>
            <w:pPr>
              <w:pStyle w:val="TableHeader"/>
              <w:jc w:val="left"/>
            </w:pPr>
            <w:r/>
            <w:r>
              <w:t>Interfacing package</w:t>
            </w:r>
          </w:p>
        </w:tc>
        <w:tc>
          <w:tcPr>
            <w:tcW w:w="2245" w:type="dxa"/>
            <w:shd w:val="clear" w:color="auto" w:fill="1D3245"/>
            <w:vAlign w:val="center"/>
          </w:tcPr>
          <w:p>
            <w:pPr>
              <w:pStyle w:val="TableHeader"/>
              <w:jc w:val="left"/>
            </w:pPr>
            <w:r/>
            <w:r>
              <w:t>Physical or schedule interface</w:t>
            </w:r>
          </w:p>
        </w:tc>
        <w:tc>
          <w:tcPr>
            <w:tcW w:w="1209" w:type="dxa"/>
            <w:shd w:val="clear" w:color="auto" w:fill="1D3245"/>
            <w:vAlign w:val="center"/>
          </w:tcPr>
          <w:p>
            <w:pPr>
              <w:pStyle w:val="TableHeader"/>
              <w:jc w:val="left"/>
            </w:pPr>
            <w:r/>
            <w:r>
              <w:t>Who leads</w:t>
            </w:r>
          </w:p>
        </w:tc>
        <w:tc>
          <w:tcPr>
            <w:tcW w:w="2937" w:type="dxa"/>
            <w:shd w:val="clear" w:color="auto" w:fill="1D3245"/>
            <w:vAlign w:val="center"/>
          </w:tcPr>
          <w:p>
            <w:pPr>
              <w:pStyle w:val="TableHeader"/>
              <w:jc w:val="left"/>
            </w:pPr>
            <w:r/>
            <w:r>
              <w:t>What must be agreed</w:t>
            </w:r>
          </w:p>
        </w:tc>
        <w:tc>
          <w:tcPr>
            <w:tcW w:w="1670" w:type="dxa"/>
            <w:shd w:val="clear" w:color="auto" w:fill="1D3245"/>
            <w:vAlign w:val="center"/>
          </w:tcPr>
          <w:p>
            <w:pPr>
              <w:pStyle w:val="TableHeader"/>
              <w:jc w:val="left"/>
            </w:pPr>
            <w:r/>
            <w:r>
              <w:t>By when</w:t>
            </w:r>
          </w:p>
        </w:tc>
        <w:tc>
          <w:tcPr>
            <w:tcW w:w="2077" w:type="dxa"/>
            <w:shd w:val="clear" w:color="auto" w:fill="1D3245"/>
            <w:vAlign w:val="center"/>
          </w:tcPr>
          <w:p>
            <w:pPr>
              <w:pStyle w:val="TableHeader"/>
              <w:jc w:val="left"/>
            </w:pPr>
            <w:r/>
            <w:r>
              <w:t>Hold point</w:t>
            </w:r>
          </w:p>
        </w:tc>
      </w:tr>
      <w:tr>
        <w:trPr>
          <w:cantSplit w:val="true"/>
        </w:trPr>
        <w:tc>
          <w:tcPr>
            <w:tcW w:w="748" w:type="dxa"/>
            <w:vAlign w:val="center"/>
          </w:tcPr>
          <w:p>
            <w:pPr>
              <w:pStyle w:val="TableTextExample"/>
              <w:jc w:val="left"/>
            </w:pPr>
            <w:r/>
            <w:r>
              <w:t>IF-03</w:t>
            </w:r>
          </w:p>
        </w:tc>
        <w:tc>
          <w:tcPr>
            <w:tcW w:w="2245" w:type="dxa"/>
            <w:vAlign w:val="center"/>
          </w:tcPr>
          <w:p>
            <w:pPr>
              <w:pStyle w:val="TableTextExample"/>
              <w:jc w:val="left"/>
            </w:pPr>
            <w:r/>
            <w:r>
              <w:t>Cast-in holding-down bolts, base plates and levelling shims, supplied loose</w:t>
            </w:r>
          </w:p>
        </w:tc>
        <w:tc>
          <w:tcPr>
            <w:tcW w:w="1439" w:type="dxa"/>
            <w:vAlign w:val="center"/>
          </w:tcPr>
          <w:p>
            <w:pPr>
              <w:pStyle w:val="TableTextExample"/>
              <w:jc w:val="left"/>
            </w:pPr>
            <w:r/>
            <w:r>
              <w:t>In-situ concrete (06-10)</w:t>
            </w:r>
          </w:p>
        </w:tc>
        <w:tc>
          <w:tcPr>
            <w:tcW w:w="2245" w:type="dxa"/>
            <w:vAlign w:val="center"/>
          </w:tcPr>
          <w:p>
            <w:pPr>
              <w:pStyle w:val="TableTextExample"/>
              <w:jc w:val="left"/>
            </w:pPr>
            <w:r/>
            <w:r>
              <w:t>Physical and schedule — bolts must be cast into the transfer slab before the pour</w:t>
            </w:r>
          </w:p>
        </w:tc>
        <w:tc>
          <w:tcPr>
            <w:tcW w:w="1209" w:type="dxa"/>
            <w:vAlign w:val="center"/>
          </w:tcPr>
          <w:p>
            <w:pPr>
              <w:pStyle w:val="TableTextExample"/>
              <w:jc w:val="left"/>
            </w:pPr>
            <w:r/>
            <w:r>
              <w:t>Structural steel package</w:t>
            </w:r>
          </w:p>
        </w:tc>
        <w:tc>
          <w:tcPr>
            <w:tcW w:w="2937" w:type="dxa"/>
            <w:vAlign w:val="center"/>
          </w:tcPr>
          <w:p>
            <w:pPr>
              <w:pStyle w:val="TableTextExample"/>
              <w:jc w:val="left"/>
            </w:pPr>
            <w:r/>
            <w:r>
              <w:t>Bolt template dimensions and tolerance; record survey of installed bolts issued to the fabricator before fabrication of the first column</w:t>
            </w:r>
          </w:p>
        </w:tc>
        <w:tc>
          <w:tcPr>
            <w:tcW w:w="1670" w:type="dxa"/>
            <w:vAlign w:val="center"/>
          </w:tcPr>
          <w:p>
            <w:pPr>
              <w:pStyle w:val="TableTextExample"/>
              <w:jc w:val="left"/>
            </w:pPr>
            <w:r/>
            <w:r>
              <w:t>20 working days before the transfer slab pour</w:t>
            </w:r>
          </w:p>
        </w:tc>
        <w:tc>
          <w:tcPr>
            <w:tcW w:w="2077" w:type="dxa"/>
            <w:vAlign w:val="center"/>
          </w:tcPr>
          <w:p>
            <w:pPr>
              <w:pStyle w:val="TableTextExample"/>
              <w:jc w:val="left"/>
            </w:pPr>
            <w:r/>
            <w:r>
              <w:t>Yes — pre-pour hold point; bolt survey accepted before erection release</w:t>
            </w:r>
          </w:p>
        </w:tc>
      </w:tr>
      <w:tr>
        <w:trPr>
          <w:cantSplit w:val="true"/>
        </w:trPr>
        <w:tc>
          <w:tcPr>
            <w:tcW w:w="748" w:type="dxa"/>
            <w:vAlign w:val="center"/>
          </w:tcPr>
          <w:p>
            <w:pPr>
              <w:pStyle w:val="TableTextExample"/>
              <w:jc w:val="left"/>
            </w:pPr>
            <w:r/>
            <w:r>
              <w:t>IF-05</w:t>
            </w:r>
          </w:p>
        </w:tc>
        <w:tc>
          <w:tcPr>
            <w:tcW w:w="2245" w:type="dxa"/>
            <w:vAlign w:val="center"/>
          </w:tcPr>
          <w:p>
            <w:pPr>
              <w:pStyle w:val="TableTextExample"/>
              <w:jc w:val="left"/>
            </w:pPr>
            <w:r/>
            <w:r>
              <w:t>Steel surface prepared and free of loose mill scale, oil and site debris</w:t>
            </w:r>
          </w:p>
        </w:tc>
        <w:tc>
          <w:tcPr>
            <w:tcW w:w="1439" w:type="dxa"/>
            <w:vAlign w:val="center"/>
          </w:tcPr>
          <w:p>
            <w:pPr>
              <w:pStyle w:val="TableTextExample"/>
              <w:jc w:val="left"/>
            </w:pPr>
            <w:r/>
            <w:r>
              <w:t>Applied fire protection</w:t>
            </w:r>
          </w:p>
        </w:tc>
        <w:tc>
          <w:tcPr>
            <w:tcW w:w="2245" w:type="dxa"/>
            <w:vAlign w:val="center"/>
          </w:tcPr>
          <w:p>
            <w:pPr>
              <w:pStyle w:val="TableTextExample"/>
              <w:jc w:val="left"/>
            </w:pPr>
            <w:r/>
            <w:r>
              <w:t>Physical — substrate condition and coating compatibility</w:t>
            </w:r>
          </w:p>
        </w:tc>
        <w:tc>
          <w:tcPr>
            <w:tcW w:w="1209" w:type="dxa"/>
            <w:vAlign w:val="center"/>
          </w:tcPr>
          <w:p>
            <w:pPr>
              <w:pStyle w:val="TableTextExample"/>
              <w:jc w:val="left"/>
            </w:pPr>
            <w:r/>
            <w:r>
              <w:t>Fire protection package</w:t>
            </w:r>
          </w:p>
        </w:tc>
        <w:tc>
          <w:tcPr>
            <w:tcW w:w="2937" w:type="dxa"/>
            <w:vAlign w:val="center"/>
          </w:tcPr>
          <w:p>
            <w:pPr>
              <w:pStyle w:val="TableTextExample"/>
              <w:jc w:val="left"/>
            </w:pPr>
            <w:r/>
            <w:r>
              <w:t>Substrate standard, primer compatibility, thickness verification method, and who rectifies damage caused after application</w:t>
            </w:r>
          </w:p>
        </w:tc>
        <w:tc>
          <w:tcPr>
            <w:tcW w:w="1670" w:type="dxa"/>
            <w:vAlign w:val="center"/>
          </w:tcPr>
          <w:p>
            <w:pPr>
              <w:pStyle w:val="TableTextExample"/>
              <w:jc w:val="left"/>
            </w:pPr>
            <w:r/>
            <w:r>
              <w:t>Before release of the steel paint system for fabrication</w:t>
            </w:r>
          </w:p>
        </w:tc>
        <w:tc>
          <w:tcPr>
            <w:tcW w:w="2077" w:type="dxa"/>
            <w:vAlign w:val="center"/>
          </w:tcPr>
          <w:p>
            <w:pPr>
              <w:pStyle w:val="TableTextExample"/>
              <w:jc w:val="left"/>
            </w:pPr>
            <w:r/>
            <w:r>
              <w:t>Yes — substrate acceptance inspection per zone</w:t>
            </w:r>
          </w:p>
        </w:tc>
      </w:tr>
      <w:tr>
        <w:trPr>
          <w:cantSplit w:val="true"/>
        </w:trPr>
        <w:tc>
          <w:tcPr>
            <w:tcW w:w="748" w:type="dxa"/>
            <w:vAlign w:val="center"/>
          </w:tcPr>
          <w:p>
            <w:pPr>
              <w:pStyle w:val="TableTextExample"/>
              <w:jc w:val="left"/>
            </w:pPr>
            <w:r/>
            <w:r>
              <w:t>IF-08</w:t>
            </w:r>
          </w:p>
        </w:tc>
        <w:tc>
          <w:tcPr>
            <w:tcW w:w="2245" w:type="dxa"/>
            <w:vAlign w:val="center"/>
          </w:tcPr>
          <w:p>
            <w:pPr>
              <w:pStyle w:val="TableTextExample"/>
              <w:jc w:val="left"/>
            </w:pPr>
            <w:r/>
            <w:r>
              <w:t>Roof penetrations, plinths and upstands formed and flashed</w:t>
            </w:r>
          </w:p>
        </w:tc>
        <w:tc>
          <w:tcPr>
            <w:tcW w:w="1439" w:type="dxa"/>
            <w:vAlign w:val="center"/>
          </w:tcPr>
          <w:p>
            <w:pPr>
              <w:pStyle w:val="TableTextExample"/>
              <w:jc w:val="left"/>
            </w:pPr>
            <w:r/>
            <w:r>
              <w:t>Mechanical services (14-10)</w:t>
            </w:r>
          </w:p>
        </w:tc>
        <w:tc>
          <w:tcPr>
            <w:tcW w:w="2245" w:type="dxa"/>
            <w:vAlign w:val="center"/>
          </w:tcPr>
          <w:p>
            <w:pPr>
              <w:pStyle w:val="TableTextExample"/>
              <w:jc w:val="left"/>
            </w:pPr>
            <w:r/>
            <w:r>
              <w:t>Physical and schedule — penetrations must be formed before the membrane is laid</w:t>
            </w:r>
          </w:p>
        </w:tc>
        <w:tc>
          <w:tcPr>
            <w:tcW w:w="1209" w:type="dxa"/>
            <w:vAlign w:val="center"/>
          </w:tcPr>
          <w:p>
            <w:pPr>
              <w:pStyle w:val="TableTextExample"/>
              <w:jc w:val="left"/>
            </w:pPr>
            <w:r/>
            <w:r>
              <w:t>Roofing and cladding package</w:t>
            </w:r>
          </w:p>
        </w:tc>
        <w:tc>
          <w:tcPr>
            <w:tcW w:w="2937" w:type="dxa"/>
            <w:vAlign w:val="center"/>
          </w:tcPr>
          <w:p>
            <w:pPr>
              <w:pStyle w:val="TableTextExample"/>
              <w:jc w:val="left"/>
            </w:pPr>
            <w:r/>
            <w:r>
              <w:t>Penetration schedule with coordinates and sizes; sequence of membrane, plinth and equipment installation; who owns weathertightness after equipment landing</w:t>
            </w:r>
          </w:p>
        </w:tc>
        <w:tc>
          <w:tcPr>
            <w:tcW w:w="1670" w:type="dxa"/>
            <w:vAlign w:val="center"/>
          </w:tcPr>
          <w:p>
            <w:pPr>
              <w:pStyle w:val="TableTextExample"/>
              <w:jc w:val="left"/>
            </w:pPr>
            <w:r/>
            <w:r>
              <w:t>10 working days before membrane installation in each zone</w:t>
            </w:r>
          </w:p>
        </w:tc>
        <w:tc>
          <w:tcPr>
            <w:tcW w:w="2077" w:type="dxa"/>
            <w:vAlign w:val="center"/>
          </w:tcPr>
          <w:p>
            <w:pPr>
              <w:pStyle w:val="TableTextExample"/>
              <w:jc w:val="left"/>
            </w:pPr>
            <w:r/>
            <w:r>
              <w:t>Yes — pre-membrane penetration inspection</w:t>
            </w:r>
          </w:p>
        </w:tc>
      </w:tr>
      <w:tr>
        <w:trPr>
          <w:cantSplit w:val="true"/>
        </w:trPr>
        <w:tc>
          <w:tcPr>
            <w:tcW w:w="748" w:type="dxa"/>
            <w:vAlign w:val="center"/>
          </w:tcPr>
          <w:p>
            <w:pPr>
              <w:pStyle w:val="TableText"/>
              <w:jc w:val="left"/>
            </w:pPr>
            <w:r/>
          </w:p>
        </w:tc>
        <w:tc>
          <w:tcPr>
            <w:tcW w:w="2245" w:type="dxa"/>
            <w:vAlign w:val="center"/>
          </w:tcPr>
          <w:p>
            <w:pPr>
              <w:pStyle w:val="TableText"/>
              <w:jc w:val="left"/>
            </w:pPr>
            <w:r/>
          </w:p>
        </w:tc>
        <w:tc>
          <w:tcPr>
            <w:tcW w:w="1439" w:type="dxa"/>
            <w:vAlign w:val="center"/>
          </w:tcPr>
          <w:p>
            <w:pPr>
              <w:pStyle w:val="TableText"/>
              <w:jc w:val="left"/>
            </w:pPr>
            <w:r/>
          </w:p>
        </w:tc>
        <w:tc>
          <w:tcPr>
            <w:tcW w:w="2245" w:type="dxa"/>
            <w:vAlign w:val="center"/>
          </w:tcPr>
          <w:p>
            <w:pPr>
              <w:pStyle w:val="TableText"/>
              <w:jc w:val="left"/>
            </w:pPr>
            <w:r/>
          </w:p>
        </w:tc>
        <w:tc>
          <w:tcPr>
            <w:tcW w:w="1209" w:type="dxa"/>
            <w:vAlign w:val="center"/>
          </w:tcPr>
          <w:p>
            <w:pPr>
              <w:pStyle w:val="TableText"/>
              <w:jc w:val="left"/>
            </w:pPr>
            <w:r/>
          </w:p>
        </w:tc>
        <w:tc>
          <w:tcPr>
            <w:tcW w:w="2937" w:type="dxa"/>
            <w:vAlign w:val="center"/>
          </w:tcPr>
          <w:p>
            <w:pPr>
              <w:pStyle w:val="TableText"/>
              <w:jc w:val="left"/>
            </w:pPr>
            <w:r/>
          </w:p>
        </w:tc>
        <w:tc>
          <w:tcPr>
            <w:tcW w:w="1670" w:type="dxa"/>
            <w:vAlign w:val="center"/>
          </w:tcPr>
          <w:p>
            <w:pPr>
              <w:pStyle w:val="TableText"/>
              <w:jc w:val="left"/>
            </w:pPr>
            <w:r/>
          </w:p>
        </w:tc>
        <w:tc>
          <w:tcPr>
            <w:tcW w:w="2077" w:type="dxa"/>
            <w:vAlign w:val="center"/>
          </w:tcPr>
          <w:p>
            <w:pPr>
              <w:pStyle w:val="TableText"/>
              <w:jc w:val="left"/>
            </w:pPr>
            <w:r/>
          </w:p>
        </w:tc>
      </w:tr>
      <w:tr>
        <w:trPr>
          <w:cantSplit w:val="true"/>
        </w:trPr>
        <w:tc>
          <w:tcPr>
            <w:tcW w:w="748" w:type="dxa"/>
            <w:vAlign w:val="center"/>
          </w:tcPr>
          <w:p>
            <w:pPr>
              <w:pStyle w:val="TableText"/>
              <w:jc w:val="left"/>
            </w:pPr>
            <w:r/>
          </w:p>
        </w:tc>
        <w:tc>
          <w:tcPr>
            <w:tcW w:w="2245" w:type="dxa"/>
            <w:vAlign w:val="center"/>
          </w:tcPr>
          <w:p>
            <w:pPr>
              <w:pStyle w:val="TableText"/>
              <w:jc w:val="left"/>
            </w:pPr>
            <w:r/>
          </w:p>
        </w:tc>
        <w:tc>
          <w:tcPr>
            <w:tcW w:w="1439" w:type="dxa"/>
            <w:vAlign w:val="center"/>
          </w:tcPr>
          <w:p>
            <w:pPr>
              <w:pStyle w:val="TableText"/>
              <w:jc w:val="left"/>
            </w:pPr>
            <w:r/>
          </w:p>
        </w:tc>
        <w:tc>
          <w:tcPr>
            <w:tcW w:w="2245" w:type="dxa"/>
            <w:vAlign w:val="center"/>
          </w:tcPr>
          <w:p>
            <w:pPr>
              <w:pStyle w:val="TableText"/>
              <w:jc w:val="left"/>
            </w:pPr>
            <w:r/>
          </w:p>
        </w:tc>
        <w:tc>
          <w:tcPr>
            <w:tcW w:w="1209" w:type="dxa"/>
            <w:vAlign w:val="center"/>
          </w:tcPr>
          <w:p>
            <w:pPr>
              <w:pStyle w:val="TableText"/>
              <w:jc w:val="left"/>
            </w:pPr>
            <w:r/>
          </w:p>
        </w:tc>
        <w:tc>
          <w:tcPr>
            <w:tcW w:w="2937" w:type="dxa"/>
            <w:vAlign w:val="center"/>
          </w:tcPr>
          <w:p>
            <w:pPr>
              <w:pStyle w:val="TableText"/>
              <w:jc w:val="left"/>
            </w:pPr>
            <w:r/>
          </w:p>
        </w:tc>
        <w:tc>
          <w:tcPr>
            <w:tcW w:w="1670" w:type="dxa"/>
            <w:vAlign w:val="center"/>
          </w:tcPr>
          <w:p>
            <w:pPr>
              <w:pStyle w:val="TableText"/>
              <w:jc w:val="left"/>
            </w:pPr>
            <w:r/>
          </w:p>
        </w:tc>
        <w:tc>
          <w:tcPr>
            <w:tcW w:w="2077" w:type="dxa"/>
            <w:vAlign w:val="center"/>
          </w:tcPr>
          <w:p>
            <w:pPr>
              <w:pStyle w:val="TableText"/>
              <w:jc w:val="left"/>
            </w:pPr>
            <w:r/>
          </w:p>
        </w:tc>
      </w:tr>
      <w:tr>
        <w:trPr>
          <w:cantSplit w:val="true"/>
        </w:trPr>
        <w:tc>
          <w:tcPr>
            <w:tcW w:w="748" w:type="dxa"/>
            <w:vAlign w:val="center"/>
          </w:tcPr>
          <w:p>
            <w:pPr>
              <w:pStyle w:val="TableText"/>
              <w:jc w:val="left"/>
            </w:pPr>
            <w:r/>
          </w:p>
        </w:tc>
        <w:tc>
          <w:tcPr>
            <w:tcW w:w="2245" w:type="dxa"/>
            <w:vAlign w:val="center"/>
          </w:tcPr>
          <w:p>
            <w:pPr>
              <w:pStyle w:val="TableText"/>
              <w:jc w:val="left"/>
            </w:pPr>
            <w:r/>
          </w:p>
        </w:tc>
        <w:tc>
          <w:tcPr>
            <w:tcW w:w="1439" w:type="dxa"/>
            <w:vAlign w:val="center"/>
          </w:tcPr>
          <w:p>
            <w:pPr>
              <w:pStyle w:val="TableText"/>
              <w:jc w:val="left"/>
            </w:pPr>
            <w:r/>
          </w:p>
        </w:tc>
        <w:tc>
          <w:tcPr>
            <w:tcW w:w="2245" w:type="dxa"/>
            <w:vAlign w:val="center"/>
          </w:tcPr>
          <w:p>
            <w:pPr>
              <w:pStyle w:val="TableText"/>
              <w:jc w:val="left"/>
            </w:pPr>
            <w:r/>
          </w:p>
        </w:tc>
        <w:tc>
          <w:tcPr>
            <w:tcW w:w="1209" w:type="dxa"/>
            <w:vAlign w:val="center"/>
          </w:tcPr>
          <w:p>
            <w:pPr>
              <w:pStyle w:val="TableText"/>
              <w:jc w:val="left"/>
            </w:pPr>
            <w:r/>
          </w:p>
        </w:tc>
        <w:tc>
          <w:tcPr>
            <w:tcW w:w="2937" w:type="dxa"/>
            <w:vAlign w:val="center"/>
          </w:tcPr>
          <w:p>
            <w:pPr>
              <w:pStyle w:val="TableText"/>
              <w:jc w:val="left"/>
            </w:pPr>
            <w:r/>
          </w:p>
        </w:tc>
        <w:tc>
          <w:tcPr>
            <w:tcW w:w="1670" w:type="dxa"/>
            <w:vAlign w:val="center"/>
          </w:tcPr>
          <w:p>
            <w:pPr>
              <w:pStyle w:val="TableText"/>
              <w:jc w:val="left"/>
            </w:pPr>
            <w:r/>
          </w:p>
        </w:tc>
        <w:tc>
          <w:tcPr>
            <w:tcW w:w="2077" w:type="dxa"/>
            <w:vAlign w:val="center"/>
          </w:tcPr>
          <w:p>
            <w:pPr>
              <w:pStyle w:val="TableText"/>
              <w:jc w:val="left"/>
            </w:pPr>
            <w:r/>
          </w:p>
        </w:tc>
      </w:tr>
      <w:tr>
        <w:trPr>
          <w:cantSplit w:val="true"/>
        </w:trPr>
        <w:tc>
          <w:tcPr>
            <w:tcW w:w="748" w:type="dxa"/>
            <w:vAlign w:val="center"/>
          </w:tcPr>
          <w:p>
            <w:pPr>
              <w:pStyle w:val="TableText"/>
              <w:jc w:val="left"/>
            </w:pPr>
            <w:r/>
          </w:p>
        </w:tc>
        <w:tc>
          <w:tcPr>
            <w:tcW w:w="2245" w:type="dxa"/>
            <w:vAlign w:val="center"/>
          </w:tcPr>
          <w:p>
            <w:pPr>
              <w:pStyle w:val="TableText"/>
              <w:jc w:val="left"/>
            </w:pPr>
            <w:r/>
          </w:p>
        </w:tc>
        <w:tc>
          <w:tcPr>
            <w:tcW w:w="1439" w:type="dxa"/>
            <w:vAlign w:val="center"/>
          </w:tcPr>
          <w:p>
            <w:pPr>
              <w:pStyle w:val="TableText"/>
              <w:jc w:val="left"/>
            </w:pPr>
            <w:r/>
          </w:p>
        </w:tc>
        <w:tc>
          <w:tcPr>
            <w:tcW w:w="2245" w:type="dxa"/>
            <w:vAlign w:val="center"/>
          </w:tcPr>
          <w:p>
            <w:pPr>
              <w:pStyle w:val="TableText"/>
              <w:jc w:val="left"/>
            </w:pPr>
            <w:r/>
          </w:p>
        </w:tc>
        <w:tc>
          <w:tcPr>
            <w:tcW w:w="1209" w:type="dxa"/>
            <w:vAlign w:val="center"/>
          </w:tcPr>
          <w:p>
            <w:pPr>
              <w:pStyle w:val="TableText"/>
              <w:jc w:val="left"/>
            </w:pPr>
            <w:r/>
          </w:p>
        </w:tc>
        <w:tc>
          <w:tcPr>
            <w:tcW w:w="2937" w:type="dxa"/>
            <w:vAlign w:val="center"/>
          </w:tcPr>
          <w:p>
            <w:pPr>
              <w:pStyle w:val="TableText"/>
              <w:jc w:val="left"/>
            </w:pPr>
            <w:r/>
          </w:p>
        </w:tc>
        <w:tc>
          <w:tcPr>
            <w:tcW w:w="1670" w:type="dxa"/>
            <w:vAlign w:val="center"/>
          </w:tcPr>
          <w:p>
            <w:pPr>
              <w:pStyle w:val="TableText"/>
              <w:jc w:val="left"/>
            </w:pPr>
            <w:r/>
          </w:p>
        </w:tc>
        <w:tc>
          <w:tcPr>
            <w:tcW w:w="2077" w:type="dxa"/>
            <w:vAlign w:val="center"/>
          </w:tcPr>
          <w:p>
            <w:pPr>
              <w:pStyle w:val="TableText"/>
              <w:jc w:val="left"/>
            </w:pPr>
            <w:r/>
          </w:p>
        </w:tc>
      </w:tr>
      <w:tr>
        <w:trPr>
          <w:cantSplit w:val="true"/>
        </w:trPr>
        <w:tc>
          <w:tcPr>
            <w:tcW w:w="748" w:type="dxa"/>
            <w:vAlign w:val="center"/>
          </w:tcPr>
          <w:p>
            <w:pPr>
              <w:pStyle w:val="TableText"/>
              <w:jc w:val="left"/>
            </w:pPr>
            <w:r/>
          </w:p>
        </w:tc>
        <w:tc>
          <w:tcPr>
            <w:tcW w:w="2245" w:type="dxa"/>
            <w:vAlign w:val="center"/>
          </w:tcPr>
          <w:p>
            <w:pPr>
              <w:pStyle w:val="TableText"/>
              <w:jc w:val="left"/>
            </w:pPr>
            <w:r/>
          </w:p>
        </w:tc>
        <w:tc>
          <w:tcPr>
            <w:tcW w:w="1439" w:type="dxa"/>
            <w:vAlign w:val="center"/>
          </w:tcPr>
          <w:p>
            <w:pPr>
              <w:pStyle w:val="TableText"/>
              <w:jc w:val="left"/>
            </w:pPr>
            <w:r/>
          </w:p>
        </w:tc>
        <w:tc>
          <w:tcPr>
            <w:tcW w:w="2245" w:type="dxa"/>
            <w:vAlign w:val="center"/>
          </w:tcPr>
          <w:p>
            <w:pPr>
              <w:pStyle w:val="TableText"/>
              <w:jc w:val="left"/>
            </w:pPr>
            <w:r/>
          </w:p>
        </w:tc>
        <w:tc>
          <w:tcPr>
            <w:tcW w:w="1209" w:type="dxa"/>
            <w:vAlign w:val="center"/>
          </w:tcPr>
          <w:p>
            <w:pPr>
              <w:pStyle w:val="TableText"/>
              <w:jc w:val="left"/>
            </w:pPr>
            <w:r/>
          </w:p>
        </w:tc>
        <w:tc>
          <w:tcPr>
            <w:tcW w:w="2937" w:type="dxa"/>
            <w:vAlign w:val="center"/>
          </w:tcPr>
          <w:p>
            <w:pPr>
              <w:pStyle w:val="TableText"/>
              <w:jc w:val="left"/>
            </w:pPr>
            <w:r/>
          </w:p>
        </w:tc>
        <w:tc>
          <w:tcPr>
            <w:tcW w:w="1670" w:type="dxa"/>
            <w:vAlign w:val="center"/>
          </w:tcPr>
          <w:p>
            <w:pPr>
              <w:pStyle w:val="TableText"/>
              <w:jc w:val="left"/>
            </w:pPr>
            <w:r/>
          </w:p>
        </w:tc>
        <w:tc>
          <w:tcPr>
            <w:tcW w:w="2077" w:type="dxa"/>
            <w:vAlign w:val="center"/>
          </w:tcPr>
          <w:p>
            <w:pPr>
              <w:pStyle w:val="TableText"/>
              <w:jc w:val="left"/>
            </w:pPr>
            <w:r/>
          </w:p>
        </w:tc>
      </w:tr>
    </w:tbl>
    <w:p>
      <w:pPr>
        <w:spacing w:before="0" w:after="0" w:line="60" w:lineRule="exact"/>
      </w:pPr>
    </w:p>
    <w:p>
      <w:pPr>
        <w:sectPr>
          <w:headerReference w:type="default" r:id="rId13"/>
          <w:footerReference w:type="default" r:id="rId14"/>
          <w:pgSz w:w="16838" w:h="11906" w:orient="landscape"/>
          <w:pgMar w:top="964" w:right="1134" w:bottom="794" w:left="1134" w:header="482" w:footer="454" w:gutter="0"/>
          <w:cols w:space="720"/>
        </w:sectPr>
      </w:pPr>
    </w:p>
    <w:p>
      <w:pPr>
        <w:pStyle w:val="Heading2"/>
      </w:pPr>
      <w:bookmarkStart w:id="9030" w:name="_Toc90030"/>
      <w:r>
        <w:t>9.2 Attendance, access and shared temporary works</w:t>
      </w:r>
      <w:bookmarkEnd w:id="9030"/>
    </w:p>
    <w:p>
      <w:pPr>
        <w:pStyle w:val="Body"/>
      </w:pPr>
      <w:r>
        <w:t>State exactly what attendance is provided free of charge to this package and what is not. Attendance disputes are almost always about quantity, not principle — so state a quantity and a unit, and state what happens when it is exceeded.</w:t>
      </w:r>
    </w:p>
    <w:p>
      <w:pPr>
        <w:pStyle w:val="Note"/>
      </w:pPr>
      <w:r>
        <w:t>Example rows shown in gray italic — delete before use. Where this scope is used as a head contract, replace "Head contractor" with "Owner" or delete the row, as applicable. Every row must state a quantity or a limit; "as required" is not an attendance definition.</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267"/>
        <w:gridCol w:w="1360"/>
        <w:gridCol w:w="3174"/>
        <w:gridCol w:w="2837"/>
      </w:tblGrid>
      <w:tr>
        <w:trPr>
          <w:tblHeader w:val="true"/>
          <w:cantSplit w:val="true"/>
        </w:trPr>
        <w:tc>
          <w:tcPr>
            <w:tcW w:w="2267" w:type="dxa"/>
            <w:shd w:val="clear" w:color="auto" w:fill="1D3245"/>
            <w:vAlign w:val="center"/>
          </w:tcPr>
          <w:p>
            <w:pPr>
              <w:pStyle w:val="TableHeader"/>
              <w:jc w:val="left"/>
            </w:pPr>
            <w:r/>
            <w:r>
              <w:t>Attendance or facility</w:t>
            </w:r>
          </w:p>
        </w:tc>
        <w:tc>
          <w:tcPr>
            <w:tcW w:w="1360" w:type="dxa"/>
            <w:shd w:val="clear" w:color="auto" w:fill="1D3245"/>
            <w:vAlign w:val="center"/>
          </w:tcPr>
          <w:p>
            <w:pPr>
              <w:pStyle w:val="TableHeader"/>
              <w:jc w:val="left"/>
            </w:pPr>
            <w:r/>
            <w:r>
              <w:t>Provided by</w:t>
            </w:r>
          </w:p>
        </w:tc>
        <w:tc>
          <w:tcPr>
            <w:tcW w:w="3174" w:type="dxa"/>
            <w:shd w:val="clear" w:color="auto" w:fill="1D3245"/>
            <w:vAlign w:val="center"/>
          </w:tcPr>
          <w:p>
            <w:pPr>
              <w:pStyle w:val="TableHeader"/>
              <w:jc w:val="left"/>
            </w:pPr>
            <w:r/>
            <w:r>
              <w:t>Extent provided free of charge</w:t>
            </w:r>
          </w:p>
        </w:tc>
        <w:tc>
          <w:tcPr>
            <w:tcW w:w="2837" w:type="dxa"/>
            <w:shd w:val="clear" w:color="auto" w:fill="1D3245"/>
            <w:vAlign w:val="center"/>
          </w:tcPr>
          <w:p>
            <w:pPr>
              <w:pStyle w:val="TableHeader"/>
              <w:jc w:val="left"/>
            </w:pPr>
            <w:r/>
            <w:r>
              <w:t>Beyond that extent</w:t>
            </w:r>
          </w:p>
        </w:tc>
      </w:tr>
      <w:tr>
        <w:trPr>
          <w:cantSplit w:val="true"/>
        </w:trPr>
        <w:tc>
          <w:tcPr>
            <w:tcW w:w="2267" w:type="dxa"/>
            <w:vAlign w:val="center"/>
          </w:tcPr>
          <w:p>
            <w:pPr>
              <w:pStyle w:val="TableTextExample"/>
              <w:jc w:val="left"/>
            </w:pPr>
            <w:r/>
            <w:r>
              <w:t>Tower crane and operator</w:t>
            </w:r>
          </w:p>
        </w:tc>
        <w:tc>
          <w:tcPr>
            <w:tcW w:w="1360" w:type="dxa"/>
            <w:vAlign w:val="center"/>
          </w:tcPr>
          <w:p>
            <w:pPr>
              <w:pStyle w:val="TableTextExample"/>
              <w:jc w:val="left"/>
            </w:pPr>
            <w:r/>
            <w:r>
              <w:t>Head contractor</w:t>
            </w:r>
          </w:p>
        </w:tc>
        <w:tc>
          <w:tcPr>
            <w:tcW w:w="3174" w:type="dxa"/>
            <w:vAlign w:val="center"/>
          </w:tcPr>
          <w:p>
            <w:pPr>
              <w:pStyle w:val="TableTextExample"/>
              <w:jc w:val="left"/>
            </w:pPr>
            <w:r/>
            <w:r>
              <w:t>3 hours per working day between 06:30 and 16:30, booked 24 hours in advance through the daily lift schedule</w:t>
            </w:r>
          </w:p>
        </w:tc>
        <w:tc>
          <w:tcPr>
            <w:tcW w:w="2837" w:type="dxa"/>
            <w:vAlign w:val="center"/>
          </w:tcPr>
          <w:p>
            <w:pPr>
              <w:pStyle w:val="TableTextExample"/>
              <w:jc w:val="left"/>
            </w:pPr>
            <w:r/>
            <w:r>
              <w:t>Charged at the force account work equipment rate at Section 15.4; out-of-hours elevators by prior agreement only</w:t>
            </w:r>
          </w:p>
        </w:tc>
      </w:tr>
      <w:tr>
        <w:trPr>
          <w:cantSplit w:val="true"/>
        </w:trPr>
        <w:tc>
          <w:tcPr>
            <w:tcW w:w="2267" w:type="dxa"/>
            <w:vAlign w:val="center"/>
          </w:tcPr>
          <w:p>
            <w:pPr>
              <w:pStyle w:val="TableTextExample"/>
              <w:jc w:val="left"/>
            </w:pPr>
            <w:r/>
            <w:r>
              <w:t>Common scaffolding and edge protection</w:t>
            </w:r>
          </w:p>
        </w:tc>
        <w:tc>
          <w:tcPr>
            <w:tcW w:w="1360" w:type="dxa"/>
            <w:vAlign w:val="center"/>
          </w:tcPr>
          <w:p>
            <w:pPr>
              <w:pStyle w:val="TableTextExample"/>
              <w:jc w:val="left"/>
            </w:pPr>
            <w:r/>
            <w:r>
              <w:t>Head contractor</w:t>
            </w:r>
          </w:p>
        </w:tc>
        <w:tc>
          <w:tcPr>
            <w:tcW w:w="3174" w:type="dxa"/>
            <w:vAlign w:val="center"/>
          </w:tcPr>
          <w:p>
            <w:pPr>
              <w:pStyle w:val="TableTextExample"/>
              <w:jc w:val="left"/>
            </w:pPr>
            <w:r/>
            <w:r>
              <w:t>Perimeter edge protection and common access scaffold to all floors, maintained and inspected weekly</w:t>
            </w:r>
          </w:p>
        </w:tc>
        <w:tc>
          <w:tcPr>
            <w:tcW w:w="2837" w:type="dxa"/>
            <w:vAlign w:val="center"/>
          </w:tcPr>
          <w:p>
            <w:pPr>
              <w:pStyle w:val="TableTextExample"/>
              <w:jc w:val="left"/>
            </w:pPr>
            <w:r/>
            <w:r>
              <w:t>Task-specific scaffold, birdcage and special-purpose access provided by this package at its own cost</w:t>
            </w:r>
          </w:p>
        </w:tc>
      </w:tr>
      <w:tr>
        <w:trPr>
          <w:cantSplit w:val="true"/>
        </w:trPr>
        <w:tc>
          <w:tcPr>
            <w:tcW w:w="2267" w:type="dxa"/>
            <w:vAlign w:val="center"/>
          </w:tcPr>
          <w:p>
            <w:pPr>
              <w:pStyle w:val="TableTextExample"/>
              <w:jc w:val="left"/>
            </w:pPr>
            <w:r/>
            <w:r>
              <w:t>Hoists and material handling</w:t>
            </w:r>
          </w:p>
        </w:tc>
        <w:tc>
          <w:tcPr>
            <w:tcW w:w="1360" w:type="dxa"/>
            <w:vAlign w:val="center"/>
          </w:tcPr>
          <w:p>
            <w:pPr>
              <w:pStyle w:val="TableTextExample"/>
              <w:jc w:val="left"/>
            </w:pPr>
            <w:r/>
            <w:r>
              <w:t>Head contractor</w:t>
            </w:r>
          </w:p>
        </w:tc>
        <w:tc>
          <w:tcPr>
            <w:tcW w:w="3174" w:type="dxa"/>
            <w:vAlign w:val="center"/>
          </w:tcPr>
          <w:p>
            <w:pPr>
              <w:pStyle w:val="TableTextExample"/>
              <w:jc w:val="left"/>
            </w:pPr>
            <w:r/>
            <w:r>
              <w:t>One goods hoist, shared, to a published timetable</w:t>
            </w:r>
          </w:p>
        </w:tc>
        <w:tc>
          <w:tcPr>
            <w:tcW w:w="2837" w:type="dxa"/>
            <w:vAlign w:val="center"/>
          </w:tcPr>
          <w:p>
            <w:pPr>
              <w:pStyle w:val="TableTextExample"/>
              <w:jc w:val="left"/>
            </w:pPr>
            <w:r/>
            <w:r>
              <w:t>Additional hoisting or out-of-timetable use at this package's cost</w:t>
            </w:r>
          </w:p>
        </w:tc>
      </w:tr>
      <w:tr>
        <w:trPr>
          <w:cantSplit w:val="true"/>
        </w:trPr>
        <w:tc>
          <w:tcPr>
            <w:tcW w:w="2267" w:type="dxa"/>
            <w:vAlign w:val="center"/>
          </w:tcPr>
          <w:p>
            <w:pPr>
              <w:pStyle w:val="TableTextExample"/>
              <w:jc w:val="left"/>
            </w:pPr>
            <w:r/>
            <w:r>
              <w:t>Temporary power, lighting, water and compressed air</w:t>
            </w:r>
          </w:p>
        </w:tc>
        <w:tc>
          <w:tcPr>
            <w:tcW w:w="1360" w:type="dxa"/>
            <w:vAlign w:val="center"/>
          </w:tcPr>
          <w:p>
            <w:pPr>
              <w:pStyle w:val="TableTextExample"/>
              <w:jc w:val="left"/>
            </w:pPr>
            <w:r/>
            <w:r>
              <w:t>Head contractor</w:t>
            </w:r>
          </w:p>
        </w:tc>
        <w:tc>
          <w:tcPr>
            <w:tcW w:w="3174" w:type="dxa"/>
            <w:vAlign w:val="center"/>
          </w:tcPr>
          <w:p>
            <w:pPr>
              <w:pStyle w:val="TableTextExample"/>
              <w:jc w:val="left"/>
            </w:pPr>
            <w:r/>
            <w:r>
              <w:t>Distribution boards at each level and standing lighting to circulation routes</w:t>
            </w:r>
          </w:p>
        </w:tc>
        <w:tc>
          <w:tcPr>
            <w:tcW w:w="2837" w:type="dxa"/>
            <w:vAlign w:val="center"/>
          </w:tcPr>
          <w:p>
            <w:pPr>
              <w:pStyle w:val="TableTextExample"/>
              <w:jc w:val="left"/>
            </w:pPr>
            <w:r/>
            <w:r>
              <w:t>Final connection, leads, task lighting and any three-phase supply by this package</w:t>
            </w:r>
          </w:p>
        </w:tc>
      </w:tr>
      <w:tr>
        <w:trPr>
          <w:cantSplit w:val="true"/>
        </w:trPr>
        <w:tc>
          <w:tcPr>
            <w:tcW w:w="2267" w:type="dxa"/>
            <w:vAlign w:val="center"/>
          </w:tcPr>
          <w:p>
            <w:pPr>
              <w:pStyle w:val="TableTextExample"/>
              <w:jc w:val="left"/>
            </w:pPr>
            <w:r/>
            <w:r>
              <w:t>Set-out control, gridlines and level datum</w:t>
            </w:r>
          </w:p>
        </w:tc>
        <w:tc>
          <w:tcPr>
            <w:tcW w:w="1360" w:type="dxa"/>
            <w:vAlign w:val="center"/>
          </w:tcPr>
          <w:p>
            <w:pPr>
              <w:pStyle w:val="TableTextExample"/>
              <w:jc w:val="left"/>
            </w:pPr>
            <w:r/>
            <w:r>
              <w:t>Head contractor</w:t>
            </w:r>
          </w:p>
        </w:tc>
        <w:tc>
          <w:tcPr>
            <w:tcW w:w="3174" w:type="dxa"/>
            <w:vAlign w:val="center"/>
          </w:tcPr>
          <w:p>
            <w:pPr>
              <w:pStyle w:val="TableTextExample"/>
              <w:jc w:val="left"/>
            </w:pPr>
            <w:r/>
            <w:r>
              <w:t>Primary control network and permanent survey marks, verified monthly</w:t>
            </w:r>
          </w:p>
        </w:tc>
        <w:tc>
          <w:tcPr>
            <w:tcW w:w="2837" w:type="dxa"/>
            <w:vAlign w:val="center"/>
          </w:tcPr>
          <w:p>
            <w:pPr>
              <w:pStyle w:val="TableTextExample"/>
              <w:jc w:val="left"/>
            </w:pPr>
            <w:r/>
            <w:r>
              <w:t>All secondary and detailed set-out by this package — see Section 9.4</w:t>
            </w:r>
          </w:p>
        </w:tc>
      </w:tr>
      <w:tr>
        <w:trPr>
          <w:cantSplit w:val="true"/>
        </w:trPr>
        <w:tc>
          <w:tcPr>
            <w:tcW w:w="2267" w:type="dxa"/>
            <w:vAlign w:val="center"/>
          </w:tcPr>
          <w:p>
            <w:pPr>
              <w:pStyle w:val="TableTextExample"/>
              <w:jc w:val="left"/>
            </w:pPr>
            <w:r/>
            <w:r>
              <w:t>Cleaning of common areas and waste removal</w:t>
            </w:r>
          </w:p>
        </w:tc>
        <w:tc>
          <w:tcPr>
            <w:tcW w:w="1360" w:type="dxa"/>
            <w:vAlign w:val="center"/>
          </w:tcPr>
          <w:p>
            <w:pPr>
              <w:pStyle w:val="TableTextExample"/>
              <w:jc w:val="left"/>
            </w:pPr>
            <w:r/>
            <w:r>
              <w:t>Head contractor</w:t>
            </w:r>
          </w:p>
        </w:tc>
        <w:tc>
          <w:tcPr>
            <w:tcW w:w="3174" w:type="dxa"/>
            <w:vAlign w:val="center"/>
          </w:tcPr>
          <w:p>
            <w:pPr>
              <w:pStyle w:val="TableTextExample"/>
              <w:jc w:val="left"/>
            </w:pPr>
            <w:r/>
            <w:r>
              <w:t>Common area cleaning and dumpster bins with segregated streams</w:t>
            </w:r>
          </w:p>
        </w:tc>
        <w:tc>
          <w:tcPr>
            <w:tcW w:w="2837" w:type="dxa"/>
            <w:vAlign w:val="center"/>
          </w:tcPr>
          <w:p>
            <w:pPr>
              <w:pStyle w:val="TableTextExample"/>
              <w:jc w:val="left"/>
            </w:pPr>
            <w:r/>
            <w:r>
              <w:t>Removal of this package's waste to the bins, and any specialty or hazardous waste stream</w:t>
            </w:r>
          </w:p>
        </w:tc>
      </w:tr>
      <w:tr>
        <w:trPr>
          <w:cantSplit w:val="true"/>
        </w:trPr>
        <w:tc>
          <w:tcPr>
            <w:tcW w:w="2267" w:type="dxa"/>
            <w:vAlign w:val="center"/>
          </w:tcPr>
          <w:p>
            <w:pPr>
              <w:pStyle w:val="TableText"/>
              <w:jc w:val="left"/>
            </w:pPr>
            <w:r/>
          </w:p>
        </w:tc>
        <w:tc>
          <w:tcPr>
            <w:tcW w:w="1360" w:type="dxa"/>
            <w:vAlign w:val="center"/>
          </w:tcPr>
          <w:p>
            <w:pPr>
              <w:pStyle w:val="TableText"/>
              <w:jc w:val="left"/>
            </w:pPr>
            <w:r/>
          </w:p>
        </w:tc>
        <w:tc>
          <w:tcPr>
            <w:tcW w:w="3174" w:type="dxa"/>
            <w:vAlign w:val="center"/>
          </w:tcPr>
          <w:p>
            <w:pPr>
              <w:pStyle w:val="TableText"/>
              <w:jc w:val="left"/>
            </w:pPr>
            <w:r/>
          </w:p>
        </w:tc>
        <w:tc>
          <w:tcPr>
            <w:tcW w:w="2837" w:type="dxa"/>
            <w:vAlign w:val="center"/>
          </w:tcPr>
          <w:p>
            <w:pPr>
              <w:pStyle w:val="TableText"/>
              <w:jc w:val="left"/>
            </w:pPr>
            <w:r/>
          </w:p>
        </w:tc>
      </w:tr>
      <w:tr>
        <w:trPr>
          <w:cantSplit w:val="true"/>
        </w:trPr>
        <w:tc>
          <w:tcPr>
            <w:tcW w:w="2267" w:type="dxa"/>
            <w:vAlign w:val="center"/>
          </w:tcPr>
          <w:p>
            <w:pPr>
              <w:pStyle w:val="TableText"/>
              <w:jc w:val="left"/>
            </w:pPr>
            <w:r/>
          </w:p>
        </w:tc>
        <w:tc>
          <w:tcPr>
            <w:tcW w:w="1360" w:type="dxa"/>
            <w:vAlign w:val="center"/>
          </w:tcPr>
          <w:p>
            <w:pPr>
              <w:pStyle w:val="TableText"/>
              <w:jc w:val="left"/>
            </w:pPr>
            <w:r/>
          </w:p>
        </w:tc>
        <w:tc>
          <w:tcPr>
            <w:tcW w:w="3174" w:type="dxa"/>
            <w:vAlign w:val="center"/>
          </w:tcPr>
          <w:p>
            <w:pPr>
              <w:pStyle w:val="TableText"/>
              <w:jc w:val="left"/>
            </w:pPr>
            <w:r/>
          </w:p>
        </w:tc>
        <w:tc>
          <w:tcPr>
            <w:tcW w:w="2837" w:type="dxa"/>
            <w:vAlign w:val="center"/>
          </w:tcPr>
          <w:p>
            <w:pPr>
              <w:pStyle w:val="TableText"/>
              <w:jc w:val="left"/>
            </w:pPr>
            <w:r/>
          </w:p>
        </w:tc>
      </w:tr>
    </w:tbl>
    <w:p>
      <w:pPr>
        <w:spacing w:before="0" w:after="0" w:line="60" w:lineRule="exact"/>
      </w:pPr>
    </w:p>
    <w:p>
      <w:pPr>
        <w:pStyle w:val="Heading2"/>
      </w:pPr>
      <w:bookmarkStart w:id="9031" w:name="_Toc90031"/>
      <w:r>
        <w:t>9.3 Builder's work in connection with services</w:t>
      </w:r>
      <w:bookmarkEnd w:id="9031"/>
    </w:p>
    <w:p>
      <w:pPr>
        <w:pStyle w:val="Body"/>
      </w:pPr>
      <w:r>
        <w:t>Builder's work is the classic gap. State the rule once and apply it everywhere: the party that requires a penetration marks it up and coordinates it; the party that forms the element forms the penetration; the party that passes through it seals and fire-stops it; and the party that damages a completed element makes it good.</w:t>
      </w:r>
    </w:p>
    <w:p>
      <w:pPr>
        <w:pStyle w:val="Note"/>
      </w:pPr>
      <w:r>
        <w:t>Example rows shown in gray italic — delete before use. A penetration that is not on the coordinated schedule by the date at Section 9.1 is formed at the cost of the party that failed to schedule it. State that date.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494"/>
        <w:gridCol w:w="1927"/>
        <w:gridCol w:w="2267"/>
        <w:gridCol w:w="1700"/>
        <w:gridCol w:w="1250"/>
      </w:tblGrid>
      <w:tr>
        <w:trPr>
          <w:tblHeader w:val="true"/>
          <w:cantSplit w:val="true"/>
        </w:trPr>
        <w:tc>
          <w:tcPr>
            <w:tcW w:w="2494" w:type="dxa"/>
            <w:shd w:val="clear" w:color="auto" w:fill="1D3245"/>
            <w:vAlign w:val="center"/>
          </w:tcPr>
          <w:p>
            <w:pPr>
              <w:pStyle w:val="TableHeader"/>
              <w:jc w:val="left"/>
            </w:pPr>
            <w:r/>
            <w:r>
              <w:t>Builder's work item</w:t>
            </w:r>
          </w:p>
        </w:tc>
        <w:tc>
          <w:tcPr>
            <w:tcW w:w="1927" w:type="dxa"/>
            <w:shd w:val="clear" w:color="auto" w:fill="1D3245"/>
            <w:vAlign w:val="center"/>
          </w:tcPr>
          <w:p>
            <w:pPr>
              <w:pStyle w:val="TableHeader"/>
              <w:jc w:val="left"/>
            </w:pPr>
            <w:r/>
            <w:r>
              <w:t>Marks up and coordinates</w:t>
            </w:r>
          </w:p>
        </w:tc>
        <w:tc>
          <w:tcPr>
            <w:tcW w:w="2267" w:type="dxa"/>
            <w:shd w:val="clear" w:color="auto" w:fill="1D3245"/>
            <w:vAlign w:val="center"/>
          </w:tcPr>
          <w:p>
            <w:pPr>
              <w:pStyle w:val="TableHeader"/>
              <w:jc w:val="left"/>
            </w:pPr>
            <w:r/>
            <w:r>
              <w:t>Forms</w:t>
            </w:r>
          </w:p>
        </w:tc>
        <w:tc>
          <w:tcPr>
            <w:tcW w:w="1700" w:type="dxa"/>
            <w:shd w:val="clear" w:color="auto" w:fill="1D3245"/>
            <w:vAlign w:val="center"/>
          </w:tcPr>
          <w:p>
            <w:pPr>
              <w:pStyle w:val="TableHeader"/>
              <w:jc w:val="left"/>
            </w:pPr>
            <w:r/>
            <w:r>
              <w:t>Seals / fire-stops</w:t>
            </w:r>
          </w:p>
        </w:tc>
        <w:tc>
          <w:tcPr>
            <w:tcW w:w="1250" w:type="dxa"/>
            <w:shd w:val="clear" w:color="auto" w:fill="1D3245"/>
            <w:vAlign w:val="center"/>
          </w:tcPr>
          <w:p>
            <w:pPr>
              <w:pStyle w:val="TableHeader"/>
              <w:jc w:val="left"/>
            </w:pPr>
            <w:r/>
            <w:r>
              <w:t>Makes good</w:t>
            </w:r>
          </w:p>
        </w:tc>
      </w:tr>
      <w:tr>
        <w:trPr>
          <w:cantSplit w:val="true"/>
        </w:trPr>
        <w:tc>
          <w:tcPr>
            <w:tcW w:w="2494" w:type="dxa"/>
            <w:vAlign w:val="center"/>
          </w:tcPr>
          <w:p>
            <w:pPr>
              <w:pStyle w:val="TableTextExample"/>
              <w:jc w:val="left"/>
            </w:pPr>
            <w:r/>
            <w:r>
              <w:t>Penetrations through in-situ concrete walls and slabs</w:t>
            </w:r>
          </w:p>
        </w:tc>
        <w:tc>
          <w:tcPr>
            <w:tcW w:w="1927" w:type="dxa"/>
            <w:vAlign w:val="center"/>
          </w:tcPr>
          <w:p>
            <w:pPr>
              <w:pStyle w:val="TableTextExample"/>
              <w:jc w:val="left"/>
            </w:pPr>
            <w:r/>
            <w:r>
              <w:t>Services packages, on a coordinated penetration schedule</w:t>
            </w:r>
          </w:p>
        </w:tc>
        <w:tc>
          <w:tcPr>
            <w:tcW w:w="2267" w:type="dxa"/>
            <w:vAlign w:val="center"/>
          </w:tcPr>
          <w:p>
            <w:pPr>
              <w:pStyle w:val="TableTextExample"/>
              <w:jc w:val="left"/>
            </w:pPr>
            <w:r/>
            <w:r>
              <w:t>Concrete package, cast in — no post-drilling of structural elements without engineer's written approval</w:t>
            </w:r>
          </w:p>
        </w:tc>
        <w:tc>
          <w:tcPr>
            <w:tcW w:w="1700" w:type="dxa"/>
            <w:vAlign w:val="center"/>
          </w:tcPr>
          <w:p>
            <w:pPr>
              <w:pStyle w:val="TableTextExample"/>
              <w:jc w:val="left"/>
            </w:pPr>
            <w:r/>
            <w:r>
              <w:t>Fire services package for rated penetrations; services package otherwise</w:t>
            </w:r>
          </w:p>
        </w:tc>
        <w:tc>
          <w:tcPr>
            <w:tcW w:w="1250" w:type="dxa"/>
            <w:vAlign w:val="center"/>
          </w:tcPr>
          <w:p>
            <w:pPr>
              <w:pStyle w:val="TableTextExample"/>
              <w:jc w:val="left"/>
            </w:pPr>
            <w:r/>
            <w:r>
              <w:t>Party causing the damage</w:t>
            </w:r>
          </w:p>
        </w:tc>
      </w:tr>
      <w:tr>
        <w:trPr>
          <w:cantSplit w:val="true"/>
        </w:trPr>
        <w:tc>
          <w:tcPr>
            <w:tcW w:w="2494" w:type="dxa"/>
            <w:vAlign w:val="center"/>
          </w:tcPr>
          <w:p>
            <w:pPr>
              <w:pStyle w:val="TableTextExample"/>
              <w:jc w:val="left"/>
            </w:pPr>
            <w:r/>
            <w:r>
              <w:t>Penetrations through steel members</w:t>
            </w:r>
          </w:p>
        </w:tc>
        <w:tc>
          <w:tcPr>
            <w:tcW w:w="1927" w:type="dxa"/>
            <w:vAlign w:val="center"/>
          </w:tcPr>
          <w:p>
            <w:pPr>
              <w:pStyle w:val="TableTextExample"/>
              <w:jc w:val="left"/>
            </w:pPr>
            <w:r/>
            <w:r>
              <w:t>Services packages</w:t>
            </w:r>
          </w:p>
        </w:tc>
        <w:tc>
          <w:tcPr>
            <w:tcW w:w="2267" w:type="dxa"/>
            <w:vAlign w:val="center"/>
          </w:tcPr>
          <w:p>
            <w:pPr>
              <w:pStyle w:val="TableTextExample"/>
              <w:jc w:val="left"/>
            </w:pPr>
            <w:r/>
            <w:r>
              <w:t>Steel fabricator in the shop only; site cutting of steel is prohibited without written engineering approval</w:t>
            </w:r>
          </w:p>
        </w:tc>
        <w:tc>
          <w:tcPr>
            <w:tcW w:w="1700" w:type="dxa"/>
            <w:vAlign w:val="center"/>
          </w:tcPr>
          <w:p>
            <w:pPr>
              <w:pStyle w:val="TableTextExample"/>
              <w:jc w:val="left"/>
            </w:pPr>
            <w:r/>
            <w:r>
              <w:t>Services package</w:t>
            </w:r>
          </w:p>
        </w:tc>
        <w:tc>
          <w:tcPr>
            <w:tcW w:w="1250" w:type="dxa"/>
            <w:vAlign w:val="center"/>
          </w:tcPr>
          <w:p>
            <w:pPr>
              <w:pStyle w:val="TableTextExample"/>
              <w:jc w:val="left"/>
            </w:pPr>
            <w:r/>
            <w:r>
              <w:t>Steel package, at the cost of the party requiring the change</w:t>
            </w:r>
          </w:p>
        </w:tc>
      </w:tr>
      <w:tr>
        <w:trPr>
          <w:cantSplit w:val="true"/>
        </w:trPr>
        <w:tc>
          <w:tcPr>
            <w:tcW w:w="2494" w:type="dxa"/>
            <w:vAlign w:val="center"/>
          </w:tcPr>
          <w:p>
            <w:pPr>
              <w:pStyle w:val="TableTextExample"/>
              <w:jc w:val="left"/>
            </w:pPr>
            <w:r/>
            <w:r>
              <w:t>Plinths, bunds, pits and equipment bases</w:t>
            </w:r>
          </w:p>
        </w:tc>
        <w:tc>
          <w:tcPr>
            <w:tcW w:w="1927" w:type="dxa"/>
            <w:vAlign w:val="center"/>
          </w:tcPr>
          <w:p>
            <w:pPr>
              <w:pStyle w:val="TableTextExample"/>
              <w:jc w:val="left"/>
            </w:pPr>
            <w:r/>
            <w:r>
              <w:t>Mechanical and electrical packages</w:t>
            </w:r>
          </w:p>
        </w:tc>
        <w:tc>
          <w:tcPr>
            <w:tcW w:w="2267" w:type="dxa"/>
            <w:vAlign w:val="center"/>
          </w:tcPr>
          <w:p>
            <w:pPr>
              <w:pStyle w:val="TableTextExample"/>
              <w:jc w:val="left"/>
            </w:pPr>
            <w:r/>
            <w:r>
              <w:t>Concrete or partitions package</w:t>
            </w:r>
          </w:p>
        </w:tc>
        <w:tc>
          <w:tcPr>
            <w:tcW w:w="1700" w:type="dxa"/>
            <w:vAlign w:val="center"/>
          </w:tcPr>
          <w:p>
            <w:pPr>
              <w:pStyle w:val="TableTextExample"/>
              <w:jc w:val="left"/>
            </w:pPr>
            <w:r/>
            <w:r>
              <w:t>n/a</w:t>
            </w:r>
          </w:p>
        </w:tc>
        <w:tc>
          <w:tcPr>
            <w:tcW w:w="1250" w:type="dxa"/>
            <w:vAlign w:val="center"/>
          </w:tcPr>
          <w:p>
            <w:pPr>
              <w:pStyle w:val="TableTextExample"/>
              <w:jc w:val="left"/>
            </w:pPr>
            <w:r/>
            <w:r>
              <w:t>Party causing the damage</w:t>
            </w:r>
          </w:p>
        </w:tc>
      </w:tr>
      <w:tr>
        <w:trPr>
          <w:cantSplit w:val="true"/>
        </w:trPr>
        <w:tc>
          <w:tcPr>
            <w:tcW w:w="2494" w:type="dxa"/>
            <w:vAlign w:val="center"/>
          </w:tcPr>
          <w:p>
            <w:pPr>
              <w:pStyle w:val="TableTextExample"/>
              <w:jc w:val="left"/>
            </w:pPr>
            <w:r/>
            <w:r>
              <w:t>Access panels and ceiling access</w:t>
            </w:r>
          </w:p>
        </w:tc>
        <w:tc>
          <w:tcPr>
            <w:tcW w:w="1927" w:type="dxa"/>
            <w:vAlign w:val="center"/>
          </w:tcPr>
          <w:p>
            <w:pPr>
              <w:pStyle w:val="TableTextExample"/>
              <w:jc w:val="left"/>
            </w:pPr>
            <w:r/>
            <w:r>
              <w:t>Services packages, showing every maintainable item</w:t>
            </w:r>
          </w:p>
        </w:tc>
        <w:tc>
          <w:tcPr>
            <w:tcW w:w="2267" w:type="dxa"/>
            <w:vAlign w:val="center"/>
          </w:tcPr>
          <w:p>
            <w:pPr>
              <w:pStyle w:val="TableTextExample"/>
              <w:jc w:val="left"/>
            </w:pPr>
            <w:r/>
            <w:r>
              <w:t>Ceiling and partitions package</w:t>
            </w:r>
          </w:p>
        </w:tc>
        <w:tc>
          <w:tcPr>
            <w:tcW w:w="1700" w:type="dxa"/>
            <w:vAlign w:val="center"/>
          </w:tcPr>
          <w:p>
            <w:pPr>
              <w:pStyle w:val="TableTextExample"/>
              <w:jc w:val="left"/>
            </w:pPr>
            <w:r/>
            <w:r>
              <w:t>n/a</w:t>
            </w:r>
          </w:p>
        </w:tc>
        <w:tc>
          <w:tcPr>
            <w:tcW w:w="1250" w:type="dxa"/>
            <w:vAlign w:val="center"/>
          </w:tcPr>
          <w:p>
            <w:pPr>
              <w:pStyle w:val="TableTextExample"/>
              <w:jc w:val="left"/>
            </w:pPr>
            <w:r/>
            <w:r>
              <w:t>Ceiling package</w:t>
            </w:r>
          </w:p>
        </w:tc>
      </w:tr>
      <w:tr>
        <w:trPr>
          <w:cantSplit w:val="true"/>
        </w:trPr>
        <w:tc>
          <w:tcPr>
            <w:tcW w:w="2494" w:type="dxa"/>
            <w:vAlign w:val="center"/>
          </w:tcPr>
          <w:p>
            <w:pPr>
              <w:pStyle w:val="TableText"/>
              <w:jc w:val="left"/>
            </w:pPr>
            <w:r/>
          </w:p>
        </w:tc>
        <w:tc>
          <w:tcPr>
            <w:tcW w:w="1927" w:type="dxa"/>
            <w:vAlign w:val="center"/>
          </w:tcPr>
          <w:p>
            <w:pPr>
              <w:pStyle w:val="TableText"/>
              <w:jc w:val="left"/>
            </w:pPr>
            <w:r/>
          </w:p>
        </w:tc>
        <w:tc>
          <w:tcPr>
            <w:tcW w:w="2267" w:type="dxa"/>
            <w:vAlign w:val="center"/>
          </w:tcPr>
          <w:p>
            <w:pPr>
              <w:pStyle w:val="TableText"/>
              <w:jc w:val="left"/>
            </w:pPr>
            <w:r/>
          </w:p>
        </w:tc>
        <w:tc>
          <w:tcPr>
            <w:tcW w:w="1700" w:type="dxa"/>
            <w:vAlign w:val="center"/>
          </w:tcPr>
          <w:p>
            <w:pPr>
              <w:pStyle w:val="TableText"/>
              <w:jc w:val="left"/>
            </w:pPr>
            <w:r/>
          </w:p>
        </w:tc>
        <w:tc>
          <w:tcPr>
            <w:tcW w:w="1250" w:type="dxa"/>
            <w:vAlign w:val="center"/>
          </w:tcPr>
          <w:p>
            <w:pPr>
              <w:pStyle w:val="TableText"/>
              <w:jc w:val="left"/>
            </w:pPr>
            <w:r/>
          </w:p>
        </w:tc>
      </w:tr>
      <w:tr>
        <w:trPr>
          <w:cantSplit w:val="true"/>
        </w:trPr>
        <w:tc>
          <w:tcPr>
            <w:tcW w:w="2494" w:type="dxa"/>
            <w:vAlign w:val="center"/>
          </w:tcPr>
          <w:p>
            <w:pPr>
              <w:pStyle w:val="TableText"/>
              <w:jc w:val="left"/>
            </w:pPr>
            <w:r/>
          </w:p>
        </w:tc>
        <w:tc>
          <w:tcPr>
            <w:tcW w:w="1927" w:type="dxa"/>
            <w:vAlign w:val="center"/>
          </w:tcPr>
          <w:p>
            <w:pPr>
              <w:pStyle w:val="TableText"/>
              <w:jc w:val="left"/>
            </w:pPr>
            <w:r/>
          </w:p>
        </w:tc>
        <w:tc>
          <w:tcPr>
            <w:tcW w:w="2267" w:type="dxa"/>
            <w:vAlign w:val="center"/>
          </w:tcPr>
          <w:p>
            <w:pPr>
              <w:pStyle w:val="TableText"/>
              <w:jc w:val="left"/>
            </w:pPr>
            <w:r/>
          </w:p>
        </w:tc>
        <w:tc>
          <w:tcPr>
            <w:tcW w:w="1700" w:type="dxa"/>
            <w:vAlign w:val="center"/>
          </w:tcPr>
          <w:p>
            <w:pPr>
              <w:pStyle w:val="TableText"/>
              <w:jc w:val="left"/>
            </w:pPr>
            <w:r/>
          </w:p>
        </w:tc>
        <w:tc>
          <w:tcPr>
            <w:tcW w:w="1250" w:type="dxa"/>
            <w:vAlign w:val="center"/>
          </w:tcPr>
          <w:p>
            <w:pPr>
              <w:pStyle w:val="TableText"/>
              <w:jc w:val="left"/>
            </w:pPr>
            <w:r/>
          </w:p>
        </w:tc>
      </w:tr>
    </w:tbl>
    <w:p>
      <w:pPr>
        <w:spacing w:before="0" w:after="0" w:line="60" w:lineRule="exact"/>
      </w:pPr>
    </w:p>
    <w:p>
      <w:pPr>
        <w:pStyle w:val="Heading2"/>
      </w:pPr>
      <w:bookmarkStart w:id="9032" w:name="_Toc90032"/>
      <w:r>
        <w:t>9.4 Set-out responsibility and protection of completed works</w:t>
      </w:r>
      <w:bookmarkEnd w:id="9032"/>
    </w:p>
    <w:p>
      <w:pPr>
        <w:pStyle w:val="BodyBullet"/>
      </w:pPr>
      <w:r>
        <w:rPr>
          <w:color w:val="3480BC"/>
        </w:rPr>
        <w:t xml:space="preserve">—   </w:t>
      </w:r>
      <w:r>
        <w:t>Set-out. The head contractor establishes and maintains the primary survey control network, gridlines and level datum. Every package sets out its own work from that control, checks it before starting and reports any discrepancy immediately; a package that builds from unchecked control bears the cost of rectification.</w:t>
      </w:r>
    </w:p>
    <w:p>
      <w:pPr>
        <w:pStyle w:val="BodyBullet"/>
      </w:pPr>
      <w:r>
        <w:rPr>
          <w:color w:val="3480BC"/>
        </w:rPr>
        <w:t xml:space="preserve">—   </w:t>
      </w:r>
      <w:r>
        <w:t>Independent verification. Set-out of the retainage wall, the pile positions, the holding-down bolts and the facade grid is verified by a registered surveyor before the associated work proceeds; the survey is a submittal at Section 14.</w:t>
      </w:r>
    </w:p>
    <w:p>
      <w:pPr>
        <w:pStyle w:val="BodyBullet"/>
      </w:pPr>
      <w:r>
        <w:rPr>
          <w:color w:val="3480BC"/>
        </w:rPr>
        <w:t xml:space="preserve">—   </w:t>
      </w:r>
      <w:r>
        <w:t>Protection. Each package protects its own completed work until Substantial Completion, and the work of others it passes through, works above or works adjacent to — physical covering, exclusion, and any environmental control needed to preserve the work.</w:t>
      </w:r>
    </w:p>
    <w:p>
      <w:pPr>
        <w:pStyle w:val="BodyBullet"/>
      </w:pPr>
      <w:r>
        <w:rPr>
          <w:color w:val="3480BC"/>
        </w:rPr>
        <w:t xml:space="preserve">—   </w:t>
      </w:r>
      <w:r>
        <w:t>Damage. Damage to completed work is made good by the party that caused it, to the original standard, at its own cost, within the period at Section 12.5. Where the responsible party cannot be established the cost is apportioned between the packages with access to the area, as determined by the Owner's Representative.</w:t>
      </w:r>
    </w:p>
    <w:p>
      <w:pPr>
        <w:pStyle w:val="BodyBullet"/>
      </w:pPr>
      <w:r>
        <w:rPr>
          <w:color w:val="3480BC"/>
        </w:rPr>
        <w:t xml:space="preserve">—   </w:t>
      </w:r>
      <w:r>
        <w:t>Handover between packages is recorded on a joint inspection record listing the condition of the area and any pre-existing damage. An area accepted without a record is accepted as found.</w:t>
      </w:r>
    </w:p>
    <w:p>
      <w:pPr>
        <w:spacing w:before="0" w:after="0" w:line="80" w:lineRule="exact"/>
      </w:pPr>
    </w:p>
    <w:p>
      <w:pPr>
        <w:pStyle w:val="Heading2"/>
      </w:pPr>
      <w:bookmarkStart w:id="9033" w:name="_Toc90033"/>
      <w:r>
        <w:t>9.5 Coordination, clash detection and information management</w:t>
      </w:r>
      <w:bookmarkEnd w:id="9033"/>
    </w:p>
    <w:p>
      <w:pPr>
        <w:pStyle w:val="Body"/>
      </w:pPr>
      <w:r>
        <w:t>Coordination is a deliverable, not an attitude. State the process, the software-neutral exchange format, the frequency, and who chairs it, in accordance with ISO 19650-2 and the project Exchange Information Requirements.</w:t>
      </w:r>
    </w:p>
    <w:p>
      <w:pPr>
        <w:pStyle w:val="BodyBullet"/>
      </w:pPr>
      <w:r>
        <w:rPr>
          <w:color w:val="3480BC"/>
        </w:rPr>
        <w:t xml:space="preserve">—   </w:t>
      </w:r>
      <w:r>
        <w:t>The Contractor issues and receives information only through the common data environment established under ISO 19650-2. Information exchanged outside it has no contractual status. Models are issued in the native format and a neutral exchange format such as IFC, to the container convention at Section 5.3.</w:t>
      </w:r>
    </w:p>
    <w:p>
      <w:pPr>
        <w:pStyle w:val="BodyBullet"/>
      </w:pPr>
      <w:r>
        <w:rPr>
          <w:color w:val="3480BC"/>
        </w:rPr>
        <w:t xml:space="preserve">—   </w:t>
      </w:r>
      <w:r>
        <w:t>The Contractor attends a coordination and clash review at intervals of not more than [10] working days for the duration of the design and rough-in phases, chaired by [the Contractor's BIM coordinator], and resolves every clash assigned to it within [5] working days.</w:t>
      </w:r>
    </w:p>
    <w:p>
      <w:pPr>
        <w:pStyle w:val="BodyBullet"/>
      </w:pPr>
      <w:r>
        <w:rPr>
          <w:color w:val="3480BC"/>
        </w:rPr>
        <w:t xml:space="preserve">—   </w:t>
      </w:r>
      <w:r>
        <w:t>Clash detection is run on the federated model before each construction issue. A clash left unresolved at construction issue is not a change but a coordination failure, and the cost of resolving it on site is borne by the party that failed to resolve it in the model.</w:t>
      </w:r>
    </w:p>
    <w:p>
      <w:pPr>
        <w:pStyle w:val="BodyBullet"/>
      </w:pPr>
      <w:r>
        <w:rPr>
          <w:color w:val="3480BC"/>
        </w:rPr>
        <w:t xml:space="preserve">—   </w:t>
      </w:r>
      <w:r>
        <w:t>The Contractor maintains its models to record status and issues them as part of the handover data set required at Section 14.</w:t>
      </w:r>
    </w:p>
    <w:p>
      <w:pPr>
        <w:spacing w:before="0" w:after="0" w:line="80" w:lineRule="exact"/>
      </w:pPr>
    </w:p>
    <w:p>
      <w:pPr>
        <w:pStyle w:val="Heading1"/>
      </w:pPr>
      <w:bookmarkStart w:id="9034" w:name="_Toc90034"/>
      <w:r>
        <w:t>10. Site Conditions, Access and Constraints</w:t>
      </w:r>
      <w:bookmarkEnd w:id="9034"/>
    </w:p>
    <w:p>
      <w:pPr>
        <w:pStyle w:val="BodyLead"/>
      </w:pPr>
      <w:r>
        <w:t>Every constraint in this section has a price. State them all: a constraint stated before bid is a cost the market absorbs, and the same constraint discovered after award is a change. A bidder told the site is available 24 hours and finding otherwise is entitled to be paid the difference.</w:t>
      </w:r>
    </w:p>
    <w:p>
      <w:pPr>
        <w:pStyle w:val="Heading2"/>
      </w:pPr>
      <w:bookmarkStart w:id="9035" w:name="_Toc90035"/>
      <w:r>
        <w:t>10.1 Access, hours, laydown and lifting</w:t>
      </w:r>
      <w:bookmarkEnd w:id="9035"/>
    </w:p>
    <w:p>
      <w:pPr>
        <w:pStyle w:val="Note"/>
      </w:pPr>
      <w:r>
        <w:t>This table is a checklist of matters to state — replace each bracketed prompt with the project's actual requirement. Do not leave a prompt in an issued document.</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267"/>
        <w:gridCol w:w="7371"/>
      </w:tblGrid>
      <w:tr>
        <w:trPr>
          <w:tblHeader w:val="true"/>
          <w:cantSplit w:val="true"/>
        </w:trPr>
        <w:tc>
          <w:tcPr>
            <w:tcW w:w="2267" w:type="dxa"/>
            <w:shd w:val="clear" w:color="auto" w:fill="1D3245"/>
            <w:vAlign w:val="center"/>
          </w:tcPr>
          <w:p>
            <w:pPr>
              <w:pStyle w:val="TableHeader"/>
              <w:jc w:val="left"/>
            </w:pPr>
            <w:r/>
            <w:r>
              <w:t>Matter</w:t>
            </w:r>
          </w:p>
        </w:tc>
        <w:tc>
          <w:tcPr>
            <w:tcW w:w="7371" w:type="dxa"/>
            <w:shd w:val="clear" w:color="auto" w:fill="1D3245"/>
            <w:vAlign w:val="center"/>
          </w:tcPr>
          <w:p>
            <w:pPr>
              <w:pStyle w:val="TableHeader"/>
              <w:jc w:val="left"/>
            </w:pPr>
            <w:r/>
            <w:r>
              <w:t>Requirement</w:t>
            </w:r>
          </w:p>
        </w:tc>
      </w:tr>
      <w:tr>
        <w:trPr>
          <w:cantSplit w:val="true"/>
        </w:trPr>
        <w:tc>
          <w:tcPr>
            <w:tcW w:w="2267" w:type="dxa"/>
            <w:vAlign w:val="center"/>
          </w:tcPr>
          <w:p>
            <w:pPr>
              <w:pStyle w:val="TableText"/>
              <w:jc w:val="left"/>
            </w:pPr>
            <w:r/>
            <w:r>
              <w:t>Site access points</w:t>
            </w:r>
          </w:p>
        </w:tc>
        <w:tc>
          <w:tcPr>
            <w:tcW w:w="7371" w:type="dxa"/>
            <w:vAlign w:val="center"/>
          </w:tcPr>
          <w:p>
            <w:pPr>
              <w:pStyle w:val="TableText"/>
              <w:jc w:val="left"/>
            </w:pPr>
            <w:r/>
            <w:r>
              <w:t>[Insert each access point, its dimensions, permitted vehicle size and turning path, and whether it is shared with the Owner's operations — e.g. single access from Riverside Terrace, 4.2 m headroom; the ambulance route must remain clear.]</w:t>
            </w:r>
          </w:p>
        </w:tc>
      </w:tr>
      <w:tr>
        <w:trPr>
          <w:cantSplit w:val="true"/>
        </w:trPr>
        <w:tc>
          <w:tcPr>
            <w:tcW w:w="2267" w:type="dxa"/>
            <w:vAlign w:val="center"/>
          </w:tcPr>
          <w:p>
            <w:pPr>
              <w:pStyle w:val="TableText"/>
              <w:jc w:val="left"/>
            </w:pPr>
            <w:r/>
            <w:r>
              <w:t>Working hours</w:t>
            </w:r>
          </w:p>
        </w:tc>
        <w:tc>
          <w:tcPr>
            <w:tcW w:w="7371" w:type="dxa"/>
            <w:vAlign w:val="center"/>
          </w:tcPr>
          <w:p>
            <w:pPr>
              <w:pStyle w:val="TableText"/>
              <w:jc w:val="left"/>
            </w:pPr>
            <w:r/>
            <w:r>
              <w:t>[Insert permitted hours by activity and day type, and the notice and approval process for out-of-hours work. State separately any activity with tighter hours — piling, breaking, deliveries.]</w:t>
            </w:r>
          </w:p>
        </w:tc>
      </w:tr>
      <w:tr>
        <w:trPr>
          <w:cantSplit w:val="true"/>
        </w:trPr>
        <w:tc>
          <w:tcPr>
            <w:tcW w:w="2267" w:type="dxa"/>
            <w:vAlign w:val="center"/>
          </w:tcPr>
          <w:p>
            <w:pPr>
              <w:pStyle w:val="TableText"/>
              <w:jc w:val="left"/>
            </w:pPr>
            <w:r/>
            <w:r>
              <w:t>Laydown and site accommodation</w:t>
            </w:r>
          </w:p>
        </w:tc>
        <w:tc>
          <w:tcPr>
            <w:tcW w:w="7371" w:type="dxa"/>
            <w:vAlign w:val="center"/>
          </w:tcPr>
          <w:p>
            <w:pPr>
              <w:pStyle w:val="TableText"/>
              <w:jc w:val="left"/>
            </w:pPr>
            <w:r/>
            <w:r>
              <w:t>[Insert the area available, where it is, whether it is shared and whether it changes. Where there is none, say so — off-site storage is then included under Section 7.1.]</w:t>
            </w:r>
          </w:p>
        </w:tc>
      </w:tr>
      <w:tr>
        <w:trPr>
          <w:cantSplit w:val="true"/>
        </w:trPr>
        <w:tc>
          <w:tcPr>
            <w:tcW w:w="2267" w:type="dxa"/>
            <w:vAlign w:val="center"/>
          </w:tcPr>
          <w:p>
            <w:pPr>
              <w:pStyle w:val="TableText"/>
              <w:jc w:val="left"/>
            </w:pPr>
            <w:r/>
            <w:r>
              <w:t>Craneage, lifting and over-sail</w:t>
            </w:r>
          </w:p>
        </w:tc>
        <w:tc>
          <w:tcPr>
            <w:tcW w:w="7371" w:type="dxa"/>
            <w:vAlign w:val="center"/>
          </w:tcPr>
          <w:p>
            <w:pPr>
              <w:pStyle w:val="TableText"/>
              <w:jc w:val="left"/>
            </w:pPr>
            <w:r/>
            <w:r>
              <w:t>[Insert crane positions and capacities, over-sail limits and prohibited times, exclusion zones over occupied areas, and the process for elevators adjacent to live operations.]</w:t>
            </w:r>
          </w:p>
        </w:tc>
      </w:tr>
      <w:tr>
        <w:trPr>
          <w:cantSplit w:val="true"/>
        </w:trPr>
        <w:tc>
          <w:tcPr>
            <w:tcW w:w="2267" w:type="dxa"/>
            <w:vAlign w:val="center"/>
          </w:tcPr>
          <w:p>
            <w:pPr>
              <w:pStyle w:val="TableText"/>
              <w:jc w:val="left"/>
            </w:pPr>
            <w:r/>
            <w:r>
              <w:t>Deliveries</w:t>
            </w:r>
          </w:p>
        </w:tc>
        <w:tc>
          <w:tcPr>
            <w:tcW w:w="7371" w:type="dxa"/>
            <w:vAlign w:val="center"/>
          </w:tcPr>
          <w:p>
            <w:pPr>
              <w:pStyle w:val="TableText"/>
              <w:jc w:val="left"/>
            </w:pPr>
            <w:r/>
            <w:r>
              <w:t>[Insert the booking system, permitted windows, marshalling, and the consequence of an unbooked delivery.]</w:t>
            </w:r>
          </w:p>
        </w:tc>
      </w:tr>
      <w:tr>
        <w:trPr>
          <w:cantSplit w:val="true"/>
        </w:trPr>
        <w:tc>
          <w:tcPr>
            <w:tcW w:w="2267" w:type="dxa"/>
            <w:vAlign w:val="center"/>
          </w:tcPr>
          <w:p>
            <w:pPr>
              <w:pStyle w:val="TableText"/>
              <w:jc w:val="left"/>
            </w:pPr>
            <w:r/>
            <w:r>
              <w:t>Parking and workforce transport</w:t>
            </w:r>
          </w:p>
        </w:tc>
        <w:tc>
          <w:tcPr>
            <w:tcW w:w="7371" w:type="dxa"/>
            <w:vAlign w:val="center"/>
          </w:tcPr>
          <w:p>
            <w:pPr>
              <w:pStyle w:val="TableText"/>
              <w:jc w:val="left"/>
            </w:pPr>
            <w:r/>
            <w:r>
              <w:t>[Insert what is and is not available. Public and facility parking is usually not available to the workforce — say so.]</w:t>
            </w:r>
          </w:p>
        </w:tc>
      </w:tr>
    </w:tbl>
    <w:p>
      <w:pPr>
        <w:spacing w:before="0" w:after="0" w:line="60" w:lineRule="exact"/>
      </w:pPr>
    </w:p>
    <w:p>
      <w:pPr>
        <w:pStyle w:val="Heading2"/>
      </w:pPr>
      <w:bookmarkStart w:id="9036" w:name="_Toc90036"/>
      <w:r>
        <w:t>10.2 Existing services, differing site conditions and adjacent property</w:t>
      </w:r>
      <w:bookmarkEnd w:id="9036"/>
    </w:p>
    <w:p>
      <w:pPr>
        <w:pStyle w:val="BodyBullet"/>
      </w:pPr>
      <w:r>
        <w:rPr>
          <w:color w:val="3480BC"/>
        </w:rPr>
        <w:t xml:space="preserve">—   </w:t>
      </w:r>
      <w:r>
        <w:t>Existing services. The information at Section 5.4 is indicative. Before any ground disturbance the Contractor obtains current service records, carries out non-destructive location, and proves the position and depth of every service in the work area by hand or vacuum excavation. Mechanical excavation within [1.0] m of a proven service is prohibited.</w:t>
      </w:r>
    </w:p>
    <w:p>
      <w:pPr>
        <w:pStyle w:val="BodyBullet"/>
      </w:pPr>
      <w:r>
        <w:rPr>
          <w:color w:val="3480BC"/>
        </w:rPr>
        <w:t xml:space="preserve">—   </w:t>
      </w:r>
      <w:r>
        <w:t>Live services. Isolation, diversion or protection of a live service is carried out only under permit, by or on the authority of the asset owner, and only after the outage is agreed in writing. Outages affecting the operating facility require [20] working days' notice and may be canceled at short notice; the schedule must carry float for at least [two] cancellations.</w:t>
      </w:r>
    </w:p>
    <w:p>
      <w:pPr>
        <w:pStyle w:val="BodyBullet"/>
      </w:pPr>
      <w:r>
        <w:rPr>
          <w:color w:val="3480BC"/>
        </w:rPr>
        <w:t xml:space="preserve">—   </w:t>
      </w:r>
      <w:r>
        <w:t>Unidentified services. Where a service is found that is not on the records provided, work in the vicinity stops, the service is protected, and the Owner's Representative is notified in writing within [24] hours. Continuing without notifying forfeits any claim.</w:t>
      </w:r>
    </w:p>
    <w:p>
      <w:pPr>
        <w:pStyle w:val="BodyBullet"/>
      </w:pPr>
      <w:r>
        <w:rPr>
          <w:color w:val="3480BC"/>
        </w:rPr>
        <w:t xml:space="preserve">—   </w:t>
      </w:r>
      <w:r>
        <w:t>Differing site conditions. The allocation of differing site conditions risk sits in the General Conditions and is not varied by this scope. The obligations to inspect the site, examine the information provided and notify a suspected differing site condition within the contractual notice period are conditions precedent to any entitlement.</w:t>
      </w:r>
    </w:p>
    <w:p>
      <w:pPr>
        <w:pStyle w:val="BodyBullet"/>
      </w:pPr>
      <w:r>
        <w:rPr>
          <w:color w:val="3480BC"/>
        </w:rPr>
        <w:t xml:space="preserve">—   </w:t>
      </w:r>
      <w:r>
        <w:t>Adjacent property. A pre-condition survey of every adjoining property and of the Owner's retained buildings is carried out before any ground disturbance, jointly with the owner where access is granted, and issued as a submittal under Section 14. Access to, or support of, adjoining land requires the owner's written consent obtained through the Owner.</w:t>
      </w:r>
    </w:p>
    <w:p>
      <w:pPr>
        <w:pStyle w:val="BodyBullet"/>
      </w:pPr>
      <w:r>
        <w:rPr>
          <w:color w:val="3480BC"/>
        </w:rPr>
        <w:t xml:space="preserve">—   </w:t>
      </w:r>
      <w:r>
        <w:t>Monitoring. Structural, settlement and vibration monitoring of adjacent structures is installed and baselined before work begins, read at the frequency in the temporary works design and reported daily during excavation. Exceedance of a review trigger stops the associated work until the cause is established and a response accepted in writing.</w:t>
      </w:r>
    </w:p>
    <w:p>
      <w:pPr>
        <w:spacing w:before="0" w:after="0" w:line="80" w:lineRule="exact"/>
      </w:pPr>
    </w:p>
    <w:p>
      <w:pPr>
        <w:pStyle w:val="Heading2"/>
      </w:pPr>
      <w:bookmarkStart w:id="9037" w:name="_Toc90037"/>
      <w:r>
        <w:t>10.3 Live operations, heritage and environmental constraints</w:t>
      </w:r>
      <w:bookmarkEnd w:id="9037"/>
    </w:p>
    <w:p>
      <w:pPr>
        <w:pStyle w:val="Body"/>
      </w:pPr>
      <w:r>
        <w:t>Where the site adjoins or contains a functioning facility, the facility's operations take precedence over the construction schedule. Say so explicitly, and state the consequence, because a contractor cannot price around a constraint it discovers later.</w:t>
      </w:r>
    </w:p>
    <w:p>
      <w:pPr>
        <w:pStyle w:val="BodyBullet"/>
      </w:pPr>
      <w:r>
        <w:rPr>
          <w:color w:val="3480BC"/>
        </w:rPr>
        <w:t xml:space="preserve">—   </w:t>
      </w:r>
      <w:r>
        <w:t>Live-operations interface. The Work adjoin a functioning [hospital / school / transport facility / processing equipment] that remains in operation throughout, and its operational requirements take precedence. The Contractor must maintain at all times: occupant, staff and emergency vehicle access; the accessible path of travel; fire egress and fire systems coverage; and the continuity of essential services.</w:t>
      </w:r>
    </w:p>
    <w:p>
      <w:pPr>
        <w:pStyle w:val="BodyBullet"/>
      </w:pPr>
      <w:r>
        <w:rPr>
          <w:color w:val="3480BC"/>
        </w:rPr>
        <w:t xml:space="preserve">—   </w:t>
      </w:r>
      <w:r>
        <w:t>Infection control and dust. Works adjacent to occupied clinical areas require an infection-control risk assessment, negative-pressure containment where specified, sealed hoardings with a smoke-tested seal and HEPA filtration of extracted air. Breach of containment is a stop-work event.</w:t>
      </w:r>
    </w:p>
    <w:p>
      <w:pPr>
        <w:pStyle w:val="BodyBullet"/>
      </w:pPr>
      <w:r>
        <w:rPr>
          <w:color w:val="3480BC"/>
        </w:rPr>
        <w:t xml:space="preserve">—   </w:t>
      </w:r>
      <w:r>
        <w:t>Noise. Continuous noise at the nearest sensitive receiver must not exceed [insert dB(A) limit and measurement convention]; impact and tonal activities are restricted to [insert window]. Noise monitoring at [insert locations] is continuous and reported weekly.</w:t>
      </w:r>
    </w:p>
    <w:p>
      <w:pPr>
        <w:pStyle w:val="BodyBullet"/>
      </w:pPr>
      <w:r>
        <w:rPr>
          <w:color w:val="3480BC"/>
        </w:rPr>
        <w:t xml:space="preserve">—   </w:t>
      </w:r>
      <w:r>
        <w:t>Vibration. Peak particle velocity at the nearest structure must not exceed [2.5] mm/s during operating hours and [5.0] mm/s otherwise, with a review trigger at [1.5] mm/s. Imaging and theatre equipment has tighter limits — see the equipment schedule at Appendix C.</w:t>
      </w:r>
    </w:p>
    <w:p>
      <w:pPr>
        <w:pStyle w:val="BodyBullet"/>
      </w:pPr>
      <w:r>
        <w:rPr>
          <w:color w:val="3480BC"/>
        </w:rPr>
        <w:t xml:space="preserve">—   </w:t>
      </w:r>
      <w:r>
        <w:t>Heritage and environment. [Insert heritage fabric or archaeology present, protection measures, and the stop-work and notification procedure on an unexpected find.] Erosion and sediment control, stormwater protection, dust suppression, vegetation protection zones and spill containment apply throughout — see Section 13.2.</w:t>
      </w:r>
    </w:p>
    <w:p>
      <w:pPr>
        <w:pStyle w:val="BodyBullet"/>
      </w:pPr>
      <w:r>
        <w:rPr>
          <w:color w:val="3480BC"/>
        </w:rPr>
        <w:t xml:space="preserve">—   </w:t>
      </w:r>
      <w:r>
        <w:t>Traffic management. A traffic management plan prepared by a competent person is required before mobilization and is updated on each change to site access; a compliant accessible pedestrian route must be maintained around any public frontage at all times.</w:t>
      </w:r>
    </w:p>
    <w:p>
      <w:pPr>
        <w:pStyle w:val="BodyBullet"/>
      </w:pPr>
      <w:r>
        <w:rPr>
          <w:color w:val="3480BC"/>
        </w:rPr>
        <w:t xml:space="preserve">—   </w:t>
      </w:r>
      <w:r>
        <w:t>Security. Site security, access control, visitor management and protection of the Owner's assets and operations. Where the site adjoins a facility with its own security regime, the Contractor's regime must be compatible with it, not merely adequate.</w:t>
      </w:r>
    </w:p>
    <w:p>
      <w:pPr>
        <w:spacing w:before="0" w:after="0" w:line="80" w:lineRule="exact"/>
      </w:pPr>
    </w:p>
    <w:p>
      <w:pPr>
        <w:pStyle w:val="Heading2"/>
      </w:pPr>
      <w:bookmarkStart w:id="9038" w:name="_Toc90038"/>
      <w:r>
        <w:t>10.4 Constraint schedule</w:t>
      </w:r>
      <w:bookmarkEnd w:id="9038"/>
    </w:p>
    <w:p>
      <w:pPr>
        <w:pStyle w:val="Note"/>
      </w:pPr>
      <w:r>
        <w:t>Example rows shown in gray italic — delete before use. Every constraint that could stop work belongs in this table, with a consequence stated. A constraint without a consequence is advice, not a requirement.</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834"/>
        <w:gridCol w:w="3401"/>
        <w:gridCol w:w="3403"/>
      </w:tblGrid>
      <w:tr>
        <w:trPr>
          <w:tblHeader w:val="true"/>
          <w:cantSplit w:val="true"/>
        </w:trPr>
        <w:tc>
          <w:tcPr>
            <w:tcW w:w="2834" w:type="dxa"/>
            <w:shd w:val="clear" w:color="auto" w:fill="1D3245"/>
            <w:vAlign w:val="center"/>
          </w:tcPr>
          <w:p>
            <w:pPr>
              <w:pStyle w:val="TableHeader"/>
              <w:jc w:val="left"/>
            </w:pPr>
            <w:r/>
            <w:r>
              <w:t>Constraint</w:t>
            </w:r>
          </w:p>
        </w:tc>
        <w:tc>
          <w:tcPr>
            <w:tcW w:w="3401" w:type="dxa"/>
            <w:shd w:val="clear" w:color="auto" w:fill="1D3245"/>
            <w:vAlign w:val="center"/>
          </w:tcPr>
          <w:p>
            <w:pPr>
              <w:pStyle w:val="TableHeader"/>
              <w:jc w:val="left"/>
            </w:pPr>
            <w:r/>
            <w:r>
              <w:t>Requirement</w:t>
            </w:r>
          </w:p>
        </w:tc>
        <w:tc>
          <w:tcPr>
            <w:tcW w:w="3403" w:type="dxa"/>
            <w:shd w:val="clear" w:color="auto" w:fill="1D3245"/>
            <w:vAlign w:val="center"/>
          </w:tcPr>
          <w:p>
            <w:pPr>
              <w:pStyle w:val="TableHeader"/>
              <w:jc w:val="left"/>
            </w:pPr>
            <w:r/>
            <w:r>
              <w:t>Consequence if breached</w:t>
            </w:r>
          </w:p>
        </w:tc>
      </w:tr>
      <w:tr>
        <w:trPr>
          <w:cantSplit w:val="true"/>
        </w:trPr>
        <w:tc>
          <w:tcPr>
            <w:tcW w:w="2834" w:type="dxa"/>
            <w:vAlign w:val="center"/>
          </w:tcPr>
          <w:p>
            <w:pPr>
              <w:pStyle w:val="TableTextExample"/>
              <w:jc w:val="left"/>
            </w:pPr>
            <w:r/>
            <w:r>
              <w:t>No piling or impact activity 07:00-14:00 on theatre operating days (Monday, Wednesday, Friday)</w:t>
            </w:r>
          </w:p>
        </w:tc>
        <w:tc>
          <w:tcPr>
            <w:tcW w:w="3401" w:type="dxa"/>
            <w:vAlign w:val="center"/>
          </w:tcPr>
          <w:p>
            <w:pPr>
              <w:pStyle w:val="TableTextExample"/>
              <w:jc w:val="left"/>
            </w:pPr>
            <w:r/>
            <w:r>
              <w:t>Schedule the activity outside the window; confirm the theatre list with the Owner's facilities manager weekly</w:t>
            </w:r>
          </w:p>
        </w:tc>
        <w:tc>
          <w:tcPr>
            <w:tcW w:w="3403" w:type="dxa"/>
            <w:vAlign w:val="center"/>
          </w:tcPr>
          <w:p>
            <w:pPr>
              <w:pStyle w:val="TableTextExample"/>
              <w:jc w:val="left"/>
            </w:pPr>
            <w:r/>
            <w:r>
              <w:t>Immediate stop work; loss of theatre session is recoverable from the Contractor as a cost caused by breach, in addition to any delay being at the Contractor's risk</w:t>
            </w:r>
          </w:p>
        </w:tc>
      </w:tr>
      <w:tr>
        <w:trPr>
          <w:cantSplit w:val="true"/>
        </w:trPr>
        <w:tc>
          <w:tcPr>
            <w:tcW w:w="2834" w:type="dxa"/>
            <w:vAlign w:val="center"/>
          </w:tcPr>
          <w:p>
            <w:pPr>
              <w:pStyle w:val="TableTextExample"/>
              <w:jc w:val="left"/>
            </w:pPr>
            <w:r/>
            <w:r>
              <w:t>Vibration at Ward Block C ≤ 2.5 mm/s peak particle velocity during operating hours</w:t>
            </w:r>
          </w:p>
        </w:tc>
        <w:tc>
          <w:tcPr>
            <w:tcW w:w="3401" w:type="dxa"/>
            <w:vAlign w:val="center"/>
          </w:tcPr>
          <w:p>
            <w:pPr>
              <w:pStyle w:val="TableTextExample"/>
              <w:jc w:val="left"/>
            </w:pPr>
            <w:r/>
            <w:r>
              <w:t>Continuous monitoring with an automatic alarm at the 1.5 mm/s review trigger; daily report to the Owner's Representative</w:t>
            </w:r>
          </w:p>
        </w:tc>
        <w:tc>
          <w:tcPr>
            <w:tcW w:w="3403" w:type="dxa"/>
            <w:vAlign w:val="center"/>
          </w:tcPr>
          <w:p>
            <w:pPr>
              <w:pStyle w:val="TableTextExample"/>
              <w:jc w:val="left"/>
            </w:pPr>
            <w:r/>
            <w:r>
              <w:t>Stop work until the method is revised and accepted in writing; any resulting delay is at the Contractor's risk</w:t>
            </w:r>
          </w:p>
        </w:tc>
      </w:tr>
      <w:tr>
        <w:trPr>
          <w:cantSplit w:val="true"/>
        </w:trPr>
        <w:tc>
          <w:tcPr>
            <w:tcW w:w="2834" w:type="dxa"/>
            <w:vAlign w:val="center"/>
          </w:tcPr>
          <w:p>
            <w:pPr>
              <w:pStyle w:val="TableTextExample"/>
              <w:jc w:val="left"/>
            </w:pPr>
            <w:r/>
            <w:r>
              <w:t>Ambulance route on Cardwell Street clear at all times</w:t>
            </w:r>
          </w:p>
        </w:tc>
        <w:tc>
          <w:tcPr>
            <w:tcW w:w="3401" w:type="dxa"/>
            <w:vAlign w:val="center"/>
          </w:tcPr>
          <w:p>
            <w:pPr>
              <w:pStyle w:val="TableTextExample"/>
              <w:jc w:val="left"/>
            </w:pPr>
            <w:r/>
            <w:r>
              <w:t>No equipment, delivery, laydown or perimeter fence encroachment; marshal every delivery</w:t>
            </w:r>
          </w:p>
        </w:tc>
        <w:tc>
          <w:tcPr>
            <w:tcW w:w="3403" w:type="dxa"/>
            <w:vAlign w:val="center"/>
          </w:tcPr>
          <w:p>
            <w:pPr>
              <w:pStyle w:val="TableTextExample"/>
              <w:jc w:val="left"/>
            </w:pPr>
            <w:r/>
            <w:r>
              <w:t>Stop work; the Owner may remove the obstruction at the Contractor's cost</w:t>
            </w:r>
          </w:p>
        </w:tc>
      </w:tr>
      <w:tr>
        <w:trPr>
          <w:cantSplit w:val="true"/>
        </w:trPr>
        <w:tc>
          <w:tcPr>
            <w:tcW w:w="2834" w:type="dxa"/>
            <w:vAlign w:val="center"/>
          </w:tcPr>
          <w:p>
            <w:pPr>
              <w:pStyle w:val="TableTextExample"/>
              <w:jc w:val="left"/>
            </w:pPr>
            <w:r/>
            <w:r>
              <w:t>Crane over-sail of the occupied Ward Block C prohibited</w:t>
            </w:r>
          </w:p>
        </w:tc>
        <w:tc>
          <w:tcPr>
            <w:tcW w:w="3401" w:type="dxa"/>
            <w:vAlign w:val="center"/>
          </w:tcPr>
          <w:p>
            <w:pPr>
              <w:pStyle w:val="TableTextExample"/>
              <w:jc w:val="left"/>
            </w:pPr>
            <w:r/>
            <w:r>
              <w:t>Configure elevators within the permitted arc; slew limiters set and verified weekly</w:t>
            </w:r>
          </w:p>
        </w:tc>
        <w:tc>
          <w:tcPr>
            <w:tcW w:w="3403" w:type="dxa"/>
            <w:vAlign w:val="center"/>
          </w:tcPr>
          <w:p>
            <w:pPr>
              <w:pStyle w:val="TableTextExample"/>
              <w:jc w:val="left"/>
            </w:pPr>
            <w:r/>
            <w:r>
              <w:t>Immediate suspension of crane operations pending re-verification</w:t>
            </w:r>
          </w:p>
        </w:tc>
      </w:tr>
      <w:tr>
        <w:trPr>
          <w:cantSplit w:val="true"/>
        </w:trPr>
        <w:tc>
          <w:tcPr>
            <w:tcW w:w="2834" w:type="dxa"/>
            <w:vAlign w:val="center"/>
          </w:tcPr>
          <w:p>
            <w:pPr>
              <w:pStyle w:val="TableText"/>
              <w:jc w:val="left"/>
            </w:pPr>
            <w:r/>
          </w:p>
        </w:tc>
        <w:tc>
          <w:tcPr>
            <w:tcW w:w="3401" w:type="dxa"/>
            <w:vAlign w:val="center"/>
          </w:tcPr>
          <w:p>
            <w:pPr>
              <w:pStyle w:val="TableText"/>
              <w:jc w:val="left"/>
            </w:pPr>
            <w:r/>
          </w:p>
        </w:tc>
        <w:tc>
          <w:tcPr>
            <w:tcW w:w="3403" w:type="dxa"/>
            <w:vAlign w:val="center"/>
          </w:tcPr>
          <w:p>
            <w:pPr>
              <w:pStyle w:val="TableText"/>
              <w:jc w:val="left"/>
            </w:pPr>
            <w:r/>
          </w:p>
        </w:tc>
      </w:tr>
      <w:tr>
        <w:trPr>
          <w:cantSplit w:val="true"/>
        </w:trPr>
        <w:tc>
          <w:tcPr>
            <w:tcW w:w="2834" w:type="dxa"/>
            <w:vAlign w:val="center"/>
          </w:tcPr>
          <w:p>
            <w:pPr>
              <w:pStyle w:val="TableText"/>
              <w:jc w:val="left"/>
            </w:pPr>
            <w:r/>
          </w:p>
        </w:tc>
        <w:tc>
          <w:tcPr>
            <w:tcW w:w="3401" w:type="dxa"/>
            <w:vAlign w:val="center"/>
          </w:tcPr>
          <w:p>
            <w:pPr>
              <w:pStyle w:val="TableText"/>
              <w:jc w:val="left"/>
            </w:pPr>
            <w:r/>
          </w:p>
        </w:tc>
        <w:tc>
          <w:tcPr>
            <w:tcW w:w="3403" w:type="dxa"/>
            <w:vAlign w:val="center"/>
          </w:tcPr>
          <w:p>
            <w:pPr>
              <w:pStyle w:val="TableText"/>
              <w:jc w:val="left"/>
            </w:pPr>
            <w:r/>
          </w:p>
        </w:tc>
      </w:tr>
      <w:tr>
        <w:trPr>
          <w:cantSplit w:val="true"/>
        </w:trPr>
        <w:tc>
          <w:tcPr>
            <w:tcW w:w="2834" w:type="dxa"/>
            <w:vAlign w:val="center"/>
          </w:tcPr>
          <w:p>
            <w:pPr>
              <w:pStyle w:val="TableText"/>
              <w:jc w:val="left"/>
            </w:pPr>
            <w:r/>
          </w:p>
        </w:tc>
        <w:tc>
          <w:tcPr>
            <w:tcW w:w="3401" w:type="dxa"/>
            <w:vAlign w:val="center"/>
          </w:tcPr>
          <w:p>
            <w:pPr>
              <w:pStyle w:val="TableText"/>
              <w:jc w:val="left"/>
            </w:pPr>
            <w:r/>
          </w:p>
        </w:tc>
        <w:tc>
          <w:tcPr>
            <w:tcW w:w="3403" w:type="dxa"/>
            <w:vAlign w:val="center"/>
          </w:tcPr>
          <w:p>
            <w:pPr>
              <w:pStyle w:val="TableText"/>
              <w:jc w:val="left"/>
            </w:pPr>
            <w:r/>
          </w:p>
        </w:tc>
      </w:tr>
    </w:tbl>
    <w:p>
      <w:pPr>
        <w:spacing w:before="0" w:after="0" w:line="60" w:lineRule="exact"/>
      </w:pPr>
    </w:p>
    <w:p>
      <w:pPr>
        <w:pStyle w:val="Heading1"/>
      </w:pPr>
      <w:bookmarkStart w:id="9039" w:name="_Toc90039"/>
      <w:r>
        <w:t>11. Schedule and Sequencing Requirements</w:t>
      </w:r>
      <w:bookmarkEnd w:id="9039"/>
    </w:p>
    <w:p>
      <w:pPr>
        <w:pStyle w:val="BodyLead"/>
      </w:pPr>
      <w:r>
        <w:t>This section states the dates the Contractor must meet, the dates on which those obligations depend, and the schedule information the Contractor must produce so that progress can be measured. A milestone with no access date behind it is unenforceable; an access date with no milestone in front of it is meaningless.</w:t>
      </w:r>
    </w:p>
    <w:p>
      <w:pPr>
        <w:pStyle w:val="Heading2"/>
      </w:pPr>
      <w:bookmarkStart w:id="9040" w:name="_Toc90040"/>
      <w:r>
        <w:t>11.1 Milestones and access dates</w:t>
      </w:r>
      <w:bookmarkEnd w:id="9040"/>
    </w:p>
    <w:p>
      <w:pPr>
        <w:pStyle w:val="Note"/>
      </w:pPr>
      <w:r>
        <w:t>Example rows shown in gray italic — delete before use. Every milestone that carries liquidated damages must name the access, information or third-party event it depends on. Where that event is an obligation of the Owner or of another contractor, the date stated here is a contractual date and failure to meet it is a Owner risk event.</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040"/>
        <w:gridCol w:w="2664"/>
        <w:gridCol w:w="1360"/>
        <w:gridCol w:w="1417"/>
        <w:gridCol w:w="2157"/>
      </w:tblGrid>
      <w:tr>
        <w:trPr>
          <w:tblHeader w:val="true"/>
          <w:cantSplit w:val="true"/>
        </w:trPr>
        <w:tc>
          <w:tcPr>
            <w:tcW w:w="2040" w:type="dxa"/>
            <w:shd w:val="clear" w:color="auto" w:fill="1D3245"/>
            <w:vAlign w:val="center"/>
          </w:tcPr>
          <w:p>
            <w:pPr>
              <w:pStyle w:val="TableHeader"/>
              <w:jc w:val="left"/>
            </w:pPr>
            <w:r/>
            <w:r>
              <w:t>Milestone</w:t>
            </w:r>
          </w:p>
        </w:tc>
        <w:tc>
          <w:tcPr>
            <w:tcW w:w="2664" w:type="dxa"/>
            <w:shd w:val="clear" w:color="auto" w:fill="1D3245"/>
            <w:vAlign w:val="center"/>
          </w:tcPr>
          <w:p>
            <w:pPr>
              <w:pStyle w:val="TableHeader"/>
              <w:jc w:val="left"/>
            </w:pPr>
            <w:r/>
            <w:r>
              <w:t>Description</w:t>
            </w:r>
          </w:p>
        </w:tc>
        <w:tc>
          <w:tcPr>
            <w:tcW w:w="1360" w:type="dxa"/>
            <w:shd w:val="clear" w:color="auto" w:fill="1D3245"/>
            <w:vAlign w:val="center"/>
          </w:tcPr>
          <w:p>
            <w:pPr>
              <w:pStyle w:val="TableHeader"/>
              <w:jc w:val="center"/>
            </w:pPr>
            <w:r/>
            <w:r>
              <w:t>Date</w:t>
            </w:r>
          </w:p>
        </w:tc>
        <w:tc>
          <w:tcPr>
            <w:tcW w:w="1417" w:type="dxa"/>
            <w:shd w:val="clear" w:color="auto" w:fill="1D3245"/>
            <w:vAlign w:val="center"/>
          </w:tcPr>
          <w:p>
            <w:pPr>
              <w:pStyle w:val="TableHeader"/>
              <w:jc w:val="center"/>
            </w:pPr>
            <w:r/>
            <w:r>
              <w:t>Liquidated damages apply</w:t>
            </w:r>
          </w:p>
        </w:tc>
        <w:tc>
          <w:tcPr>
            <w:tcW w:w="2157" w:type="dxa"/>
            <w:shd w:val="clear" w:color="auto" w:fill="1D3245"/>
            <w:vAlign w:val="center"/>
          </w:tcPr>
          <w:p>
            <w:pPr>
              <w:pStyle w:val="TableHeader"/>
              <w:jc w:val="left"/>
            </w:pPr>
            <w:r/>
            <w:r>
              <w:t>Depends on access / event</w:t>
            </w:r>
          </w:p>
        </w:tc>
      </w:tr>
      <w:tr>
        <w:trPr>
          <w:cantSplit w:val="true"/>
        </w:trPr>
        <w:tc>
          <w:tcPr>
            <w:tcW w:w="2040" w:type="dxa"/>
            <w:vAlign w:val="center"/>
          </w:tcPr>
          <w:p>
            <w:pPr>
              <w:pStyle w:val="TableTextExample"/>
              <w:jc w:val="left"/>
            </w:pPr>
            <w:r/>
            <w:r>
              <w:t>M1 — Site possession</w:t>
            </w:r>
          </w:p>
        </w:tc>
        <w:tc>
          <w:tcPr>
            <w:tcW w:w="2664" w:type="dxa"/>
            <w:vAlign w:val="center"/>
          </w:tcPr>
          <w:p>
            <w:pPr>
              <w:pStyle w:val="TableTextExample"/>
              <w:jc w:val="left"/>
            </w:pPr>
            <w:r/>
            <w:r>
              <w:t>Contractor takes possession of the fenced site area shown on the site plan</w:t>
            </w:r>
          </w:p>
        </w:tc>
        <w:tc>
          <w:tcPr>
            <w:tcW w:w="1360" w:type="dxa"/>
            <w:vAlign w:val="center"/>
          </w:tcPr>
          <w:p>
            <w:pPr>
              <w:pStyle w:val="TableTextExample"/>
              <w:jc w:val="center"/>
            </w:pPr>
            <w:r/>
            <w:r>
              <w:t>[MM/DD/YY]</w:t>
            </w:r>
          </w:p>
        </w:tc>
        <w:tc>
          <w:tcPr>
            <w:tcW w:w="1417" w:type="dxa"/>
            <w:vAlign w:val="center"/>
          </w:tcPr>
          <w:p>
            <w:pPr>
              <w:pStyle w:val="TableTextExample"/>
              <w:jc w:val="center"/>
            </w:pPr>
            <w:r/>
            <w:r>
              <w:t>No</w:t>
            </w:r>
          </w:p>
        </w:tc>
        <w:tc>
          <w:tcPr>
            <w:tcW w:w="2157" w:type="dxa"/>
            <w:vAlign w:val="center"/>
          </w:tcPr>
          <w:p>
            <w:pPr>
              <w:pStyle w:val="TableTextExample"/>
              <w:jc w:val="left"/>
            </w:pPr>
            <w:r/>
            <w:r>
              <w:t>Owner to grant possession; demolition approval in force</w:t>
            </w:r>
          </w:p>
        </w:tc>
      </w:tr>
      <w:tr>
        <w:trPr>
          <w:cantSplit w:val="true"/>
        </w:trPr>
        <w:tc>
          <w:tcPr>
            <w:tcW w:w="2040" w:type="dxa"/>
            <w:vAlign w:val="center"/>
          </w:tcPr>
          <w:p>
            <w:pPr>
              <w:pStyle w:val="TableTextExample"/>
              <w:jc w:val="left"/>
            </w:pPr>
            <w:r/>
            <w:r>
              <w:t>M2 — Basement excavation complete to formation</w:t>
            </w:r>
          </w:p>
        </w:tc>
        <w:tc>
          <w:tcPr>
            <w:tcW w:w="2664" w:type="dxa"/>
            <w:vAlign w:val="center"/>
          </w:tcPr>
          <w:p>
            <w:pPr>
              <w:pStyle w:val="TableTextExample"/>
              <w:jc w:val="left"/>
            </w:pPr>
            <w:r/>
            <w:r>
              <w:t>Formation level accepted by the geotechnical engineer across the full footprint</w:t>
            </w:r>
          </w:p>
        </w:tc>
        <w:tc>
          <w:tcPr>
            <w:tcW w:w="1360" w:type="dxa"/>
            <w:vAlign w:val="center"/>
          </w:tcPr>
          <w:p>
            <w:pPr>
              <w:pStyle w:val="TableTextExample"/>
              <w:jc w:val="center"/>
            </w:pPr>
            <w:r/>
            <w:r>
              <w:t>[MM/DD/YY]</w:t>
            </w:r>
          </w:p>
        </w:tc>
        <w:tc>
          <w:tcPr>
            <w:tcW w:w="1417" w:type="dxa"/>
            <w:vAlign w:val="center"/>
          </w:tcPr>
          <w:p>
            <w:pPr>
              <w:pStyle w:val="TableTextExample"/>
              <w:jc w:val="center"/>
            </w:pPr>
            <w:r/>
            <w:r>
              <w:t>No</w:t>
            </w:r>
          </w:p>
        </w:tc>
        <w:tc>
          <w:tcPr>
            <w:tcW w:w="2157" w:type="dxa"/>
            <w:vAlign w:val="center"/>
          </w:tcPr>
          <w:p>
            <w:pPr>
              <w:pStyle w:val="TableTextExample"/>
              <w:jc w:val="left"/>
            </w:pPr>
            <w:r/>
            <w:r>
              <w:t>M1; service isolations agreed with the hospital</w:t>
            </w:r>
          </w:p>
        </w:tc>
      </w:tr>
      <w:tr>
        <w:trPr>
          <w:cantSplit w:val="true"/>
        </w:trPr>
        <w:tc>
          <w:tcPr>
            <w:tcW w:w="2040" w:type="dxa"/>
            <w:vAlign w:val="center"/>
          </w:tcPr>
          <w:p>
            <w:pPr>
              <w:pStyle w:val="TableTextExample"/>
              <w:jc w:val="left"/>
            </w:pPr>
            <w:r/>
            <w:r>
              <w:t>M3 — Substantial Completion, Separable Portion 1</w:t>
            </w:r>
          </w:p>
        </w:tc>
        <w:tc>
          <w:tcPr>
            <w:tcW w:w="2664" w:type="dxa"/>
            <w:vAlign w:val="center"/>
          </w:tcPr>
          <w:p>
            <w:pPr>
              <w:pStyle w:val="TableTextExample"/>
              <w:jc w:val="left"/>
            </w:pPr>
            <w:r/>
            <w:r>
              <w:t>Basement parking structure and central mechanical room complete, commissioned and available for use</w:t>
            </w:r>
          </w:p>
        </w:tc>
        <w:tc>
          <w:tcPr>
            <w:tcW w:w="1360" w:type="dxa"/>
            <w:vAlign w:val="center"/>
          </w:tcPr>
          <w:p>
            <w:pPr>
              <w:pStyle w:val="TableTextExample"/>
              <w:jc w:val="center"/>
            </w:pPr>
            <w:r/>
            <w:r>
              <w:t>[MM/DD/YY]</w:t>
            </w:r>
          </w:p>
        </w:tc>
        <w:tc>
          <w:tcPr>
            <w:tcW w:w="1417" w:type="dxa"/>
            <w:vAlign w:val="center"/>
          </w:tcPr>
          <w:p>
            <w:pPr>
              <w:pStyle w:val="TableTextExample"/>
              <w:jc w:val="center"/>
            </w:pPr>
            <w:r/>
            <w:r>
              <w:t>Yes — [CUR] [0,000] per day</w:t>
            </w:r>
          </w:p>
        </w:tc>
        <w:tc>
          <w:tcPr>
            <w:tcW w:w="2157" w:type="dxa"/>
            <w:vAlign w:val="center"/>
          </w:tcPr>
          <w:p>
            <w:pPr>
              <w:pStyle w:val="TableTextExample"/>
              <w:jc w:val="left"/>
            </w:pPr>
            <w:r/>
            <w:r>
              <w:t>Permanent power available; helipad lighting relocation complete (by others — Section 8)</w:t>
            </w:r>
          </w:p>
        </w:tc>
      </w:tr>
      <w:tr>
        <w:trPr>
          <w:cantSplit w:val="true"/>
        </w:trPr>
        <w:tc>
          <w:tcPr>
            <w:tcW w:w="2040" w:type="dxa"/>
            <w:vAlign w:val="center"/>
          </w:tcPr>
          <w:p>
            <w:pPr>
              <w:pStyle w:val="TableTextExample"/>
              <w:jc w:val="left"/>
            </w:pPr>
            <w:r/>
            <w:r>
              <w:t>M4 — Substantial Completion, Separable Portion 2</w:t>
            </w:r>
          </w:p>
        </w:tc>
        <w:tc>
          <w:tcPr>
            <w:tcW w:w="2664" w:type="dxa"/>
            <w:vAlign w:val="center"/>
          </w:tcPr>
          <w:p>
            <w:pPr>
              <w:pStyle w:val="TableTextExample"/>
              <w:jc w:val="left"/>
            </w:pPr>
            <w:r/>
            <w:r>
              <w:t>Acute Services Building Levels 1-3 complete, commissioned and available for clinical fit-up</w:t>
            </w:r>
          </w:p>
        </w:tc>
        <w:tc>
          <w:tcPr>
            <w:tcW w:w="1360" w:type="dxa"/>
            <w:vAlign w:val="center"/>
          </w:tcPr>
          <w:p>
            <w:pPr>
              <w:pStyle w:val="TableTextExample"/>
              <w:jc w:val="center"/>
            </w:pPr>
            <w:r/>
            <w:r>
              <w:t>[MM/DD/YY]</w:t>
            </w:r>
          </w:p>
        </w:tc>
        <w:tc>
          <w:tcPr>
            <w:tcW w:w="1417" w:type="dxa"/>
            <w:vAlign w:val="center"/>
          </w:tcPr>
          <w:p>
            <w:pPr>
              <w:pStyle w:val="TableTextExample"/>
              <w:jc w:val="center"/>
            </w:pPr>
            <w:r/>
            <w:r>
              <w:t>Yes — [CUR] [0,000] per day</w:t>
            </w:r>
          </w:p>
        </w:tc>
        <w:tc>
          <w:tcPr>
            <w:tcW w:w="2157" w:type="dxa"/>
            <w:vAlign w:val="center"/>
          </w:tcPr>
          <w:p>
            <w:pPr>
              <w:pStyle w:val="TableTextExample"/>
              <w:jc w:val="left"/>
            </w:pPr>
            <w:r/>
            <w:r>
              <w:t>M3; Owner-supplied imaging equipment delivered to site by [MM/DD/YY]</w:t>
            </w:r>
          </w:p>
        </w:tc>
      </w:tr>
      <w:tr>
        <w:trPr>
          <w:cantSplit w:val="true"/>
        </w:trPr>
        <w:tc>
          <w:tcPr>
            <w:tcW w:w="2040" w:type="dxa"/>
            <w:vAlign w:val="center"/>
          </w:tcPr>
          <w:p>
            <w:pPr>
              <w:pStyle w:val="TableTextExample"/>
              <w:jc w:val="left"/>
            </w:pPr>
            <w:r/>
            <w:r>
              <w:t>M5 — Substantial Completion, Separable Portion 3 (whole of works)</w:t>
            </w:r>
          </w:p>
        </w:tc>
        <w:tc>
          <w:tcPr>
            <w:tcW w:w="2664" w:type="dxa"/>
            <w:vAlign w:val="center"/>
          </w:tcPr>
          <w:p>
            <w:pPr>
              <w:pStyle w:val="TableTextExample"/>
              <w:jc w:val="left"/>
            </w:pPr>
            <w:r/>
            <w:r>
              <w:t>Levels 4-6, the link bridge and all external works complete and commissioned</w:t>
            </w:r>
          </w:p>
        </w:tc>
        <w:tc>
          <w:tcPr>
            <w:tcW w:w="1360" w:type="dxa"/>
            <w:vAlign w:val="center"/>
          </w:tcPr>
          <w:p>
            <w:pPr>
              <w:pStyle w:val="TableTextExample"/>
              <w:jc w:val="center"/>
            </w:pPr>
            <w:r/>
            <w:r>
              <w:t>[MM/DD/YY]</w:t>
            </w:r>
          </w:p>
        </w:tc>
        <w:tc>
          <w:tcPr>
            <w:tcW w:w="1417" w:type="dxa"/>
            <w:vAlign w:val="center"/>
          </w:tcPr>
          <w:p>
            <w:pPr>
              <w:pStyle w:val="TableTextExample"/>
              <w:jc w:val="center"/>
            </w:pPr>
            <w:r/>
            <w:r>
              <w:t>Yes — [CUR] [0,000] per day</w:t>
            </w:r>
          </w:p>
        </w:tc>
        <w:tc>
          <w:tcPr>
            <w:tcW w:w="2157" w:type="dxa"/>
            <w:vAlign w:val="center"/>
          </w:tcPr>
          <w:p>
            <w:pPr>
              <w:pStyle w:val="TableTextExample"/>
              <w:jc w:val="left"/>
            </w:pPr>
            <w:r/>
            <w:r>
              <w:t>M4; integrated systems test passed</w:t>
            </w:r>
          </w:p>
        </w:tc>
      </w:tr>
      <w:tr>
        <w:trPr>
          <w:cantSplit w:val="true"/>
        </w:trPr>
        <w:tc>
          <w:tcPr>
            <w:tcW w:w="2040" w:type="dxa"/>
            <w:vAlign w:val="center"/>
          </w:tcPr>
          <w:p>
            <w:pPr>
              <w:pStyle w:val="TableText"/>
              <w:jc w:val="left"/>
            </w:pPr>
            <w:r/>
          </w:p>
        </w:tc>
        <w:tc>
          <w:tcPr>
            <w:tcW w:w="2664" w:type="dxa"/>
            <w:vAlign w:val="center"/>
          </w:tcPr>
          <w:p>
            <w:pPr>
              <w:pStyle w:val="TableText"/>
              <w:jc w:val="left"/>
            </w:pPr>
            <w:r/>
          </w:p>
        </w:tc>
        <w:tc>
          <w:tcPr>
            <w:tcW w:w="1360" w:type="dxa"/>
            <w:vAlign w:val="center"/>
          </w:tcPr>
          <w:p>
            <w:pPr>
              <w:pStyle w:val="TableTextCentre"/>
              <w:jc w:val="center"/>
            </w:pPr>
            <w:r/>
          </w:p>
        </w:tc>
        <w:tc>
          <w:tcPr>
            <w:tcW w:w="1417" w:type="dxa"/>
            <w:vAlign w:val="center"/>
          </w:tcPr>
          <w:p>
            <w:pPr>
              <w:pStyle w:val="TableTextCentre"/>
              <w:jc w:val="center"/>
            </w:pPr>
            <w:r/>
          </w:p>
        </w:tc>
        <w:tc>
          <w:tcPr>
            <w:tcW w:w="2157" w:type="dxa"/>
            <w:vAlign w:val="center"/>
          </w:tcPr>
          <w:p>
            <w:pPr>
              <w:pStyle w:val="TableText"/>
              <w:jc w:val="left"/>
            </w:pPr>
            <w:r/>
          </w:p>
        </w:tc>
      </w:tr>
      <w:tr>
        <w:trPr>
          <w:cantSplit w:val="true"/>
        </w:trPr>
        <w:tc>
          <w:tcPr>
            <w:tcW w:w="2040" w:type="dxa"/>
            <w:vAlign w:val="center"/>
          </w:tcPr>
          <w:p>
            <w:pPr>
              <w:pStyle w:val="TableText"/>
              <w:jc w:val="left"/>
            </w:pPr>
            <w:r/>
          </w:p>
        </w:tc>
        <w:tc>
          <w:tcPr>
            <w:tcW w:w="2664" w:type="dxa"/>
            <w:vAlign w:val="center"/>
          </w:tcPr>
          <w:p>
            <w:pPr>
              <w:pStyle w:val="TableText"/>
              <w:jc w:val="left"/>
            </w:pPr>
            <w:r/>
          </w:p>
        </w:tc>
        <w:tc>
          <w:tcPr>
            <w:tcW w:w="1360" w:type="dxa"/>
            <w:vAlign w:val="center"/>
          </w:tcPr>
          <w:p>
            <w:pPr>
              <w:pStyle w:val="TableTextCentre"/>
              <w:jc w:val="center"/>
            </w:pPr>
            <w:r/>
          </w:p>
        </w:tc>
        <w:tc>
          <w:tcPr>
            <w:tcW w:w="1417" w:type="dxa"/>
            <w:vAlign w:val="center"/>
          </w:tcPr>
          <w:p>
            <w:pPr>
              <w:pStyle w:val="TableTextCentre"/>
              <w:jc w:val="center"/>
            </w:pPr>
            <w:r/>
          </w:p>
        </w:tc>
        <w:tc>
          <w:tcPr>
            <w:tcW w:w="2157" w:type="dxa"/>
            <w:vAlign w:val="center"/>
          </w:tcPr>
          <w:p>
            <w:pPr>
              <w:pStyle w:val="TableText"/>
              <w:jc w:val="left"/>
            </w:pPr>
            <w:r/>
          </w:p>
        </w:tc>
      </w:tr>
      <w:tr>
        <w:trPr>
          <w:cantSplit w:val="true"/>
        </w:trPr>
        <w:tc>
          <w:tcPr>
            <w:tcW w:w="2040" w:type="dxa"/>
            <w:vAlign w:val="center"/>
          </w:tcPr>
          <w:p>
            <w:pPr>
              <w:pStyle w:val="TableText"/>
              <w:jc w:val="left"/>
            </w:pPr>
            <w:r/>
          </w:p>
        </w:tc>
        <w:tc>
          <w:tcPr>
            <w:tcW w:w="2664" w:type="dxa"/>
            <w:vAlign w:val="center"/>
          </w:tcPr>
          <w:p>
            <w:pPr>
              <w:pStyle w:val="TableText"/>
              <w:jc w:val="left"/>
            </w:pPr>
            <w:r/>
          </w:p>
        </w:tc>
        <w:tc>
          <w:tcPr>
            <w:tcW w:w="1360" w:type="dxa"/>
            <w:vAlign w:val="center"/>
          </w:tcPr>
          <w:p>
            <w:pPr>
              <w:pStyle w:val="TableTextCentre"/>
              <w:jc w:val="center"/>
            </w:pPr>
            <w:r/>
          </w:p>
        </w:tc>
        <w:tc>
          <w:tcPr>
            <w:tcW w:w="1417" w:type="dxa"/>
            <w:vAlign w:val="center"/>
          </w:tcPr>
          <w:p>
            <w:pPr>
              <w:pStyle w:val="TableTextCentre"/>
              <w:jc w:val="center"/>
            </w:pPr>
            <w:r/>
          </w:p>
        </w:tc>
        <w:tc>
          <w:tcPr>
            <w:tcW w:w="2157" w:type="dxa"/>
            <w:vAlign w:val="center"/>
          </w:tcPr>
          <w:p>
            <w:pPr>
              <w:pStyle w:val="TableText"/>
              <w:jc w:val="left"/>
            </w:pPr>
            <w:r/>
          </w:p>
        </w:tc>
      </w:tr>
    </w:tbl>
    <w:p>
      <w:pPr>
        <w:spacing w:before="0" w:after="0" w:line="60" w:lineRule="exact"/>
      </w:pPr>
    </w:p>
    <w:p>
      <w:pPr>
        <w:pStyle w:val="Heading2"/>
      </w:pPr>
      <w:bookmarkStart w:id="9041" w:name="_Toc90041"/>
      <w:r>
        <w:t>11.2 Sequencing, staging and separable portions</w:t>
      </w:r>
      <w:bookmarkEnd w:id="9041"/>
    </w:p>
    <w:p>
      <w:pPr>
        <w:pStyle w:val="Body"/>
      </w:pPr>
      <w:r>
        <w:t>State the sequence only where it matters — prescribing a sequence transfers the risk of that sequence to the party who prescribed it. Where a sequence is imposed by an operational constraint rather than a preference, say which constraint drives it.</w:t>
      </w:r>
    </w:p>
    <w:p>
      <w:pPr>
        <w:pStyle w:val="Note"/>
      </w:pPr>
      <w:r>
        <w:t>Example rows shown in gray italic — delete before use. Each separable portion runs its own dates, damages and correction period. Where a separable portion is handed over into operation while adjacent work continues, state the protection, access, noise and infection-control obligations that then apply — those obligations are usually the real cost of staging.</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020"/>
        <w:gridCol w:w="3174"/>
        <w:gridCol w:w="1247"/>
        <w:gridCol w:w="1474"/>
        <w:gridCol w:w="1474"/>
        <w:gridCol w:w="1249"/>
      </w:tblGrid>
      <w:tr>
        <w:trPr>
          <w:tblHeader w:val="true"/>
          <w:cantSplit w:val="true"/>
        </w:trPr>
        <w:tc>
          <w:tcPr>
            <w:tcW w:w="1020" w:type="dxa"/>
            <w:shd w:val="clear" w:color="auto" w:fill="1D3245"/>
            <w:vAlign w:val="center"/>
          </w:tcPr>
          <w:p>
            <w:pPr>
              <w:pStyle w:val="TableHeader"/>
              <w:jc w:val="center"/>
            </w:pPr>
            <w:r/>
            <w:r>
              <w:t>Separable portion</w:t>
            </w:r>
          </w:p>
        </w:tc>
        <w:tc>
          <w:tcPr>
            <w:tcW w:w="3174" w:type="dxa"/>
            <w:shd w:val="clear" w:color="auto" w:fill="1D3245"/>
            <w:vAlign w:val="center"/>
          </w:tcPr>
          <w:p>
            <w:pPr>
              <w:pStyle w:val="TableHeader"/>
              <w:jc w:val="left"/>
            </w:pPr>
            <w:r/>
            <w:r>
              <w:t>Extent</w:t>
            </w:r>
          </w:p>
        </w:tc>
        <w:tc>
          <w:tcPr>
            <w:tcW w:w="1247" w:type="dxa"/>
            <w:shd w:val="clear" w:color="auto" w:fill="1D3245"/>
            <w:vAlign w:val="center"/>
          </w:tcPr>
          <w:p>
            <w:pPr>
              <w:pStyle w:val="TableHeader"/>
              <w:jc w:val="center"/>
            </w:pPr>
            <w:r/>
            <w:r>
              <w:t>Access date</w:t>
            </w:r>
          </w:p>
        </w:tc>
        <w:tc>
          <w:tcPr>
            <w:tcW w:w="1474" w:type="dxa"/>
            <w:shd w:val="clear" w:color="auto" w:fill="1D3245"/>
            <w:vAlign w:val="center"/>
          </w:tcPr>
          <w:p>
            <w:pPr>
              <w:pStyle w:val="TableHeader"/>
              <w:jc w:val="center"/>
            </w:pPr>
            <w:r/>
            <w:r>
              <w:t>Substantial Completion date</w:t>
            </w:r>
          </w:p>
        </w:tc>
        <w:tc>
          <w:tcPr>
            <w:tcW w:w="1474" w:type="dxa"/>
            <w:shd w:val="clear" w:color="auto" w:fill="1D3245"/>
            <w:vAlign w:val="center"/>
          </w:tcPr>
          <w:p>
            <w:pPr>
              <w:pStyle w:val="TableHeader"/>
              <w:jc w:val="left"/>
            </w:pPr>
            <w:r/>
            <w:r>
              <w:t>Correction period</w:t>
            </w:r>
          </w:p>
        </w:tc>
        <w:tc>
          <w:tcPr>
            <w:tcW w:w="1249" w:type="dxa"/>
            <w:shd w:val="clear" w:color="auto" w:fill="1D3245"/>
            <w:vAlign w:val="center"/>
          </w:tcPr>
          <w:p>
            <w:pPr>
              <w:pStyle w:val="TableHeader"/>
              <w:jc w:val="left"/>
            </w:pPr>
            <w:r/>
            <w:r>
              <w:t>Liquidated damages</w:t>
            </w:r>
          </w:p>
        </w:tc>
      </w:tr>
      <w:tr>
        <w:trPr>
          <w:cantSplit w:val="true"/>
        </w:trPr>
        <w:tc>
          <w:tcPr>
            <w:tcW w:w="1020" w:type="dxa"/>
            <w:vAlign w:val="center"/>
          </w:tcPr>
          <w:p>
            <w:pPr>
              <w:pStyle w:val="TableTextExample"/>
              <w:jc w:val="center"/>
            </w:pPr>
            <w:r/>
            <w:r>
              <w:t>SP1</w:t>
            </w:r>
          </w:p>
        </w:tc>
        <w:tc>
          <w:tcPr>
            <w:tcW w:w="3174" w:type="dxa"/>
            <w:vAlign w:val="center"/>
          </w:tcPr>
          <w:p>
            <w:pPr>
              <w:pStyle w:val="TableTextExample"/>
              <w:jc w:val="left"/>
            </w:pPr>
            <w:r/>
            <w:r>
              <w:t>Basement parking structure, central mechanical room, loading dock</w:t>
            </w:r>
          </w:p>
        </w:tc>
        <w:tc>
          <w:tcPr>
            <w:tcW w:w="1247" w:type="dxa"/>
            <w:vAlign w:val="center"/>
          </w:tcPr>
          <w:p>
            <w:pPr>
              <w:pStyle w:val="TableTextExample"/>
              <w:jc w:val="center"/>
            </w:pPr>
            <w:r/>
            <w:r>
              <w:t>[MM/DD/YY]</w:t>
            </w:r>
          </w:p>
        </w:tc>
        <w:tc>
          <w:tcPr>
            <w:tcW w:w="1474" w:type="dxa"/>
            <w:vAlign w:val="center"/>
          </w:tcPr>
          <w:p>
            <w:pPr>
              <w:pStyle w:val="TableTextExample"/>
              <w:jc w:val="center"/>
            </w:pPr>
            <w:r/>
            <w:r>
              <w:t>[MM/DD/YY]</w:t>
            </w:r>
          </w:p>
        </w:tc>
        <w:tc>
          <w:tcPr>
            <w:tcW w:w="1474" w:type="dxa"/>
            <w:vAlign w:val="center"/>
          </w:tcPr>
          <w:p>
            <w:pPr>
              <w:pStyle w:val="TableTextExample"/>
              <w:jc w:val="left"/>
            </w:pPr>
            <w:r/>
            <w:r>
              <w:t>12 months from PC of SP1</w:t>
            </w:r>
          </w:p>
        </w:tc>
        <w:tc>
          <w:tcPr>
            <w:tcW w:w="1249" w:type="dxa"/>
            <w:vAlign w:val="center"/>
          </w:tcPr>
          <w:p>
            <w:pPr>
              <w:pStyle w:val="TableTextExample"/>
              <w:jc w:val="left"/>
            </w:pPr>
            <w:r/>
            <w:r>
              <w:t>[CUR] [0,000] per day</w:t>
            </w:r>
          </w:p>
        </w:tc>
      </w:tr>
      <w:tr>
        <w:trPr>
          <w:cantSplit w:val="true"/>
        </w:trPr>
        <w:tc>
          <w:tcPr>
            <w:tcW w:w="1020" w:type="dxa"/>
            <w:vAlign w:val="center"/>
          </w:tcPr>
          <w:p>
            <w:pPr>
              <w:pStyle w:val="TableTextExample"/>
              <w:jc w:val="center"/>
            </w:pPr>
            <w:r/>
            <w:r>
              <w:t>SP2</w:t>
            </w:r>
          </w:p>
        </w:tc>
        <w:tc>
          <w:tcPr>
            <w:tcW w:w="3174" w:type="dxa"/>
            <w:vAlign w:val="center"/>
          </w:tcPr>
          <w:p>
            <w:pPr>
              <w:pStyle w:val="TableTextExample"/>
              <w:jc w:val="left"/>
            </w:pPr>
            <w:r/>
            <w:r>
              <w:t>Acute Services Building Levels 1-3 including imaging and day surgery</w:t>
            </w:r>
          </w:p>
        </w:tc>
        <w:tc>
          <w:tcPr>
            <w:tcW w:w="1247" w:type="dxa"/>
            <w:vAlign w:val="center"/>
          </w:tcPr>
          <w:p>
            <w:pPr>
              <w:pStyle w:val="TableTextExample"/>
              <w:jc w:val="center"/>
            </w:pPr>
            <w:r/>
            <w:r>
              <w:t>[MM/DD/YY]</w:t>
            </w:r>
          </w:p>
        </w:tc>
        <w:tc>
          <w:tcPr>
            <w:tcW w:w="1474" w:type="dxa"/>
            <w:vAlign w:val="center"/>
          </w:tcPr>
          <w:p>
            <w:pPr>
              <w:pStyle w:val="TableTextExample"/>
              <w:jc w:val="center"/>
            </w:pPr>
            <w:r/>
            <w:r>
              <w:t>[MM/DD/YY]</w:t>
            </w:r>
          </w:p>
        </w:tc>
        <w:tc>
          <w:tcPr>
            <w:tcW w:w="1474" w:type="dxa"/>
            <w:vAlign w:val="center"/>
          </w:tcPr>
          <w:p>
            <w:pPr>
              <w:pStyle w:val="TableTextExample"/>
              <w:jc w:val="left"/>
            </w:pPr>
            <w:r/>
            <w:r>
              <w:t>12 months from PC of SP2</w:t>
            </w:r>
          </w:p>
        </w:tc>
        <w:tc>
          <w:tcPr>
            <w:tcW w:w="1249" w:type="dxa"/>
            <w:vAlign w:val="center"/>
          </w:tcPr>
          <w:p>
            <w:pPr>
              <w:pStyle w:val="TableTextExample"/>
              <w:jc w:val="left"/>
            </w:pPr>
            <w:r/>
            <w:r>
              <w:t>[CUR] [0,000] per day</w:t>
            </w:r>
          </w:p>
        </w:tc>
      </w:tr>
      <w:tr>
        <w:trPr>
          <w:cantSplit w:val="true"/>
        </w:trPr>
        <w:tc>
          <w:tcPr>
            <w:tcW w:w="1020" w:type="dxa"/>
            <w:vAlign w:val="center"/>
          </w:tcPr>
          <w:p>
            <w:pPr>
              <w:pStyle w:val="TableTextCentre"/>
              <w:jc w:val="center"/>
            </w:pPr>
            <w:r/>
          </w:p>
        </w:tc>
        <w:tc>
          <w:tcPr>
            <w:tcW w:w="3174" w:type="dxa"/>
            <w:vAlign w:val="center"/>
          </w:tcPr>
          <w:p>
            <w:pPr>
              <w:pStyle w:val="TableText"/>
              <w:jc w:val="left"/>
            </w:pPr>
            <w:r/>
          </w:p>
        </w:tc>
        <w:tc>
          <w:tcPr>
            <w:tcW w:w="1247" w:type="dxa"/>
            <w:vAlign w:val="center"/>
          </w:tcPr>
          <w:p>
            <w:pPr>
              <w:pStyle w:val="TableTextCentre"/>
              <w:jc w:val="center"/>
            </w:pPr>
            <w:r/>
          </w:p>
        </w:tc>
        <w:tc>
          <w:tcPr>
            <w:tcW w:w="1474" w:type="dxa"/>
            <w:vAlign w:val="center"/>
          </w:tcPr>
          <w:p>
            <w:pPr>
              <w:pStyle w:val="TableTextCentre"/>
              <w:jc w:val="center"/>
            </w:pPr>
            <w:r/>
          </w:p>
        </w:tc>
        <w:tc>
          <w:tcPr>
            <w:tcW w:w="1474" w:type="dxa"/>
            <w:vAlign w:val="center"/>
          </w:tcPr>
          <w:p>
            <w:pPr>
              <w:pStyle w:val="TableText"/>
              <w:jc w:val="left"/>
            </w:pPr>
            <w:r/>
          </w:p>
        </w:tc>
        <w:tc>
          <w:tcPr>
            <w:tcW w:w="1249" w:type="dxa"/>
            <w:vAlign w:val="center"/>
          </w:tcPr>
          <w:p>
            <w:pPr>
              <w:pStyle w:val="TableText"/>
              <w:jc w:val="left"/>
            </w:pPr>
            <w:r/>
          </w:p>
        </w:tc>
      </w:tr>
      <w:tr>
        <w:trPr>
          <w:cantSplit w:val="true"/>
        </w:trPr>
        <w:tc>
          <w:tcPr>
            <w:tcW w:w="1020" w:type="dxa"/>
            <w:vAlign w:val="center"/>
          </w:tcPr>
          <w:p>
            <w:pPr>
              <w:pStyle w:val="TableTextCentre"/>
              <w:jc w:val="center"/>
            </w:pPr>
            <w:r/>
          </w:p>
        </w:tc>
        <w:tc>
          <w:tcPr>
            <w:tcW w:w="3174" w:type="dxa"/>
            <w:vAlign w:val="center"/>
          </w:tcPr>
          <w:p>
            <w:pPr>
              <w:pStyle w:val="TableText"/>
              <w:jc w:val="left"/>
            </w:pPr>
            <w:r/>
          </w:p>
        </w:tc>
        <w:tc>
          <w:tcPr>
            <w:tcW w:w="1247" w:type="dxa"/>
            <w:vAlign w:val="center"/>
          </w:tcPr>
          <w:p>
            <w:pPr>
              <w:pStyle w:val="TableTextCentre"/>
              <w:jc w:val="center"/>
            </w:pPr>
            <w:r/>
          </w:p>
        </w:tc>
        <w:tc>
          <w:tcPr>
            <w:tcW w:w="1474" w:type="dxa"/>
            <w:vAlign w:val="center"/>
          </w:tcPr>
          <w:p>
            <w:pPr>
              <w:pStyle w:val="TableTextCentre"/>
              <w:jc w:val="center"/>
            </w:pPr>
            <w:r/>
          </w:p>
        </w:tc>
        <w:tc>
          <w:tcPr>
            <w:tcW w:w="1474" w:type="dxa"/>
            <w:vAlign w:val="center"/>
          </w:tcPr>
          <w:p>
            <w:pPr>
              <w:pStyle w:val="TableText"/>
              <w:jc w:val="left"/>
            </w:pPr>
            <w:r/>
          </w:p>
        </w:tc>
        <w:tc>
          <w:tcPr>
            <w:tcW w:w="1249" w:type="dxa"/>
            <w:vAlign w:val="center"/>
          </w:tcPr>
          <w:p>
            <w:pPr>
              <w:pStyle w:val="TableText"/>
              <w:jc w:val="left"/>
            </w:pPr>
            <w:r/>
          </w:p>
        </w:tc>
      </w:tr>
      <w:tr>
        <w:trPr>
          <w:cantSplit w:val="true"/>
        </w:trPr>
        <w:tc>
          <w:tcPr>
            <w:tcW w:w="1020" w:type="dxa"/>
            <w:vAlign w:val="center"/>
          </w:tcPr>
          <w:p>
            <w:pPr>
              <w:pStyle w:val="TableTextCentre"/>
              <w:jc w:val="center"/>
            </w:pPr>
            <w:r/>
          </w:p>
        </w:tc>
        <w:tc>
          <w:tcPr>
            <w:tcW w:w="3174" w:type="dxa"/>
            <w:vAlign w:val="center"/>
          </w:tcPr>
          <w:p>
            <w:pPr>
              <w:pStyle w:val="TableText"/>
              <w:jc w:val="left"/>
            </w:pPr>
            <w:r/>
          </w:p>
        </w:tc>
        <w:tc>
          <w:tcPr>
            <w:tcW w:w="1247" w:type="dxa"/>
            <w:vAlign w:val="center"/>
          </w:tcPr>
          <w:p>
            <w:pPr>
              <w:pStyle w:val="TableTextCentre"/>
              <w:jc w:val="center"/>
            </w:pPr>
            <w:r/>
          </w:p>
        </w:tc>
        <w:tc>
          <w:tcPr>
            <w:tcW w:w="1474" w:type="dxa"/>
            <w:vAlign w:val="center"/>
          </w:tcPr>
          <w:p>
            <w:pPr>
              <w:pStyle w:val="TableTextCentre"/>
              <w:jc w:val="center"/>
            </w:pPr>
            <w:r/>
          </w:p>
        </w:tc>
        <w:tc>
          <w:tcPr>
            <w:tcW w:w="1474" w:type="dxa"/>
            <w:vAlign w:val="center"/>
          </w:tcPr>
          <w:p>
            <w:pPr>
              <w:pStyle w:val="TableText"/>
              <w:jc w:val="left"/>
            </w:pPr>
            <w:r/>
          </w:p>
        </w:tc>
        <w:tc>
          <w:tcPr>
            <w:tcW w:w="1249" w:type="dxa"/>
            <w:vAlign w:val="center"/>
          </w:tcPr>
          <w:p>
            <w:pPr>
              <w:pStyle w:val="TableText"/>
              <w:jc w:val="left"/>
            </w:pPr>
            <w:r/>
          </w:p>
        </w:tc>
      </w:tr>
    </w:tbl>
    <w:p>
      <w:pPr>
        <w:spacing w:before="0" w:after="0" w:line="60" w:lineRule="exact"/>
      </w:pPr>
    </w:p>
    <w:p>
      <w:pPr>
        <w:pStyle w:val="Body"/>
      </w:pPr>
      <w:r>
        <w:t>Sequencing requirements imposed on this project: [insert each imposed sequence, the constraint that drives it, and the consequence of departing from it. Example: the link bridge steel must be lifted in a single weekend closure of the Ward Block C forecourt, nominated at least 30 working days in advance and confirmed 10 working days in advance; only one closure is available.]</w:t>
      </w:r>
    </w:p>
    <w:p>
      <w:pPr>
        <w:pStyle w:val="Heading2"/>
      </w:pPr>
      <w:bookmarkStart w:id="9042" w:name="_Toc90042"/>
      <w:r>
        <w:t>11.3 Float ownership</w:t>
      </w:r>
      <w:bookmarkEnd w:id="9042"/>
    </w:p>
    <w:tbl>
      <w:tblPr>
        <w:tblLook w:firstColumn="1" w:firstRow="1" w:lastColumn="0" w:lastRow="0" w:noHBand="0" w:noVBand="1" w:val="04A0"/>
        <w:tblLayout w:type="fixed"/>
        <w:tblW w:w="9638" w:type="dxa"/>
        <w:tblInd w:w="0" w:type="dxa"/>
        <w:tblCellMar>
          <w:top w:w="110" w:type="dxa"/>
          <w:left w:w="170" w:type="dxa"/>
          <w:bottom w:w="110" w:type="dxa"/>
          <w:right w:w="170" w:type="dxa"/>
        </w:tblCellMar>
      </w:tblPr>
      <w:tblGrid>
        <w:gridCol w:w="9638"/>
      </w:tblGrid>
      <w:tr>
        <w:tc>
          <w:tcPr>
            <w:tcW w:w="9638" w:type="dxa"/>
            <w:shd w:val="clear" w:color="auto" w:fill="F6F9FC"/>
            <w:tcBorders>
              <w:left w:val="single" w:sz="4" w:space="0" w:color="3480BC"/>
            </w:tcBorders>
          </w:tcPr>
          <w:p>
            <w:pPr>
              <w:pStyle w:val="Body"/>
            </w:pPr>
            <w:r/>
            <w:r>
              <w:t>Float ownership.  Total float in the schedule belongs to the project and is available to whichever party first has need of it, unless the contract states otherwise. The Contractor may not sequester float by front-loading durations, by showing a completion date earlier than the contractual date without identifying the resulting terminal float separately, or by consuming float and then claiming an extension of the Contract Time for a subsequent Owner-risk event that would have been absorbed. Terminal float, if any, must be shown as a distinct activity in every schedule submission. Where the General Conditions deal with float expressly, the contract prevails over this paragraph.</w:t>
            </w:r>
          </w:p>
        </w:tc>
      </w:tr>
    </w:tbl>
    <w:p>
      <w:pPr>
        <w:spacing w:before="0" w:after="0" w:line="160" w:lineRule="exact"/>
      </w:pPr>
    </w:p>
    <w:p>
      <w:pPr>
        <w:pStyle w:val="Heading2"/>
      </w:pPr>
      <w:bookmarkStart w:id="9043" w:name="_Toc90043"/>
      <w:r>
        <w:t>11.4 Schedule submission, updating and progress reporting</w:t>
      </w:r>
      <w:bookmarkEnd w:id="9043"/>
    </w:p>
    <w:p>
      <w:pPr>
        <w:pStyle w:val="Note"/>
      </w:pPr>
      <w:r>
        <w:t>This table is a reference list — its rows are the content. Adjust the bracketed periods to the project and confirm they match the General Conditions; where they differ, the contract prevails.</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154"/>
        <w:gridCol w:w="7484"/>
      </w:tblGrid>
      <w:tr>
        <w:trPr>
          <w:tblHeader w:val="true"/>
          <w:cantSplit w:val="true"/>
        </w:trPr>
        <w:tc>
          <w:tcPr>
            <w:tcW w:w="2154" w:type="dxa"/>
            <w:shd w:val="clear" w:color="auto" w:fill="1D3245"/>
            <w:vAlign w:val="center"/>
          </w:tcPr>
          <w:p>
            <w:pPr>
              <w:pStyle w:val="TableHeader"/>
              <w:jc w:val="left"/>
            </w:pPr>
            <w:r/>
            <w:r>
              <w:t>Requirement</w:t>
            </w:r>
          </w:p>
        </w:tc>
        <w:tc>
          <w:tcPr>
            <w:tcW w:w="7484" w:type="dxa"/>
            <w:shd w:val="clear" w:color="auto" w:fill="1D3245"/>
            <w:vAlign w:val="center"/>
          </w:tcPr>
          <w:p>
            <w:pPr>
              <w:pStyle w:val="TableHeader"/>
              <w:jc w:val="left"/>
            </w:pPr>
            <w:r/>
            <w:r>
              <w:t>Detail</w:t>
            </w:r>
          </w:p>
        </w:tc>
      </w:tr>
      <w:tr>
        <w:trPr>
          <w:cantSplit w:val="true"/>
        </w:trPr>
        <w:tc>
          <w:tcPr>
            <w:tcW w:w="2154" w:type="dxa"/>
            <w:vAlign w:val="center"/>
          </w:tcPr>
          <w:p>
            <w:pPr>
              <w:pStyle w:val="TableText"/>
              <w:jc w:val="left"/>
            </w:pPr>
            <w:r/>
            <w:r>
              <w:t>Initial schedule</w:t>
            </w:r>
          </w:p>
        </w:tc>
        <w:tc>
          <w:tcPr>
            <w:tcW w:w="7484" w:type="dxa"/>
            <w:vAlign w:val="center"/>
          </w:tcPr>
          <w:p>
            <w:pPr>
              <w:pStyle w:val="TableText"/>
              <w:jc w:val="left"/>
            </w:pPr>
            <w:r/>
            <w:r>
              <w:t>Within [10] working days of award: a critical path method network, logic-linked, no open ends, no constraints other than the contractual access dates, no negative lag</w:t>
            </w:r>
          </w:p>
        </w:tc>
      </w:tr>
      <w:tr>
        <w:trPr>
          <w:cantSplit w:val="true"/>
        </w:trPr>
        <w:tc>
          <w:tcPr>
            <w:tcW w:w="2154" w:type="dxa"/>
            <w:vAlign w:val="center"/>
          </w:tcPr>
          <w:p>
            <w:pPr>
              <w:pStyle w:val="TableText"/>
              <w:jc w:val="left"/>
            </w:pPr>
            <w:r/>
            <w:r>
              <w:t>Format</w:t>
            </w:r>
          </w:p>
        </w:tc>
        <w:tc>
          <w:tcPr>
            <w:tcW w:w="7484" w:type="dxa"/>
            <w:vAlign w:val="center"/>
          </w:tcPr>
          <w:p>
            <w:pPr>
              <w:pStyle w:val="TableText"/>
              <w:jc w:val="left"/>
            </w:pPr>
            <w:r/>
            <w:r>
              <w:t>Software-neutral. Submitted in the native file, plus a neutral exchange format (XER, XML or MPP as agreed) and a PDF Gantt. The native file must be readable without proprietary macros</w:t>
            </w:r>
          </w:p>
        </w:tc>
      </w:tr>
      <w:tr>
        <w:trPr>
          <w:cantSplit w:val="true"/>
        </w:trPr>
        <w:tc>
          <w:tcPr>
            <w:tcW w:w="2154" w:type="dxa"/>
            <w:vAlign w:val="center"/>
          </w:tcPr>
          <w:p>
            <w:pPr>
              <w:pStyle w:val="TableText"/>
              <w:jc w:val="left"/>
            </w:pPr>
            <w:r/>
            <w:r>
              <w:t>Activity coding</w:t>
            </w:r>
          </w:p>
        </w:tc>
        <w:tc>
          <w:tcPr>
            <w:tcW w:w="7484" w:type="dxa"/>
            <w:vAlign w:val="center"/>
          </w:tcPr>
          <w:p>
            <w:pPr>
              <w:pStyle w:val="TableText"/>
              <w:jc w:val="left"/>
            </w:pPr>
            <w:r/>
            <w:r>
              <w:t>Coded by work breakdown element (Section 6.1), construction stage (6.2), separable portion, zone and responsible party. Durations not to exceed [15] working days except procurement and curing</w:t>
            </w:r>
          </w:p>
        </w:tc>
      </w:tr>
      <w:tr>
        <w:trPr>
          <w:cantSplit w:val="true"/>
        </w:trPr>
        <w:tc>
          <w:tcPr>
            <w:tcW w:w="2154" w:type="dxa"/>
            <w:vAlign w:val="center"/>
          </w:tcPr>
          <w:p>
            <w:pPr>
              <w:pStyle w:val="TableText"/>
              <w:jc w:val="left"/>
            </w:pPr>
            <w:r/>
            <w:r>
              <w:t>Resource loading</w:t>
            </w:r>
          </w:p>
        </w:tc>
        <w:tc>
          <w:tcPr>
            <w:tcW w:w="7484" w:type="dxa"/>
            <w:vAlign w:val="center"/>
          </w:tcPr>
          <w:p>
            <w:pPr>
              <w:pStyle w:val="TableText"/>
              <w:jc w:val="left"/>
            </w:pPr>
            <w:r/>
            <w:r>
              <w:t>Labor, key equipment and, where required, cost loaded, so that progress can be measured by earned value and so that a claim for disruption can be tested against the planned resource</w:t>
            </w:r>
          </w:p>
        </w:tc>
      </w:tr>
      <w:tr>
        <w:trPr>
          <w:cantSplit w:val="true"/>
        </w:trPr>
        <w:tc>
          <w:tcPr>
            <w:tcW w:w="2154" w:type="dxa"/>
            <w:vAlign w:val="center"/>
          </w:tcPr>
          <w:p>
            <w:pPr>
              <w:pStyle w:val="TableText"/>
              <w:jc w:val="left"/>
            </w:pPr>
            <w:r/>
            <w:r>
              <w:t>Update cycle</w:t>
            </w:r>
          </w:p>
        </w:tc>
        <w:tc>
          <w:tcPr>
            <w:tcW w:w="7484" w:type="dxa"/>
            <w:vAlign w:val="center"/>
          </w:tcPr>
          <w:p>
            <w:pPr>
              <w:pStyle w:val="TableText"/>
              <w:jc w:val="left"/>
            </w:pPr>
            <w:r/>
            <w:r>
              <w:t>Monthly, [5] working days before the progress meeting, showing actual start and finish dates, remaining duration, and the current critical path with float on each near-critical path</w:t>
            </w:r>
          </w:p>
        </w:tc>
      </w:tr>
      <w:tr>
        <w:trPr>
          <w:cantSplit w:val="true"/>
        </w:trPr>
        <w:tc>
          <w:tcPr>
            <w:tcW w:w="2154" w:type="dxa"/>
            <w:vAlign w:val="center"/>
          </w:tcPr>
          <w:p>
            <w:pPr>
              <w:pStyle w:val="TableText"/>
              <w:jc w:val="left"/>
            </w:pPr>
            <w:r/>
            <w:r>
              <w:t>Change control</w:t>
            </w:r>
          </w:p>
        </w:tc>
        <w:tc>
          <w:tcPr>
            <w:tcW w:w="7484" w:type="dxa"/>
            <w:vAlign w:val="center"/>
          </w:tcPr>
          <w:p>
            <w:pPr>
              <w:pStyle w:val="TableText"/>
              <w:jc w:val="left"/>
            </w:pPr>
            <w:r/>
            <w:r>
              <w:t>Every change to logic, duration or calendar between updates is identified and explained in a change log with the update. An unexplained logic change invalidates the update as evidence</w:t>
            </w:r>
          </w:p>
        </w:tc>
      </w:tr>
      <w:tr>
        <w:trPr>
          <w:cantSplit w:val="true"/>
        </w:trPr>
        <w:tc>
          <w:tcPr>
            <w:tcW w:w="2154" w:type="dxa"/>
            <w:vAlign w:val="center"/>
          </w:tcPr>
          <w:p>
            <w:pPr>
              <w:pStyle w:val="TableText"/>
              <w:jc w:val="left"/>
            </w:pPr>
            <w:r/>
            <w:r>
              <w:t>Progress reporting</w:t>
            </w:r>
          </w:p>
        </w:tc>
        <w:tc>
          <w:tcPr>
            <w:tcW w:w="7484" w:type="dxa"/>
            <w:vAlign w:val="center"/>
          </w:tcPr>
          <w:p>
            <w:pPr>
              <w:pStyle w:val="TableText"/>
              <w:jc w:val="left"/>
            </w:pPr>
            <w:r/>
            <w:r>
              <w:t>A written report with each update: work completed and planned, percentage complete by element, resources on site, constraints, information required and when, and a photographic record</w:t>
            </w:r>
          </w:p>
        </w:tc>
      </w:tr>
      <w:tr>
        <w:trPr>
          <w:cantSplit w:val="true"/>
        </w:trPr>
        <w:tc>
          <w:tcPr>
            <w:tcW w:w="2154" w:type="dxa"/>
            <w:vAlign w:val="center"/>
          </w:tcPr>
          <w:p>
            <w:pPr>
              <w:pStyle w:val="TableText"/>
              <w:jc w:val="left"/>
            </w:pPr>
            <w:r/>
            <w:r>
              <w:t>Look-ahead</w:t>
            </w:r>
          </w:p>
        </w:tc>
        <w:tc>
          <w:tcPr>
            <w:tcW w:w="7484" w:type="dxa"/>
            <w:vAlign w:val="center"/>
          </w:tcPr>
          <w:p>
            <w:pPr>
              <w:pStyle w:val="TableText"/>
              <w:jc w:val="left"/>
            </w:pPr>
            <w:r/>
            <w:r>
              <w:t>A rolling [3] week look-ahead issued weekly, resourced, and reconciled to the current schedule update</w:t>
            </w:r>
          </w:p>
        </w:tc>
      </w:tr>
    </w:tbl>
    <w:p>
      <w:pPr>
        <w:spacing w:before="0" w:after="0" w:line="60" w:lineRule="exact"/>
      </w:pPr>
    </w:p>
    <w:p>
      <w:pPr>
        <w:pStyle w:val="Heading2"/>
      </w:pPr>
      <w:bookmarkStart w:id="9044" w:name="_Toc90044"/>
      <w:r>
        <w:t>11.5 Delay and disruption notification</w:t>
      </w:r>
      <w:bookmarkEnd w:id="9044"/>
    </w:p>
    <w:p>
      <w:pPr>
        <w:pStyle w:val="Body"/>
      </w:pPr>
      <w:r>
        <w:t>Notice obligations are usually conditions precedent to an entitlement. Restate them here so the site team knows them, and cross-refer to the contract clause so the restatement cannot be argued to change them.</w:t>
      </w:r>
    </w:p>
    <w:p>
      <w:pPr>
        <w:pStyle w:val="BodyBullet"/>
      </w:pPr>
      <w:r>
        <w:rPr>
          <w:color w:val="3480BC"/>
        </w:rPr>
        <w:t xml:space="preserve">—   </w:t>
      </w:r>
      <w:r>
        <w:t>The Contractor must notify the Owner's Representative in writing of any event likely to cause delay, within the period stated in [insert contract clause reference], stating the event, the date it began, the activities affected and the estimated effect on the schedule. Notice given late may be barred entirely.</w:t>
      </w:r>
    </w:p>
    <w:p>
      <w:pPr>
        <w:pStyle w:val="BodyBullet"/>
      </w:pPr>
      <w:r>
        <w:rPr>
          <w:color w:val="3480BC"/>
        </w:rPr>
        <w:t xml:space="preserve">—   </w:t>
      </w:r>
      <w:r>
        <w:t>A claim for an extension of the Contract Time must be supported by a time-impact analysis using the accepted schedule current at the time of the event, and must identify the affected critical path activity and the actual delay to completion, not merely to an activity.</w:t>
      </w:r>
    </w:p>
    <w:p>
      <w:pPr>
        <w:pStyle w:val="BodyBullet"/>
      </w:pPr>
      <w:r>
        <w:rPr>
          <w:color w:val="3480BC"/>
        </w:rPr>
        <w:t xml:space="preserve">—   </w:t>
      </w:r>
      <w:r>
        <w:t>The Contractor must maintain contemporaneous records sufficient to demonstrate cause and effect — daily records, labor and equipment allocation, weather records, and the progress records at Section 11.4. Absence of records is not neutral; it defeats the claim.</w:t>
      </w:r>
    </w:p>
    <w:p>
      <w:pPr>
        <w:pStyle w:val="BodyBullet"/>
      </w:pPr>
      <w:r>
        <w:rPr>
          <w:color w:val="3480BC"/>
        </w:rPr>
        <w:t xml:space="preserve">—   </w:t>
      </w:r>
      <w:r>
        <w:t>A claim for disruption must identify the disrupted activity, the planned and actual resource, the cause, and the measured loss of productivity. Global claims are not accepted.</w:t>
      </w:r>
    </w:p>
    <w:p>
      <w:pPr>
        <w:spacing w:before="0" w:after="0" w:line="80" w:lineRule="exact"/>
      </w:pPr>
    </w:p>
    <w:p>
      <w:pPr>
        <w:pStyle w:val="Heading1"/>
      </w:pPr>
      <w:bookmarkStart w:id="9045" w:name="_Toc90045"/>
      <w:r>
        <w:t>12. Quality Requirements</w:t>
      </w:r>
      <w:bookmarkEnd w:id="9045"/>
    </w:p>
    <w:p>
      <w:pPr>
        <w:pStyle w:val="BodyLead"/>
      </w:pPr>
      <w:r>
        <w:t>Quality is proven by records, not assertion. This section states what quality system the Contractor must operate, what is inspected and by whom, and what evidence must exist before work is covered up or paid for. It is complete when every element in Section 6.1 with a measurable outcome has an inspection and test plan behind it.</w:t>
      </w:r>
    </w:p>
    <w:p>
      <w:pPr>
        <w:pStyle w:val="Heading2"/>
      </w:pPr>
      <w:bookmarkStart w:id="9046" w:name="_Toc90046"/>
      <w:r>
        <w:t>12.1 Quality plan and inspection and test plans</w:t>
      </w:r>
      <w:bookmarkEnd w:id="9046"/>
    </w:p>
    <w:p>
      <w:pPr>
        <w:pStyle w:val="BodyBullet"/>
      </w:pPr>
      <w:r>
        <w:rPr>
          <w:color w:val="3480BC"/>
        </w:rPr>
        <w:t xml:space="preserve">—   </w:t>
      </w:r>
      <w:r>
        <w:t>The Contractor must operate a quality management system aligned to ISO 9001 and submit a project quality plan within [10] working days of award, identifying the quality personnel, their independence from production, and the inspection regime.</w:t>
      </w:r>
    </w:p>
    <w:p>
      <w:pPr>
        <w:pStyle w:val="BodyBullet"/>
      </w:pPr>
      <w:r>
        <w:rPr>
          <w:color w:val="3480BC"/>
        </w:rPr>
        <w:t xml:space="preserve">—   </w:t>
      </w:r>
      <w:r>
        <w:t>An inspection and test plan is required for every element with a measurable outcome, submitted at least [10] working days before the activity starts. Work carried out without an accepted plan may be rejected and is not payable until conformity is demonstrated.</w:t>
      </w:r>
    </w:p>
    <w:p>
      <w:pPr>
        <w:pStyle w:val="BodyBullet"/>
      </w:pPr>
      <w:r>
        <w:rPr>
          <w:color w:val="3480BC"/>
        </w:rPr>
        <w:t xml:space="preserve">—   </w:t>
      </w:r>
      <w:r>
        <w:t>Each plan identifies the activity, the specification and drawing reference, the acceptance criteria, the test method and frequency, the inspection type (surveillance, witness or hold), who signs and the record generated. Plans are cross-referenced to the project Quality Control Checklist / ITP set at Appendix I; where the Owner has issued a standard ITP the Contractor adopts it and may add to it but may not reduce it.</w:t>
      </w:r>
    </w:p>
    <w:p>
      <w:pPr>
        <w:pStyle w:val="BodyBullet"/>
      </w:pPr>
      <w:r>
        <w:rPr>
          <w:color w:val="3480BC"/>
        </w:rPr>
        <w:t xml:space="preserve">—   </w:t>
      </w:r>
      <w:r>
        <w:t>The Contractor's subcontractors and suppliers are subject to the same regime. The Contractor verifies supplier conformity, including off-site fabrication, and arranges witness access to fabrication facilities.</w:t>
      </w:r>
    </w:p>
    <w:p>
      <w:pPr>
        <w:spacing w:before="0" w:after="0" w:line="80" w:lineRule="exact"/>
      </w:pPr>
    </w:p>
    <w:p>
      <w:pPr>
        <w:pStyle w:val="Heading2"/>
      </w:pPr>
      <w:bookmarkStart w:id="9047" w:name="_Toc90047"/>
      <w:r>
        <w:t>12.2 Hold and witness points</w:t>
      </w:r>
      <w:bookmarkEnd w:id="9047"/>
    </w:p>
    <w:p>
      <w:pPr>
        <w:pStyle w:val="Body"/>
      </w:pPr>
      <w:r>
        <w:t>A hold point stops the work: the activity may not proceed past it until released in writing. A witness point invites attendance: work may proceed if the invited party does not attend within the notice period. Confusing the two costs either time or evidence — mark every point as one or the other.</w:t>
      </w:r>
    </w:p>
    <w:p>
      <w:pPr>
        <w:pStyle w:val="Note"/>
      </w:pPr>
      <w:r>
        <w:t>Example rows shown in gray italic — delete before use. Every hold point in this table must also appear in the relevant inspection and test plan and, where it affects the sequence, in the stage table at Section 6.2 and in the schedule at Section 11.4.</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267"/>
        <w:gridCol w:w="737"/>
        <w:gridCol w:w="1020"/>
        <w:gridCol w:w="1814"/>
        <w:gridCol w:w="1814"/>
        <w:gridCol w:w="1986"/>
      </w:tblGrid>
      <w:tr>
        <w:trPr>
          <w:tblHeader w:val="true"/>
          <w:cantSplit w:val="true"/>
        </w:trPr>
        <w:tc>
          <w:tcPr>
            <w:tcW w:w="2267" w:type="dxa"/>
            <w:shd w:val="clear" w:color="auto" w:fill="1D3245"/>
            <w:vAlign w:val="center"/>
          </w:tcPr>
          <w:p>
            <w:pPr>
              <w:pStyle w:val="TableHeader"/>
              <w:jc w:val="left"/>
            </w:pPr>
            <w:r/>
            <w:r>
              <w:t>Activity</w:t>
            </w:r>
          </w:p>
        </w:tc>
        <w:tc>
          <w:tcPr>
            <w:tcW w:w="737" w:type="dxa"/>
            <w:shd w:val="clear" w:color="auto" w:fill="1D3245"/>
            <w:vAlign w:val="center"/>
          </w:tcPr>
          <w:p>
            <w:pPr>
              <w:pStyle w:val="TableHeader"/>
              <w:jc w:val="center"/>
            </w:pPr>
            <w:r/>
            <w:r>
              <w:t>Type</w:t>
            </w:r>
          </w:p>
        </w:tc>
        <w:tc>
          <w:tcPr>
            <w:tcW w:w="1020" w:type="dxa"/>
            <w:shd w:val="clear" w:color="auto" w:fill="1D3245"/>
            <w:vAlign w:val="center"/>
          </w:tcPr>
          <w:p>
            <w:pPr>
              <w:pStyle w:val="TableHeader"/>
              <w:jc w:val="center"/>
            </w:pPr>
            <w:r/>
            <w:r>
              <w:t>Notice required</w:t>
            </w:r>
          </w:p>
        </w:tc>
        <w:tc>
          <w:tcPr>
            <w:tcW w:w="1814" w:type="dxa"/>
            <w:shd w:val="clear" w:color="auto" w:fill="1D3245"/>
            <w:vAlign w:val="center"/>
          </w:tcPr>
          <w:p>
            <w:pPr>
              <w:pStyle w:val="TableHeader"/>
              <w:jc w:val="left"/>
            </w:pPr>
            <w:r/>
            <w:r>
              <w:t>Who attends</w:t>
            </w:r>
          </w:p>
        </w:tc>
        <w:tc>
          <w:tcPr>
            <w:tcW w:w="1814" w:type="dxa"/>
            <w:shd w:val="clear" w:color="auto" w:fill="1D3245"/>
            <w:vAlign w:val="center"/>
          </w:tcPr>
          <w:p>
            <w:pPr>
              <w:pStyle w:val="TableHeader"/>
              <w:jc w:val="left"/>
            </w:pPr>
            <w:r/>
            <w:r>
              <w:t>Record generated</w:t>
            </w:r>
          </w:p>
        </w:tc>
        <w:tc>
          <w:tcPr>
            <w:tcW w:w="1986" w:type="dxa"/>
            <w:shd w:val="clear" w:color="auto" w:fill="1D3245"/>
            <w:vAlign w:val="center"/>
          </w:tcPr>
          <w:p>
            <w:pPr>
              <w:pStyle w:val="TableHeader"/>
              <w:jc w:val="left"/>
            </w:pPr>
            <w:r/>
            <w:r>
              <w:t>Consequence of proceeding without release</w:t>
            </w:r>
          </w:p>
        </w:tc>
      </w:tr>
      <w:tr>
        <w:trPr>
          <w:cantSplit w:val="true"/>
        </w:trPr>
        <w:tc>
          <w:tcPr>
            <w:tcW w:w="2267" w:type="dxa"/>
            <w:vAlign w:val="center"/>
          </w:tcPr>
          <w:p>
            <w:pPr>
              <w:pStyle w:val="TableTextExample"/>
              <w:jc w:val="left"/>
            </w:pPr>
            <w:r/>
            <w:r>
              <w:t>Pre-pour inspection — transfer slab reinforcement, embedments and holding-down bolts</w:t>
            </w:r>
          </w:p>
        </w:tc>
        <w:tc>
          <w:tcPr>
            <w:tcW w:w="737" w:type="dxa"/>
            <w:vAlign w:val="center"/>
          </w:tcPr>
          <w:p>
            <w:pPr>
              <w:pStyle w:val="TableTextExample"/>
              <w:jc w:val="center"/>
            </w:pPr>
            <w:r/>
            <w:r>
              <w:t>Hold</w:t>
            </w:r>
          </w:p>
        </w:tc>
        <w:tc>
          <w:tcPr>
            <w:tcW w:w="1020" w:type="dxa"/>
            <w:vAlign w:val="center"/>
          </w:tcPr>
          <w:p>
            <w:pPr>
              <w:pStyle w:val="TableTextExample"/>
              <w:jc w:val="center"/>
            </w:pPr>
            <w:r/>
            <w:r>
              <w:t>[48] hours</w:t>
            </w:r>
          </w:p>
        </w:tc>
        <w:tc>
          <w:tcPr>
            <w:tcW w:w="1814" w:type="dxa"/>
            <w:vAlign w:val="center"/>
          </w:tcPr>
          <w:p>
            <w:pPr>
              <w:pStyle w:val="TableTextExample"/>
              <w:jc w:val="left"/>
            </w:pPr>
            <w:r/>
            <w:r>
              <w:t>Owner's Representative, structural engineer, steel package</w:t>
            </w:r>
          </w:p>
        </w:tc>
        <w:tc>
          <w:tcPr>
            <w:tcW w:w="1814" w:type="dxa"/>
            <w:vAlign w:val="center"/>
          </w:tcPr>
          <w:p>
            <w:pPr>
              <w:pStyle w:val="TableTextExample"/>
              <w:jc w:val="left"/>
            </w:pPr>
            <w:r/>
            <w:r>
              <w:t>Signed pre-pour checklist and bolt record survey</w:t>
            </w:r>
          </w:p>
        </w:tc>
        <w:tc>
          <w:tcPr>
            <w:tcW w:w="1986" w:type="dxa"/>
            <w:vAlign w:val="center"/>
          </w:tcPr>
          <w:p>
            <w:pPr>
              <w:pStyle w:val="TableTextExample"/>
              <w:jc w:val="left"/>
            </w:pPr>
            <w:r/>
            <w:r>
              <w:t>Pour not accepted; concrete may be required to be removed at the Contractor's cost</w:t>
            </w:r>
          </w:p>
        </w:tc>
      </w:tr>
      <w:tr>
        <w:trPr>
          <w:cantSplit w:val="true"/>
        </w:trPr>
        <w:tc>
          <w:tcPr>
            <w:tcW w:w="2267" w:type="dxa"/>
            <w:vAlign w:val="center"/>
          </w:tcPr>
          <w:p>
            <w:pPr>
              <w:pStyle w:val="TableTextExample"/>
              <w:jc w:val="left"/>
            </w:pPr>
            <w:r/>
            <w:r>
              <w:t>Structural steel weld inspection — full penetration butt welds</w:t>
            </w:r>
          </w:p>
        </w:tc>
        <w:tc>
          <w:tcPr>
            <w:tcW w:w="737" w:type="dxa"/>
            <w:vAlign w:val="center"/>
          </w:tcPr>
          <w:p>
            <w:pPr>
              <w:pStyle w:val="TableTextExample"/>
              <w:jc w:val="center"/>
            </w:pPr>
            <w:r/>
            <w:r>
              <w:t>Witness</w:t>
            </w:r>
          </w:p>
        </w:tc>
        <w:tc>
          <w:tcPr>
            <w:tcW w:w="1020" w:type="dxa"/>
            <w:vAlign w:val="center"/>
          </w:tcPr>
          <w:p>
            <w:pPr>
              <w:pStyle w:val="TableTextExample"/>
              <w:jc w:val="center"/>
            </w:pPr>
            <w:r/>
            <w:r>
              <w:t>[24] hours</w:t>
            </w:r>
          </w:p>
        </w:tc>
        <w:tc>
          <w:tcPr>
            <w:tcW w:w="1814" w:type="dxa"/>
            <w:vAlign w:val="center"/>
          </w:tcPr>
          <w:p>
            <w:pPr>
              <w:pStyle w:val="TableTextExample"/>
              <w:jc w:val="left"/>
            </w:pPr>
            <w:r/>
            <w:r>
              <w:t>Owner's Representative, independent inspection body</w:t>
            </w:r>
          </w:p>
        </w:tc>
        <w:tc>
          <w:tcPr>
            <w:tcW w:w="1814" w:type="dxa"/>
            <w:vAlign w:val="center"/>
          </w:tcPr>
          <w:p>
            <w:pPr>
              <w:pStyle w:val="TableTextExample"/>
              <w:jc w:val="left"/>
            </w:pPr>
            <w:r/>
            <w:r>
              <w:t>Ultrasonic test report and weld map</w:t>
            </w:r>
          </w:p>
        </w:tc>
        <w:tc>
          <w:tcPr>
            <w:tcW w:w="1986" w:type="dxa"/>
            <w:vAlign w:val="center"/>
          </w:tcPr>
          <w:p>
            <w:pPr>
              <w:pStyle w:val="TableTextExample"/>
              <w:jc w:val="left"/>
            </w:pPr>
            <w:r/>
            <w:r>
              <w:t>Element not released for load transfer; loading is a nonconformance</w:t>
            </w:r>
          </w:p>
        </w:tc>
      </w:tr>
      <w:tr>
        <w:trPr>
          <w:cantSplit w:val="true"/>
        </w:trPr>
        <w:tc>
          <w:tcPr>
            <w:tcW w:w="2267" w:type="dxa"/>
            <w:vAlign w:val="center"/>
          </w:tcPr>
          <w:p>
            <w:pPr>
              <w:pStyle w:val="TableTextExample"/>
              <w:jc w:val="left"/>
            </w:pPr>
            <w:r/>
            <w:r>
              <w:t>Medical gas pipeline purity and cross-connection testing</w:t>
            </w:r>
          </w:p>
        </w:tc>
        <w:tc>
          <w:tcPr>
            <w:tcW w:w="737" w:type="dxa"/>
            <w:vAlign w:val="center"/>
          </w:tcPr>
          <w:p>
            <w:pPr>
              <w:pStyle w:val="TableTextExample"/>
              <w:jc w:val="center"/>
            </w:pPr>
            <w:r/>
            <w:r>
              <w:t>Hold</w:t>
            </w:r>
          </w:p>
        </w:tc>
        <w:tc>
          <w:tcPr>
            <w:tcW w:w="1020" w:type="dxa"/>
            <w:vAlign w:val="center"/>
          </w:tcPr>
          <w:p>
            <w:pPr>
              <w:pStyle w:val="TableTextExample"/>
              <w:jc w:val="center"/>
            </w:pPr>
            <w:r/>
            <w:r>
              <w:t>[5] working days</w:t>
            </w:r>
          </w:p>
        </w:tc>
        <w:tc>
          <w:tcPr>
            <w:tcW w:w="1814" w:type="dxa"/>
            <w:vAlign w:val="center"/>
          </w:tcPr>
          <w:p>
            <w:pPr>
              <w:pStyle w:val="TableTextExample"/>
              <w:jc w:val="left"/>
            </w:pPr>
            <w:r/>
            <w:r>
              <w:t>Owner's Representative, Owner's engineering representative, competent certifier</w:t>
            </w:r>
          </w:p>
        </w:tc>
        <w:tc>
          <w:tcPr>
            <w:tcW w:w="1814" w:type="dxa"/>
            <w:vAlign w:val="center"/>
          </w:tcPr>
          <w:p>
            <w:pPr>
              <w:pStyle w:val="TableTextExample"/>
              <w:jc w:val="left"/>
            </w:pPr>
            <w:r/>
            <w:r>
              <w:t>Certificate of compliance and test records</w:t>
            </w:r>
          </w:p>
        </w:tc>
        <w:tc>
          <w:tcPr>
            <w:tcW w:w="1986" w:type="dxa"/>
            <w:vAlign w:val="center"/>
          </w:tcPr>
          <w:p>
            <w:pPr>
              <w:pStyle w:val="TableTextExample"/>
              <w:jc w:val="left"/>
            </w:pPr>
            <w:r/>
            <w:r>
              <w:t>System may not be charged or used; Substantial Completion cannot be achieved</w:t>
            </w:r>
          </w:p>
        </w:tc>
      </w:tr>
      <w:tr>
        <w:trPr>
          <w:cantSplit w:val="true"/>
        </w:trPr>
        <w:tc>
          <w:tcPr>
            <w:tcW w:w="2267" w:type="dxa"/>
            <w:vAlign w:val="center"/>
          </w:tcPr>
          <w:p>
            <w:pPr>
              <w:pStyle w:val="TableText"/>
              <w:jc w:val="left"/>
            </w:pPr>
            <w:r/>
          </w:p>
        </w:tc>
        <w:tc>
          <w:tcPr>
            <w:tcW w:w="737" w:type="dxa"/>
            <w:vAlign w:val="center"/>
          </w:tcPr>
          <w:p>
            <w:pPr>
              <w:pStyle w:val="TableTextCentre"/>
              <w:jc w:val="center"/>
            </w:pPr>
            <w:r/>
          </w:p>
        </w:tc>
        <w:tc>
          <w:tcPr>
            <w:tcW w:w="1020" w:type="dxa"/>
            <w:vAlign w:val="center"/>
          </w:tcPr>
          <w:p>
            <w:pPr>
              <w:pStyle w:val="TableTextCentre"/>
              <w:jc w:val="center"/>
            </w:pPr>
            <w:r/>
          </w:p>
        </w:tc>
        <w:tc>
          <w:tcPr>
            <w:tcW w:w="1814" w:type="dxa"/>
            <w:vAlign w:val="center"/>
          </w:tcPr>
          <w:p>
            <w:pPr>
              <w:pStyle w:val="TableText"/>
              <w:jc w:val="left"/>
            </w:pPr>
            <w:r/>
          </w:p>
        </w:tc>
        <w:tc>
          <w:tcPr>
            <w:tcW w:w="1814" w:type="dxa"/>
            <w:vAlign w:val="center"/>
          </w:tcPr>
          <w:p>
            <w:pPr>
              <w:pStyle w:val="TableText"/>
              <w:jc w:val="left"/>
            </w:pPr>
            <w:r/>
          </w:p>
        </w:tc>
        <w:tc>
          <w:tcPr>
            <w:tcW w:w="1986" w:type="dxa"/>
            <w:vAlign w:val="center"/>
          </w:tcPr>
          <w:p>
            <w:pPr>
              <w:pStyle w:val="TableText"/>
              <w:jc w:val="left"/>
            </w:pPr>
            <w:r/>
          </w:p>
        </w:tc>
      </w:tr>
      <w:tr>
        <w:trPr>
          <w:cantSplit w:val="true"/>
        </w:trPr>
        <w:tc>
          <w:tcPr>
            <w:tcW w:w="2267" w:type="dxa"/>
            <w:vAlign w:val="center"/>
          </w:tcPr>
          <w:p>
            <w:pPr>
              <w:pStyle w:val="TableText"/>
              <w:jc w:val="left"/>
            </w:pPr>
            <w:r/>
          </w:p>
        </w:tc>
        <w:tc>
          <w:tcPr>
            <w:tcW w:w="737" w:type="dxa"/>
            <w:vAlign w:val="center"/>
          </w:tcPr>
          <w:p>
            <w:pPr>
              <w:pStyle w:val="TableTextCentre"/>
              <w:jc w:val="center"/>
            </w:pPr>
            <w:r/>
          </w:p>
        </w:tc>
        <w:tc>
          <w:tcPr>
            <w:tcW w:w="1020" w:type="dxa"/>
            <w:vAlign w:val="center"/>
          </w:tcPr>
          <w:p>
            <w:pPr>
              <w:pStyle w:val="TableTextCentre"/>
              <w:jc w:val="center"/>
            </w:pPr>
            <w:r/>
          </w:p>
        </w:tc>
        <w:tc>
          <w:tcPr>
            <w:tcW w:w="1814" w:type="dxa"/>
            <w:vAlign w:val="center"/>
          </w:tcPr>
          <w:p>
            <w:pPr>
              <w:pStyle w:val="TableText"/>
              <w:jc w:val="left"/>
            </w:pPr>
            <w:r/>
          </w:p>
        </w:tc>
        <w:tc>
          <w:tcPr>
            <w:tcW w:w="1814" w:type="dxa"/>
            <w:vAlign w:val="center"/>
          </w:tcPr>
          <w:p>
            <w:pPr>
              <w:pStyle w:val="TableText"/>
              <w:jc w:val="left"/>
            </w:pPr>
            <w:r/>
          </w:p>
        </w:tc>
        <w:tc>
          <w:tcPr>
            <w:tcW w:w="1986" w:type="dxa"/>
            <w:vAlign w:val="center"/>
          </w:tcPr>
          <w:p>
            <w:pPr>
              <w:pStyle w:val="TableText"/>
              <w:jc w:val="left"/>
            </w:pPr>
            <w:r/>
          </w:p>
        </w:tc>
      </w:tr>
      <w:tr>
        <w:trPr>
          <w:cantSplit w:val="true"/>
        </w:trPr>
        <w:tc>
          <w:tcPr>
            <w:tcW w:w="2267" w:type="dxa"/>
            <w:vAlign w:val="center"/>
          </w:tcPr>
          <w:p>
            <w:pPr>
              <w:pStyle w:val="TableText"/>
              <w:jc w:val="left"/>
            </w:pPr>
            <w:r/>
          </w:p>
        </w:tc>
        <w:tc>
          <w:tcPr>
            <w:tcW w:w="737" w:type="dxa"/>
            <w:vAlign w:val="center"/>
          </w:tcPr>
          <w:p>
            <w:pPr>
              <w:pStyle w:val="TableTextCentre"/>
              <w:jc w:val="center"/>
            </w:pPr>
            <w:r/>
          </w:p>
        </w:tc>
        <w:tc>
          <w:tcPr>
            <w:tcW w:w="1020" w:type="dxa"/>
            <w:vAlign w:val="center"/>
          </w:tcPr>
          <w:p>
            <w:pPr>
              <w:pStyle w:val="TableTextCentre"/>
              <w:jc w:val="center"/>
            </w:pPr>
            <w:r/>
          </w:p>
        </w:tc>
        <w:tc>
          <w:tcPr>
            <w:tcW w:w="1814" w:type="dxa"/>
            <w:vAlign w:val="center"/>
          </w:tcPr>
          <w:p>
            <w:pPr>
              <w:pStyle w:val="TableText"/>
              <w:jc w:val="left"/>
            </w:pPr>
            <w:r/>
          </w:p>
        </w:tc>
        <w:tc>
          <w:tcPr>
            <w:tcW w:w="1814" w:type="dxa"/>
            <w:vAlign w:val="center"/>
          </w:tcPr>
          <w:p>
            <w:pPr>
              <w:pStyle w:val="TableText"/>
              <w:jc w:val="left"/>
            </w:pPr>
            <w:r/>
          </w:p>
        </w:tc>
        <w:tc>
          <w:tcPr>
            <w:tcW w:w="1986" w:type="dxa"/>
            <w:vAlign w:val="center"/>
          </w:tcPr>
          <w:p>
            <w:pPr>
              <w:pStyle w:val="TableText"/>
              <w:jc w:val="left"/>
            </w:pPr>
            <w:r/>
          </w:p>
        </w:tc>
      </w:tr>
    </w:tbl>
    <w:p>
      <w:pPr>
        <w:spacing w:before="0" w:after="0" w:line="60" w:lineRule="exact"/>
      </w:pPr>
    </w:p>
    <w:p>
      <w:pPr>
        <w:pStyle w:val="Heading2"/>
      </w:pPr>
      <w:bookmarkStart w:id="9048" w:name="_Toc90048"/>
      <w:r>
        <w:t>12.3 Samples, prototypes and benchmarks</w:t>
      </w:r>
      <w:bookmarkEnd w:id="9048"/>
    </w:p>
    <w:p>
      <w:pPr>
        <w:pStyle w:val="Note"/>
      </w:pPr>
      <w:r>
        <w:t>Example rows shown in gray italic — delete before use. A benchmark, once accepted, is the standard against which the remainder of that element is judged. State that it is retained and not dismantled until Substantial Completion.</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040"/>
        <w:gridCol w:w="4081"/>
        <w:gridCol w:w="1927"/>
        <w:gridCol w:w="1590"/>
      </w:tblGrid>
      <w:tr>
        <w:trPr>
          <w:tblHeader w:val="true"/>
          <w:cantSplit w:val="true"/>
        </w:trPr>
        <w:tc>
          <w:tcPr>
            <w:tcW w:w="2040" w:type="dxa"/>
            <w:shd w:val="clear" w:color="auto" w:fill="1D3245"/>
            <w:vAlign w:val="center"/>
          </w:tcPr>
          <w:p>
            <w:pPr>
              <w:pStyle w:val="TableHeader"/>
              <w:jc w:val="left"/>
            </w:pPr>
            <w:r/>
            <w:r>
              <w:t>Item</w:t>
            </w:r>
          </w:p>
        </w:tc>
        <w:tc>
          <w:tcPr>
            <w:tcW w:w="4081" w:type="dxa"/>
            <w:shd w:val="clear" w:color="auto" w:fill="1D3245"/>
            <w:vAlign w:val="center"/>
          </w:tcPr>
          <w:p>
            <w:pPr>
              <w:pStyle w:val="TableHeader"/>
              <w:jc w:val="left"/>
            </w:pPr>
            <w:r/>
            <w:r>
              <w:t>What is required</w:t>
            </w:r>
          </w:p>
        </w:tc>
        <w:tc>
          <w:tcPr>
            <w:tcW w:w="1927" w:type="dxa"/>
            <w:shd w:val="clear" w:color="auto" w:fill="1D3245"/>
            <w:vAlign w:val="center"/>
          </w:tcPr>
          <w:p>
            <w:pPr>
              <w:pStyle w:val="TableHeader"/>
              <w:jc w:val="left"/>
            </w:pPr>
            <w:r/>
            <w:r>
              <w:t>When</w:t>
            </w:r>
          </w:p>
        </w:tc>
        <w:tc>
          <w:tcPr>
            <w:tcW w:w="1590" w:type="dxa"/>
            <w:shd w:val="clear" w:color="auto" w:fill="1D3245"/>
            <w:vAlign w:val="center"/>
          </w:tcPr>
          <w:p>
            <w:pPr>
              <w:pStyle w:val="TableHeader"/>
              <w:jc w:val="left"/>
            </w:pPr>
            <w:r/>
            <w:r>
              <w:t>Who accepts</w:t>
            </w:r>
          </w:p>
        </w:tc>
      </w:tr>
      <w:tr>
        <w:trPr>
          <w:cantSplit w:val="true"/>
        </w:trPr>
        <w:tc>
          <w:tcPr>
            <w:tcW w:w="2040" w:type="dxa"/>
            <w:vAlign w:val="center"/>
          </w:tcPr>
          <w:p>
            <w:pPr>
              <w:pStyle w:val="TableTextExample"/>
              <w:jc w:val="left"/>
            </w:pPr>
            <w:r/>
            <w:r>
              <w:t>Facade visual mock-up</w:t>
            </w:r>
          </w:p>
        </w:tc>
        <w:tc>
          <w:tcPr>
            <w:tcW w:w="4081" w:type="dxa"/>
            <w:vAlign w:val="center"/>
          </w:tcPr>
          <w:p>
            <w:pPr>
              <w:pStyle w:val="TableTextExample"/>
              <w:jc w:val="left"/>
            </w:pPr>
            <w:r/>
            <w:r>
              <w:t>Two-bay mock-up including a typical panel, a corner, a spandrel and an interface with the roof and the slab edge, erected off site and performance tested</w:t>
            </w:r>
          </w:p>
        </w:tc>
        <w:tc>
          <w:tcPr>
            <w:tcW w:w="1927" w:type="dxa"/>
            <w:vAlign w:val="center"/>
          </w:tcPr>
          <w:p>
            <w:pPr>
              <w:pStyle w:val="TableTextExample"/>
              <w:jc w:val="left"/>
            </w:pPr>
            <w:r/>
            <w:r>
              <w:t>Before release of the facade to fabrication</w:t>
            </w:r>
          </w:p>
        </w:tc>
        <w:tc>
          <w:tcPr>
            <w:tcW w:w="1590" w:type="dxa"/>
            <w:vAlign w:val="center"/>
          </w:tcPr>
          <w:p>
            <w:pPr>
              <w:pStyle w:val="TableTextExample"/>
              <w:jc w:val="left"/>
            </w:pPr>
            <w:r/>
            <w:r>
              <w:t>Owner, architect and facade engineer jointly</w:t>
            </w:r>
          </w:p>
        </w:tc>
      </w:tr>
      <w:tr>
        <w:trPr>
          <w:cantSplit w:val="true"/>
        </w:trPr>
        <w:tc>
          <w:tcPr>
            <w:tcW w:w="2040" w:type="dxa"/>
            <w:vAlign w:val="center"/>
          </w:tcPr>
          <w:p>
            <w:pPr>
              <w:pStyle w:val="TableTextExample"/>
              <w:jc w:val="left"/>
            </w:pPr>
            <w:r/>
            <w:r>
              <w:t>Benchmark ward room</w:t>
            </w:r>
          </w:p>
        </w:tc>
        <w:tc>
          <w:tcPr>
            <w:tcW w:w="4081" w:type="dxa"/>
            <w:vAlign w:val="center"/>
          </w:tcPr>
          <w:p>
            <w:pPr>
              <w:pStyle w:val="TableTextExample"/>
              <w:jc w:val="left"/>
            </w:pPr>
            <w:r/>
            <w:r>
              <w:t>One complete room built to final finish including services, joinery, bedhead panel and floor coving, retained for the duration of the Work</w:t>
            </w:r>
          </w:p>
        </w:tc>
        <w:tc>
          <w:tcPr>
            <w:tcW w:w="1927" w:type="dxa"/>
            <w:vAlign w:val="center"/>
          </w:tcPr>
          <w:p>
            <w:pPr>
              <w:pStyle w:val="TableTextExample"/>
              <w:jc w:val="left"/>
            </w:pPr>
            <w:r/>
            <w:r>
              <w:t>Before commencing fitout of the second floor of that type</w:t>
            </w:r>
          </w:p>
        </w:tc>
        <w:tc>
          <w:tcPr>
            <w:tcW w:w="1590" w:type="dxa"/>
            <w:vAlign w:val="center"/>
          </w:tcPr>
          <w:p>
            <w:pPr>
              <w:pStyle w:val="TableTextExample"/>
              <w:jc w:val="left"/>
            </w:pPr>
            <w:r/>
            <w:r>
              <w:t>Owner's clinical representative and architect</w:t>
            </w:r>
          </w:p>
        </w:tc>
      </w:tr>
      <w:tr>
        <w:trPr>
          <w:cantSplit w:val="true"/>
        </w:trPr>
        <w:tc>
          <w:tcPr>
            <w:tcW w:w="2040" w:type="dxa"/>
            <w:vAlign w:val="center"/>
          </w:tcPr>
          <w:p>
            <w:pPr>
              <w:pStyle w:val="TableTextExample"/>
              <w:jc w:val="left"/>
            </w:pPr>
            <w:r/>
            <w:r>
              <w:t>Precast facade spandrel benchmark unit</w:t>
            </w:r>
          </w:p>
        </w:tc>
        <w:tc>
          <w:tcPr>
            <w:tcW w:w="4081" w:type="dxa"/>
            <w:vAlign w:val="center"/>
          </w:tcPr>
          <w:p>
            <w:pPr>
              <w:pStyle w:val="TableTextExample"/>
              <w:jc w:val="left"/>
            </w:pPr>
            <w:r/>
            <w:r>
              <w:t>One unit demonstrating color, texture, edge arris and the acceptable repair method</w:t>
            </w:r>
          </w:p>
        </w:tc>
        <w:tc>
          <w:tcPr>
            <w:tcW w:w="1927" w:type="dxa"/>
            <w:vAlign w:val="center"/>
          </w:tcPr>
          <w:p>
            <w:pPr>
              <w:pStyle w:val="TableTextExample"/>
              <w:jc w:val="left"/>
            </w:pPr>
            <w:r/>
            <w:r>
              <w:t>Before release to production</w:t>
            </w:r>
          </w:p>
        </w:tc>
        <w:tc>
          <w:tcPr>
            <w:tcW w:w="1590" w:type="dxa"/>
            <w:vAlign w:val="center"/>
          </w:tcPr>
          <w:p>
            <w:pPr>
              <w:pStyle w:val="TableTextExample"/>
              <w:jc w:val="left"/>
            </w:pPr>
            <w:r/>
            <w:r>
              <w:t>Architect</w:t>
            </w:r>
          </w:p>
        </w:tc>
      </w:tr>
      <w:tr>
        <w:trPr>
          <w:cantSplit w:val="true"/>
        </w:trPr>
        <w:tc>
          <w:tcPr>
            <w:tcW w:w="2040" w:type="dxa"/>
            <w:vAlign w:val="center"/>
          </w:tcPr>
          <w:p>
            <w:pPr>
              <w:pStyle w:val="TableText"/>
              <w:jc w:val="left"/>
            </w:pPr>
            <w:r/>
          </w:p>
        </w:tc>
        <w:tc>
          <w:tcPr>
            <w:tcW w:w="4081" w:type="dxa"/>
            <w:vAlign w:val="center"/>
          </w:tcPr>
          <w:p>
            <w:pPr>
              <w:pStyle w:val="TableText"/>
              <w:jc w:val="left"/>
            </w:pPr>
            <w:r/>
          </w:p>
        </w:tc>
        <w:tc>
          <w:tcPr>
            <w:tcW w:w="1927" w:type="dxa"/>
            <w:vAlign w:val="center"/>
          </w:tcPr>
          <w:p>
            <w:pPr>
              <w:pStyle w:val="TableText"/>
              <w:jc w:val="left"/>
            </w:pPr>
            <w:r/>
          </w:p>
        </w:tc>
        <w:tc>
          <w:tcPr>
            <w:tcW w:w="1590" w:type="dxa"/>
            <w:vAlign w:val="center"/>
          </w:tcPr>
          <w:p>
            <w:pPr>
              <w:pStyle w:val="TableText"/>
              <w:jc w:val="left"/>
            </w:pPr>
            <w:r/>
          </w:p>
        </w:tc>
      </w:tr>
      <w:tr>
        <w:trPr>
          <w:cantSplit w:val="true"/>
        </w:trPr>
        <w:tc>
          <w:tcPr>
            <w:tcW w:w="2040" w:type="dxa"/>
            <w:vAlign w:val="center"/>
          </w:tcPr>
          <w:p>
            <w:pPr>
              <w:pStyle w:val="TableText"/>
              <w:jc w:val="left"/>
            </w:pPr>
            <w:r/>
          </w:p>
        </w:tc>
        <w:tc>
          <w:tcPr>
            <w:tcW w:w="4081" w:type="dxa"/>
            <w:vAlign w:val="center"/>
          </w:tcPr>
          <w:p>
            <w:pPr>
              <w:pStyle w:val="TableText"/>
              <w:jc w:val="left"/>
            </w:pPr>
            <w:r/>
          </w:p>
        </w:tc>
        <w:tc>
          <w:tcPr>
            <w:tcW w:w="1927" w:type="dxa"/>
            <w:vAlign w:val="center"/>
          </w:tcPr>
          <w:p>
            <w:pPr>
              <w:pStyle w:val="TableText"/>
              <w:jc w:val="left"/>
            </w:pPr>
            <w:r/>
          </w:p>
        </w:tc>
        <w:tc>
          <w:tcPr>
            <w:tcW w:w="1590" w:type="dxa"/>
            <w:vAlign w:val="center"/>
          </w:tcPr>
          <w:p>
            <w:pPr>
              <w:pStyle w:val="TableText"/>
              <w:jc w:val="left"/>
            </w:pPr>
            <w:r/>
          </w:p>
        </w:tc>
      </w:tr>
    </w:tbl>
    <w:p>
      <w:pPr>
        <w:spacing w:before="0" w:after="0" w:line="60" w:lineRule="exact"/>
      </w:pPr>
    </w:p>
    <w:p>
      <w:pPr>
        <w:pStyle w:val="Heading2"/>
      </w:pPr>
      <w:bookmarkStart w:id="9049" w:name="_Toc90049"/>
      <w:r>
        <w:t>12.4 Surveys and record records</w:t>
      </w:r>
      <w:bookmarkEnd w:id="9049"/>
    </w:p>
    <w:p>
      <w:pPr>
        <w:pStyle w:val="BodyBullet"/>
      </w:pPr>
      <w:r>
        <w:rPr>
          <w:color w:val="3480BC"/>
        </w:rPr>
        <w:t xml:space="preserve">—   </w:t>
      </w:r>
      <w:r>
        <w:t>Set-out and verification surveys as required by Section 9.4, by a registered surveyor, issued within [2] working days.</w:t>
      </w:r>
    </w:p>
    <w:p>
      <w:pPr>
        <w:pStyle w:val="BodyBullet"/>
      </w:pPr>
      <w:r>
        <w:rPr>
          <w:color w:val="3480BC"/>
        </w:rPr>
        <w:t xml:space="preserve">—   </w:t>
      </w:r>
      <w:r>
        <w:t>Record survey of each structural element before the following element is loaded onto it, demonstrating compliance with the tolerances at Section 6.3.</w:t>
      </w:r>
    </w:p>
    <w:p>
      <w:pPr>
        <w:pStyle w:val="BodyBullet"/>
      </w:pPr>
      <w:r>
        <w:rPr>
          <w:color w:val="3480BC"/>
        </w:rPr>
        <w:t xml:space="preserve">—   </w:t>
      </w:r>
      <w:r>
        <w:t>As-installed survey of all concealed services before close-in, geo-referenced and delivered in the exchange format at Section 9.5.</w:t>
      </w:r>
    </w:p>
    <w:p>
      <w:pPr>
        <w:pStyle w:val="BodyBullet"/>
      </w:pPr>
      <w:r>
        <w:rPr>
          <w:color w:val="3480BC"/>
        </w:rPr>
        <w:t xml:space="preserve">—   </w:t>
      </w:r>
      <w:r>
        <w:t>Record drawings and models updated progressively, not retrospectively. The Owner's Representative may require production of the current record set at any time, and may withhold certification of progress if it is not current.</w:t>
      </w:r>
    </w:p>
    <w:p>
      <w:pPr>
        <w:spacing w:before="0" w:after="0" w:line="80" w:lineRule="exact"/>
      </w:pPr>
    </w:p>
    <w:p>
      <w:pPr>
        <w:pStyle w:val="Heading2"/>
      </w:pPr>
      <w:bookmarkStart w:id="9050" w:name="_Toc90050"/>
      <w:r>
        <w:t>12.5 Nonconformance and rectification</w:t>
      </w:r>
      <w:bookmarkEnd w:id="9050"/>
    </w:p>
    <w:p>
      <w:pPr>
        <w:pStyle w:val="Note"/>
      </w:pPr>
      <w:r>
        <w:t>This table is a reference list — its rows are the content. Adjust the periods to the project. A nonconformance is not closed by the passage of time or by payment; it is closed by verified rectification or by an accepted concession.</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927"/>
        <w:gridCol w:w="5669"/>
        <w:gridCol w:w="2042"/>
      </w:tblGrid>
      <w:tr>
        <w:trPr>
          <w:tblHeader w:val="true"/>
          <w:cantSplit w:val="true"/>
        </w:trPr>
        <w:tc>
          <w:tcPr>
            <w:tcW w:w="1927" w:type="dxa"/>
            <w:shd w:val="clear" w:color="auto" w:fill="1D3245"/>
            <w:vAlign w:val="center"/>
          </w:tcPr>
          <w:p>
            <w:pPr>
              <w:pStyle w:val="TableHeader"/>
              <w:jc w:val="left"/>
            </w:pPr>
            <w:r/>
            <w:r>
              <w:t>Step</w:t>
            </w:r>
          </w:p>
        </w:tc>
        <w:tc>
          <w:tcPr>
            <w:tcW w:w="5669" w:type="dxa"/>
            <w:shd w:val="clear" w:color="auto" w:fill="1D3245"/>
            <w:vAlign w:val="center"/>
          </w:tcPr>
          <w:p>
            <w:pPr>
              <w:pStyle w:val="TableHeader"/>
              <w:jc w:val="left"/>
            </w:pPr>
            <w:r/>
            <w:r>
              <w:t>Requirement</w:t>
            </w:r>
          </w:p>
        </w:tc>
        <w:tc>
          <w:tcPr>
            <w:tcW w:w="2042" w:type="dxa"/>
            <w:shd w:val="clear" w:color="auto" w:fill="1D3245"/>
            <w:vAlign w:val="center"/>
          </w:tcPr>
          <w:p>
            <w:pPr>
              <w:pStyle w:val="TableHeader"/>
              <w:jc w:val="left"/>
            </w:pPr>
            <w:r/>
            <w:r>
              <w:t>Period</w:t>
            </w:r>
          </w:p>
        </w:tc>
      </w:tr>
      <w:tr>
        <w:trPr>
          <w:cantSplit w:val="true"/>
        </w:trPr>
        <w:tc>
          <w:tcPr>
            <w:tcW w:w="1927" w:type="dxa"/>
            <w:vAlign w:val="center"/>
          </w:tcPr>
          <w:p>
            <w:pPr>
              <w:pStyle w:val="TableText"/>
              <w:jc w:val="left"/>
            </w:pPr>
            <w:r/>
            <w:r>
              <w:t>Identification and notice</w:t>
            </w:r>
          </w:p>
        </w:tc>
        <w:tc>
          <w:tcPr>
            <w:tcW w:w="5669" w:type="dxa"/>
            <w:vAlign w:val="center"/>
          </w:tcPr>
          <w:p>
            <w:pPr>
              <w:pStyle w:val="TableText"/>
              <w:jc w:val="left"/>
            </w:pPr>
            <w:r/>
            <w:r>
              <w:t>Nonconformance raised in writing on the project nonconformance register, describing the requirement, the departure from it and the affected extent</w:t>
            </w:r>
          </w:p>
        </w:tc>
        <w:tc>
          <w:tcPr>
            <w:tcW w:w="2042" w:type="dxa"/>
            <w:vAlign w:val="center"/>
          </w:tcPr>
          <w:p>
            <w:pPr>
              <w:pStyle w:val="TableText"/>
              <w:jc w:val="left"/>
            </w:pPr>
            <w:r/>
            <w:r>
              <w:t>On discovery</w:t>
            </w:r>
          </w:p>
        </w:tc>
      </w:tr>
      <w:tr>
        <w:trPr>
          <w:cantSplit w:val="true"/>
        </w:trPr>
        <w:tc>
          <w:tcPr>
            <w:tcW w:w="1927" w:type="dxa"/>
            <w:vAlign w:val="center"/>
          </w:tcPr>
          <w:p>
            <w:pPr>
              <w:pStyle w:val="TableText"/>
              <w:jc w:val="left"/>
            </w:pPr>
            <w:r/>
            <w:r>
              <w:t>Containment</w:t>
            </w:r>
          </w:p>
        </w:tc>
        <w:tc>
          <w:tcPr>
            <w:tcW w:w="5669" w:type="dxa"/>
            <w:vAlign w:val="center"/>
          </w:tcPr>
          <w:p>
            <w:pPr>
              <w:pStyle w:val="TableText"/>
              <w:jc w:val="left"/>
            </w:pPr>
            <w:r/>
            <w:r>
              <w:t>Work in the affected area stops where continuing would conceal or compound the nonconformance; the extent is quarantined and marked</w:t>
            </w:r>
          </w:p>
        </w:tc>
        <w:tc>
          <w:tcPr>
            <w:tcW w:w="2042" w:type="dxa"/>
            <w:vAlign w:val="center"/>
          </w:tcPr>
          <w:p>
            <w:pPr>
              <w:pStyle w:val="TableText"/>
              <w:jc w:val="left"/>
            </w:pPr>
            <w:r/>
            <w:r>
              <w:t>Immediately</w:t>
            </w:r>
          </w:p>
        </w:tc>
      </w:tr>
      <w:tr>
        <w:trPr>
          <w:cantSplit w:val="true"/>
        </w:trPr>
        <w:tc>
          <w:tcPr>
            <w:tcW w:w="1927" w:type="dxa"/>
            <w:vAlign w:val="center"/>
          </w:tcPr>
          <w:p>
            <w:pPr>
              <w:pStyle w:val="TableText"/>
              <w:jc w:val="left"/>
            </w:pPr>
            <w:r/>
            <w:r>
              <w:t>Proposed disposition</w:t>
            </w:r>
          </w:p>
        </w:tc>
        <w:tc>
          <w:tcPr>
            <w:tcW w:w="5669" w:type="dxa"/>
            <w:vAlign w:val="center"/>
          </w:tcPr>
          <w:p>
            <w:pPr>
              <w:pStyle w:val="TableText"/>
              <w:jc w:val="left"/>
            </w:pPr>
            <w:r/>
            <w:r>
              <w:t>Contractor submits a proposal — rectify, rework, repair to an engineered solution, or seek acceptance as constructed — with the supporting design or test evidence</w:t>
            </w:r>
          </w:p>
        </w:tc>
        <w:tc>
          <w:tcPr>
            <w:tcW w:w="2042" w:type="dxa"/>
            <w:vAlign w:val="center"/>
          </w:tcPr>
          <w:p>
            <w:pPr>
              <w:pStyle w:val="TableText"/>
              <w:jc w:val="left"/>
            </w:pPr>
            <w:r/>
            <w:r>
              <w:t>[5] working days</w:t>
            </w:r>
          </w:p>
        </w:tc>
      </w:tr>
      <w:tr>
        <w:trPr>
          <w:cantSplit w:val="true"/>
        </w:trPr>
        <w:tc>
          <w:tcPr>
            <w:tcW w:w="1927" w:type="dxa"/>
            <w:vAlign w:val="center"/>
          </w:tcPr>
          <w:p>
            <w:pPr>
              <w:pStyle w:val="TableText"/>
              <w:jc w:val="left"/>
            </w:pPr>
            <w:r/>
            <w:r>
              <w:t>Acceptance of disposition</w:t>
            </w:r>
          </w:p>
        </w:tc>
        <w:tc>
          <w:tcPr>
            <w:tcW w:w="5669" w:type="dxa"/>
            <w:vAlign w:val="center"/>
          </w:tcPr>
          <w:p>
            <w:pPr>
              <w:pStyle w:val="TableText"/>
              <w:jc w:val="left"/>
            </w:pPr>
            <w:r/>
            <w:r>
              <w:t>Owner's Representative accepts, rejects or requires further evidence. Acceptance of a departure is recorded as a concession and does not set a precedent</w:t>
            </w:r>
          </w:p>
        </w:tc>
        <w:tc>
          <w:tcPr>
            <w:tcW w:w="2042" w:type="dxa"/>
            <w:vAlign w:val="center"/>
          </w:tcPr>
          <w:p>
            <w:pPr>
              <w:pStyle w:val="TableText"/>
              <w:jc w:val="left"/>
            </w:pPr>
            <w:r/>
            <w:r>
              <w:t>[5] working days</w:t>
            </w:r>
          </w:p>
        </w:tc>
      </w:tr>
      <w:tr>
        <w:trPr>
          <w:cantSplit w:val="true"/>
        </w:trPr>
        <w:tc>
          <w:tcPr>
            <w:tcW w:w="1927" w:type="dxa"/>
            <w:vAlign w:val="center"/>
          </w:tcPr>
          <w:p>
            <w:pPr>
              <w:pStyle w:val="TableText"/>
              <w:jc w:val="left"/>
            </w:pPr>
            <w:r/>
            <w:r>
              <w:t>Rectification and verification</w:t>
            </w:r>
          </w:p>
        </w:tc>
        <w:tc>
          <w:tcPr>
            <w:tcW w:w="5669" w:type="dxa"/>
            <w:vAlign w:val="center"/>
          </w:tcPr>
          <w:p>
            <w:pPr>
              <w:pStyle w:val="TableText"/>
              <w:jc w:val="left"/>
            </w:pPr>
            <w:r/>
            <w:r>
              <w:t>Work rectified and re-inspected against the original acceptance criteria; the record closes the nonconformance</w:t>
            </w:r>
          </w:p>
        </w:tc>
        <w:tc>
          <w:tcPr>
            <w:tcW w:w="2042" w:type="dxa"/>
            <w:vAlign w:val="center"/>
          </w:tcPr>
          <w:p>
            <w:pPr>
              <w:pStyle w:val="TableText"/>
              <w:jc w:val="left"/>
            </w:pPr>
            <w:r/>
            <w:r>
              <w:t>[10] working days, or as agreed</w:t>
            </w:r>
          </w:p>
        </w:tc>
      </w:tr>
      <w:tr>
        <w:trPr>
          <w:cantSplit w:val="true"/>
        </w:trPr>
        <w:tc>
          <w:tcPr>
            <w:tcW w:w="1927" w:type="dxa"/>
            <w:vAlign w:val="center"/>
          </w:tcPr>
          <w:p>
            <w:pPr>
              <w:pStyle w:val="TableText"/>
              <w:jc w:val="left"/>
            </w:pPr>
            <w:r/>
            <w:r>
              <w:t>Root cause and prevention</w:t>
            </w:r>
          </w:p>
        </w:tc>
        <w:tc>
          <w:tcPr>
            <w:tcW w:w="5669" w:type="dxa"/>
            <w:vAlign w:val="center"/>
          </w:tcPr>
          <w:p>
            <w:pPr>
              <w:pStyle w:val="TableText"/>
              <w:jc w:val="left"/>
            </w:pPr>
            <w:r/>
            <w:r>
              <w:t>For a major or repeated nonconformance, a root cause analysis and a preventive action, with verification of effectiveness</w:t>
            </w:r>
          </w:p>
        </w:tc>
        <w:tc>
          <w:tcPr>
            <w:tcW w:w="2042" w:type="dxa"/>
            <w:vAlign w:val="center"/>
          </w:tcPr>
          <w:p>
            <w:pPr>
              <w:pStyle w:val="TableText"/>
              <w:jc w:val="left"/>
            </w:pPr>
            <w:r/>
            <w:r>
              <w:t>[15] working days</w:t>
            </w:r>
          </w:p>
        </w:tc>
      </w:tr>
    </w:tbl>
    <w:p>
      <w:pPr>
        <w:spacing w:before="0" w:after="0" w:line="60" w:lineRule="exact"/>
      </w:pPr>
    </w:p>
    <w:p>
      <w:pPr>
        <w:pStyle w:val="Heading1"/>
      </w:pPr>
      <w:bookmarkStart w:id="9051" w:name="_Toc90051"/>
      <w:r>
        <w:t>13. Health, Safety and Environmental Requirements</w:t>
      </w:r>
      <w:bookmarkEnd w:id="9051"/>
    </w:p>
    <w:p>
      <w:pPr>
        <w:pStyle w:val="BodyLead"/>
      </w:pPr>
      <w:r>
        <w:t>Safety obligations are not scope items, and compliance with the law is never a change. This section states what the Contractor must do, what it must submit before mobilising and what evidence must exist. It is subordinate to the project Safety Management Plan and to [insert applicable jurisdiction's work health and safety legislation, regulations and codes of practice].</w:t>
      </w:r>
    </w:p>
    <w:p>
      <w:pPr>
        <w:pStyle w:val="Heading2"/>
      </w:pPr>
      <w:bookmarkStart w:id="9052" w:name="_Toc90052"/>
      <w:r>
        <w:t>13.1 Safety obligations and pre-mobilization submissions</w:t>
      </w:r>
      <w:bookmarkEnd w:id="9052"/>
    </w:p>
    <w:p>
      <w:pPr>
        <w:pStyle w:val="BodyBullet"/>
      </w:pPr>
      <w:r>
        <w:rPr>
          <w:color w:val="3480BC"/>
        </w:rPr>
        <w:t xml:space="preserve">—   </w:t>
      </w:r>
      <w:r>
        <w:t>The Contractor must comply with the project Safety Management Plan (see Appendix J and the Mastt Safety Management Plan template) and with [insert applicable jurisdiction's work health and safety legislation, regulations and codes of practice], and must operate a safety management system aligned to ISO 45001.</w:t>
      </w:r>
    </w:p>
    <w:p>
      <w:pPr>
        <w:pStyle w:val="BodyBullet"/>
      </w:pPr>
      <w:r>
        <w:rPr>
          <w:color w:val="3480BC"/>
        </w:rPr>
        <w:t xml:space="preserve">—   </w:t>
      </w:r>
      <w:r>
        <w:t>A Job Hazard Analysis, Job Safety Analysis or Risk Assessment and Method Statement — whichever term the jurisdiction uses — is required for every high-risk activity, submitted at least [5] working days before mobilization of that activity, and accepted before the activity begins. Work may not start on a high-risk activity without an accepted statement at the work face.</w:t>
      </w:r>
    </w:p>
    <w:p>
      <w:pPr>
        <w:pStyle w:val="BodyBullet"/>
      </w:pPr>
      <w:r>
        <w:rPr>
          <w:color w:val="3480BC"/>
        </w:rPr>
        <w:t xml:space="preserve">—   </w:t>
      </w:r>
      <w:r>
        <w:t>Every worker completes the project induction and the activity-specific briefing before entering the work area, and holds the competencies, licenses and high-risk work authorisations required. The Contractor maintains the competency register and produces it on request.</w:t>
      </w:r>
    </w:p>
    <w:p>
      <w:pPr>
        <w:pStyle w:val="BodyBullet"/>
      </w:pPr>
      <w:r>
        <w:rPr>
          <w:color w:val="3480BC"/>
        </w:rPr>
        <w:t xml:space="preserve">—   </w:t>
      </w:r>
      <w:r>
        <w:t>Permits are required for hot work, confined space entry, work at height outside protected areas, excavation, penetration of structure, isolation of live services, and any work affecting the operating facility's fire or essential systems.</w:t>
      </w:r>
    </w:p>
    <w:p>
      <w:pPr>
        <w:pStyle w:val="BodyBullet"/>
      </w:pPr>
      <w:r>
        <w:rPr>
          <w:color w:val="3480BC"/>
        </w:rPr>
        <w:t xml:space="preserve">—   </w:t>
      </w:r>
      <w:r>
        <w:t>Acceptance or review of a safety document by the Owner, the Owner's Representative or the Contractor does not transfer the submitting party's duty or make the reviewer responsible for the adequacy of the method. Incidents, near misses and environmental exceedances are reported within the period stated in the Safety Management Plan.</w:t>
      </w:r>
    </w:p>
    <w:p>
      <w:pPr>
        <w:spacing w:before="0" w:after="0" w:line="80" w:lineRule="exact"/>
      </w:pPr>
    </w:p>
    <w:p>
      <w:pPr>
        <w:pStyle w:val="Heading2"/>
      </w:pPr>
      <w:bookmarkStart w:id="9053" w:name="_Toc90053"/>
      <w:r>
        <w:t>13.2 Environmental controls, waste and sustainability</w:t>
      </w:r>
      <w:bookmarkEnd w:id="9053"/>
    </w:p>
    <w:p>
      <w:pPr>
        <w:pStyle w:val="BodyBullet"/>
      </w:pPr>
      <w:r>
        <w:rPr>
          <w:color w:val="3480BC"/>
        </w:rPr>
        <w:t xml:space="preserve">—   </w:t>
      </w:r>
      <w:r>
        <w:t>Environmental management aligned to ISO 14001, with a plan covering erosion and sediment control, stormwater and groundwater protection, dust and air quality, noise and vibration, spill response, vegetation protection and contaminated material.</w:t>
      </w:r>
    </w:p>
    <w:p>
      <w:pPr>
        <w:pStyle w:val="BodyBullet"/>
      </w:pPr>
      <w:r>
        <w:rPr>
          <w:color w:val="3480BC"/>
        </w:rPr>
        <w:t xml:space="preserve">—   </w:t>
      </w:r>
      <w:r>
        <w:t>Waste is classified, segregated and tracked. The project target is [insert %] of construction and demolition waste diverted from landfill by mass, reported monthly with disposal dockets. Waste reporting is a submittal under Section 14.</w:t>
      </w:r>
    </w:p>
    <w:p>
      <w:pPr>
        <w:pStyle w:val="BodyBullet"/>
      </w:pPr>
      <w:r>
        <w:rPr>
          <w:color w:val="3480BC"/>
        </w:rPr>
        <w:t xml:space="preserve">—   </w:t>
      </w:r>
      <w:r>
        <w:t>Sustainability. Where the project pursues a rating or certification [insert scheme and target rating], the Contractor must provide the evidence that the scheme requires, at the time the scheme requires it. Late evidence that costs the project a credit is a Contractor risk.</w:t>
      </w:r>
    </w:p>
    <w:p>
      <w:pPr>
        <w:pStyle w:val="BodyBullet"/>
      </w:pPr>
      <w:r>
        <w:rPr>
          <w:color w:val="3480BC"/>
        </w:rPr>
        <w:t xml:space="preserve">—   </w:t>
      </w:r>
      <w:r>
        <w:t>Embodied carbon. Where required, the Contractor reports the embodied carbon of the Owner materials — concrete, steel, aluminum, glass — using environmental product declarations to ISO 14025, at the material approval stage and again as installed.</w:t>
      </w:r>
    </w:p>
    <w:p>
      <w:pPr>
        <w:spacing w:before="0" w:after="0" w:line="80" w:lineRule="exact"/>
      </w:pPr>
    </w:p>
    <w:p>
      <w:pPr>
        <w:pStyle w:val="Heading2"/>
      </w:pPr>
      <w:bookmarkStart w:id="9054" w:name="_Toc90054"/>
      <w:r>
        <w:t>13.3 HSE evidence schedule</w:t>
      </w:r>
      <w:bookmarkEnd w:id="9054"/>
    </w:p>
    <w:p>
      <w:pPr>
        <w:pStyle w:val="Note"/>
      </w:pPr>
      <w:r>
        <w:t>This table is a reference list — its rows are the content. Add any project-specific HSE evidence and align the due dates with the submittals register at Section 14 so that a requirement appears once, not twice with different dates.</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834"/>
        <w:gridCol w:w="3968"/>
        <w:gridCol w:w="2836"/>
      </w:tblGrid>
      <w:tr>
        <w:trPr>
          <w:tblHeader w:val="true"/>
          <w:cantSplit w:val="true"/>
        </w:trPr>
        <w:tc>
          <w:tcPr>
            <w:tcW w:w="2834" w:type="dxa"/>
            <w:shd w:val="clear" w:color="auto" w:fill="1D3245"/>
            <w:vAlign w:val="center"/>
          </w:tcPr>
          <w:p>
            <w:pPr>
              <w:pStyle w:val="TableHeader"/>
              <w:jc w:val="left"/>
            </w:pPr>
            <w:r/>
            <w:r>
              <w:t>Requirement</w:t>
            </w:r>
          </w:p>
        </w:tc>
        <w:tc>
          <w:tcPr>
            <w:tcW w:w="3968" w:type="dxa"/>
            <w:shd w:val="clear" w:color="auto" w:fill="1D3245"/>
            <w:vAlign w:val="center"/>
          </w:tcPr>
          <w:p>
            <w:pPr>
              <w:pStyle w:val="TableHeader"/>
              <w:jc w:val="left"/>
            </w:pPr>
            <w:r/>
            <w:r>
              <w:t>Evidence required</w:t>
            </w:r>
          </w:p>
        </w:tc>
        <w:tc>
          <w:tcPr>
            <w:tcW w:w="2836" w:type="dxa"/>
            <w:shd w:val="clear" w:color="auto" w:fill="1D3245"/>
            <w:vAlign w:val="center"/>
          </w:tcPr>
          <w:p>
            <w:pPr>
              <w:pStyle w:val="TableHeader"/>
              <w:jc w:val="left"/>
            </w:pPr>
            <w:r/>
            <w:r>
              <w:t>When due</w:t>
            </w:r>
          </w:p>
        </w:tc>
      </w:tr>
      <w:tr>
        <w:trPr>
          <w:cantSplit w:val="true"/>
        </w:trPr>
        <w:tc>
          <w:tcPr>
            <w:tcW w:w="2834" w:type="dxa"/>
            <w:vAlign w:val="center"/>
          </w:tcPr>
          <w:p>
            <w:pPr>
              <w:pStyle w:val="TableText"/>
              <w:jc w:val="left"/>
            </w:pPr>
            <w:r/>
            <w:r>
              <w:t>Safety management system and project safety plan</w:t>
            </w:r>
          </w:p>
        </w:tc>
        <w:tc>
          <w:tcPr>
            <w:tcW w:w="3968" w:type="dxa"/>
            <w:vAlign w:val="center"/>
          </w:tcPr>
          <w:p>
            <w:pPr>
              <w:pStyle w:val="TableText"/>
              <w:jc w:val="left"/>
            </w:pPr>
            <w:r/>
            <w:r>
              <w:t>ISO 45001 certification or equivalent evidence of a functioning system, plus the project-specific plan</w:t>
            </w:r>
          </w:p>
        </w:tc>
        <w:tc>
          <w:tcPr>
            <w:tcW w:w="2836" w:type="dxa"/>
            <w:vAlign w:val="center"/>
          </w:tcPr>
          <w:p>
            <w:pPr>
              <w:pStyle w:val="TableText"/>
              <w:jc w:val="left"/>
            </w:pPr>
            <w:r/>
            <w:r>
              <w:t>Within [10] working days of award; before mobilization</w:t>
            </w:r>
          </w:p>
        </w:tc>
      </w:tr>
      <w:tr>
        <w:trPr>
          <w:cantSplit w:val="true"/>
        </w:trPr>
        <w:tc>
          <w:tcPr>
            <w:tcW w:w="2834" w:type="dxa"/>
            <w:vAlign w:val="center"/>
          </w:tcPr>
          <w:p>
            <w:pPr>
              <w:pStyle w:val="TableText"/>
              <w:jc w:val="left"/>
            </w:pPr>
            <w:r/>
            <w:r>
              <w:t>Job Hazard Analyses for high-risk activities</w:t>
            </w:r>
          </w:p>
        </w:tc>
        <w:tc>
          <w:tcPr>
            <w:tcW w:w="3968" w:type="dxa"/>
            <w:vAlign w:val="center"/>
          </w:tcPr>
          <w:p>
            <w:pPr>
              <w:pStyle w:val="TableText"/>
              <w:jc w:val="left"/>
            </w:pPr>
            <w:r/>
            <w:r>
              <w:t>Accepted statement per activity, with the register and evidence of worker briefing</w:t>
            </w:r>
          </w:p>
        </w:tc>
        <w:tc>
          <w:tcPr>
            <w:tcW w:w="2836" w:type="dxa"/>
            <w:vAlign w:val="center"/>
          </w:tcPr>
          <w:p>
            <w:pPr>
              <w:pStyle w:val="TableText"/>
              <w:jc w:val="left"/>
            </w:pPr>
            <w:r/>
            <w:r>
              <w:t>[5] working days before mobilization of the activity</w:t>
            </w:r>
          </w:p>
        </w:tc>
      </w:tr>
      <w:tr>
        <w:trPr>
          <w:cantSplit w:val="true"/>
        </w:trPr>
        <w:tc>
          <w:tcPr>
            <w:tcW w:w="2834" w:type="dxa"/>
            <w:vAlign w:val="center"/>
          </w:tcPr>
          <w:p>
            <w:pPr>
              <w:pStyle w:val="TableText"/>
              <w:jc w:val="left"/>
            </w:pPr>
            <w:r/>
            <w:r>
              <w:t>Competency, license and high-risk work authorization register</w:t>
            </w:r>
          </w:p>
        </w:tc>
        <w:tc>
          <w:tcPr>
            <w:tcW w:w="3968" w:type="dxa"/>
            <w:vAlign w:val="center"/>
          </w:tcPr>
          <w:p>
            <w:pPr>
              <w:pStyle w:val="TableText"/>
              <w:jc w:val="left"/>
            </w:pPr>
            <w:r/>
            <w:r>
              <w:t>Current register, verified against primary documents</w:t>
            </w:r>
          </w:p>
        </w:tc>
        <w:tc>
          <w:tcPr>
            <w:tcW w:w="2836" w:type="dxa"/>
            <w:vAlign w:val="center"/>
          </w:tcPr>
          <w:p>
            <w:pPr>
              <w:pStyle w:val="TableText"/>
              <w:jc w:val="left"/>
            </w:pPr>
            <w:r/>
            <w:r>
              <w:t>Before mobilization; updated monthly</w:t>
            </w:r>
          </w:p>
        </w:tc>
      </w:tr>
      <w:tr>
        <w:trPr>
          <w:cantSplit w:val="true"/>
        </w:trPr>
        <w:tc>
          <w:tcPr>
            <w:tcW w:w="2834" w:type="dxa"/>
            <w:vAlign w:val="center"/>
          </w:tcPr>
          <w:p>
            <w:pPr>
              <w:pStyle w:val="TableText"/>
              <w:jc w:val="left"/>
            </w:pPr>
            <w:r/>
            <w:r>
              <w:t>Equipment and equipment register with statutory inspections</w:t>
            </w:r>
          </w:p>
        </w:tc>
        <w:tc>
          <w:tcPr>
            <w:tcW w:w="3968" w:type="dxa"/>
            <w:vAlign w:val="center"/>
          </w:tcPr>
          <w:p>
            <w:pPr>
              <w:pStyle w:val="TableText"/>
              <w:jc w:val="left"/>
            </w:pPr>
            <w:r/>
            <w:r>
              <w:t>Register with current inspection and test certificates</w:t>
            </w:r>
          </w:p>
        </w:tc>
        <w:tc>
          <w:tcPr>
            <w:tcW w:w="2836" w:type="dxa"/>
            <w:vAlign w:val="center"/>
          </w:tcPr>
          <w:p>
            <w:pPr>
              <w:pStyle w:val="TableText"/>
              <w:jc w:val="left"/>
            </w:pPr>
            <w:r/>
            <w:r>
              <w:t>Before equipment arrives on site</w:t>
            </w:r>
          </w:p>
        </w:tc>
      </w:tr>
      <w:tr>
        <w:trPr>
          <w:cantSplit w:val="true"/>
        </w:trPr>
        <w:tc>
          <w:tcPr>
            <w:tcW w:w="2834" w:type="dxa"/>
            <w:vAlign w:val="center"/>
          </w:tcPr>
          <w:p>
            <w:pPr>
              <w:pStyle w:val="TableText"/>
              <w:jc w:val="left"/>
            </w:pPr>
            <w:r/>
            <w:r>
              <w:t>Environmental management plan and controls</w:t>
            </w:r>
          </w:p>
        </w:tc>
        <w:tc>
          <w:tcPr>
            <w:tcW w:w="3968" w:type="dxa"/>
            <w:vAlign w:val="center"/>
          </w:tcPr>
          <w:p>
            <w:pPr>
              <w:pStyle w:val="TableText"/>
              <w:jc w:val="left"/>
            </w:pPr>
            <w:r/>
            <w:r>
              <w:t>Plan, control drawings, and inspection records</w:t>
            </w:r>
          </w:p>
        </w:tc>
        <w:tc>
          <w:tcPr>
            <w:tcW w:w="2836" w:type="dxa"/>
            <w:vAlign w:val="center"/>
          </w:tcPr>
          <w:p>
            <w:pPr>
              <w:pStyle w:val="TableText"/>
              <w:jc w:val="left"/>
            </w:pPr>
            <w:r/>
            <w:r>
              <w:t>Before any ground disturbance</w:t>
            </w:r>
          </w:p>
        </w:tc>
      </w:tr>
      <w:tr>
        <w:trPr>
          <w:cantSplit w:val="true"/>
        </w:trPr>
        <w:tc>
          <w:tcPr>
            <w:tcW w:w="2834" w:type="dxa"/>
            <w:vAlign w:val="center"/>
          </w:tcPr>
          <w:p>
            <w:pPr>
              <w:pStyle w:val="TableText"/>
              <w:jc w:val="left"/>
            </w:pPr>
            <w:r/>
            <w:r>
              <w:t>Waste and diversion reporting</w:t>
            </w:r>
          </w:p>
        </w:tc>
        <w:tc>
          <w:tcPr>
            <w:tcW w:w="3968" w:type="dxa"/>
            <w:vAlign w:val="center"/>
          </w:tcPr>
          <w:p>
            <w:pPr>
              <w:pStyle w:val="TableText"/>
              <w:jc w:val="left"/>
            </w:pPr>
            <w:r/>
            <w:r>
              <w:t>Monthly waste report with disposal dockets and diversion rate</w:t>
            </w:r>
          </w:p>
        </w:tc>
        <w:tc>
          <w:tcPr>
            <w:tcW w:w="2836" w:type="dxa"/>
            <w:vAlign w:val="center"/>
          </w:tcPr>
          <w:p>
            <w:pPr>
              <w:pStyle w:val="TableText"/>
              <w:jc w:val="left"/>
            </w:pPr>
            <w:r/>
            <w:r>
              <w:t>Monthly with the progress report</w:t>
            </w:r>
          </w:p>
        </w:tc>
      </w:tr>
      <w:tr>
        <w:trPr>
          <w:cantSplit w:val="true"/>
        </w:trPr>
        <w:tc>
          <w:tcPr>
            <w:tcW w:w="2834" w:type="dxa"/>
            <w:vAlign w:val="center"/>
          </w:tcPr>
          <w:p>
            <w:pPr>
              <w:pStyle w:val="TableText"/>
              <w:jc w:val="left"/>
            </w:pPr>
            <w:r/>
            <w:r>
              <w:t>Incident and exceedance reporting</w:t>
            </w:r>
          </w:p>
        </w:tc>
        <w:tc>
          <w:tcPr>
            <w:tcW w:w="3968" w:type="dxa"/>
            <w:vAlign w:val="center"/>
          </w:tcPr>
          <w:p>
            <w:pPr>
              <w:pStyle w:val="TableText"/>
              <w:jc w:val="left"/>
            </w:pPr>
            <w:r/>
            <w:r>
              <w:t>Notification and investigation report</w:t>
            </w:r>
          </w:p>
        </w:tc>
        <w:tc>
          <w:tcPr>
            <w:tcW w:w="2836" w:type="dxa"/>
            <w:vAlign w:val="center"/>
          </w:tcPr>
          <w:p>
            <w:pPr>
              <w:pStyle w:val="TableText"/>
              <w:jc w:val="left"/>
            </w:pPr>
            <w:r/>
            <w:r>
              <w:t>Within the period stated in the Safety Management Plan</w:t>
            </w:r>
          </w:p>
        </w:tc>
      </w:tr>
      <w:tr>
        <w:trPr>
          <w:cantSplit w:val="true"/>
        </w:trPr>
        <w:tc>
          <w:tcPr>
            <w:tcW w:w="2834" w:type="dxa"/>
            <w:vAlign w:val="center"/>
          </w:tcPr>
          <w:p>
            <w:pPr>
              <w:pStyle w:val="TableText"/>
              <w:jc w:val="left"/>
            </w:pPr>
            <w:r/>
          </w:p>
        </w:tc>
        <w:tc>
          <w:tcPr>
            <w:tcW w:w="3968" w:type="dxa"/>
            <w:vAlign w:val="center"/>
          </w:tcPr>
          <w:p>
            <w:pPr>
              <w:pStyle w:val="TableText"/>
              <w:jc w:val="left"/>
            </w:pPr>
            <w:r/>
          </w:p>
        </w:tc>
        <w:tc>
          <w:tcPr>
            <w:tcW w:w="2836" w:type="dxa"/>
            <w:vAlign w:val="center"/>
          </w:tcPr>
          <w:p>
            <w:pPr>
              <w:pStyle w:val="TableText"/>
              <w:jc w:val="left"/>
            </w:pPr>
            <w:r/>
          </w:p>
        </w:tc>
      </w:tr>
      <w:tr>
        <w:trPr>
          <w:cantSplit w:val="true"/>
        </w:trPr>
        <w:tc>
          <w:tcPr>
            <w:tcW w:w="2834" w:type="dxa"/>
            <w:vAlign w:val="center"/>
          </w:tcPr>
          <w:p>
            <w:pPr>
              <w:pStyle w:val="TableText"/>
              <w:jc w:val="left"/>
            </w:pPr>
            <w:r/>
          </w:p>
        </w:tc>
        <w:tc>
          <w:tcPr>
            <w:tcW w:w="3968" w:type="dxa"/>
            <w:vAlign w:val="center"/>
          </w:tcPr>
          <w:p>
            <w:pPr>
              <w:pStyle w:val="TableText"/>
              <w:jc w:val="left"/>
            </w:pPr>
            <w:r/>
          </w:p>
        </w:tc>
        <w:tc>
          <w:tcPr>
            <w:tcW w:w="2836" w:type="dxa"/>
            <w:vAlign w:val="center"/>
          </w:tcPr>
          <w:p>
            <w:pPr>
              <w:pStyle w:val="TableText"/>
              <w:jc w:val="left"/>
            </w:pPr>
            <w:r/>
          </w:p>
        </w:tc>
      </w:tr>
    </w:tbl>
    <w:p>
      <w:pPr>
        <w:spacing w:before="0" w:after="0" w:line="60" w:lineRule="exact"/>
      </w:pPr>
    </w:p>
    <w:p>
      <w:pPr>
        <w:sectPr>
          <w:headerReference w:type="default" r:id="rId11"/>
          <w:footerReference w:type="default" r:id="rId12"/>
          <w:pgSz w:w="11906" w:h="16838"/>
          <w:pgMar w:top="1049" w:right="1134" w:bottom="850" w:left="1134" w:header="482" w:footer="454" w:gutter="0"/>
          <w:cols w:space="720"/>
        </w:sectPr>
      </w:pPr>
    </w:p>
    <w:p>
      <w:pPr>
        <w:pStyle w:val="Heading1"/>
      </w:pPr>
      <w:bookmarkStart w:id="9055" w:name="_Toc90055"/>
      <w:r>
        <w:t>14. Submittals and Deliverables Register</w:t>
      </w:r>
      <w:bookmarkEnd w:id="9055"/>
    </w:p>
    <w:p>
      <w:pPr>
        <w:pStyle w:val="BodyLead"/>
      </w:pPr>
      <w:r>
        <w:t>This register is what makes the rest of the document enforceable: it converts obligations into dated deliverables with a named reviewer and a stated consequence. Due dates are expressed relative to an event, not as fixed dates, so the register survives a change to the schedule.</w:t>
      </w:r>
    </w:p>
    <w:p>
      <w:pPr>
        <w:pStyle w:val="Note"/>
      </w:pPr>
      <w:r>
        <w:t>Review by the Owner, the Owner's Representative or a consultant is a check for general conformity with the contract documents only. It is not approval of dimensions, quantities, means or methods and does not relieve the Contractor of responsibility for compliance. A submittal returned for correction is resubmitted within the resubmission period, and the review period starts again on resubmission.</w:t>
      </w:r>
    </w:p>
    <w:p>
      <w:pPr>
        <w:pStyle w:val="Note"/>
      </w:pPr>
      <w:r>
        <w:t>Example rows shown in gray italic — delete before use. Complete a row for every deliverable listed below and for every submittal required elsewhere in this scope. The register is complete when nothing in this document requires a submission that is not in the register.</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14570" w:type="dxa"/>
        <w:tblInd w:w="0" w:type="dxa"/>
        <w:tblCellMar>
          <w:top w:w="45" w:type="dxa"/>
          <w:left w:w="100" w:type="dxa"/>
          <w:bottom w:w="45" w:type="dxa"/>
          <w:right w:w="100" w:type="dxa"/>
        </w:tblCellMar>
      </w:tblPr>
      <w:tblGrid>
        <w:gridCol w:w="2428"/>
        <w:gridCol w:w="2064"/>
        <w:gridCol w:w="2185"/>
        <w:gridCol w:w="2306"/>
        <w:gridCol w:w="1214"/>
        <w:gridCol w:w="2064"/>
        <w:gridCol w:w="2309"/>
      </w:tblGrid>
      <w:tr>
        <w:trPr>
          <w:tblHeader w:val="true"/>
          <w:cantSplit w:val="true"/>
        </w:trPr>
        <w:tc>
          <w:tcPr>
            <w:tcW w:w="2428" w:type="dxa"/>
            <w:shd w:val="clear" w:color="auto" w:fill="1D3245"/>
            <w:vAlign w:val="center"/>
          </w:tcPr>
          <w:p>
            <w:pPr>
              <w:pStyle w:val="TableHeader"/>
              <w:jc w:val="left"/>
            </w:pPr>
            <w:r/>
            <w:r>
              <w:t>Deliverable</w:t>
            </w:r>
          </w:p>
        </w:tc>
        <w:tc>
          <w:tcPr>
            <w:tcW w:w="2064" w:type="dxa"/>
            <w:shd w:val="clear" w:color="auto" w:fill="1D3245"/>
            <w:vAlign w:val="center"/>
          </w:tcPr>
          <w:p>
            <w:pPr>
              <w:pStyle w:val="TableHeader"/>
              <w:jc w:val="left"/>
            </w:pPr>
            <w:r/>
            <w:r>
              <w:t>Purpose</w:t>
            </w:r>
          </w:p>
        </w:tc>
        <w:tc>
          <w:tcPr>
            <w:tcW w:w="2185" w:type="dxa"/>
            <w:shd w:val="clear" w:color="auto" w:fill="1D3245"/>
            <w:vAlign w:val="center"/>
          </w:tcPr>
          <w:p>
            <w:pPr>
              <w:pStyle w:val="TableHeader"/>
              <w:jc w:val="left"/>
            </w:pPr>
            <w:r/>
            <w:r>
              <w:t>Format</w:t>
            </w:r>
          </w:p>
        </w:tc>
        <w:tc>
          <w:tcPr>
            <w:tcW w:w="2306" w:type="dxa"/>
            <w:shd w:val="clear" w:color="auto" w:fill="1D3245"/>
            <w:vAlign w:val="center"/>
          </w:tcPr>
          <w:p>
            <w:pPr>
              <w:pStyle w:val="TableHeader"/>
              <w:jc w:val="left"/>
            </w:pPr>
            <w:r/>
            <w:r>
              <w:t>Due (relative to event)</w:t>
            </w:r>
          </w:p>
        </w:tc>
        <w:tc>
          <w:tcPr>
            <w:tcW w:w="1214" w:type="dxa"/>
            <w:shd w:val="clear" w:color="auto" w:fill="1D3245"/>
            <w:vAlign w:val="center"/>
          </w:tcPr>
          <w:p>
            <w:pPr>
              <w:pStyle w:val="TableHeader"/>
              <w:jc w:val="left"/>
            </w:pPr>
            <w:r/>
            <w:r>
              <w:t>Review period</w:t>
            </w:r>
          </w:p>
        </w:tc>
        <w:tc>
          <w:tcPr>
            <w:tcW w:w="2064" w:type="dxa"/>
            <w:shd w:val="clear" w:color="auto" w:fill="1D3245"/>
            <w:vAlign w:val="center"/>
          </w:tcPr>
          <w:p>
            <w:pPr>
              <w:pStyle w:val="TableHeader"/>
              <w:jc w:val="left"/>
            </w:pPr>
            <w:r/>
            <w:r>
              <w:t>Approval authority</w:t>
            </w:r>
          </w:p>
        </w:tc>
        <w:tc>
          <w:tcPr>
            <w:tcW w:w="2309" w:type="dxa"/>
            <w:shd w:val="clear" w:color="auto" w:fill="1D3245"/>
            <w:vAlign w:val="center"/>
          </w:tcPr>
          <w:p>
            <w:pPr>
              <w:pStyle w:val="TableHeader"/>
              <w:jc w:val="left"/>
            </w:pPr>
            <w:r/>
            <w:r>
              <w:t>Consequence of late submission</w:t>
            </w:r>
          </w:p>
        </w:tc>
      </w:tr>
      <w:tr>
        <w:trPr>
          <w:cantSplit w:val="true"/>
        </w:trPr>
        <w:tc>
          <w:tcPr>
            <w:tcW w:w="2428" w:type="dxa"/>
            <w:vAlign w:val="center"/>
          </w:tcPr>
          <w:p>
            <w:pPr>
              <w:pStyle w:val="TableTextExample"/>
              <w:jc w:val="left"/>
            </w:pPr>
            <w:r/>
            <w:r>
              <w:t>Shop and fabrication drawings — structural steel</w:t>
            </w:r>
          </w:p>
        </w:tc>
        <w:tc>
          <w:tcPr>
            <w:tcW w:w="2064" w:type="dxa"/>
            <w:vAlign w:val="center"/>
          </w:tcPr>
          <w:p>
            <w:pPr>
              <w:pStyle w:val="TableTextExample"/>
              <w:jc w:val="left"/>
            </w:pPr>
            <w:r/>
            <w:r>
              <w:t>Verification of general conformity before fabrication</w:t>
            </w:r>
          </w:p>
        </w:tc>
        <w:tc>
          <w:tcPr>
            <w:tcW w:w="2185" w:type="dxa"/>
            <w:vAlign w:val="center"/>
          </w:tcPr>
          <w:p>
            <w:pPr>
              <w:pStyle w:val="TableTextExample"/>
              <w:jc w:val="left"/>
            </w:pPr>
            <w:r/>
            <w:r>
              <w:t>PDF plus native model in the exchange format at Section 9.5</w:t>
            </w:r>
          </w:p>
        </w:tc>
        <w:tc>
          <w:tcPr>
            <w:tcW w:w="2306" w:type="dxa"/>
            <w:vAlign w:val="center"/>
          </w:tcPr>
          <w:p>
            <w:pPr>
              <w:pStyle w:val="TableTextExample"/>
              <w:jc w:val="left"/>
            </w:pPr>
            <w:r/>
            <w:r>
              <w:t>[20] working days before the first fabrication release for that zone</w:t>
            </w:r>
          </w:p>
        </w:tc>
        <w:tc>
          <w:tcPr>
            <w:tcW w:w="1214" w:type="dxa"/>
            <w:vAlign w:val="center"/>
          </w:tcPr>
          <w:p>
            <w:pPr>
              <w:pStyle w:val="TableTextExample"/>
              <w:jc w:val="left"/>
            </w:pPr>
            <w:r/>
            <w:r>
              <w:t>[10] working days</w:t>
            </w:r>
          </w:p>
        </w:tc>
        <w:tc>
          <w:tcPr>
            <w:tcW w:w="2064" w:type="dxa"/>
            <w:vAlign w:val="center"/>
          </w:tcPr>
          <w:p>
            <w:pPr>
              <w:pStyle w:val="TableTextExample"/>
              <w:jc w:val="left"/>
            </w:pPr>
            <w:r/>
            <w:r>
              <w:t>Structural engineer, via the Owner's Representative</w:t>
            </w:r>
          </w:p>
        </w:tc>
        <w:tc>
          <w:tcPr>
            <w:tcW w:w="2309" w:type="dxa"/>
            <w:vAlign w:val="center"/>
          </w:tcPr>
          <w:p>
            <w:pPr>
              <w:pStyle w:val="TableTextExample"/>
              <w:jc w:val="left"/>
            </w:pPr>
            <w:r/>
            <w:r>
              <w:t>Fabrication at the Contractor's risk; no extension of the Contract Time for the review period consumed</w:t>
            </w:r>
          </w:p>
        </w:tc>
      </w:tr>
      <w:tr>
        <w:trPr>
          <w:cantSplit w:val="true"/>
        </w:trPr>
        <w:tc>
          <w:tcPr>
            <w:tcW w:w="2428" w:type="dxa"/>
            <w:vAlign w:val="center"/>
          </w:tcPr>
          <w:p>
            <w:pPr>
              <w:pStyle w:val="TableTextExample"/>
              <w:jc w:val="left"/>
            </w:pPr>
            <w:r/>
            <w:r>
              <w:t>Temporary works design and independent certification</w:t>
            </w:r>
          </w:p>
        </w:tc>
        <w:tc>
          <w:tcPr>
            <w:tcW w:w="2064" w:type="dxa"/>
            <w:vAlign w:val="center"/>
          </w:tcPr>
          <w:p>
            <w:pPr>
              <w:pStyle w:val="TableTextExample"/>
              <w:jc w:val="left"/>
            </w:pPr>
            <w:r/>
            <w:r>
              <w:t>Demonstration that the temporary works are safe and that adjacent-structure limits are met</w:t>
            </w:r>
          </w:p>
        </w:tc>
        <w:tc>
          <w:tcPr>
            <w:tcW w:w="2185" w:type="dxa"/>
            <w:vAlign w:val="center"/>
          </w:tcPr>
          <w:p>
            <w:pPr>
              <w:pStyle w:val="TableTextExample"/>
              <w:jc w:val="left"/>
            </w:pPr>
            <w:r/>
            <w:r>
              <w:t>Signed design report, drawings and certificate</w:t>
            </w:r>
          </w:p>
        </w:tc>
        <w:tc>
          <w:tcPr>
            <w:tcW w:w="2306" w:type="dxa"/>
            <w:vAlign w:val="center"/>
          </w:tcPr>
          <w:p>
            <w:pPr>
              <w:pStyle w:val="TableTextExample"/>
              <w:jc w:val="left"/>
            </w:pPr>
            <w:r/>
            <w:r>
              <w:t>[15] working days before installation of the temporary works</w:t>
            </w:r>
          </w:p>
        </w:tc>
        <w:tc>
          <w:tcPr>
            <w:tcW w:w="1214" w:type="dxa"/>
            <w:vAlign w:val="center"/>
          </w:tcPr>
          <w:p>
            <w:pPr>
              <w:pStyle w:val="TableTextExample"/>
              <w:jc w:val="left"/>
            </w:pPr>
            <w:r/>
            <w:r>
              <w:t>[10] working days</w:t>
            </w:r>
          </w:p>
        </w:tc>
        <w:tc>
          <w:tcPr>
            <w:tcW w:w="2064" w:type="dxa"/>
            <w:vAlign w:val="center"/>
          </w:tcPr>
          <w:p>
            <w:pPr>
              <w:pStyle w:val="TableTextExample"/>
              <w:jc w:val="left"/>
            </w:pPr>
            <w:r/>
            <w:r>
              <w:t>Owner's Representative, on the certifier's certificate</w:t>
            </w:r>
          </w:p>
        </w:tc>
        <w:tc>
          <w:tcPr>
            <w:tcW w:w="2309" w:type="dxa"/>
            <w:vAlign w:val="center"/>
          </w:tcPr>
          <w:p>
            <w:pPr>
              <w:pStyle w:val="TableTextExample"/>
              <w:jc w:val="left"/>
            </w:pPr>
            <w:r/>
            <w:r>
              <w:t>Hold point not released; the activity cannot start</w:t>
            </w:r>
          </w:p>
        </w:tc>
      </w:tr>
      <w:tr>
        <w:trPr>
          <w:cantSplit w:val="true"/>
        </w:trPr>
        <w:tc>
          <w:tcPr>
            <w:tcW w:w="2428" w:type="dxa"/>
            <w:vAlign w:val="center"/>
          </w:tcPr>
          <w:p>
            <w:pPr>
              <w:pStyle w:val="TableTextExample"/>
              <w:jc w:val="left"/>
            </w:pPr>
            <w:r/>
            <w:r>
              <w:t>Samples, prototypes and benchmarks</w:t>
            </w:r>
          </w:p>
        </w:tc>
        <w:tc>
          <w:tcPr>
            <w:tcW w:w="2064" w:type="dxa"/>
            <w:vAlign w:val="center"/>
          </w:tcPr>
          <w:p>
            <w:pPr>
              <w:pStyle w:val="TableTextExample"/>
              <w:jc w:val="left"/>
            </w:pPr>
            <w:r/>
            <w:r>
              <w:t>Establishment of the accepted standard of appearance and workmanship</w:t>
            </w:r>
          </w:p>
        </w:tc>
        <w:tc>
          <w:tcPr>
            <w:tcW w:w="2185" w:type="dxa"/>
            <w:vAlign w:val="center"/>
          </w:tcPr>
          <w:p>
            <w:pPr>
              <w:pStyle w:val="TableTextExample"/>
              <w:jc w:val="left"/>
            </w:pPr>
            <w:r/>
            <w:r>
              <w:t>Physical sample plus a photographic record and register entry</w:t>
            </w:r>
          </w:p>
        </w:tc>
        <w:tc>
          <w:tcPr>
            <w:tcW w:w="2306" w:type="dxa"/>
            <w:vAlign w:val="center"/>
          </w:tcPr>
          <w:p>
            <w:pPr>
              <w:pStyle w:val="TableTextExample"/>
              <w:jc w:val="left"/>
            </w:pPr>
            <w:r/>
            <w:r>
              <w:t>As stated at Section 12.3</w:t>
            </w:r>
          </w:p>
        </w:tc>
        <w:tc>
          <w:tcPr>
            <w:tcW w:w="1214" w:type="dxa"/>
            <w:vAlign w:val="center"/>
          </w:tcPr>
          <w:p>
            <w:pPr>
              <w:pStyle w:val="TableTextExample"/>
              <w:jc w:val="left"/>
            </w:pPr>
            <w:r/>
            <w:r>
              <w:t>[10] working days</w:t>
            </w:r>
          </w:p>
        </w:tc>
        <w:tc>
          <w:tcPr>
            <w:tcW w:w="2064" w:type="dxa"/>
            <w:vAlign w:val="center"/>
          </w:tcPr>
          <w:p>
            <w:pPr>
              <w:pStyle w:val="TableTextExample"/>
              <w:jc w:val="left"/>
            </w:pPr>
            <w:r/>
            <w:r>
              <w:t>Architect and Owner jointly</w:t>
            </w:r>
          </w:p>
        </w:tc>
        <w:tc>
          <w:tcPr>
            <w:tcW w:w="2309" w:type="dxa"/>
            <w:vAlign w:val="center"/>
          </w:tcPr>
          <w:p>
            <w:pPr>
              <w:pStyle w:val="TableTextExample"/>
              <w:jc w:val="left"/>
            </w:pPr>
            <w:r/>
            <w:r>
              <w:t>Element may not be released to production; any procurement is at the Contractor's risk</w:t>
            </w:r>
          </w:p>
        </w:tc>
      </w:tr>
      <w:tr>
        <w:trPr>
          <w:cantSplit w:val="true"/>
        </w:trPr>
        <w:tc>
          <w:tcPr>
            <w:tcW w:w="2428" w:type="dxa"/>
            <w:vAlign w:val="center"/>
          </w:tcPr>
          <w:p>
            <w:pPr>
              <w:pStyle w:val="TableTextExample"/>
              <w:jc w:val="left"/>
            </w:pPr>
            <w:r/>
            <w:r>
              <w:t>Design calculations and design certification for performance-specified elements</w:t>
            </w:r>
          </w:p>
        </w:tc>
        <w:tc>
          <w:tcPr>
            <w:tcW w:w="2064" w:type="dxa"/>
            <w:vAlign w:val="center"/>
          </w:tcPr>
          <w:p>
            <w:pPr>
              <w:pStyle w:val="TableTextExample"/>
              <w:jc w:val="left"/>
            </w:pPr>
            <w:r/>
            <w:r>
              <w:t>Transfer of design responsibility, evidenced</w:t>
            </w:r>
          </w:p>
        </w:tc>
        <w:tc>
          <w:tcPr>
            <w:tcW w:w="2185" w:type="dxa"/>
            <w:vAlign w:val="center"/>
          </w:tcPr>
          <w:p>
            <w:pPr>
              <w:pStyle w:val="TableTextExample"/>
              <w:jc w:val="left"/>
            </w:pPr>
            <w:r/>
            <w:r>
              <w:t>Signed calculations and a certificate from the responsible designer, with professional indemnity evidence</w:t>
            </w:r>
          </w:p>
        </w:tc>
        <w:tc>
          <w:tcPr>
            <w:tcW w:w="2306" w:type="dxa"/>
            <w:vAlign w:val="center"/>
          </w:tcPr>
          <w:p>
            <w:pPr>
              <w:pStyle w:val="TableTextExample"/>
              <w:jc w:val="left"/>
            </w:pPr>
            <w:r/>
            <w:r>
              <w:t>[20] working days before fabrication or installation</w:t>
            </w:r>
          </w:p>
        </w:tc>
        <w:tc>
          <w:tcPr>
            <w:tcW w:w="1214" w:type="dxa"/>
            <w:vAlign w:val="center"/>
          </w:tcPr>
          <w:p>
            <w:pPr>
              <w:pStyle w:val="TableTextExample"/>
              <w:jc w:val="left"/>
            </w:pPr>
            <w:r/>
            <w:r>
              <w:t>[15] working days</w:t>
            </w:r>
          </w:p>
        </w:tc>
        <w:tc>
          <w:tcPr>
            <w:tcW w:w="2064" w:type="dxa"/>
            <w:vAlign w:val="center"/>
          </w:tcPr>
          <w:p>
            <w:pPr>
              <w:pStyle w:val="TableTextExample"/>
              <w:jc w:val="left"/>
            </w:pPr>
            <w:r/>
            <w:r>
              <w:t>Owner's Representative, on the design certifier's certificate</w:t>
            </w:r>
          </w:p>
        </w:tc>
        <w:tc>
          <w:tcPr>
            <w:tcW w:w="2309" w:type="dxa"/>
            <w:vAlign w:val="center"/>
          </w:tcPr>
          <w:p>
            <w:pPr>
              <w:pStyle w:val="TableTextExample"/>
              <w:jc w:val="left"/>
            </w:pPr>
            <w:r/>
            <w:r>
              <w:t>Element is not accepted; installation is a nonconformance</w:t>
            </w:r>
          </w:p>
        </w:tc>
      </w:tr>
      <w:tr>
        <w:trPr>
          <w:cantSplit w:val="true"/>
        </w:trPr>
        <w:tc>
          <w:tcPr>
            <w:tcW w:w="2428" w:type="dxa"/>
            <w:vAlign w:val="center"/>
          </w:tcPr>
          <w:p>
            <w:pPr>
              <w:pStyle w:val="TableText"/>
              <w:jc w:val="left"/>
            </w:pPr>
            <w:r/>
          </w:p>
        </w:tc>
        <w:tc>
          <w:tcPr>
            <w:tcW w:w="2064" w:type="dxa"/>
            <w:vAlign w:val="center"/>
          </w:tcPr>
          <w:p>
            <w:pPr>
              <w:pStyle w:val="TableText"/>
              <w:jc w:val="left"/>
            </w:pPr>
            <w:r/>
          </w:p>
        </w:tc>
        <w:tc>
          <w:tcPr>
            <w:tcW w:w="2185" w:type="dxa"/>
            <w:vAlign w:val="center"/>
          </w:tcPr>
          <w:p>
            <w:pPr>
              <w:pStyle w:val="TableText"/>
              <w:jc w:val="left"/>
            </w:pPr>
            <w:r/>
          </w:p>
        </w:tc>
        <w:tc>
          <w:tcPr>
            <w:tcW w:w="2306" w:type="dxa"/>
            <w:vAlign w:val="center"/>
          </w:tcPr>
          <w:p>
            <w:pPr>
              <w:pStyle w:val="TableText"/>
              <w:jc w:val="left"/>
            </w:pPr>
            <w:r/>
          </w:p>
        </w:tc>
        <w:tc>
          <w:tcPr>
            <w:tcW w:w="1214" w:type="dxa"/>
            <w:vAlign w:val="center"/>
          </w:tcPr>
          <w:p>
            <w:pPr>
              <w:pStyle w:val="TableText"/>
              <w:jc w:val="left"/>
            </w:pPr>
            <w:r/>
          </w:p>
        </w:tc>
        <w:tc>
          <w:tcPr>
            <w:tcW w:w="2064" w:type="dxa"/>
            <w:vAlign w:val="center"/>
          </w:tcPr>
          <w:p>
            <w:pPr>
              <w:pStyle w:val="TableText"/>
              <w:jc w:val="left"/>
            </w:pPr>
            <w:r/>
          </w:p>
        </w:tc>
        <w:tc>
          <w:tcPr>
            <w:tcW w:w="2309" w:type="dxa"/>
            <w:vAlign w:val="center"/>
          </w:tcPr>
          <w:p>
            <w:pPr>
              <w:pStyle w:val="TableText"/>
              <w:jc w:val="left"/>
            </w:pPr>
            <w:r/>
          </w:p>
        </w:tc>
      </w:tr>
      <w:tr>
        <w:trPr>
          <w:cantSplit w:val="true"/>
        </w:trPr>
        <w:tc>
          <w:tcPr>
            <w:tcW w:w="2428" w:type="dxa"/>
            <w:vAlign w:val="center"/>
          </w:tcPr>
          <w:p>
            <w:pPr>
              <w:pStyle w:val="TableText"/>
              <w:jc w:val="left"/>
            </w:pPr>
            <w:r/>
          </w:p>
        </w:tc>
        <w:tc>
          <w:tcPr>
            <w:tcW w:w="2064" w:type="dxa"/>
            <w:vAlign w:val="center"/>
          </w:tcPr>
          <w:p>
            <w:pPr>
              <w:pStyle w:val="TableText"/>
              <w:jc w:val="left"/>
            </w:pPr>
            <w:r/>
          </w:p>
        </w:tc>
        <w:tc>
          <w:tcPr>
            <w:tcW w:w="2185" w:type="dxa"/>
            <w:vAlign w:val="center"/>
          </w:tcPr>
          <w:p>
            <w:pPr>
              <w:pStyle w:val="TableText"/>
              <w:jc w:val="left"/>
            </w:pPr>
            <w:r/>
          </w:p>
        </w:tc>
        <w:tc>
          <w:tcPr>
            <w:tcW w:w="2306" w:type="dxa"/>
            <w:vAlign w:val="center"/>
          </w:tcPr>
          <w:p>
            <w:pPr>
              <w:pStyle w:val="TableText"/>
              <w:jc w:val="left"/>
            </w:pPr>
            <w:r/>
          </w:p>
        </w:tc>
        <w:tc>
          <w:tcPr>
            <w:tcW w:w="1214" w:type="dxa"/>
            <w:vAlign w:val="center"/>
          </w:tcPr>
          <w:p>
            <w:pPr>
              <w:pStyle w:val="TableText"/>
              <w:jc w:val="left"/>
            </w:pPr>
            <w:r/>
          </w:p>
        </w:tc>
        <w:tc>
          <w:tcPr>
            <w:tcW w:w="2064" w:type="dxa"/>
            <w:vAlign w:val="center"/>
          </w:tcPr>
          <w:p>
            <w:pPr>
              <w:pStyle w:val="TableText"/>
              <w:jc w:val="left"/>
            </w:pPr>
            <w:r/>
          </w:p>
        </w:tc>
        <w:tc>
          <w:tcPr>
            <w:tcW w:w="2309" w:type="dxa"/>
            <w:vAlign w:val="center"/>
          </w:tcPr>
          <w:p>
            <w:pPr>
              <w:pStyle w:val="TableText"/>
              <w:jc w:val="left"/>
            </w:pPr>
            <w:r/>
          </w:p>
        </w:tc>
      </w:tr>
      <w:tr>
        <w:trPr>
          <w:cantSplit w:val="true"/>
        </w:trPr>
        <w:tc>
          <w:tcPr>
            <w:tcW w:w="2428" w:type="dxa"/>
            <w:vAlign w:val="center"/>
          </w:tcPr>
          <w:p>
            <w:pPr>
              <w:pStyle w:val="TableText"/>
              <w:jc w:val="left"/>
            </w:pPr>
            <w:r/>
          </w:p>
        </w:tc>
        <w:tc>
          <w:tcPr>
            <w:tcW w:w="2064" w:type="dxa"/>
            <w:vAlign w:val="center"/>
          </w:tcPr>
          <w:p>
            <w:pPr>
              <w:pStyle w:val="TableText"/>
              <w:jc w:val="left"/>
            </w:pPr>
            <w:r/>
          </w:p>
        </w:tc>
        <w:tc>
          <w:tcPr>
            <w:tcW w:w="2185" w:type="dxa"/>
            <w:vAlign w:val="center"/>
          </w:tcPr>
          <w:p>
            <w:pPr>
              <w:pStyle w:val="TableText"/>
              <w:jc w:val="left"/>
            </w:pPr>
            <w:r/>
          </w:p>
        </w:tc>
        <w:tc>
          <w:tcPr>
            <w:tcW w:w="2306" w:type="dxa"/>
            <w:vAlign w:val="center"/>
          </w:tcPr>
          <w:p>
            <w:pPr>
              <w:pStyle w:val="TableText"/>
              <w:jc w:val="left"/>
            </w:pPr>
            <w:r/>
          </w:p>
        </w:tc>
        <w:tc>
          <w:tcPr>
            <w:tcW w:w="1214" w:type="dxa"/>
            <w:vAlign w:val="center"/>
          </w:tcPr>
          <w:p>
            <w:pPr>
              <w:pStyle w:val="TableText"/>
              <w:jc w:val="left"/>
            </w:pPr>
            <w:r/>
          </w:p>
        </w:tc>
        <w:tc>
          <w:tcPr>
            <w:tcW w:w="2064" w:type="dxa"/>
            <w:vAlign w:val="center"/>
          </w:tcPr>
          <w:p>
            <w:pPr>
              <w:pStyle w:val="TableText"/>
              <w:jc w:val="left"/>
            </w:pPr>
            <w:r/>
          </w:p>
        </w:tc>
        <w:tc>
          <w:tcPr>
            <w:tcW w:w="2309" w:type="dxa"/>
            <w:vAlign w:val="center"/>
          </w:tcPr>
          <w:p>
            <w:pPr>
              <w:pStyle w:val="TableText"/>
              <w:jc w:val="left"/>
            </w:pPr>
            <w:r/>
          </w:p>
        </w:tc>
      </w:tr>
      <w:tr>
        <w:trPr>
          <w:cantSplit w:val="true"/>
        </w:trPr>
        <w:tc>
          <w:tcPr>
            <w:tcW w:w="2428" w:type="dxa"/>
            <w:vAlign w:val="center"/>
          </w:tcPr>
          <w:p>
            <w:pPr>
              <w:pStyle w:val="TableText"/>
              <w:jc w:val="left"/>
            </w:pPr>
            <w:r/>
          </w:p>
        </w:tc>
        <w:tc>
          <w:tcPr>
            <w:tcW w:w="2064" w:type="dxa"/>
            <w:vAlign w:val="center"/>
          </w:tcPr>
          <w:p>
            <w:pPr>
              <w:pStyle w:val="TableText"/>
              <w:jc w:val="left"/>
            </w:pPr>
            <w:r/>
          </w:p>
        </w:tc>
        <w:tc>
          <w:tcPr>
            <w:tcW w:w="2185" w:type="dxa"/>
            <w:vAlign w:val="center"/>
          </w:tcPr>
          <w:p>
            <w:pPr>
              <w:pStyle w:val="TableText"/>
              <w:jc w:val="left"/>
            </w:pPr>
            <w:r/>
          </w:p>
        </w:tc>
        <w:tc>
          <w:tcPr>
            <w:tcW w:w="2306" w:type="dxa"/>
            <w:vAlign w:val="center"/>
          </w:tcPr>
          <w:p>
            <w:pPr>
              <w:pStyle w:val="TableText"/>
              <w:jc w:val="left"/>
            </w:pPr>
            <w:r/>
          </w:p>
        </w:tc>
        <w:tc>
          <w:tcPr>
            <w:tcW w:w="1214" w:type="dxa"/>
            <w:vAlign w:val="center"/>
          </w:tcPr>
          <w:p>
            <w:pPr>
              <w:pStyle w:val="TableText"/>
              <w:jc w:val="left"/>
            </w:pPr>
            <w:r/>
          </w:p>
        </w:tc>
        <w:tc>
          <w:tcPr>
            <w:tcW w:w="2064" w:type="dxa"/>
            <w:vAlign w:val="center"/>
          </w:tcPr>
          <w:p>
            <w:pPr>
              <w:pStyle w:val="TableText"/>
              <w:jc w:val="left"/>
            </w:pPr>
            <w:r/>
          </w:p>
        </w:tc>
        <w:tc>
          <w:tcPr>
            <w:tcW w:w="2309" w:type="dxa"/>
            <w:vAlign w:val="center"/>
          </w:tcPr>
          <w:p>
            <w:pPr>
              <w:pStyle w:val="TableText"/>
              <w:jc w:val="left"/>
            </w:pPr>
            <w:r/>
          </w:p>
        </w:tc>
      </w:tr>
    </w:tbl>
    <w:p>
      <w:pPr>
        <w:spacing w:before="0" w:after="0" w:line="60" w:lineRule="exact"/>
      </w:pPr>
    </w:p>
    <w:p>
      <w:pPr>
        <w:sectPr>
          <w:headerReference w:type="default" r:id="rId13"/>
          <w:footerReference w:type="default" r:id="rId14"/>
          <w:pgSz w:w="16838" w:h="11906" w:orient="landscape"/>
          <w:pgMar w:top="964" w:right="1134" w:bottom="794" w:left="1134" w:header="482" w:footer="454" w:gutter="0"/>
          <w:cols w:space="720"/>
        </w:sectPr>
      </w:pPr>
    </w:p>
    <w:p>
      <w:pPr>
        <w:pStyle w:val="Body"/>
      </w:pPr>
      <w:r>
        <w:t>The register must cover, as a minimum: shop, fabrication and installation drawings; samples, prototypes, benchmarks and color boards; design calculations and design certificates for performance-specified elements; temporary works designs and independent certification; method statements, lift studies and sequence drawings; the quality plan and inspection and test plans; material and product submissions including environmental product declarations; test certificates, commissioning records and regulatory certificates; operation and maintenance manuals in draft and final; record drawings, models and asset data; the training plan, materials and completed training records; spares, attic stock and special tools with a schedule; warranties, guarantees and installer certifications; and the handover data set per ISO 19650 in the structure required by the project Exchange Information Requirements. Delete any that do not apply to the package and add any the specifications require.</w:t>
      </w:r>
    </w:p>
    <w:p>
      <w:pPr>
        <w:pStyle w:val="Note"/>
      </w:pPr>
      <w:r>
        <w:t>Every deliverable listed above must appear as a row in the register with a due date, a reviewer and a stated consequence. A deliverable named in a specification but absent from the register will not be produced on time.</w:t>
      </w:r>
    </w:p>
    <w:p>
      <w:pPr>
        <w:pStyle w:val="Heading1"/>
      </w:pPr>
      <w:bookmarkStart w:id="9056" w:name="_Toc90056"/>
      <w:r>
        <w:t>15. Commercial Framework</w:t>
      </w:r>
      <w:bookmarkEnd w:id="9056"/>
    </w:p>
    <w:p>
      <w:pPr>
        <w:pStyle w:val="BodyLead"/>
      </w:pPr>
      <w:r>
        <w:t>This section states how the Work are priced, measured, varied and paid, so that the scope and the money describe the same thing. The commercial terms in the General Conditions prevail; where they differ, this section must be corrected before issue.</w:t>
      </w:r>
    </w:p>
    <w:p>
      <w:pPr>
        <w:pStyle w:val="Heading2"/>
      </w:pPr>
      <w:bookmarkStart w:id="9057" w:name="_Toc90057"/>
      <w:r>
        <w:t>15.1 Pricing basis</w:t>
      </w:r>
      <w:bookmarkEnd w:id="9057"/>
    </w:p>
    <w:p>
      <w:pPr>
        <w:pStyle w:val="Note"/>
      </w:pPr>
      <w:r>
        <w:t>This table is a reference list — its rows are the content. Delete any basis not used on this project. Every element in Section 6.1 must map to exactly one basis, and the quantity basis column in Section 6.1 must agree with this table.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700"/>
        <w:gridCol w:w="2834"/>
        <w:gridCol w:w="5104"/>
      </w:tblGrid>
      <w:tr>
        <w:trPr>
          <w:tblHeader w:val="true"/>
          <w:cantSplit w:val="true"/>
        </w:trPr>
        <w:tc>
          <w:tcPr>
            <w:tcW w:w="1700" w:type="dxa"/>
            <w:shd w:val="clear" w:color="auto" w:fill="1D3245"/>
            <w:vAlign w:val="center"/>
          </w:tcPr>
          <w:p>
            <w:pPr>
              <w:pStyle w:val="TableHeader"/>
              <w:jc w:val="left"/>
            </w:pPr>
            <w:r/>
            <w:r>
              <w:t>Basis</w:t>
            </w:r>
          </w:p>
        </w:tc>
        <w:tc>
          <w:tcPr>
            <w:tcW w:w="2834" w:type="dxa"/>
            <w:shd w:val="clear" w:color="auto" w:fill="1D3245"/>
            <w:vAlign w:val="center"/>
          </w:tcPr>
          <w:p>
            <w:pPr>
              <w:pStyle w:val="TableHeader"/>
              <w:jc w:val="left"/>
            </w:pPr>
            <w:r/>
            <w:r>
              <w:t>Applies to</w:t>
            </w:r>
          </w:p>
        </w:tc>
        <w:tc>
          <w:tcPr>
            <w:tcW w:w="5104" w:type="dxa"/>
            <w:shd w:val="clear" w:color="auto" w:fill="1D3245"/>
            <w:vAlign w:val="center"/>
          </w:tcPr>
          <w:p>
            <w:pPr>
              <w:pStyle w:val="TableHeader"/>
              <w:jc w:val="left"/>
            </w:pPr>
            <w:r/>
            <w:r>
              <w:t>How it is measured and valued</w:t>
            </w:r>
          </w:p>
        </w:tc>
      </w:tr>
      <w:tr>
        <w:trPr>
          <w:cantSplit w:val="true"/>
        </w:trPr>
        <w:tc>
          <w:tcPr>
            <w:tcW w:w="1700" w:type="dxa"/>
            <w:vAlign w:val="center"/>
          </w:tcPr>
          <w:p>
            <w:pPr>
              <w:pStyle w:val="TableText"/>
              <w:jc w:val="left"/>
            </w:pPr>
            <w:r/>
            <w:r>
              <w:t>Lump sum</w:t>
            </w:r>
          </w:p>
        </w:tc>
        <w:tc>
          <w:tcPr>
            <w:tcW w:w="2834" w:type="dxa"/>
            <w:vAlign w:val="center"/>
          </w:tcPr>
          <w:p>
            <w:pPr>
              <w:pStyle w:val="TableText"/>
              <w:jc w:val="left"/>
            </w:pPr>
            <w:r/>
            <w:r>
              <w:t>[Insert the elements priced as a lump sum]</w:t>
            </w:r>
          </w:p>
        </w:tc>
        <w:tc>
          <w:tcPr>
            <w:tcW w:w="5104" w:type="dxa"/>
            <w:vAlign w:val="center"/>
          </w:tcPr>
          <w:p>
            <w:pPr>
              <w:pStyle w:val="TableText"/>
              <w:jc w:val="left"/>
            </w:pPr>
            <w:r/>
            <w:r>
              <w:t>Fixed price for the defined scope. Quantity risk sits with the Contractor. Adjusted only for instructed changes</w:t>
            </w:r>
          </w:p>
        </w:tc>
      </w:tr>
      <w:tr>
        <w:trPr>
          <w:cantSplit w:val="true"/>
        </w:trPr>
        <w:tc>
          <w:tcPr>
            <w:tcW w:w="1700" w:type="dxa"/>
            <w:vAlign w:val="center"/>
          </w:tcPr>
          <w:p>
            <w:pPr>
              <w:pStyle w:val="TableText"/>
              <w:jc w:val="left"/>
            </w:pPr>
            <w:r/>
            <w:r>
              <w:t>Unit price schedule</w:t>
            </w:r>
          </w:p>
        </w:tc>
        <w:tc>
          <w:tcPr>
            <w:tcW w:w="2834" w:type="dxa"/>
            <w:vAlign w:val="center"/>
          </w:tcPr>
          <w:p>
            <w:pPr>
              <w:pStyle w:val="TableText"/>
              <w:jc w:val="left"/>
            </w:pPr>
            <w:r/>
            <w:r>
              <w:t>[Insert the elements priced by rate]</w:t>
            </w:r>
          </w:p>
        </w:tc>
        <w:tc>
          <w:tcPr>
            <w:tcW w:w="5104" w:type="dxa"/>
            <w:vAlign w:val="center"/>
          </w:tcPr>
          <w:p>
            <w:pPr>
              <w:pStyle w:val="TableText"/>
              <w:jc w:val="left"/>
            </w:pPr>
            <w:r/>
            <w:r>
              <w:t>Rate × measured quantity, re-measured on completion in accordance with the stated measurement convention</w:t>
            </w:r>
          </w:p>
        </w:tc>
      </w:tr>
      <w:tr>
        <w:trPr>
          <w:cantSplit w:val="true"/>
        </w:trPr>
        <w:tc>
          <w:tcPr>
            <w:tcW w:w="1700" w:type="dxa"/>
            <w:vAlign w:val="center"/>
          </w:tcPr>
          <w:p>
            <w:pPr>
              <w:pStyle w:val="TableText"/>
              <w:jc w:val="left"/>
            </w:pPr>
            <w:r/>
            <w:r>
              <w:t>Unit price work</w:t>
            </w:r>
          </w:p>
        </w:tc>
        <w:tc>
          <w:tcPr>
            <w:tcW w:w="2834" w:type="dxa"/>
            <w:vAlign w:val="center"/>
          </w:tcPr>
          <w:p>
            <w:pPr>
              <w:pStyle w:val="TableText"/>
              <w:jc w:val="left"/>
            </w:pPr>
            <w:r/>
            <w:r>
              <w:t>[Insert the elements re-measured]</w:t>
            </w:r>
          </w:p>
        </w:tc>
        <w:tc>
          <w:tcPr>
            <w:tcW w:w="5104" w:type="dxa"/>
            <w:vAlign w:val="center"/>
          </w:tcPr>
          <w:p>
            <w:pPr>
              <w:pStyle w:val="TableText"/>
              <w:jc w:val="left"/>
            </w:pPr>
            <w:r/>
            <w:r>
              <w:t>Measured in accordance with [insert measurement convention, e.g. an international or national standard method]. State the method — an unstated method is the most common cause of measurement dispute</w:t>
            </w:r>
          </w:p>
        </w:tc>
      </w:tr>
      <w:tr>
        <w:trPr>
          <w:cantSplit w:val="true"/>
        </w:trPr>
        <w:tc>
          <w:tcPr>
            <w:tcW w:w="1700" w:type="dxa"/>
            <w:vAlign w:val="center"/>
          </w:tcPr>
          <w:p>
            <w:pPr>
              <w:pStyle w:val="TableText"/>
              <w:jc w:val="left"/>
            </w:pPr>
            <w:r/>
            <w:r>
              <w:t>Allowances</w:t>
            </w:r>
          </w:p>
        </w:tc>
        <w:tc>
          <w:tcPr>
            <w:tcW w:w="2834" w:type="dxa"/>
            <w:vAlign w:val="center"/>
          </w:tcPr>
          <w:p>
            <w:pPr>
              <w:pStyle w:val="TableText"/>
              <w:jc w:val="left"/>
            </w:pPr>
            <w:r/>
            <w:r>
              <w:t>[Insert the allowances — see Section 15.3]</w:t>
            </w:r>
          </w:p>
        </w:tc>
        <w:tc>
          <w:tcPr>
            <w:tcW w:w="5104" w:type="dxa"/>
            <w:vAlign w:val="center"/>
          </w:tcPr>
          <w:p>
            <w:pPr>
              <w:pStyle w:val="TableText"/>
              <w:jc w:val="left"/>
            </w:pPr>
            <w:r/>
            <w:r>
              <w:t>Expended only on written instruction; adjusted against the actual value of the instructed work</w:t>
            </w:r>
          </w:p>
        </w:tc>
      </w:tr>
      <w:tr>
        <w:trPr>
          <w:cantSplit w:val="true"/>
        </w:trPr>
        <w:tc>
          <w:tcPr>
            <w:tcW w:w="1700" w:type="dxa"/>
            <w:vAlign w:val="center"/>
          </w:tcPr>
          <w:p>
            <w:pPr>
              <w:pStyle w:val="TableText"/>
              <w:jc w:val="left"/>
            </w:pPr>
            <w:r/>
            <w:r>
              <w:t>Rate only / force account work</w:t>
            </w:r>
          </w:p>
        </w:tc>
        <w:tc>
          <w:tcPr>
            <w:tcW w:w="2834" w:type="dxa"/>
            <w:vAlign w:val="center"/>
          </w:tcPr>
          <w:p>
            <w:pPr>
              <w:pStyle w:val="TableText"/>
              <w:jc w:val="left"/>
            </w:pPr>
            <w:r/>
            <w:r>
              <w:t>[Insert the items carried at rate only]</w:t>
            </w:r>
          </w:p>
        </w:tc>
        <w:tc>
          <w:tcPr>
            <w:tcW w:w="5104" w:type="dxa"/>
            <w:vAlign w:val="center"/>
          </w:tcPr>
          <w:p>
            <w:pPr>
              <w:pStyle w:val="TableText"/>
              <w:jc w:val="left"/>
            </w:pPr>
            <w:r/>
            <w:r>
              <w:t>No quantity committed. Valued at the unit price if instructed; force account work only where no rate applies — see Section 15.4</w:t>
            </w:r>
          </w:p>
        </w:tc>
      </w:tr>
    </w:tbl>
    <w:p>
      <w:pPr>
        <w:spacing w:before="0" w:after="0" w:line="60" w:lineRule="exact"/>
      </w:pPr>
    </w:p>
    <w:p>
      <w:pPr>
        <w:pStyle w:val="Heading2"/>
      </w:pPr>
      <w:bookmarkStart w:id="9058" w:name="_Toc90058"/>
      <w:r>
        <w:t>15.2 Schedule of values structure</w:t>
      </w:r>
      <w:bookmarkEnd w:id="9058"/>
    </w:p>
    <w:p>
      <w:pPr>
        <w:pStyle w:val="Body"/>
      </w:pPr>
      <w:r>
        <w:t>The schedule of values must mirror the work breakdown at Section 6.1, one line per element, so progress, valuation and change all speak the same language. A schedule that does not reconcile to the scope cannot value partial completion or price an omission.</w:t>
      </w:r>
    </w:p>
    <w:p>
      <w:pPr>
        <w:pStyle w:val="Note"/>
      </w:pPr>
      <w:r>
        <w:t>Example rows shown in gray italic — delete before use. General conditions costs, temporary works and mobilization and temporary facilities must be priced as separate lines, not distributed into rates, so that they can be valued if the Work are suspended, descoped or accelerated.</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793"/>
        <w:gridCol w:w="3401"/>
        <w:gridCol w:w="680"/>
        <w:gridCol w:w="1020"/>
        <w:gridCol w:w="1247"/>
        <w:gridCol w:w="1247"/>
        <w:gridCol w:w="1250"/>
      </w:tblGrid>
      <w:tr>
        <w:trPr>
          <w:tblHeader w:val="true"/>
          <w:cantSplit w:val="true"/>
        </w:trPr>
        <w:tc>
          <w:tcPr>
            <w:tcW w:w="793" w:type="dxa"/>
            <w:shd w:val="clear" w:color="auto" w:fill="1D3245"/>
            <w:vAlign w:val="center"/>
          </w:tcPr>
          <w:p>
            <w:pPr>
              <w:pStyle w:val="TableHeader"/>
              <w:jc w:val="left"/>
            </w:pPr>
            <w:r/>
            <w:r>
              <w:t>WBS</w:t>
            </w:r>
          </w:p>
        </w:tc>
        <w:tc>
          <w:tcPr>
            <w:tcW w:w="3401" w:type="dxa"/>
            <w:shd w:val="clear" w:color="auto" w:fill="1D3245"/>
            <w:vAlign w:val="center"/>
          </w:tcPr>
          <w:p>
            <w:pPr>
              <w:pStyle w:val="TableHeader"/>
              <w:jc w:val="left"/>
            </w:pPr>
            <w:r/>
            <w:r>
              <w:t>Element</w:t>
            </w:r>
          </w:p>
        </w:tc>
        <w:tc>
          <w:tcPr>
            <w:tcW w:w="680" w:type="dxa"/>
            <w:shd w:val="clear" w:color="auto" w:fill="1D3245"/>
            <w:vAlign w:val="center"/>
          </w:tcPr>
          <w:p>
            <w:pPr>
              <w:pStyle w:val="TableHeader"/>
              <w:jc w:val="center"/>
            </w:pPr>
            <w:r/>
            <w:r>
              <w:t>Unit</w:t>
            </w:r>
          </w:p>
        </w:tc>
        <w:tc>
          <w:tcPr>
            <w:tcW w:w="1020" w:type="dxa"/>
            <w:shd w:val="clear" w:color="auto" w:fill="1D3245"/>
            <w:vAlign w:val="center"/>
          </w:tcPr>
          <w:p>
            <w:pPr>
              <w:pStyle w:val="TableHeader"/>
              <w:jc w:val="right"/>
            </w:pPr>
            <w:r/>
            <w:r>
              <w:t>Quantity</w:t>
            </w:r>
          </w:p>
        </w:tc>
        <w:tc>
          <w:tcPr>
            <w:tcW w:w="1247" w:type="dxa"/>
            <w:shd w:val="clear" w:color="auto" w:fill="1D3245"/>
            <w:vAlign w:val="center"/>
          </w:tcPr>
          <w:p>
            <w:pPr>
              <w:pStyle w:val="TableHeader"/>
              <w:jc w:val="right"/>
            </w:pPr>
            <w:r/>
            <w:r>
              <w:t>Rate [CUR]</w:t>
            </w:r>
          </w:p>
        </w:tc>
        <w:tc>
          <w:tcPr>
            <w:tcW w:w="1247" w:type="dxa"/>
            <w:shd w:val="clear" w:color="auto" w:fill="1D3245"/>
            <w:vAlign w:val="center"/>
          </w:tcPr>
          <w:p>
            <w:pPr>
              <w:pStyle w:val="TableHeader"/>
              <w:jc w:val="right"/>
            </w:pPr>
            <w:r/>
            <w:r>
              <w:t>Amount [CUR]</w:t>
            </w:r>
          </w:p>
        </w:tc>
        <w:tc>
          <w:tcPr>
            <w:tcW w:w="1250" w:type="dxa"/>
            <w:shd w:val="clear" w:color="auto" w:fill="1D3245"/>
            <w:vAlign w:val="center"/>
          </w:tcPr>
          <w:p>
            <w:pPr>
              <w:pStyle w:val="TableHeader"/>
              <w:jc w:val="left"/>
            </w:pPr>
            <w:r/>
            <w:r>
              <w:t>Basis</w:t>
            </w:r>
          </w:p>
        </w:tc>
      </w:tr>
      <w:tr>
        <w:trPr>
          <w:cantSplit w:val="true"/>
        </w:trPr>
        <w:tc>
          <w:tcPr>
            <w:tcW w:w="793" w:type="dxa"/>
            <w:vAlign w:val="center"/>
          </w:tcPr>
          <w:p>
            <w:pPr>
              <w:pStyle w:val="TableTextExample"/>
              <w:jc w:val="left"/>
            </w:pPr>
            <w:r/>
            <w:r>
              <w:t>08-10</w:t>
            </w:r>
          </w:p>
        </w:tc>
        <w:tc>
          <w:tcPr>
            <w:tcW w:w="3401" w:type="dxa"/>
            <w:vAlign w:val="center"/>
          </w:tcPr>
          <w:p>
            <w:pPr>
              <w:pStyle w:val="TableTextExample"/>
              <w:jc w:val="left"/>
            </w:pPr>
            <w:r/>
            <w:r>
              <w:t>Structural steelwork — supply and fabricate</w:t>
            </w:r>
          </w:p>
        </w:tc>
        <w:tc>
          <w:tcPr>
            <w:tcW w:w="680" w:type="dxa"/>
            <w:vAlign w:val="center"/>
          </w:tcPr>
          <w:p>
            <w:pPr>
              <w:pStyle w:val="TableTextExample"/>
              <w:jc w:val="center"/>
            </w:pPr>
            <w:r/>
            <w:r>
              <w:t>t</w:t>
            </w:r>
          </w:p>
        </w:tc>
        <w:tc>
          <w:tcPr>
            <w:tcW w:w="1020" w:type="dxa"/>
            <w:vAlign w:val="center"/>
          </w:tcPr>
          <w:p>
            <w:pPr>
              <w:pStyle w:val="TableTextExample"/>
              <w:jc w:val="right"/>
            </w:pPr>
            <w:r/>
            <w:r>
              <w:t>1,480</w:t>
            </w:r>
          </w:p>
        </w:tc>
        <w:tc>
          <w:tcPr>
            <w:tcW w:w="1247" w:type="dxa"/>
            <w:vAlign w:val="center"/>
          </w:tcPr>
          <w:p>
            <w:pPr>
              <w:pStyle w:val="TableTextExample"/>
              <w:jc w:val="right"/>
            </w:pPr>
            <w:r/>
            <w:r>
              <w:t>[0.00]</w:t>
            </w:r>
          </w:p>
        </w:tc>
        <w:tc>
          <w:tcPr>
            <w:tcW w:w="1247" w:type="dxa"/>
            <w:vAlign w:val="center"/>
          </w:tcPr>
          <w:p>
            <w:pPr>
              <w:pStyle w:val="TableTextExample"/>
              <w:jc w:val="right"/>
            </w:pPr>
            <w:r/>
            <w:r>
              <w:t>[0.00]</w:t>
            </w:r>
          </w:p>
        </w:tc>
        <w:tc>
          <w:tcPr>
            <w:tcW w:w="1250" w:type="dxa"/>
            <w:vAlign w:val="center"/>
          </w:tcPr>
          <w:p>
            <w:pPr>
              <w:pStyle w:val="TableTextExample"/>
              <w:jc w:val="left"/>
            </w:pPr>
            <w:r/>
            <w:r>
              <w:t>Measured</w:t>
            </w:r>
          </w:p>
        </w:tc>
      </w:tr>
      <w:tr>
        <w:trPr>
          <w:cantSplit w:val="true"/>
        </w:trPr>
        <w:tc>
          <w:tcPr>
            <w:tcW w:w="793" w:type="dxa"/>
            <w:vAlign w:val="center"/>
          </w:tcPr>
          <w:p>
            <w:pPr>
              <w:pStyle w:val="TableTextExample"/>
              <w:jc w:val="left"/>
            </w:pPr>
            <w:r/>
            <w:r>
              <w:t>08-20</w:t>
            </w:r>
          </w:p>
        </w:tc>
        <w:tc>
          <w:tcPr>
            <w:tcW w:w="3401" w:type="dxa"/>
            <w:vAlign w:val="center"/>
          </w:tcPr>
          <w:p>
            <w:pPr>
              <w:pStyle w:val="TableTextExample"/>
              <w:jc w:val="left"/>
            </w:pPr>
            <w:r/>
            <w:r>
              <w:t>Structural steelwork — deliver and erect</w:t>
            </w:r>
          </w:p>
        </w:tc>
        <w:tc>
          <w:tcPr>
            <w:tcW w:w="680" w:type="dxa"/>
            <w:vAlign w:val="center"/>
          </w:tcPr>
          <w:p>
            <w:pPr>
              <w:pStyle w:val="TableTextExample"/>
              <w:jc w:val="center"/>
            </w:pPr>
            <w:r/>
            <w:r>
              <w:t>t</w:t>
            </w:r>
          </w:p>
        </w:tc>
        <w:tc>
          <w:tcPr>
            <w:tcW w:w="1020" w:type="dxa"/>
            <w:vAlign w:val="center"/>
          </w:tcPr>
          <w:p>
            <w:pPr>
              <w:pStyle w:val="TableTextExample"/>
              <w:jc w:val="right"/>
            </w:pPr>
            <w:r/>
            <w:r>
              <w:t>1,480</w:t>
            </w:r>
          </w:p>
        </w:tc>
        <w:tc>
          <w:tcPr>
            <w:tcW w:w="1247" w:type="dxa"/>
            <w:vAlign w:val="center"/>
          </w:tcPr>
          <w:p>
            <w:pPr>
              <w:pStyle w:val="TableTextExample"/>
              <w:jc w:val="right"/>
            </w:pPr>
            <w:r/>
            <w:r>
              <w:t>[0.00]</w:t>
            </w:r>
          </w:p>
        </w:tc>
        <w:tc>
          <w:tcPr>
            <w:tcW w:w="1247" w:type="dxa"/>
            <w:vAlign w:val="center"/>
          </w:tcPr>
          <w:p>
            <w:pPr>
              <w:pStyle w:val="TableTextExample"/>
              <w:jc w:val="right"/>
            </w:pPr>
            <w:r/>
            <w:r>
              <w:t>[0.00]</w:t>
            </w:r>
          </w:p>
        </w:tc>
        <w:tc>
          <w:tcPr>
            <w:tcW w:w="1250" w:type="dxa"/>
            <w:vAlign w:val="center"/>
          </w:tcPr>
          <w:p>
            <w:pPr>
              <w:pStyle w:val="TableTextExample"/>
              <w:jc w:val="left"/>
            </w:pPr>
            <w:r/>
            <w:r>
              <w:t>Measured</w:t>
            </w:r>
          </w:p>
        </w:tc>
      </w:tr>
      <w:tr>
        <w:trPr>
          <w:cantSplit w:val="true"/>
        </w:trPr>
        <w:tc>
          <w:tcPr>
            <w:tcW w:w="793" w:type="dxa"/>
            <w:vAlign w:val="center"/>
          </w:tcPr>
          <w:p>
            <w:pPr>
              <w:pStyle w:val="TableTextExample"/>
              <w:jc w:val="left"/>
            </w:pPr>
            <w:r/>
            <w:r>
              <w:t>08-30</w:t>
            </w:r>
          </w:p>
        </w:tc>
        <w:tc>
          <w:tcPr>
            <w:tcW w:w="3401" w:type="dxa"/>
            <w:vAlign w:val="center"/>
          </w:tcPr>
          <w:p>
            <w:pPr>
              <w:pStyle w:val="TableTextExample"/>
              <w:jc w:val="left"/>
            </w:pPr>
            <w:r/>
            <w:r>
              <w:t>Metal deck and shear studs</w:t>
            </w:r>
          </w:p>
        </w:tc>
        <w:tc>
          <w:tcPr>
            <w:tcW w:w="680" w:type="dxa"/>
            <w:vAlign w:val="center"/>
          </w:tcPr>
          <w:p>
            <w:pPr>
              <w:pStyle w:val="TableTextExample"/>
              <w:jc w:val="center"/>
            </w:pPr>
            <w:r/>
            <w:r>
              <w:t>m²</w:t>
            </w:r>
          </w:p>
        </w:tc>
        <w:tc>
          <w:tcPr>
            <w:tcW w:w="1020" w:type="dxa"/>
            <w:vAlign w:val="center"/>
          </w:tcPr>
          <w:p>
            <w:pPr>
              <w:pStyle w:val="TableTextExample"/>
              <w:jc w:val="right"/>
            </w:pPr>
            <w:r/>
            <w:r>
              <w:t>9,600</w:t>
            </w:r>
          </w:p>
        </w:tc>
        <w:tc>
          <w:tcPr>
            <w:tcW w:w="1247" w:type="dxa"/>
            <w:vAlign w:val="center"/>
          </w:tcPr>
          <w:p>
            <w:pPr>
              <w:pStyle w:val="TableTextExample"/>
              <w:jc w:val="right"/>
            </w:pPr>
            <w:r/>
            <w:r>
              <w:t>[0.00]</w:t>
            </w:r>
          </w:p>
        </w:tc>
        <w:tc>
          <w:tcPr>
            <w:tcW w:w="1247" w:type="dxa"/>
            <w:vAlign w:val="center"/>
          </w:tcPr>
          <w:p>
            <w:pPr>
              <w:pStyle w:val="TableTextExample"/>
              <w:jc w:val="right"/>
            </w:pPr>
            <w:r/>
            <w:r>
              <w:t>[0.00]</w:t>
            </w:r>
          </w:p>
        </w:tc>
        <w:tc>
          <w:tcPr>
            <w:tcW w:w="1250" w:type="dxa"/>
            <w:vAlign w:val="center"/>
          </w:tcPr>
          <w:p>
            <w:pPr>
              <w:pStyle w:val="TableTextExample"/>
              <w:jc w:val="left"/>
            </w:pPr>
            <w:r/>
            <w:r>
              <w:t>Measured</w:t>
            </w:r>
          </w:p>
        </w:tc>
      </w:tr>
      <w:tr>
        <w:trPr>
          <w:cantSplit w:val="true"/>
        </w:trPr>
        <w:tc>
          <w:tcPr>
            <w:tcW w:w="793" w:type="dxa"/>
            <w:vAlign w:val="center"/>
          </w:tcPr>
          <w:p>
            <w:pPr>
              <w:pStyle w:val="TableTextExample"/>
              <w:jc w:val="left"/>
            </w:pPr>
            <w:r/>
            <w:r>
              <w:t>PS-02</w:t>
            </w:r>
          </w:p>
        </w:tc>
        <w:tc>
          <w:tcPr>
            <w:tcW w:w="3401" w:type="dxa"/>
            <w:vAlign w:val="center"/>
          </w:tcPr>
          <w:p>
            <w:pPr>
              <w:pStyle w:val="TableTextExample"/>
              <w:jc w:val="left"/>
            </w:pPr>
            <w:r/>
            <w:r>
              <w:t>Allowance — additional ACM removal</w:t>
            </w:r>
          </w:p>
        </w:tc>
        <w:tc>
          <w:tcPr>
            <w:tcW w:w="680" w:type="dxa"/>
            <w:vAlign w:val="center"/>
          </w:tcPr>
          <w:p>
            <w:pPr>
              <w:pStyle w:val="TableTextExample"/>
              <w:jc w:val="center"/>
            </w:pPr>
            <w:r/>
            <w:r>
              <w:t>item</w:t>
            </w:r>
          </w:p>
        </w:tc>
        <w:tc>
          <w:tcPr>
            <w:tcW w:w="1020" w:type="dxa"/>
            <w:vAlign w:val="center"/>
          </w:tcPr>
          <w:p>
            <w:pPr>
              <w:pStyle w:val="TableTextExample"/>
              <w:jc w:val="right"/>
            </w:pPr>
            <w:r/>
            <w:r>
              <w:t>1</w:t>
            </w:r>
          </w:p>
        </w:tc>
        <w:tc>
          <w:tcPr>
            <w:tcW w:w="1247" w:type="dxa"/>
            <w:vAlign w:val="center"/>
          </w:tcPr>
          <w:p>
            <w:pPr>
              <w:pStyle w:val="TableTextExample"/>
              <w:jc w:val="right"/>
            </w:pPr>
            <w:r/>
            <w:r>
              <w:t>[0.00]</w:t>
            </w:r>
          </w:p>
        </w:tc>
        <w:tc>
          <w:tcPr>
            <w:tcW w:w="1247" w:type="dxa"/>
            <w:vAlign w:val="center"/>
          </w:tcPr>
          <w:p>
            <w:pPr>
              <w:pStyle w:val="TableTextExample"/>
              <w:jc w:val="right"/>
            </w:pPr>
            <w:r/>
            <w:r>
              <w:t>[0.00]</w:t>
            </w:r>
          </w:p>
        </w:tc>
        <w:tc>
          <w:tcPr>
            <w:tcW w:w="1250" w:type="dxa"/>
            <w:vAlign w:val="center"/>
          </w:tcPr>
          <w:p>
            <w:pPr>
              <w:pStyle w:val="TableTextExample"/>
              <w:jc w:val="left"/>
            </w:pPr>
            <w:r/>
            <w:r>
              <w:t>Allowance</w:t>
            </w:r>
          </w:p>
        </w:tc>
      </w:tr>
      <w:tr>
        <w:trPr>
          <w:cantSplit w:val="true"/>
        </w:trPr>
        <w:tc>
          <w:tcPr>
            <w:tcW w:w="793" w:type="dxa"/>
            <w:vAlign w:val="center"/>
          </w:tcPr>
          <w:p>
            <w:pPr>
              <w:pStyle w:val="TableText"/>
              <w:jc w:val="left"/>
            </w:pPr>
            <w:r/>
          </w:p>
        </w:tc>
        <w:tc>
          <w:tcPr>
            <w:tcW w:w="3401" w:type="dxa"/>
            <w:vAlign w:val="center"/>
          </w:tcPr>
          <w:p>
            <w:pPr>
              <w:pStyle w:val="TableText"/>
              <w:jc w:val="left"/>
            </w:pPr>
            <w:r/>
          </w:p>
        </w:tc>
        <w:tc>
          <w:tcPr>
            <w:tcW w:w="680" w:type="dxa"/>
            <w:vAlign w:val="center"/>
          </w:tcPr>
          <w:p>
            <w:pPr>
              <w:pStyle w:val="TableTextCentre"/>
              <w:jc w:val="center"/>
            </w:pPr>
            <w:r/>
          </w:p>
        </w:tc>
        <w:tc>
          <w:tcPr>
            <w:tcW w:w="1020" w:type="dxa"/>
            <w:vAlign w:val="center"/>
          </w:tcPr>
          <w:p>
            <w:pPr>
              <w:pStyle w:val="TableTextRight"/>
              <w:jc w:val="right"/>
            </w:pPr>
            <w:r/>
          </w:p>
        </w:tc>
        <w:tc>
          <w:tcPr>
            <w:tcW w:w="1247" w:type="dxa"/>
            <w:vAlign w:val="center"/>
          </w:tcPr>
          <w:p>
            <w:pPr>
              <w:pStyle w:val="TableTextRight"/>
              <w:jc w:val="right"/>
            </w:pPr>
            <w:r/>
          </w:p>
        </w:tc>
        <w:tc>
          <w:tcPr>
            <w:tcW w:w="1247" w:type="dxa"/>
            <w:vAlign w:val="center"/>
          </w:tcPr>
          <w:p>
            <w:pPr>
              <w:pStyle w:val="TableTextRight"/>
              <w:jc w:val="right"/>
            </w:pPr>
            <w:r/>
          </w:p>
        </w:tc>
        <w:tc>
          <w:tcPr>
            <w:tcW w:w="1250" w:type="dxa"/>
            <w:vAlign w:val="center"/>
          </w:tcPr>
          <w:p>
            <w:pPr>
              <w:pStyle w:val="TableText"/>
              <w:jc w:val="left"/>
            </w:pPr>
            <w:r/>
          </w:p>
        </w:tc>
      </w:tr>
      <w:tr>
        <w:trPr>
          <w:cantSplit w:val="true"/>
        </w:trPr>
        <w:tc>
          <w:tcPr>
            <w:tcW w:w="793" w:type="dxa"/>
            <w:vAlign w:val="center"/>
          </w:tcPr>
          <w:p>
            <w:pPr>
              <w:pStyle w:val="TableText"/>
              <w:jc w:val="left"/>
            </w:pPr>
            <w:r/>
          </w:p>
        </w:tc>
        <w:tc>
          <w:tcPr>
            <w:tcW w:w="3401" w:type="dxa"/>
            <w:vAlign w:val="center"/>
          </w:tcPr>
          <w:p>
            <w:pPr>
              <w:pStyle w:val="TableText"/>
              <w:jc w:val="left"/>
            </w:pPr>
            <w:r/>
          </w:p>
        </w:tc>
        <w:tc>
          <w:tcPr>
            <w:tcW w:w="680" w:type="dxa"/>
            <w:vAlign w:val="center"/>
          </w:tcPr>
          <w:p>
            <w:pPr>
              <w:pStyle w:val="TableTextCentre"/>
              <w:jc w:val="center"/>
            </w:pPr>
            <w:r/>
          </w:p>
        </w:tc>
        <w:tc>
          <w:tcPr>
            <w:tcW w:w="1020" w:type="dxa"/>
            <w:vAlign w:val="center"/>
          </w:tcPr>
          <w:p>
            <w:pPr>
              <w:pStyle w:val="TableTextRight"/>
              <w:jc w:val="right"/>
            </w:pPr>
            <w:r/>
          </w:p>
        </w:tc>
        <w:tc>
          <w:tcPr>
            <w:tcW w:w="1247" w:type="dxa"/>
            <w:vAlign w:val="center"/>
          </w:tcPr>
          <w:p>
            <w:pPr>
              <w:pStyle w:val="TableTextRight"/>
              <w:jc w:val="right"/>
            </w:pPr>
            <w:r/>
          </w:p>
        </w:tc>
        <w:tc>
          <w:tcPr>
            <w:tcW w:w="1247" w:type="dxa"/>
            <w:vAlign w:val="center"/>
          </w:tcPr>
          <w:p>
            <w:pPr>
              <w:pStyle w:val="TableTextRight"/>
              <w:jc w:val="right"/>
            </w:pPr>
            <w:r/>
          </w:p>
        </w:tc>
        <w:tc>
          <w:tcPr>
            <w:tcW w:w="1250" w:type="dxa"/>
            <w:vAlign w:val="center"/>
          </w:tcPr>
          <w:p>
            <w:pPr>
              <w:pStyle w:val="TableText"/>
              <w:jc w:val="left"/>
            </w:pPr>
            <w:r/>
          </w:p>
        </w:tc>
      </w:tr>
    </w:tbl>
    <w:p>
      <w:pPr>
        <w:spacing w:before="0" w:after="0" w:line="60" w:lineRule="exact"/>
      </w:pPr>
    </w:p>
    <w:p>
      <w:pPr>
        <w:pStyle w:val="Heading2"/>
      </w:pPr>
      <w:bookmarkStart w:id="9059" w:name="_Toc90059"/>
      <w:r>
        <w:t>15.3 Allowances, and price escalation</w:t>
      </w:r>
      <w:bookmarkEnd w:id="9059"/>
    </w:p>
    <w:p>
      <w:pPr>
        <w:pStyle w:val="BodyBullet"/>
      </w:pPr>
      <w:r>
        <w:rPr>
          <w:color w:val="3480BC"/>
        </w:rPr>
        <w:t xml:space="preserve">—   </w:t>
      </w:r>
      <w:r>
        <w:t>A allowance is included where work is required but cannot yet be defined well enough to price. It is not a contingency and not the Contractor's money: it is expended only on the written instruction of the person with authority under Section 3.3, and adjusted against the actual value of the work, valued under Section 15.4.</w:t>
      </w:r>
    </w:p>
    <w:p>
      <w:pPr>
        <w:pStyle w:val="BodyBullet"/>
      </w:pPr>
      <w:r>
        <w:rPr>
          <w:color w:val="3480BC"/>
        </w:rPr>
        <w:t xml:space="preserve">—   </w:t>
      </w:r>
      <w:r>
        <w:t>Each allowance must state the date by which it must be instructed if it is not to affect the schedule. State that date in the table below and in the schedule at Section 11.4 — an un-instructed allowance that delays the Work becomes a Owner risk event.</w:t>
      </w:r>
    </w:p>
    <w:p>
      <w:pPr>
        <w:pStyle w:val="BodyBullet"/>
      </w:pPr>
      <w:r>
        <w:rPr>
          <w:color w:val="3480BC"/>
        </w:rPr>
        <w:t xml:space="preserve">—   </w:t>
      </w:r>
      <w:r>
        <w:t>Price escalation. [State whether the contract sum is fixed or subject to adjustment for cost movement. If fixed, say so expressly and state the period for which the price is held. If adjustable, state the index or formula, the base date, the proportions to which it applies, and any threshold below which no adjustment is made.] Where the contract is silent, the price is fixed.</w:t>
      </w:r>
    </w:p>
    <w:p>
      <w:pPr>
        <w:pStyle w:val="BodyBullet"/>
      </w:pPr>
      <w:r>
        <w:rPr>
          <w:color w:val="3480BC"/>
        </w:rPr>
        <w:t xml:space="preserve">—   </w:t>
      </w:r>
      <w:r>
        <w:t>Currency. All amounts are in [CUR]. Where any part of the Work is procured in another currency, state which part, the exchange rate basis, the base date, and which party carries the movement.</w:t>
      </w:r>
    </w:p>
    <w:p>
      <w:pPr>
        <w:pStyle w:val="Note"/>
      </w:pPr>
      <w:r>
        <w:t>Example rows shown in gray italic — delete before use.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793"/>
        <w:gridCol w:w="4195"/>
        <w:gridCol w:w="1474"/>
        <w:gridCol w:w="1360"/>
        <w:gridCol w:w="1816"/>
      </w:tblGrid>
      <w:tr>
        <w:trPr>
          <w:tblHeader w:val="true"/>
          <w:cantSplit w:val="true"/>
        </w:trPr>
        <w:tc>
          <w:tcPr>
            <w:tcW w:w="793" w:type="dxa"/>
            <w:shd w:val="clear" w:color="auto" w:fill="1D3245"/>
            <w:vAlign w:val="center"/>
          </w:tcPr>
          <w:p>
            <w:pPr>
              <w:pStyle w:val="TableHeader"/>
              <w:jc w:val="center"/>
            </w:pPr>
            <w:r/>
            <w:r>
              <w:t>Ref</w:t>
            </w:r>
          </w:p>
        </w:tc>
        <w:tc>
          <w:tcPr>
            <w:tcW w:w="4195" w:type="dxa"/>
            <w:shd w:val="clear" w:color="auto" w:fill="1D3245"/>
            <w:vAlign w:val="center"/>
          </w:tcPr>
          <w:p>
            <w:pPr>
              <w:pStyle w:val="TableHeader"/>
              <w:jc w:val="left"/>
            </w:pPr>
            <w:r/>
            <w:r>
              <w:t>Allowance item</w:t>
            </w:r>
          </w:p>
        </w:tc>
        <w:tc>
          <w:tcPr>
            <w:tcW w:w="1474" w:type="dxa"/>
            <w:shd w:val="clear" w:color="auto" w:fill="1D3245"/>
            <w:vAlign w:val="center"/>
          </w:tcPr>
          <w:p>
            <w:pPr>
              <w:pStyle w:val="TableHeader"/>
              <w:jc w:val="right"/>
            </w:pPr>
            <w:r/>
            <w:r>
              <w:t>Allowance [CUR]</w:t>
            </w:r>
          </w:p>
        </w:tc>
        <w:tc>
          <w:tcPr>
            <w:tcW w:w="1360" w:type="dxa"/>
            <w:shd w:val="clear" w:color="auto" w:fill="1D3245"/>
            <w:vAlign w:val="center"/>
          </w:tcPr>
          <w:p>
            <w:pPr>
              <w:pStyle w:val="TableHeader"/>
              <w:jc w:val="center"/>
            </w:pPr>
            <w:r/>
            <w:r>
              <w:t>Instruct by</w:t>
            </w:r>
          </w:p>
        </w:tc>
        <w:tc>
          <w:tcPr>
            <w:tcW w:w="1816" w:type="dxa"/>
            <w:shd w:val="clear" w:color="auto" w:fill="1D3245"/>
            <w:vAlign w:val="center"/>
          </w:tcPr>
          <w:p>
            <w:pPr>
              <w:pStyle w:val="TableHeader"/>
              <w:jc w:val="left"/>
            </w:pPr>
            <w:r/>
            <w:r>
              <w:t>Basis of adjustment</w:t>
            </w:r>
          </w:p>
        </w:tc>
      </w:tr>
      <w:tr>
        <w:trPr>
          <w:cantSplit w:val="true"/>
        </w:trPr>
        <w:tc>
          <w:tcPr>
            <w:tcW w:w="793" w:type="dxa"/>
            <w:vAlign w:val="center"/>
          </w:tcPr>
          <w:p>
            <w:pPr>
              <w:pStyle w:val="TableTextExample"/>
              <w:jc w:val="center"/>
            </w:pPr>
            <w:r/>
            <w:r>
              <w:t>PS-02</w:t>
            </w:r>
          </w:p>
        </w:tc>
        <w:tc>
          <w:tcPr>
            <w:tcW w:w="4195" w:type="dxa"/>
            <w:vAlign w:val="center"/>
          </w:tcPr>
          <w:p>
            <w:pPr>
              <w:pStyle w:val="TableTextExample"/>
              <w:jc w:val="left"/>
            </w:pPr>
            <w:r/>
            <w:r>
              <w:t>Additional asbestos-containing material removal beyond the surveyed extent</w:t>
            </w:r>
          </w:p>
        </w:tc>
        <w:tc>
          <w:tcPr>
            <w:tcW w:w="1474" w:type="dxa"/>
            <w:vAlign w:val="center"/>
          </w:tcPr>
          <w:p>
            <w:pPr>
              <w:pStyle w:val="TableTextExample"/>
              <w:jc w:val="right"/>
            </w:pPr>
            <w:r/>
            <w:r>
              <w:t>[0.00]</w:t>
            </w:r>
          </w:p>
        </w:tc>
        <w:tc>
          <w:tcPr>
            <w:tcW w:w="1360" w:type="dxa"/>
            <w:vAlign w:val="center"/>
          </w:tcPr>
          <w:p>
            <w:pPr>
              <w:pStyle w:val="TableTextExample"/>
              <w:jc w:val="center"/>
            </w:pPr>
            <w:r/>
            <w:r>
              <w:t>[MM/DD/YY]</w:t>
            </w:r>
          </w:p>
        </w:tc>
        <w:tc>
          <w:tcPr>
            <w:tcW w:w="1816" w:type="dxa"/>
            <w:vAlign w:val="center"/>
          </w:tcPr>
          <w:p>
            <w:pPr>
              <w:pStyle w:val="TableTextExample"/>
              <w:jc w:val="left"/>
            </w:pPr>
            <w:r/>
            <w:r>
              <w:t>Unit price PR-02 × measured quantity</w:t>
            </w:r>
          </w:p>
        </w:tc>
      </w:tr>
      <w:tr>
        <w:trPr>
          <w:cantSplit w:val="true"/>
        </w:trPr>
        <w:tc>
          <w:tcPr>
            <w:tcW w:w="793" w:type="dxa"/>
            <w:vAlign w:val="center"/>
          </w:tcPr>
          <w:p>
            <w:pPr>
              <w:pStyle w:val="TableTextExample"/>
              <w:jc w:val="center"/>
            </w:pPr>
            <w:r/>
            <w:r>
              <w:t>PS-05</w:t>
            </w:r>
          </w:p>
        </w:tc>
        <w:tc>
          <w:tcPr>
            <w:tcW w:w="4195" w:type="dxa"/>
            <w:vAlign w:val="center"/>
          </w:tcPr>
          <w:p>
            <w:pPr>
              <w:pStyle w:val="TableTextExample"/>
              <w:jc w:val="left"/>
            </w:pPr>
            <w:r/>
            <w:r>
              <w:t>Public art plinth and services to external works</w:t>
            </w:r>
          </w:p>
        </w:tc>
        <w:tc>
          <w:tcPr>
            <w:tcW w:w="1474" w:type="dxa"/>
            <w:vAlign w:val="center"/>
          </w:tcPr>
          <w:p>
            <w:pPr>
              <w:pStyle w:val="TableTextExample"/>
              <w:jc w:val="right"/>
            </w:pPr>
            <w:r/>
            <w:r>
              <w:t>[0.00]</w:t>
            </w:r>
          </w:p>
        </w:tc>
        <w:tc>
          <w:tcPr>
            <w:tcW w:w="1360" w:type="dxa"/>
            <w:vAlign w:val="center"/>
          </w:tcPr>
          <w:p>
            <w:pPr>
              <w:pStyle w:val="TableTextExample"/>
              <w:jc w:val="center"/>
            </w:pPr>
            <w:r/>
            <w:r>
              <w:t>[MM/DD/YY]</w:t>
            </w:r>
          </w:p>
        </w:tc>
        <w:tc>
          <w:tcPr>
            <w:tcW w:w="1816" w:type="dxa"/>
            <w:vAlign w:val="center"/>
          </w:tcPr>
          <w:p>
            <w:pPr>
              <w:pStyle w:val="TableTextExample"/>
              <w:jc w:val="left"/>
            </w:pPr>
            <w:r/>
            <w:r>
              <w:t>Quotation, assessed under Section 15.4</w:t>
            </w:r>
          </w:p>
        </w:tc>
      </w:tr>
      <w:tr>
        <w:trPr>
          <w:cantSplit w:val="true"/>
        </w:trPr>
        <w:tc>
          <w:tcPr>
            <w:tcW w:w="793" w:type="dxa"/>
            <w:vAlign w:val="center"/>
          </w:tcPr>
          <w:p>
            <w:pPr>
              <w:pStyle w:val="TableTextCentre"/>
              <w:jc w:val="center"/>
            </w:pPr>
            <w:r/>
          </w:p>
        </w:tc>
        <w:tc>
          <w:tcPr>
            <w:tcW w:w="4195" w:type="dxa"/>
            <w:vAlign w:val="center"/>
          </w:tcPr>
          <w:p>
            <w:pPr>
              <w:pStyle w:val="TableText"/>
              <w:jc w:val="left"/>
            </w:pPr>
            <w:r/>
          </w:p>
        </w:tc>
        <w:tc>
          <w:tcPr>
            <w:tcW w:w="1474" w:type="dxa"/>
            <w:vAlign w:val="center"/>
          </w:tcPr>
          <w:p>
            <w:pPr>
              <w:pStyle w:val="TableTextRight"/>
              <w:jc w:val="right"/>
            </w:pPr>
            <w:r/>
          </w:p>
        </w:tc>
        <w:tc>
          <w:tcPr>
            <w:tcW w:w="1360" w:type="dxa"/>
            <w:vAlign w:val="center"/>
          </w:tcPr>
          <w:p>
            <w:pPr>
              <w:pStyle w:val="TableTextCentre"/>
              <w:jc w:val="center"/>
            </w:pPr>
            <w:r/>
          </w:p>
        </w:tc>
        <w:tc>
          <w:tcPr>
            <w:tcW w:w="1816" w:type="dxa"/>
            <w:vAlign w:val="center"/>
          </w:tcPr>
          <w:p>
            <w:pPr>
              <w:pStyle w:val="TableText"/>
              <w:jc w:val="left"/>
            </w:pPr>
            <w:r/>
          </w:p>
        </w:tc>
      </w:tr>
      <w:tr>
        <w:trPr>
          <w:cantSplit w:val="true"/>
        </w:trPr>
        <w:tc>
          <w:tcPr>
            <w:tcW w:w="793" w:type="dxa"/>
            <w:vAlign w:val="center"/>
          </w:tcPr>
          <w:p>
            <w:pPr>
              <w:pStyle w:val="TableTextCentre"/>
              <w:jc w:val="center"/>
            </w:pPr>
            <w:r/>
          </w:p>
        </w:tc>
        <w:tc>
          <w:tcPr>
            <w:tcW w:w="4195" w:type="dxa"/>
            <w:vAlign w:val="center"/>
          </w:tcPr>
          <w:p>
            <w:pPr>
              <w:pStyle w:val="TableText"/>
              <w:jc w:val="left"/>
            </w:pPr>
            <w:r/>
          </w:p>
        </w:tc>
        <w:tc>
          <w:tcPr>
            <w:tcW w:w="1474" w:type="dxa"/>
            <w:vAlign w:val="center"/>
          </w:tcPr>
          <w:p>
            <w:pPr>
              <w:pStyle w:val="TableTextRight"/>
              <w:jc w:val="right"/>
            </w:pPr>
            <w:r/>
          </w:p>
        </w:tc>
        <w:tc>
          <w:tcPr>
            <w:tcW w:w="1360" w:type="dxa"/>
            <w:vAlign w:val="center"/>
          </w:tcPr>
          <w:p>
            <w:pPr>
              <w:pStyle w:val="TableTextCentre"/>
              <w:jc w:val="center"/>
            </w:pPr>
            <w:r/>
          </w:p>
        </w:tc>
        <w:tc>
          <w:tcPr>
            <w:tcW w:w="1816" w:type="dxa"/>
            <w:vAlign w:val="center"/>
          </w:tcPr>
          <w:p>
            <w:pPr>
              <w:pStyle w:val="TableText"/>
              <w:jc w:val="left"/>
            </w:pPr>
            <w:r/>
          </w:p>
        </w:tc>
      </w:tr>
      <w:tr>
        <w:trPr>
          <w:cantSplit w:val="true"/>
        </w:trPr>
        <w:tc>
          <w:tcPr>
            <w:tcW w:w="793" w:type="dxa"/>
            <w:vAlign w:val="center"/>
          </w:tcPr>
          <w:p>
            <w:pPr>
              <w:pStyle w:val="TableTextCentre"/>
              <w:jc w:val="center"/>
            </w:pPr>
            <w:r/>
          </w:p>
        </w:tc>
        <w:tc>
          <w:tcPr>
            <w:tcW w:w="4195" w:type="dxa"/>
            <w:vAlign w:val="center"/>
          </w:tcPr>
          <w:p>
            <w:pPr>
              <w:pStyle w:val="TableText"/>
              <w:jc w:val="left"/>
            </w:pPr>
            <w:r/>
          </w:p>
        </w:tc>
        <w:tc>
          <w:tcPr>
            <w:tcW w:w="1474" w:type="dxa"/>
            <w:vAlign w:val="center"/>
          </w:tcPr>
          <w:p>
            <w:pPr>
              <w:pStyle w:val="TableTextRight"/>
              <w:jc w:val="right"/>
            </w:pPr>
            <w:r/>
          </w:p>
        </w:tc>
        <w:tc>
          <w:tcPr>
            <w:tcW w:w="1360" w:type="dxa"/>
            <w:vAlign w:val="center"/>
          </w:tcPr>
          <w:p>
            <w:pPr>
              <w:pStyle w:val="TableTextCentre"/>
              <w:jc w:val="center"/>
            </w:pPr>
            <w:r/>
          </w:p>
        </w:tc>
        <w:tc>
          <w:tcPr>
            <w:tcW w:w="1816" w:type="dxa"/>
            <w:vAlign w:val="center"/>
          </w:tcPr>
          <w:p>
            <w:pPr>
              <w:pStyle w:val="TableText"/>
              <w:jc w:val="left"/>
            </w:pPr>
            <w:r/>
          </w:p>
        </w:tc>
      </w:tr>
    </w:tbl>
    <w:p>
      <w:pPr>
        <w:spacing w:before="0" w:after="0" w:line="60" w:lineRule="exact"/>
      </w:pPr>
    </w:p>
    <w:p>
      <w:pPr>
        <w:pStyle w:val="Heading2"/>
      </w:pPr>
      <w:bookmarkStart w:id="9060" w:name="_Toc90060"/>
      <w:r>
        <w:t>15.4 Changes, valuation and force account work</w:t>
      </w:r>
      <w:bookmarkEnd w:id="9060"/>
    </w:p>
    <w:p>
      <w:pPr>
        <w:pStyle w:val="BodyBullet"/>
      </w:pPr>
      <w:r>
        <w:rPr>
          <w:color w:val="3480BC"/>
        </w:rPr>
        <w:t xml:space="preserve">—   </w:t>
      </w:r>
      <w:r>
        <w:t>A change is only a change if it is instructed in writing by a person with authority under Section 3.3, before the work is done. Work carried out on a verbal direction, an email from an unauthorized person, or a marked-up drawing without an instruction number, is at the Contractor's risk.</w:t>
      </w:r>
    </w:p>
    <w:p>
      <w:pPr>
        <w:pStyle w:val="BodyBullet"/>
      </w:pPr>
      <w:r>
        <w:rPr>
          <w:color w:val="3480BC"/>
        </w:rPr>
        <w:t xml:space="preserve">—   </w:t>
      </w:r>
      <w:r>
        <w:t>Order of valuation: first, the rates in the schedule of values where the work is of a similar character and executed under similar conditions; second, those rates adjusted for the difference in character or conditions; third, a fair valuation based on the Contractor's substantiated cost plus the bid markups; and only where none of these applies, force account work.</w:t>
      </w:r>
    </w:p>
    <w:p>
      <w:pPr>
        <w:pStyle w:val="BodyBullet"/>
      </w:pPr>
      <w:r>
        <w:rPr>
          <w:color w:val="3480BC"/>
        </w:rPr>
        <w:t xml:space="preserve">—   </w:t>
      </w:r>
      <w:r>
        <w:t>A deductive change order is valued using the same rates as the corresponding addition, and the Contractor is not entitled to the profit it would have made on omitted work unless the contract says otherwise. Omitting work in order to give it to another contractor is not a valid change.</w:t>
      </w:r>
    </w:p>
    <w:p>
      <w:pPr>
        <w:pStyle w:val="BodyBullet"/>
      </w:pPr>
      <w:r>
        <w:rPr>
          <w:color w:val="3480BC"/>
        </w:rPr>
        <w:t xml:space="preserve">—   </w:t>
      </w:r>
      <w:r>
        <w:t>Every change order proposal must state the instruction reference, the scope of the change, the valuation with its build-up, the time effect with a time-impact analysis, and whether any interface at Section 9.1 is affected. A submission with no time position is treated as claiming no time. Bid markups for overhead, profit and subcontractor attendance are fixed for the contract and apply to every change; state them in the bid and record them here.</w:t>
      </w:r>
    </w:p>
    <w:p>
      <w:pPr>
        <w:spacing w:before="0" w:after="0" w:line="40" w:lineRule="exact"/>
      </w:pPr>
    </w:p>
    <w:p>
      <w:pPr>
        <w:pStyle w:val="Note"/>
      </w:pPr>
      <w:r>
        <w:t>This table is a rate schedule to be completed at bid — its rows are the content. Force account work apply only where no unit price and no fair valuation can be established, and only where the work is recorded daily on signed force account tickets submitted within [2] working days. An unsigned force account ticket is not evidence.</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607"/>
        <w:gridCol w:w="907"/>
        <w:gridCol w:w="1247"/>
        <w:gridCol w:w="4877"/>
      </w:tblGrid>
      <w:tr>
        <w:trPr>
          <w:tblHeader w:val="true"/>
          <w:cantSplit w:val="true"/>
        </w:trPr>
        <w:tc>
          <w:tcPr>
            <w:tcW w:w="2607" w:type="dxa"/>
            <w:shd w:val="clear" w:color="auto" w:fill="1D3245"/>
            <w:vAlign w:val="center"/>
          </w:tcPr>
          <w:p>
            <w:pPr>
              <w:pStyle w:val="TableHeader"/>
              <w:jc w:val="left"/>
            </w:pPr>
            <w:r/>
            <w:r>
              <w:t>Resource</w:t>
            </w:r>
          </w:p>
        </w:tc>
        <w:tc>
          <w:tcPr>
            <w:tcW w:w="907" w:type="dxa"/>
            <w:shd w:val="clear" w:color="auto" w:fill="1D3245"/>
            <w:vAlign w:val="center"/>
          </w:tcPr>
          <w:p>
            <w:pPr>
              <w:pStyle w:val="TableHeader"/>
              <w:jc w:val="center"/>
            </w:pPr>
            <w:r/>
            <w:r>
              <w:t>Unit</w:t>
            </w:r>
          </w:p>
        </w:tc>
        <w:tc>
          <w:tcPr>
            <w:tcW w:w="1247" w:type="dxa"/>
            <w:shd w:val="clear" w:color="auto" w:fill="1D3245"/>
            <w:vAlign w:val="center"/>
          </w:tcPr>
          <w:p>
            <w:pPr>
              <w:pStyle w:val="TableHeader"/>
              <w:jc w:val="right"/>
            </w:pPr>
            <w:r/>
            <w:r>
              <w:t>Rate [CUR]</w:t>
            </w:r>
          </w:p>
        </w:tc>
        <w:tc>
          <w:tcPr>
            <w:tcW w:w="4877" w:type="dxa"/>
            <w:shd w:val="clear" w:color="auto" w:fill="1D3245"/>
            <w:vAlign w:val="center"/>
          </w:tcPr>
          <w:p>
            <w:pPr>
              <w:pStyle w:val="TableHeader"/>
              <w:jc w:val="left"/>
            </w:pPr>
            <w:r/>
            <w:r>
              <w:t>Conditions of use</w:t>
            </w:r>
          </w:p>
        </w:tc>
      </w:tr>
      <w:tr>
        <w:trPr>
          <w:cantSplit w:val="true"/>
        </w:trPr>
        <w:tc>
          <w:tcPr>
            <w:tcW w:w="2607" w:type="dxa"/>
            <w:vAlign w:val="center"/>
          </w:tcPr>
          <w:p>
            <w:pPr>
              <w:pStyle w:val="TableText"/>
              <w:jc w:val="left"/>
            </w:pPr>
            <w:r/>
            <w:r>
              <w:t>Foreman / supervisor</w:t>
            </w:r>
          </w:p>
        </w:tc>
        <w:tc>
          <w:tcPr>
            <w:tcW w:w="907" w:type="dxa"/>
            <w:vAlign w:val="center"/>
          </w:tcPr>
          <w:p>
            <w:pPr>
              <w:pStyle w:val="TableTextCentre"/>
              <w:jc w:val="center"/>
            </w:pPr>
            <w:r/>
            <w:r>
              <w:t>hour</w:t>
            </w:r>
          </w:p>
        </w:tc>
        <w:tc>
          <w:tcPr>
            <w:tcW w:w="1247" w:type="dxa"/>
            <w:vAlign w:val="center"/>
          </w:tcPr>
          <w:p>
            <w:pPr>
              <w:pStyle w:val="TableTextRight"/>
              <w:jc w:val="right"/>
            </w:pPr>
            <w:r/>
            <w:r>
              <w:t>[0.00]</w:t>
            </w:r>
          </w:p>
        </w:tc>
        <w:tc>
          <w:tcPr>
            <w:tcW w:w="4877" w:type="dxa"/>
            <w:vAlign w:val="center"/>
          </w:tcPr>
          <w:p>
            <w:pPr>
              <w:pStyle w:val="TableText"/>
              <w:jc w:val="left"/>
            </w:pPr>
            <w:r/>
            <w:r>
              <w:t>Only where directly and solely engaged on the instructed work; supervision otherwise recovered in the bid markup</w:t>
            </w:r>
          </w:p>
        </w:tc>
      </w:tr>
      <w:tr>
        <w:trPr>
          <w:cantSplit w:val="true"/>
        </w:trPr>
        <w:tc>
          <w:tcPr>
            <w:tcW w:w="2607" w:type="dxa"/>
            <w:vAlign w:val="center"/>
          </w:tcPr>
          <w:p>
            <w:pPr>
              <w:pStyle w:val="TableText"/>
              <w:jc w:val="left"/>
            </w:pPr>
            <w:r/>
            <w:r>
              <w:t>Tradesperson</w:t>
            </w:r>
          </w:p>
        </w:tc>
        <w:tc>
          <w:tcPr>
            <w:tcW w:w="907" w:type="dxa"/>
            <w:vAlign w:val="center"/>
          </w:tcPr>
          <w:p>
            <w:pPr>
              <w:pStyle w:val="TableTextCentre"/>
              <w:jc w:val="center"/>
            </w:pPr>
            <w:r/>
            <w:r>
              <w:t>hour</w:t>
            </w:r>
          </w:p>
        </w:tc>
        <w:tc>
          <w:tcPr>
            <w:tcW w:w="1247" w:type="dxa"/>
            <w:vAlign w:val="center"/>
          </w:tcPr>
          <w:p>
            <w:pPr>
              <w:pStyle w:val="TableTextRight"/>
              <w:jc w:val="right"/>
            </w:pPr>
            <w:r/>
            <w:r>
              <w:t>[0.00]</w:t>
            </w:r>
          </w:p>
        </w:tc>
        <w:tc>
          <w:tcPr>
            <w:tcW w:w="4877" w:type="dxa"/>
            <w:vAlign w:val="center"/>
          </w:tcPr>
          <w:p>
            <w:pPr>
              <w:pStyle w:val="TableText"/>
              <w:jc w:val="left"/>
            </w:pPr>
            <w:r/>
            <w:r>
              <w:t>Ordinary hours; overtime only where instructed in writing in advance</w:t>
            </w:r>
          </w:p>
        </w:tc>
      </w:tr>
      <w:tr>
        <w:trPr>
          <w:cantSplit w:val="true"/>
        </w:trPr>
        <w:tc>
          <w:tcPr>
            <w:tcW w:w="2607" w:type="dxa"/>
            <w:vAlign w:val="center"/>
          </w:tcPr>
          <w:p>
            <w:pPr>
              <w:pStyle w:val="TableText"/>
              <w:jc w:val="left"/>
            </w:pPr>
            <w:r/>
            <w:r>
              <w:t>Laborer</w:t>
            </w:r>
          </w:p>
        </w:tc>
        <w:tc>
          <w:tcPr>
            <w:tcW w:w="907" w:type="dxa"/>
            <w:vAlign w:val="center"/>
          </w:tcPr>
          <w:p>
            <w:pPr>
              <w:pStyle w:val="TableTextCentre"/>
              <w:jc w:val="center"/>
            </w:pPr>
            <w:r/>
            <w:r>
              <w:t>hour</w:t>
            </w:r>
          </w:p>
        </w:tc>
        <w:tc>
          <w:tcPr>
            <w:tcW w:w="1247" w:type="dxa"/>
            <w:vAlign w:val="center"/>
          </w:tcPr>
          <w:p>
            <w:pPr>
              <w:pStyle w:val="TableTextRight"/>
              <w:jc w:val="right"/>
            </w:pPr>
            <w:r/>
            <w:r>
              <w:t>[0.00]</w:t>
            </w:r>
          </w:p>
        </w:tc>
        <w:tc>
          <w:tcPr>
            <w:tcW w:w="4877" w:type="dxa"/>
            <w:vAlign w:val="center"/>
          </w:tcPr>
          <w:p>
            <w:pPr>
              <w:pStyle w:val="TableText"/>
              <w:jc w:val="left"/>
            </w:pPr>
            <w:r/>
            <w:r>
              <w:t>Ordinary hours</w:t>
            </w:r>
          </w:p>
        </w:tc>
      </w:tr>
      <w:tr>
        <w:trPr>
          <w:cantSplit w:val="true"/>
        </w:trPr>
        <w:tc>
          <w:tcPr>
            <w:tcW w:w="2607" w:type="dxa"/>
            <w:vAlign w:val="center"/>
          </w:tcPr>
          <w:p>
            <w:pPr>
              <w:pStyle w:val="TableText"/>
              <w:jc w:val="left"/>
            </w:pPr>
            <w:r/>
            <w:r>
              <w:t>Site engineer / surveyor</w:t>
            </w:r>
          </w:p>
        </w:tc>
        <w:tc>
          <w:tcPr>
            <w:tcW w:w="907" w:type="dxa"/>
            <w:vAlign w:val="center"/>
          </w:tcPr>
          <w:p>
            <w:pPr>
              <w:pStyle w:val="TableTextCentre"/>
              <w:jc w:val="center"/>
            </w:pPr>
            <w:r/>
            <w:r>
              <w:t>hour</w:t>
            </w:r>
          </w:p>
        </w:tc>
        <w:tc>
          <w:tcPr>
            <w:tcW w:w="1247" w:type="dxa"/>
            <w:vAlign w:val="center"/>
          </w:tcPr>
          <w:p>
            <w:pPr>
              <w:pStyle w:val="TableTextRight"/>
              <w:jc w:val="right"/>
            </w:pPr>
            <w:r/>
            <w:r>
              <w:t>[0.00]</w:t>
            </w:r>
          </w:p>
        </w:tc>
        <w:tc>
          <w:tcPr>
            <w:tcW w:w="4877" w:type="dxa"/>
            <w:vAlign w:val="center"/>
          </w:tcPr>
          <w:p>
            <w:pPr>
              <w:pStyle w:val="TableText"/>
              <w:jc w:val="left"/>
            </w:pPr>
            <w:r/>
            <w:r>
              <w:t>Where a change requires additional set-out or verification</w:t>
            </w:r>
          </w:p>
        </w:tc>
      </w:tr>
      <w:tr>
        <w:trPr>
          <w:cantSplit w:val="true"/>
        </w:trPr>
        <w:tc>
          <w:tcPr>
            <w:tcW w:w="2607" w:type="dxa"/>
            <w:vAlign w:val="center"/>
          </w:tcPr>
          <w:p>
            <w:pPr>
              <w:pStyle w:val="TableText"/>
              <w:jc w:val="left"/>
            </w:pPr>
            <w:r/>
            <w:r>
              <w:t>Excavator [insert size]</w:t>
            </w:r>
          </w:p>
        </w:tc>
        <w:tc>
          <w:tcPr>
            <w:tcW w:w="907" w:type="dxa"/>
            <w:vAlign w:val="center"/>
          </w:tcPr>
          <w:p>
            <w:pPr>
              <w:pStyle w:val="TableTextCentre"/>
              <w:jc w:val="center"/>
            </w:pPr>
            <w:r/>
            <w:r>
              <w:t>hour</w:t>
            </w:r>
          </w:p>
        </w:tc>
        <w:tc>
          <w:tcPr>
            <w:tcW w:w="1247" w:type="dxa"/>
            <w:vAlign w:val="center"/>
          </w:tcPr>
          <w:p>
            <w:pPr>
              <w:pStyle w:val="TableTextRight"/>
              <w:jc w:val="right"/>
            </w:pPr>
            <w:r/>
            <w:r>
              <w:t>[0.00]</w:t>
            </w:r>
          </w:p>
        </w:tc>
        <w:tc>
          <w:tcPr>
            <w:tcW w:w="4877" w:type="dxa"/>
            <w:vAlign w:val="center"/>
          </w:tcPr>
          <w:p>
            <w:pPr>
              <w:pStyle w:val="TableText"/>
              <w:jc w:val="left"/>
            </w:pPr>
            <w:r/>
            <w:r>
              <w:t>Wet rate including operator, fuel and maintenance; standing time at [50]% of the wet rate</w:t>
            </w:r>
          </w:p>
        </w:tc>
      </w:tr>
      <w:tr>
        <w:trPr>
          <w:cantSplit w:val="true"/>
        </w:trPr>
        <w:tc>
          <w:tcPr>
            <w:tcW w:w="2607" w:type="dxa"/>
            <w:vAlign w:val="center"/>
          </w:tcPr>
          <w:p>
            <w:pPr>
              <w:pStyle w:val="TableText"/>
              <w:jc w:val="left"/>
            </w:pPr>
            <w:r/>
            <w:r>
              <w:t>Aerial lift [insert type]</w:t>
            </w:r>
          </w:p>
        </w:tc>
        <w:tc>
          <w:tcPr>
            <w:tcW w:w="907" w:type="dxa"/>
            <w:vAlign w:val="center"/>
          </w:tcPr>
          <w:p>
            <w:pPr>
              <w:pStyle w:val="TableTextCentre"/>
              <w:jc w:val="center"/>
            </w:pPr>
            <w:r/>
            <w:r>
              <w:t>day</w:t>
            </w:r>
          </w:p>
        </w:tc>
        <w:tc>
          <w:tcPr>
            <w:tcW w:w="1247" w:type="dxa"/>
            <w:vAlign w:val="center"/>
          </w:tcPr>
          <w:p>
            <w:pPr>
              <w:pStyle w:val="TableTextRight"/>
              <w:jc w:val="right"/>
            </w:pPr>
            <w:r/>
            <w:r>
              <w:t>[0.00]</w:t>
            </w:r>
          </w:p>
        </w:tc>
        <w:tc>
          <w:tcPr>
            <w:tcW w:w="4877" w:type="dxa"/>
            <w:vAlign w:val="center"/>
          </w:tcPr>
          <w:p>
            <w:pPr>
              <w:pStyle w:val="TableText"/>
              <w:jc w:val="left"/>
            </w:pPr>
            <w:r/>
            <w:r>
              <w:t>Excluding operator</w:t>
            </w:r>
          </w:p>
        </w:tc>
      </w:tr>
      <w:tr>
        <w:trPr>
          <w:cantSplit w:val="true"/>
        </w:trPr>
        <w:tc>
          <w:tcPr>
            <w:tcW w:w="2607" w:type="dxa"/>
            <w:vAlign w:val="center"/>
          </w:tcPr>
          <w:p>
            <w:pPr>
              <w:pStyle w:val="TableText"/>
              <w:jc w:val="left"/>
            </w:pPr>
            <w:r/>
            <w:r>
              <w:t>Materials</w:t>
            </w:r>
          </w:p>
        </w:tc>
        <w:tc>
          <w:tcPr>
            <w:tcW w:w="907" w:type="dxa"/>
            <w:vAlign w:val="center"/>
          </w:tcPr>
          <w:p>
            <w:pPr>
              <w:pStyle w:val="TableTextCentre"/>
              <w:jc w:val="center"/>
            </w:pPr>
            <w:r/>
            <w:r>
              <w:t>—</w:t>
            </w:r>
          </w:p>
        </w:tc>
        <w:tc>
          <w:tcPr>
            <w:tcW w:w="1247" w:type="dxa"/>
            <w:vAlign w:val="center"/>
          </w:tcPr>
          <w:p>
            <w:pPr>
              <w:pStyle w:val="TableTextRight"/>
              <w:jc w:val="right"/>
            </w:pPr>
            <w:r/>
            <w:r>
              <w:t>cost + [0]%</w:t>
            </w:r>
          </w:p>
        </w:tc>
        <w:tc>
          <w:tcPr>
            <w:tcW w:w="4877" w:type="dxa"/>
            <w:vAlign w:val="center"/>
          </w:tcPr>
          <w:p>
            <w:pPr>
              <w:pStyle w:val="TableText"/>
              <w:jc w:val="left"/>
            </w:pPr>
            <w:r/>
            <w:r>
              <w:t>At invoiced cost, net of all rebates and discounts, plus the bid materials margin. Invoices to be produced on request</w:t>
            </w:r>
          </w:p>
        </w:tc>
      </w:tr>
      <w:tr>
        <w:trPr>
          <w:cantSplit w:val="true"/>
        </w:trPr>
        <w:tc>
          <w:tcPr>
            <w:tcW w:w="2607" w:type="dxa"/>
            <w:vAlign w:val="center"/>
          </w:tcPr>
          <w:p>
            <w:pPr>
              <w:pStyle w:val="TableText"/>
              <w:jc w:val="left"/>
            </w:pPr>
            <w:r/>
            <w:r>
              <w:t>Subcontract work</w:t>
            </w:r>
          </w:p>
        </w:tc>
        <w:tc>
          <w:tcPr>
            <w:tcW w:w="907" w:type="dxa"/>
            <w:vAlign w:val="center"/>
          </w:tcPr>
          <w:p>
            <w:pPr>
              <w:pStyle w:val="TableTextCentre"/>
              <w:jc w:val="center"/>
            </w:pPr>
            <w:r/>
            <w:r>
              <w:t>—</w:t>
            </w:r>
          </w:p>
        </w:tc>
        <w:tc>
          <w:tcPr>
            <w:tcW w:w="1247" w:type="dxa"/>
            <w:vAlign w:val="center"/>
          </w:tcPr>
          <w:p>
            <w:pPr>
              <w:pStyle w:val="TableTextRight"/>
              <w:jc w:val="right"/>
            </w:pPr>
            <w:r/>
            <w:r>
              <w:t>cost + [0]%</w:t>
            </w:r>
          </w:p>
        </w:tc>
        <w:tc>
          <w:tcPr>
            <w:tcW w:w="4877" w:type="dxa"/>
            <w:vAlign w:val="center"/>
          </w:tcPr>
          <w:p>
            <w:pPr>
              <w:pStyle w:val="TableText"/>
              <w:jc w:val="left"/>
            </w:pPr>
            <w:r/>
            <w:r>
              <w:t>At the subcontract price, plus the bid attendance and margin</w:t>
            </w:r>
          </w:p>
        </w:tc>
      </w:tr>
      <w:tr>
        <w:trPr>
          <w:cantSplit w:val="true"/>
        </w:trPr>
        <w:tc>
          <w:tcPr>
            <w:tcW w:w="2607" w:type="dxa"/>
            <w:vAlign w:val="center"/>
          </w:tcPr>
          <w:p>
            <w:pPr>
              <w:pStyle w:val="TableText"/>
              <w:jc w:val="left"/>
            </w:pPr>
            <w:r/>
          </w:p>
        </w:tc>
        <w:tc>
          <w:tcPr>
            <w:tcW w:w="907" w:type="dxa"/>
            <w:vAlign w:val="center"/>
          </w:tcPr>
          <w:p>
            <w:pPr>
              <w:pStyle w:val="TableTextCentre"/>
              <w:jc w:val="center"/>
            </w:pPr>
            <w:r/>
          </w:p>
        </w:tc>
        <w:tc>
          <w:tcPr>
            <w:tcW w:w="1247" w:type="dxa"/>
            <w:vAlign w:val="center"/>
          </w:tcPr>
          <w:p>
            <w:pPr>
              <w:pStyle w:val="TableTextRight"/>
              <w:jc w:val="right"/>
            </w:pPr>
            <w:r/>
          </w:p>
        </w:tc>
        <w:tc>
          <w:tcPr>
            <w:tcW w:w="4877" w:type="dxa"/>
            <w:vAlign w:val="center"/>
          </w:tcPr>
          <w:p>
            <w:pPr>
              <w:pStyle w:val="TableText"/>
              <w:jc w:val="left"/>
            </w:pPr>
            <w:r/>
          </w:p>
        </w:tc>
      </w:tr>
      <w:tr>
        <w:trPr>
          <w:cantSplit w:val="true"/>
        </w:trPr>
        <w:tc>
          <w:tcPr>
            <w:tcW w:w="2607" w:type="dxa"/>
            <w:vAlign w:val="center"/>
          </w:tcPr>
          <w:p>
            <w:pPr>
              <w:pStyle w:val="TableText"/>
              <w:jc w:val="left"/>
            </w:pPr>
            <w:r/>
          </w:p>
        </w:tc>
        <w:tc>
          <w:tcPr>
            <w:tcW w:w="907" w:type="dxa"/>
            <w:vAlign w:val="center"/>
          </w:tcPr>
          <w:p>
            <w:pPr>
              <w:pStyle w:val="TableTextCentre"/>
              <w:jc w:val="center"/>
            </w:pPr>
            <w:r/>
          </w:p>
        </w:tc>
        <w:tc>
          <w:tcPr>
            <w:tcW w:w="1247" w:type="dxa"/>
            <w:vAlign w:val="center"/>
          </w:tcPr>
          <w:p>
            <w:pPr>
              <w:pStyle w:val="TableTextRight"/>
              <w:jc w:val="right"/>
            </w:pPr>
            <w:r/>
          </w:p>
        </w:tc>
        <w:tc>
          <w:tcPr>
            <w:tcW w:w="4877" w:type="dxa"/>
            <w:vAlign w:val="center"/>
          </w:tcPr>
          <w:p>
            <w:pPr>
              <w:pStyle w:val="TableText"/>
              <w:jc w:val="left"/>
            </w:pPr>
            <w:r/>
          </w:p>
        </w:tc>
      </w:tr>
    </w:tbl>
    <w:p>
      <w:pPr>
        <w:spacing w:before="0" w:after="0" w:line="60" w:lineRule="exact"/>
      </w:pPr>
    </w:p>
    <w:p>
      <w:pPr>
        <w:pStyle w:val="Heading2"/>
      </w:pPr>
      <w:bookmarkStart w:id="9061" w:name="_Toc90061"/>
      <w:r>
        <w:t>15.5 Payment, retainage and security</w:t>
      </w:r>
      <w:bookmarkEnd w:id="9061"/>
    </w:p>
    <w:p>
      <w:pPr>
        <w:pStyle w:val="Note"/>
      </w:pPr>
      <w:r>
        <w:t>This table is a reference list — its rows are the content. Every bracketed period must match the General Conditions. Where this section and the contract differ, the contract prevails and this section is wrong.</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2040"/>
        <w:gridCol w:w="7598"/>
      </w:tblGrid>
      <w:tr>
        <w:trPr>
          <w:tblHeader w:val="true"/>
          <w:cantSplit w:val="true"/>
        </w:trPr>
        <w:tc>
          <w:tcPr>
            <w:tcW w:w="2040" w:type="dxa"/>
            <w:shd w:val="clear" w:color="auto" w:fill="1D3245"/>
            <w:vAlign w:val="center"/>
          </w:tcPr>
          <w:p>
            <w:pPr>
              <w:pStyle w:val="TableHeader"/>
              <w:jc w:val="left"/>
            </w:pPr>
            <w:r/>
            <w:r>
              <w:t>Matter</w:t>
            </w:r>
          </w:p>
        </w:tc>
        <w:tc>
          <w:tcPr>
            <w:tcW w:w="7598" w:type="dxa"/>
            <w:shd w:val="clear" w:color="auto" w:fill="1D3245"/>
            <w:vAlign w:val="center"/>
          </w:tcPr>
          <w:p>
            <w:pPr>
              <w:pStyle w:val="TableHeader"/>
              <w:jc w:val="left"/>
            </w:pPr>
            <w:r/>
            <w:r>
              <w:t>Requirement</w:t>
            </w:r>
          </w:p>
        </w:tc>
      </w:tr>
      <w:tr>
        <w:trPr>
          <w:cantSplit w:val="true"/>
        </w:trPr>
        <w:tc>
          <w:tcPr>
            <w:tcW w:w="2040" w:type="dxa"/>
            <w:vAlign w:val="center"/>
          </w:tcPr>
          <w:p>
            <w:pPr>
              <w:pStyle w:val="TableText"/>
              <w:jc w:val="left"/>
            </w:pPr>
            <w:r/>
            <w:r>
              <w:t>Application for payment cycle</w:t>
            </w:r>
          </w:p>
        </w:tc>
        <w:tc>
          <w:tcPr>
            <w:tcW w:w="7598" w:type="dxa"/>
            <w:vAlign w:val="center"/>
          </w:tcPr>
          <w:p>
            <w:pPr>
              <w:pStyle w:val="TableText"/>
              <w:jc w:val="left"/>
            </w:pPr>
            <w:r/>
            <w:r>
              <w:t>On the [insert day] of each month for work completed to that date, with a measured claim reconciled to the schedule of values at Section 15.2, the current schedule update, and any worker payment evidence the contract requires</w:t>
            </w:r>
          </w:p>
        </w:tc>
      </w:tr>
      <w:tr>
        <w:trPr>
          <w:cantSplit w:val="true"/>
        </w:trPr>
        <w:tc>
          <w:tcPr>
            <w:tcW w:w="2040" w:type="dxa"/>
            <w:vAlign w:val="center"/>
          </w:tcPr>
          <w:p>
            <w:pPr>
              <w:pStyle w:val="TableText"/>
              <w:jc w:val="left"/>
            </w:pPr>
            <w:r/>
            <w:r>
              <w:t>Assessment and certification</w:t>
            </w:r>
          </w:p>
        </w:tc>
        <w:tc>
          <w:tcPr>
            <w:tcW w:w="7598" w:type="dxa"/>
            <w:vAlign w:val="center"/>
          </w:tcPr>
          <w:p>
            <w:pPr>
              <w:pStyle w:val="TableText"/>
              <w:jc w:val="left"/>
            </w:pPr>
            <w:r/>
            <w:r>
              <w:t>The Owner's Representative assesses and certifies within [insert period], and payment follows within [insert period] of certification, in accordance with [insert contract clause reference] and the applicable prompt payment statute — the federal Prompt Payment Act and FAR 52.232-27 on federal work, or the state prompt-pay statute — noting that mechanics lien rights and, on public work, Miller Act or Little Miller Act payment bond rights run alongside it</w:t>
            </w:r>
          </w:p>
        </w:tc>
      </w:tr>
      <w:tr>
        <w:trPr>
          <w:cantSplit w:val="true"/>
        </w:trPr>
        <w:tc>
          <w:tcPr>
            <w:tcW w:w="2040" w:type="dxa"/>
            <w:vAlign w:val="center"/>
          </w:tcPr>
          <w:p>
            <w:pPr>
              <w:pStyle w:val="TableText"/>
              <w:jc w:val="left"/>
            </w:pPr>
            <w:r/>
            <w:r>
              <w:t>Basis of assessment</w:t>
            </w:r>
          </w:p>
        </w:tc>
        <w:tc>
          <w:tcPr>
            <w:tcW w:w="7598" w:type="dxa"/>
            <w:vAlign w:val="center"/>
          </w:tcPr>
          <w:p>
            <w:pPr>
              <w:pStyle w:val="TableText"/>
              <w:jc w:val="left"/>
            </w:pPr>
            <w:r/>
            <w:r>
              <w:t>Value of work properly executed and conforming, plus materials on site where allowed, less retainage and amounts properly withheld. Nonconforming work is not certified until closed under Section 12.5</w:t>
            </w:r>
          </w:p>
        </w:tc>
      </w:tr>
      <w:tr>
        <w:trPr>
          <w:cantSplit w:val="true"/>
        </w:trPr>
        <w:tc>
          <w:tcPr>
            <w:tcW w:w="2040" w:type="dxa"/>
            <w:vAlign w:val="center"/>
          </w:tcPr>
          <w:p>
            <w:pPr>
              <w:pStyle w:val="TableText"/>
              <w:jc w:val="left"/>
            </w:pPr>
            <w:r/>
            <w:r>
              <w:t>Retainage or security</w:t>
            </w:r>
          </w:p>
        </w:tc>
        <w:tc>
          <w:tcPr>
            <w:tcW w:w="7598" w:type="dxa"/>
            <w:vAlign w:val="center"/>
          </w:tcPr>
          <w:p>
            <w:pPr>
              <w:pStyle w:val="TableText"/>
              <w:jc w:val="left"/>
            </w:pPr>
            <w:r/>
            <w:r>
              <w:t>[Insert percentage retained, the cap, the point of first release and the point of final release, or the form and value of the unconditional undertaking or bond provided instead]</w:t>
            </w:r>
          </w:p>
        </w:tc>
      </w:tr>
      <w:tr>
        <w:trPr>
          <w:cantSplit w:val="true"/>
        </w:trPr>
        <w:tc>
          <w:tcPr>
            <w:tcW w:w="2040" w:type="dxa"/>
            <w:vAlign w:val="center"/>
          </w:tcPr>
          <w:p>
            <w:pPr>
              <w:pStyle w:val="TableText"/>
              <w:jc w:val="left"/>
            </w:pPr>
            <w:r/>
            <w:r>
              <w:t>Unfixed materials</w:t>
            </w:r>
          </w:p>
        </w:tc>
        <w:tc>
          <w:tcPr>
            <w:tcW w:w="7598" w:type="dxa"/>
            <w:vAlign w:val="center"/>
          </w:tcPr>
          <w:p>
            <w:pPr>
              <w:pStyle w:val="TableText"/>
              <w:jc w:val="left"/>
            </w:pPr>
            <w:r/>
            <w:r>
              <w:t>[State whether materials on site or off site are payable, and on what conditions — vesting, insurance, marking and inspection rights]</w:t>
            </w:r>
          </w:p>
        </w:tc>
      </w:tr>
      <w:tr>
        <w:trPr>
          <w:cantSplit w:val="true"/>
        </w:trPr>
        <w:tc>
          <w:tcPr>
            <w:tcW w:w="2040" w:type="dxa"/>
            <w:vAlign w:val="center"/>
          </w:tcPr>
          <w:p>
            <w:pPr>
              <w:pStyle w:val="TableText"/>
              <w:jc w:val="left"/>
            </w:pPr>
            <w:r/>
            <w:r>
              <w:t>Final application for payment</w:t>
            </w:r>
          </w:p>
        </w:tc>
        <w:tc>
          <w:tcPr>
            <w:tcW w:w="7598" w:type="dxa"/>
            <w:vAlign w:val="center"/>
          </w:tcPr>
          <w:p>
            <w:pPr>
              <w:pStyle w:val="TableText"/>
              <w:jc w:val="left"/>
            </w:pPr>
            <w:r/>
            <w:r>
              <w:t>Within [insert period] of the last Certificate of Substantial Completion or the expiry of the last correction period, whichever the contract requires. A late claim may be barred</w:t>
            </w:r>
          </w:p>
        </w:tc>
      </w:tr>
    </w:tbl>
    <w:p>
      <w:pPr>
        <w:spacing w:before="0" w:after="0" w:line="60" w:lineRule="exact"/>
      </w:pPr>
    </w:p>
    <w:p>
      <w:pPr>
        <w:pStyle w:val="Heading2"/>
      </w:pPr>
      <w:bookmarkStart w:id="9062" w:name="_Toc90062"/>
      <w:r>
        <w:t>15.6 Prolongation and disruption</w:t>
      </w:r>
      <w:bookmarkEnd w:id="9062"/>
    </w:p>
    <w:p>
      <w:pPr>
        <w:pStyle w:val="Body"/>
      </w:pPr>
      <w:r>
        <w:t>State the basis on which time-related cost is recovered, so that a claim can be assessed rather than negotiated. Prolongation compensates the cost of being on site longer; disruption compensates the loss of productivity while on site. They are different claims with different evidence, and a submission that conflates them usually fails. Note the US delay taxonomy the entitlement actually turns on: a delay is excusable or non-excusable, and if excusable it is compensable or non-compensable. Only an excusable, compensable delay carries money as well as time. State which categories this contract recognizes.</w:t>
      </w:r>
    </w:p>
    <w:p>
      <w:pPr>
        <w:pStyle w:val="BodyBullet"/>
      </w:pPr>
      <w:r>
        <w:rPr>
          <w:color w:val="3480BC"/>
        </w:rPr>
        <w:t xml:space="preserve">—   </w:t>
      </w:r>
      <w:r>
        <w:t>Prolongation is recovered at the time-related site overhead actually and reasonably incurred during the period of compensable delay, substantiated by records. A bid daily or weekly rate may be used where the contract provides for one; otherwise, actual cost applies. Head office overhead and profit are recoverable only where the contract expressly allows, and formula-based claims are not accepted in the absence of such a provision.</w:t>
      </w:r>
    </w:p>
    <w:p>
      <w:pPr>
        <w:pStyle w:val="BodyBullet"/>
      </w:pPr>
      <w:r>
        <w:rPr>
          <w:color w:val="3480BC"/>
        </w:rPr>
        <w:t xml:space="preserve">—   </w:t>
      </w:r>
      <w:r>
        <w:t>Disruption is recovered on the measured loss of productivity, established by comparing planned and actual resource output on the affected activity against an unaffected baseline — a measured mile, an earned value comparison, or an agreed study. Global and total cost claims are not accepted.</w:t>
      </w:r>
    </w:p>
    <w:p>
      <w:pPr>
        <w:pStyle w:val="BodyBullet"/>
      </w:pPr>
      <w:r>
        <w:rPr>
          <w:color w:val="3480BC"/>
        </w:rPr>
        <w:t xml:space="preserve">—   </w:t>
      </w:r>
      <w:r>
        <w:t>Acceleration is recoverable only where instructed in writing; constructive acceleration is not accepted unless the contract provides for it. Entitlement to any time-related cost depends on contemporaneous records — labor and equipment allocation sheets, the daily diary, the progress records at Section 11.4 and the correspondence trail — kept for the period the contract requires and produced on request.</w:t>
      </w:r>
    </w:p>
    <w:p>
      <w:pPr>
        <w:spacing w:before="0" w:after="0" w:line="80" w:lineRule="exact"/>
      </w:pPr>
    </w:p>
    <w:p>
      <w:pPr>
        <w:pStyle w:val="Note"/>
      </w:pPr>
      <w:r>
        <w:t>The commercial terms in the General Conditions prevail over this section in every respect. This section is a statement of the commercial framework for the guidance of the project team; it does not amend the contract, and nothing in it creates an entitlement that the contract does not create.</w:t>
      </w:r>
    </w:p>
    <w:p>
      <w:pPr>
        <w:pStyle w:val="Heading1"/>
      </w:pPr>
      <w:bookmarkStart w:id="9063" w:name="_Toc90063"/>
      <w:r>
        <w:t>16. Completion, Handover and Warranty</w:t>
      </w:r>
      <w:bookmarkEnd w:id="9063"/>
    </w:p>
    <w:p>
      <w:pPr>
        <w:pStyle w:val="BodyLead"/>
      </w:pPr>
      <w:r>
        <w:t>Substantial Completion is the most valuable date in the contract, and US practice has a SECOND date after it that an owner-side team routinely forgets to define. Substantial Completion (A201-2017 §9.8.1) is reached when the Work is sufficiently complete that the Owner can occupy or use it for its intended purpose; it starts the correction period, shifts insurance and utilities, and stops liquidated damages. Final Completion (§9.10) comes after the punch list is finished and releases final payment and retainage. Define both by criteria that can be verified rather than by opinion. This section states those criteria, what is handed over, and what the Contractor must do afterwards.</w:t>
      </w:r>
    </w:p>
    <w:p>
      <w:pPr>
        <w:pStyle w:val="Heading2"/>
      </w:pPr>
      <w:bookmarkStart w:id="9064" w:name="_Toc90064"/>
      <w:r>
        <w:t>16.1 Substantial Completion criteria</w:t>
      </w:r>
      <w:bookmarkEnd w:id="9064"/>
    </w:p>
    <w:p>
      <w:pPr>
        <w:pStyle w:val="Note"/>
      </w:pPr>
      <w:r>
        <w:t>This checklist is the content — complete, amend and add to it for the project, and align it with the definition of Substantial Completion in the General Conditions. Where the contract definition and this checklist differ, the contract prevails. The blank rows are for project-specific criteria.</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453"/>
        <w:gridCol w:w="4308"/>
        <w:gridCol w:w="2948"/>
        <w:gridCol w:w="1929"/>
      </w:tblGrid>
      <w:tr>
        <w:trPr>
          <w:tblHeader w:val="true"/>
          <w:cantSplit w:val="true"/>
        </w:trPr>
        <w:tc>
          <w:tcPr>
            <w:tcW w:w="453" w:type="dxa"/>
            <w:shd w:val="clear" w:color="auto" w:fill="1D3245"/>
            <w:vAlign w:val="center"/>
          </w:tcPr>
          <w:p>
            <w:pPr>
              <w:pStyle w:val="TableHeader"/>
              <w:jc w:val="center"/>
            </w:pPr>
            <w:r/>
            <w:r>
              <w:t>#</w:t>
            </w:r>
          </w:p>
        </w:tc>
        <w:tc>
          <w:tcPr>
            <w:tcW w:w="4308" w:type="dxa"/>
            <w:shd w:val="clear" w:color="auto" w:fill="1D3245"/>
            <w:vAlign w:val="center"/>
          </w:tcPr>
          <w:p>
            <w:pPr>
              <w:pStyle w:val="TableHeader"/>
              <w:jc w:val="left"/>
            </w:pPr>
            <w:r/>
            <w:r>
              <w:t>Criterion</w:t>
            </w:r>
          </w:p>
        </w:tc>
        <w:tc>
          <w:tcPr>
            <w:tcW w:w="2948" w:type="dxa"/>
            <w:shd w:val="clear" w:color="auto" w:fill="1D3245"/>
            <w:vAlign w:val="center"/>
          </w:tcPr>
          <w:p>
            <w:pPr>
              <w:pStyle w:val="TableHeader"/>
              <w:jc w:val="left"/>
            </w:pPr>
            <w:r/>
            <w:r>
              <w:t>Evidence</w:t>
            </w:r>
          </w:p>
        </w:tc>
        <w:tc>
          <w:tcPr>
            <w:tcW w:w="1929" w:type="dxa"/>
            <w:shd w:val="clear" w:color="auto" w:fill="1D3245"/>
            <w:vAlign w:val="center"/>
          </w:tcPr>
          <w:p>
            <w:pPr>
              <w:pStyle w:val="TableHeader"/>
              <w:jc w:val="left"/>
            </w:pPr>
            <w:r/>
            <w:r>
              <w:t>Verified by</w:t>
            </w:r>
          </w:p>
        </w:tc>
      </w:tr>
      <w:tr>
        <w:trPr>
          <w:cantSplit w:val="true"/>
        </w:trPr>
        <w:tc>
          <w:tcPr>
            <w:tcW w:w="453" w:type="dxa"/>
            <w:vAlign w:val="center"/>
          </w:tcPr>
          <w:p>
            <w:pPr>
              <w:pStyle w:val="TableTextCentre"/>
              <w:jc w:val="center"/>
            </w:pPr>
            <w:r/>
            <w:r>
              <w:t>1</w:t>
            </w:r>
          </w:p>
        </w:tc>
        <w:tc>
          <w:tcPr>
            <w:tcW w:w="4308" w:type="dxa"/>
            <w:vAlign w:val="center"/>
          </w:tcPr>
          <w:p>
            <w:pPr>
              <w:pStyle w:val="TableText"/>
              <w:jc w:val="left"/>
            </w:pPr>
            <w:r/>
            <w:r>
              <w:t>All work in the scope complete except minor defects and omissions that do not prevent use for the intended purpose</w:t>
            </w:r>
          </w:p>
        </w:tc>
        <w:tc>
          <w:tcPr>
            <w:tcW w:w="2948" w:type="dxa"/>
            <w:vAlign w:val="center"/>
          </w:tcPr>
          <w:p>
            <w:pPr>
              <w:pStyle w:val="TableText"/>
              <w:jc w:val="left"/>
            </w:pPr>
            <w:r/>
            <w:r>
              <w:t>Joint inspection record and agreed punch list</w:t>
            </w:r>
          </w:p>
        </w:tc>
        <w:tc>
          <w:tcPr>
            <w:tcW w:w="1929" w:type="dxa"/>
            <w:vAlign w:val="center"/>
          </w:tcPr>
          <w:p>
            <w:pPr>
              <w:pStyle w:val="TableText"/>
              <w:jc w:val="left"/>
            </w:pPr>
            <w:r/>
            <w:r>
              <w:t>Owner's Representative</w:t>
            </w:r>
          </w:p>
        </w:tc>
      </w:tr>
      <w:tr>
        <w:trPr>
          <w:cantSplit w:val="true"/>
        </w:trPr>
        <w:tc>
          <w:tcPr>
            <w:tcW w:w="453" w:type="dxa"/>
            <w:vAlign w:val="center"/>
          </w:tcPr>
          <w:p>
            <w:pPr>
              <w:pStyle w:val="TableTextCentre"/>
              <w:jc w:val="center"/>
            </w:pPr>
            <w:r/>
            <w:r>
              <w:t>2</w:t>
            </w:r>
          </w:p>
        </w:tc>
        <w:tc>
          <w:tcPr>
            <w:tcW w:w="4308" w:type="dxa"/>
            <w:vAlign w:val="center"/>
          </w:tcPr>
          <w:p>
            <w:pPr>
              <w:pStyle w:val="TableText"/>
              <w:jc w:val="left"/>
            </w:pPr>
            <w:r/>
            <w:r>
              <w:t>All systems commissioned, and the integrated systems test passed with every system live</w:t>
            </w:r>
          </w:p>
        </w:tc>
        <w:tc>
          <w:tcPr>
            <w:tcW w:w="2948" w:type="dxa"/>
            <w:vAlign w:val="center"/>
          </w:tcPr>
          <w:p>
            <w:pPr>
              <w:pStyle w:val="TableText"/>
              <w:jc w:val="left"/>
            </w:pPr>
            <w:r/>
            <w:r>
              <w:t>Commissioning records and integrated systems test report</w:t>
            </w:r>
          </w:p>
        </w:tc>
        <w:tc>
          <w:tcPr>
            <w:tcW w:w="1929" w:type="dxa"/>
            <w:vAlign w:val="center"/>
          </w:tcPr>
          <w:p>
            <w:pPr>
              <w:pStyle w:val="TableText"/>
              <w:jc w:val="left"/>
            </w:pPr>
            <w:r/>
            <w:r>
              <w:t>Services engineer and Owner's engineering representative</w:t>
            </w:r>
          </w:p>
        </w:tc>
      </w:tr>
      <w:tr>
        <w:trPr>
          <w:cantSplit w:val="true"/>
        </w:trPr>
        <w:tc>
          <w:tcPr>
            <w:tcW w:w="453" w:type="dxa"/>
            <w:vAlign w:val="center"/>
          </w:tcPr>
          <w:p>
            <w:pPr>
              <w:pStyle w:val="TableTextCentre"/>
              <w:jc w:val="center"/>
            </w:pPr>
            <w:r/>
            <w:r>
              <w:t>3</w:t>
            </w:r>
          </w:p>
        </w:tc>
        <w:tc>
          <w:tcPr>
            <w:tcW w:w="4308" w:type="dxa"/>
            <w:vAlign w:val="center"/>
          </w:tcPr>
          <w:p>
            <w:pPr>
              <w:pStyle w:val="TableText"/>
              <w:jc w:val="left"/>
            </w:pPr>
            <w:r/>
            <w:r>
              <w:t>All statutory and regulatory certificates and approvals obtained, and all conditions of approval discharged</w:t>
            </w:r>
          </w:p>
        </w:tc>
        <w:tc>
          <w:tcPr>
            <w:tcW w:w="2948" w:type="dxa"/>
            <w:vAlign w:val="center"/>
          </w:tcPr>
          <w:p>
            <w:pPr>
              <w:pStyle w:val="TableText"/>
              <w:jc w:val="left"/>
            </w:pPr>
            <w:r/>
            <w:r>
              <w:t>Certificate set and conditions register closed out</w:t>
            </w:r>
          </w:p>
        </w:tc>
        <w:tc>
          <w:tcPr>
            <w:tcW w:w="1929" w:type="dxa"/>
            <w:vAlign w:val="center"/>
          </w:tcPr>
          <w:p>
            <w:pPr>
              <w:pStyle w:val="TableText"/>
              <w:jc w:val="left"/>
            </w:pPr>
            <w:r/>
            <w:r>
              <w:t>Owner's Representative</w:t>
            </w:r>
          </w:p>
        </w:tc>
      </w:tr>
      <w:tr>
        <w:trPr>
          <w:cantSplit w:val="true"/>
        </w:trPr>
        <w:tc>
          <w:tcPr>
            <w:tcW w:w="453" w:type="dxa"/>
            <w:vAlign w:val="center"/>
          </w:tcPr>
          <w:p>
            <w:pPr>
              <w:pStyle w:val="TableTextCentre"/>
              <w:jc w:val="center"/>
            </w:pPr>
            <w:r/>
            <w:r>
              <w:t>4</w:t>
            </w:r>
          </w:p>
        </w:tc>
        <w:tc>
          <w:tcPr>
            <w:tcW w:w="4308" w:type="dxa"/>
            <w:vAlign w:val="center"/>
          </w:tcPr>
          <w:p>
            <w:pPr>
              <w:pStyle w:val="TableText"/>
              <w:jc w:val="left"/>
            </w:pPr>
            <w:r/>
            <w:r>
              <w:t>Fire, life safety and other critical systems — medical gas, essential power — complete, tested and certified, with the cause-and-effect matrix demonstrated in full</w:t>
            </w:r>
          </w:p>
        </w:tc>
        <w:tc>
          <w:tcPr>
            <w:tcW w:w="2948" w:type="dxa"/>
            <w:vAlign w:val="center"/>
          </w:tcPr>
          <w:p>
            <w:pPr>
              <w:pStyle w:val="TableText"/>
              <w:jc w:val="left"/>
            </w:pPr>
            <w:r/>
            <w:r>
              <w:t>Fire engineer's statement, certificates of compliance and test records</w:t>
            </w:r>
          </w:p>
        </w:tc>
        <w:tc>
          <w:tcPr>
            <w:tcW w:w="1929" w:type="dxa"/>
            <w:vAlign w:val="center"/>
          </w:tcPr>
          <w:p>
            <w:pPr>
              <w:pStyle w:val="TableText"/>
              <w:jc w:val="left"/>
            </w:pPr>
            <w:r/>
            <w:r>
              <w:t>Fire engineer and Owner's engineer</w:t>
            </w:r>
          </w:p>
        </w:tc>
      </w:tr>
      <w:tr>
        <w:trPr>
          <w:cantSplit w:val="true"/>
        </w:trPr>
        <w:tc>
          <w:tcPr>
            <w:tcW w:w="453" w:type="dxa"/>
            <w:vAlign w:val="center"/>
          </w:tcPr>
          <w:p>
            <w:pPr>
              <w:pStyle w:val="TableTextCentre"/>
              <w:jc w:val="center"/>
            </w:pPr>
            <w:r/>
            <w:r>
              <w:t>6</w:t>
            </w:r>
          </w:p>
        </w:tc>
        <w:tc>
          <w:tcPr>
            <w:tcW w:w="4308" w:type="dxa"/>
            <w:vAlign w:val="center"/>
          </w:tcPr>
          <w:p>
            <w:pPr>
              <w:pStyle w:val="TableText"/>
              <w:jc w:val="left"/>
            </w:pPr>
            <w:r/>
            <w:r>
              <w:t>Handover documentation delivered and accepted — Section 16.3</w:t>
            </w:r>
          </w:p>
        </w:tc>
        <w:tc>
          <w:tcPr>
            <w:tcW w:w="2948" w:type="dxa"/>
            <w:vAlign w:val="center"/>
          </w:tcPr>
          <w:p>
            <w:pPr>
              <w:pStyle w:val="TableText"/>
              <w:jc w:val="left"/>
            </w:pPr>
            <w:r/>
            <w:r>
              <w:t>Documentation register signed off</w:t>
            </w:r>
          </w:p>
        </w:tc>
        <w:tc>
          <w:tcPr>
            <w:tcW w:w="1929" w:type="dxa"/>
            <w:vAlign w:val="center"/>
          </w:tcPr>
          <w:p>
            <w:pPr>
              <w:pStyle w:val="TableText"/>
              <w:jc w:val="left"/>
            </w:pPr>
            <w:r/>
            <w:r>
              <w:t>Owner's Representative</w:t>
            </w:r>
          </w:p>
        </w:tc>
      </w:tr>
      <w:tr>
        <w:trPr>
          <w:cantSplit w:val="true"/>
        </w:trPr>
        <w:tc>
          <w:tcPr>
            <w:tcW w:w="453" w:type="dxa"/>
            <w:vAlign w:val="center"/>
          </w:tcPr>
          <w:p>
            <w:pPr>
              <w:pStyle w:val="TableTextCentre"/>
              <w:jc w:val="center"/>
            </w:pPr>
            <w:r/>
            <w:r>
              <w:t>7</w:t>
            </w:r>
          </w:p>
        </w:tc>
        <w:tc>
          <w:tcPr>
            <w:tcW w:w="4308" w:type="dxa"/>
            <w:vAlign w:val="center"/>
          </w:tcPr>
          <w:p>
            <w:pPr>
              <w:pStyle w:val="TableText"/>
              <w:jc w:val="left"/>
            </w:pPr>
            <w:r/>
            <w:r>
              <w:t>Training delivered and recorded, and spares and attic stock delivered — Sections 16.3 and 16.4</w:t>
            </w:r>
          </w:p>
        </w:tc>
        <w:tc>
          <w:tcPr>
            <w:tcW w:w="2948" w:type="dxa"/>
            <w:vAlign w:val="center"/>
          </w:tcPr>
          <w:p>
            <w:pPr>
              <w:pStyle w:val="TableText"/>
              <w:jc w:val="left"/>
            </w:pPr>
            <w:r/>
            <w:r>
              <w:t>Attendance records, training material set and signed delivery schedule</w:t>
            </w:r>
          </w:p>
        </w:tc>
        <w:tc>
          <w:tcPr>
            <w:tcW w:w="1929" w:type="dxa"/>
            <w:vAlign w:val="center"/>
          </w:tcPr>
          <w:p>
            <w:pPr>
              <w:pStyle w:val="TableText"/>
              <w:jc w:val="left"/>
            </w:pPr>
            <w:r/>
            <w:r>
              <w:t>Owner's facilities manager</w:t>
            </w:r>
          </w:p>
        </w:tc>
      </w:tr>
      <w:tr>
        <w:trPr>
          <w:cantSplit w:val="true"/>
        </w:trPr>
        <w:tc>
          <w:tcPr>
            <w:tcW w:w="453" w:type="dxa"/>
            <w:vAlign w:val="center"/>
          </w:tcPr>
          <w:p>
            <w:pPr>
              <w:pStyle w:val="TableTextCentre"/>
              <w:jc w:val="center"/>
            </w:pPr>
            <w:r/>
            <w:r>
              <w:t>8</w:t>
            </w:r>
          </w:p>
        </w:tc>
        <w:tc>
          <w:tcPr>
            <w:tcW w:w="4308" w:type="dxa"/>
            <w:vAlign w:val="center"/>
          </w:tcPr>
          <w:p>
            <w:pPr>
              <w:pStyle w:val="TableText"/>
              <w:jc w:val="left"/>
            </w:pPr>
            <w:r/>
            <w:r>
              <w:t>Site clean, temporary works removed, the Owner's areas reinstated, and the record and asset data set delivered</w:t>
            </w:r>
          </w:p>
        </w:tc>
        <w:tc>
          <w:tcPr>
            <w:tcW w:w="2948" w:type="dxa"/>
            <w:vAlign w:val="center"/>
          </w:tcPr>
          <w:p>
            <w:pPr>
              <w:pStyle w:val="TableText"/>
              <w:jc w:val="left"/>
            </w:pPr>
            <w:r/>
            <w:r>
              <w:t>Inspection record, pre-condition close-out and the accepted handover data set per Section 14</w:t>
            </w:r>
          </w:p>
        </w:tc>
        <w:tc>
          <w:tcPr>
            <w:tcW w:w="1929" w:type="dxa"/>
            <w:vAlign w:val="center"/>
          </w:tcPr>
          <w:p>
            <w:pPr>
              <w:pStyle w:val="TableText"/>
              <w:jc w:val="left"/>
            </w:pPr>
            <w:r/>
            <w:r>
              <w:t>Owner's Representative and Owner's information manager</w:t>
            </w:r>
          </w:p>
        </w:tc>
      </w:tr>
      <w:tr>
        <w:trPr>
          <w:cantSplit w:val="true"/>
        </w:trPr>
        <w:tc>
          <w:tcPr>
            <w:tcW w:w="453" w:type="dxa"/>
            <w:vAlign w:val="center"/>
          </w:tcPr>
          <w:p>
            <w:pPr>
              <w:pStyle w:val="TableTextCentre"/>
              <w:jc w:val="center"/>
            </w:pPr>
            <w:r/>
            <w:r>
              <w:t>9</w:t>
            </w:r>
          </w:p>
        </w:tc>
        <w:tc>
          <w:tcPr>
            <w:tcW w:w="4308" w:type="dxa"/>
            <w:vAlign w:val="center"/>
          </w:tcPr>
          <w:p>
            <w:pPr>
              <w:pStyle w:val="TableText"/>
              <w:jc w:val="left"/>
            </w:pPr>
            <w:r/>
          </w:p>
        </w:tc>
        <w:tc>
          <w:tcPr>
            <w:tcW w:w="2948" w:type="dxa"/>
            <w:vAlign w:val="center"/>
          </w:tcPr>
          <w:p>
            <w:pPr>
              <w:pStyle w:val="TableText"/>
              <w:jc w:val="left"/>
            </w:pPr>
            <w:r/>
          </w:p>
        </w:tc>
        <w:tc>
          <w:tcPr>
            <w:tcW w:w="1929" w:type="dxa"/>
            <w:vAlign w:val="center"/>
          </w:tcPr>
          <w:p>
            <w:pPr>
              <w:pStyle w:val="TableText"/>
              <w:jc w:val="left"/>
            </w:pPr>
            <w:r/>
          </w:p>
        </w:tc>
      </w:tr>
      <w:tr>
        <w:trPr>
          <w:cantSplit w:val="true"/>
        </w:trPr>
        <w:tc>
          <w:tcPr>
            <w:tcW w:w="453" w:type="dxa"/>
            <w:vAlign w:val="center"/>
          </w:tcPr>
          <w:p>
            <w:pPr>
              <w:pStyle w:val="TableTextCentre"/>
              <w:jc w:val="center"/>
            </w:pPr>
            <w:r/>
            <w:r>
              <w:t>10</w:t>
            </w:r>
          </w:p>
        </w:tc>
        <w:tc>
          <w:tcPr>
            <w:tcW w:w="4308" w:type="dxa"/>
            <w:vAlign w:val="center"/>
          </w:tcPr>
          <w:p>
            <w:pPr>
              <w:pStyle w:val="TableText"/>
              <w:jc w:val="left"/>
            </w:pPr>
            <w:r/>
          </w:p>
        </w:tc>
        <w:tc>
          <w:tcPr>
            <w:tcW w:w="2948" w:type="dxa"/>
            <w:vAlign w:val="center"/>
          </w:tcPr>
          <w:p>
            <w:pPr>
              <w:pStyle w:val="TableText"/>
              <w:jc w:val="left"/>
            </w:pPr>
            <w:r/>
          </w:p>
        </w:tc>
        <w:tc>
          <w:tcPr>
            <w:tcW w:w="1929" w:type="dxa"/>
            <w:vAlign w:val="center"/>
          </w:tcPr>
          <w:p>
            <w:pPr>
              <w:pStyle w:val="TableText"/>
              <w:jc w:val="left"/>
            </w:pPr>
            <w:r/>
          </w:p>
        </w:tc>
      </w:tr>
    </w:tbl>
    <w:p>
      <w:pPr>
        <w:spacing w:before="0" w:after="0" w:line="60" w:lineRule="exact"/>
      </w:pPr>
    </w:p>
    <w:p>
      <w:pPr>
        <w:pStyle w:val="Heading2"/>
      </w:pPr>
      <w:bookmarkStart w:id="9065" w:name="_Toc90065"/>
      <w:r>
        <w:t>16.2 Commissioning and performance verification</w:t>
      </w:r>
      <w:bookmarkEnd w:id="9065"/>
    </w:p>
    <w:p>
      <w:pPr>
        <w:pStyle w:val="BodyBullet"/>
      </w:pPr>
      <w:r>
        <w:rPr>
          <w:color w:val="3480BC"/>
        </w:rPr>
        <w:t xml:space="preserve">—   </w:t>
      </w:r>
      <w:r>
        <w:t>Commissioning is a defined activity with its own schedule, method and records, not the tail end of installation. A commissioning plan is submitted [40] working days before the first system is commissioned, identifying the systems, sequence, prerequisites, test sheets and witnessing parties.</w:t>
      </w:r>
    </w:p>
    <w:p>
      <w:pPr>
        <w:pStyle w:val="BodyBullet"/>
      </w:pPr>
      <w:r>
        <w:rPr>
          <w:color w:val="3480BC"/>
        </w:rPr>
        <w:t xml:space="preserve">—   </w:t>
      </w:r>
      <w:r>
        <w:t>Pre-commissioning (static checks, cleanliness, alignment, continuity, pressure and flushing) must be complete and recorded before commissioning begins. A system presented for commissioning that has not been pre-commissioned is rejected and the cost of re-attendance is borne by the Contractor.</w:t>
      </w:r>
    </w:p>
    <w:p>
      <w:pPr>
        <w:pStyle w:val="BodyBullet"/>
      </w:pPr>
      <w:r>
        <w:rPr>
          <w:color w:val="3480BC"/>
        </w:rPr>
        <w:t xml:space="preserve">—   </w:t>
      </w:r>
      <w:r>
        <w:t>Integrated systems testing demonstrates the systems working together under normal, degraded and emergency conditions — power failure and changeover, fire mode, smoke control, pressure cascade, security release, alarm escalation. It is witnessed and is a Substantial Completion criterion.</w:t>
      </w:r>
    </w:p>
    <w:p>
      <w:pPr>
        <w:pStyle w:val="BodyBullet"/>
      </w:pPr>
      <w:r>
        <w:rPr>
          <w:color w:val="3480BC"/>
        </w:rPr>
        <w:t xml:space="preserve">—   </w:t>
      </w:r>
      <w:r>
        <w:t>Performance against the requirements at Section 6.1 and 6.3 is measured and recorded. Where a requirement is not met the Contractor rectifies and retests; the Owner is not obliged to accept a shortfall in exchange for a price adjustment.</w:t>
      </w:r>
    </w:p>
    <w:p>
      <w:pPr>
        <w:pStyle w:val="BodyBullet"/>
      </w:pPr>
      <w:r>
        <w:rPr>
          <w:color w:val="3480BC"/>
        </w:rPr>
        <w:t xml:space="preserve">—   </w:t>
      </w:r>
      <w:r>
        <w:t>Seasonal commissioning and fine tuning continue for [12] months after Substantial Completion where specified, with a report at [3], [6] and [12] months. This obligation survives Substantial Completion and is not discharged by it.</w:t>
      </w:r>
    </w:p>
    <w:p>
      <w:pPr>
        <w:spacing w:before="0" w:after="0" w:line="80" w:lineRule="exact"/>
      </w:pPr>
    </w:p>
    <w:p>
      <w:pPr>
        <w:pStyle w:val="Heading2"/>
      </w:pPr>
      <w:bookmarkStart w:id="9066" w:name="_Toc90066"/>
      <w:r>
        <w:t>16.3 Handover documentation and training</w:t>
      </w:r>
      <w:bookmarkEnd w:id="9066"/>
    </w:p>
    <w:p>
      <w:pPr>
        <w:pStyle w:val="Note"/>
      </w:pPr>
      <w:r>
        <w:t>This checklist is the content — amend it to the project and align it with the register at Section 14 so that each deliverable appears once. Incomplete handover documentation prevents Substantial Completion; say so, and mean it.</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3061"/>
        <w:gridCol w:w="2834"/>
        <w:gridCol w:w="2040"/>
        <w:gridCol w:w="1703"/>
      </w:tblGrid>
      <w:tr>
        <w:trPr>
          <w:tblHeader w:val="true"/>
          <w:cantSplit w:val="true"/>
        </w:trPr>
        <w:tc>
          <w:tcPr>
            <w:tcW w:w="3061" w:type="dxa"/>
            <w:shd w:val="clear" w:color="auto" w:fill="1D3245"/>
            <w:vAlign w:val="center"/>
          </w:tcPr>
          <w:p>
            <w:pPr>
              <w:pStyle w:val="TableHeader"/>
              <w:jc w:val="left"/>
            </w:pPr>
            <w:r/>
            <w:r>
              <w:t>Deliverable</w:t>
            </w:r>
          </w:p>
        </w:tc>
        <w:tc>
          <w:tcPr>
            <w:tcW w:w="2834" w:type="dxa"/>
            <w:shd w:val="clear" w:color="auto" w:fill="1D3245"/>
            <w:vAlign w:val="center"/>
          </w:tcPr>
          <w:p>
            <w:pPr>
              <w:pStyle w:val="TableHeader"/>
              <w:jc w:val="left"/>
            </w:pPr>
            <w:r/>
            <w:r>
              <w:t>Format</w:t>
            </w:r>
          </w:p>
        </w:tc>
        <w:tc>
          <w:tcPr>
            <w:tcW w:w="2040" w:type="dxa"/>
            <w:shd w:val="clear" w:color="auto" w:fill="1D3245"/>
            <w:vAlign w:val="center"/>
          </w:tcPr>
          <w:p>
            <w:pPr>
              <w:pStyle w:val="TableHeader"/>
              <w:jc w:val="left"/>
            </w:pPr>
            <w:r/>
            <w:r>
              <w:t>Due</w:t>
            </w:r>
          </w:p>
        </w:tc>
        <w:tc>
          <w:tcPr>
            <w:tcW w:w="1703" w:type="dxa"/>
            <w:shd w:val="clear" w:color="auto" w:fill="1D3245"/>
            <w:vAlign w:val="center"/>
          </w:tcPr>
          <w:p>
            <w:pPr>
              <w:pStyle w:val="TableHeader"/>
              <w:jc w:val="left"/>
            </w:pPr>
            <w:r/>
            <w:r>
              <w:t>Accepted by</w:t>
            </w:r>
          </w:p>
        </w:tc>
      </w:tr>
      <w:tr>
        <w:trPr>
          <w:cantSplit w:val="true"/>
        </w:trPr>
        <w:tc>
          <w:tcPr>
            <w:tcW w:w="3061" w:type="dxa"/>
            <w:vAlign w:val="center"/>
          </w:tcPr>
          <w:p>
            <w:pPr>
              <w:pStyle w:val="TableText"/>
              <w:jc w:val="left"/>
            </w:pPr>
            <w:r/>
            <w:r>
              <w:t>Operation and maintenance manuals</w:t>
            </w:r>
          </w:p>
        </w:tc>
        <w:tc>
          <w:tcPr>
            <w:tcW w:w="2834" w:type="dxa"/>
            <w:vAlign w:val="center"/>
          </w:tcPr>
          <w:p>
            <w:pPr>
              <w:pStyle w:val="TableText"/>
              <w:jc w:val="left"/>
            </w:pPr>
            <w:r/>
            <w:r>
              <w:t>PDF, searchable, hyperlinked index, plus native files and [2] hard copies</w:t>
            </w:r>
          </w:p>
        </w:tc>
        <w:tc>
          <w:tcPr>
            <w:tcW w:w="2040" w:type="dxa"/>
            <w:vAlign w:val="center"/>
          </w:tcPr>
          <w:p>
            <w:pPr>
              <w:pStyle w:val="TableText"/>
              <w:jc w:val="left"/>
            </w:pPr>
            <w:r/>
            <w:r>
              <w:t>Draft [40] working days before Substantial Completion; final at Substantial Completion</w:t>
            </w:r>
          </w:p>
        </w:tc>
        <w:tc>
          <w:tcPr>
            <w:tcW w:w="1703" w:type="dxa"/>
            <w:vAlign w:val="center"/>
          </w:tcPr>
          <w:p>
            <w:pPr>
              <w:pStyle w:val="TableText"/>
              <w:jc w:val="left"/>
            </w:pPr>
            <w:r/>
            <w:r>
              <w:t>Owner's facilities manager</w:t>
            </w:r>
          </w:p>
        </w:tc>
      </w:tr>
      <w:tr>
        <w:trPr>
          <w:cantSplit w:val="true"/>
        </w:trPr>
        <w:tc>
          <w:tcPr>
            <w:tcW w:w="3061" w:type="dxa"/>
            <w:vAlign w:val="center"/>
          </w:tcPr>
          <w:p>
            <w:pPr>
              <w:pStyle w:val="TableText"/>
              <w:jc w:val="left"/>
            </w:pPr>
            <w:r/>
            <w:r>
              <w:t>Record drawings and models</w:t>
            </w:r>
          </w:p>
        </w:tc>
        <w:tc>
          <w:tcPr>
            <w:tcW w:w="2834" w:type="dxa"/>
            <w:vAlign w:val="center"/>
          </w:tcPr>
          <w:p>
            <w:pPr>
              <w:pStyle w:val="TableText"/>
              <w:jc w:val="left"/>
            </w:pPr>
            <w:r/>
            <w:r>
              <w:t>Native and neutral exchange format per Section 9.5, to the ISO 19650 container convention</w:t>
            </w:r>
          </w:p>
        </w:tc>
        <w:tc>
          <w:tcPr>
            <w:tcW w:w="2040" w:type="dxa"/>
            <w:vAlign w:val="center"/>
          </w:tcPr>
          <w:p>
            <w:pPr>
              <w:pStyle w:val="TableText"/>
              <w:jc w:val="left"/>
            </w:pPr>
            <w:r/>
            <w:r>
              <w:t>At Substantial Completion</w:t>
            </w:r>
          </w:p>
        </w:tc>
        <w:tc>
          <w:tcPr>
            <w:tcW w:w="1703" w:type="dxa"/>
            <w:vAlign w:val="center"/>
          </w:tcPr>
          <w:p>
            <w:pPr>
              <w:pStyle w:val="TableText"/>
              <w:jc w:val="left"/>
            </w:pPr>
            <w:r/>
            <w:r>
              <w:t>Owner's information manager</w:t>
            </w:r>
          </w:p>
        </w:tc>
      </w:tr>
      <w:tr>
        <w:trPr>
          <w:cantSplit w:val="true"/>
        </w:trPr>
        <w:tc>
          <w:tcPr>
            <w:tcW w:w="3061" w:type="dxa"/>
            <w:vAlign w:val="center"/>
          </w:tcPr>
          <w:p>
            <w:pPr>
              <w:pStyle w:val="TableText"/>
              <w:jc w:val="left"/>
            </w:pPr>
            <w:r/>
            <w:r>
              <w:t>Asset register and asset data</w:t>
            </w:r>
          </w:p>
        </w:tc>
        <w:tc>
          <w:tcPr>
            <w:tcW w:w="2834" w:type="dxa"/>
            <w:vAlign w:val="center"/>
          </w:tcPr>
          <w:p>
            <w:pPr>
              <w:pStyle w:val="TableText"/>
              <w:jc w:val="left"/>
            </w:pPr>
            <w:r/>
            <w:r>
              <w:t>In the structure required by the project Exchange Information Requirements</w:t>
            </w:r>
          </w:p>
        </w:tc>
        <w:tc>
          <w:tcPr>
            <w:tcW w:w="2040" w:type="dxa"/>
            <w:vAlign w:val="center"/>
          </w:tcPr>
          <w:p>
            <w:pPr>
              <w:pStyle w:val="TableText"/>
              <w:jc w:val="left"/>
            </w:pPr>
            <w:r/>
            <w:r>
              <w:t>At Substantial Completion</w:t>
            </w:r>
          </w:p>
        </w:tc>
        <w:tc>
          <w:tcPr>
            <w:tcW w:w="1703" w:type="dxa"/>
            <w:vAlign w:val="center"/>
          </w:tcPr>
          <w:p>
            <w:pPr>
              <w:pStyle w:val="TableText"/>
              <w:jc w:val="left"/>
            </w:pPr>
            <w:r/>
            <w:r>
              <w:t>Owner's information manager</w:t>
            </w:r>
          </w:p>
        </w:tc>
      </w:tr>
      <w:tr>
        <w:trPr>
          <w:cantSplit w:val="true"/>
        </w:trPr>
        <w:tc>
          <w:tcPr>
            <w:tcW w:w="3061" w:type="dxa"/>
            <w:vAlign w:val="center"/>
          </w:tcPr>
          <w:p>
            <w:pPr>
              <w:pStyle w:val="TableText"/>
              <w:jc w:val="left"/>
            </w:pPr>
            <w:r/>
            <w:r>
              <w:t>Warranties, guarantees and installer certifications</w:t>
            </w:r>
          </w:p>
        </w:tc>
        <w:tc>
          <w:tcPr>
            <w:tcW w:w="2834" w:type="dxa"/>
            <w:vAlign w:val="center"/>
          </w:tcPr>
          <w:p>
            <w:pPr>
              <w:pStyle w:val="TableText"/>
              <w:jc w:val="left"/>
            </w:pPr>
            <w:r/>
            <w:r>
              <w:t>Executed originals, in the Owner's name, with the warranty register</w:t>
            </w:r>
          </w:p>
        </w:tc>
        <w:tc>
          <w:tcPr>
            <w:tcW w:w="2040" w:type="dxa"/>
            <w:vAlign w:val="center"/>
          </w:tcPr>
          <w:p>
            <w:pPr>
              <w:pStyle w:val="TableText"/>
              <w:jc w:val="left"/>
            </w:pPr>
            <w:r/>
            <w:r>
              <w:t>At Substantial Completion</w:t>
            </w:r>
          </w:p>
        </w:tc>
        <w:tc>
          <w:tcPr>
            <w:tcW w:w="1703" w:type="dxa"/>
            <w:vAlign w:val="center"/>
          </w:tcPr>
          <w:p>
            <w:pPr>
              <w:pStyle w:val="TableText"/>
              <w:jc w:val="left"/>
            </w:pPr>
            <w:r/>
            <w:r>
              <w:t>Owner's Representative</w:t>
            </w:r>
          </w:p>
        </w:tc>
      </w:tr>
      <w:tr>
        <w:trPr>
          <w:cantSplit w:val="true"/>
        </w:trPr>
        <w:tc>
          <w:tcPr>
            <w:tcW w:w="3061" w:type="dxa"/>
            <w:vAlign w:val="center"/>
          </w:tcPr>
          <w:p>
            <w:pPr>
              <w:pStyle w:val="TableText"/>
              <w:jc w:val="left"/>
            </w:pPr>
            <w:r/>
            <w:r>
              <w:t>Certificates, test results and commissioning records</w:t>
            </w:r>
          </w:p>
        </w:tc>
        <w:tc>
          <w:tcPr>
            <w:tcW w:w="2834" w:type="dxa"/>
            <w:vAlign w:val="center"/>
          </w:tcPr>
          <w:p>
            <w:pPr>
              <w:pStyle w:val="TableText"/>
              <w:jc w:val="left"/>
            </w:pPr>
            <w:r/>
            <w:r>
              <w:t>Indexed PDF set</w:t>
            </w:r>
          </w:p>
        </w:tc>
        <w:tc>
          <w:tcPr>
            <w:tcW w:w="2040" w:type="dxa"/>
            <w:vAlign w:val="center"/>
          </w:tcPr>
          <w:p>
            <w:pPr>
              <w:pStyle w:val="TableText"/>
              <w:jc w:val="left"/>
            </w:pPr>
            <w:r/>
            <w:r>
              <w:t>At Substantial Completion</w:t>
            </w:r>
          </w:p>
        </w:tc>
        <w:tc>
          <w:tcPr>
            <w:tcW w:w="1703" w:type="dxa"/>
            <w:vAlign w:val="center"/>
          </w:tcPr>
          <w:p>
            <w:pPr>
              <w:pStyle w:val="TableText"/>
              <w:jc w:val="left"/>
            </w:pPr>
            <w:r/>
            <w:r>
              <w:t>Owner's Representative</w:t>
            </w:r>
          </w:p>
        </w:tc>
      </w:tr>
      <w:tr>
        <w:trPr>
          <w:cantSplit w:val="true"/>
        </w:trPr>
        <w:tc>
          <w:tcPr>
            <w:tcW w:w="3061" w:type="dxa"/>
            <w:vAlign w:val="center"/>
          </w:tcPr>
          <w:p>
            <w:pPr>
              <w:pStyle w:val="TableText"/>
              <w:jc w:val="left"/>
            </w:pPr>
            <w:r/>
            <w:r>
              <w:t>Training — delivery and records</w:t>
            </w:r>
          </w:p>
        </w:tc>
        <w:tc>
          <w:tcPr>
            <w:tcW w:w="2834" w:type="dxa"/>
            <w:vAlign w:val="center"/>
          </w:tcPr>
          <w:p>
            <w:pPr>
              <w:pStyle w:val="TableText"/>
              <w:jc w:val="left"/>
            </w:pPr>
            <w:r/>
            <w:r>
              <w:t>Training plan, materials, attendance records and a recorded session for each system</w:t>
            </w:r>
          </w:p>
        </w:tc>
        <w:tc>
          <w:tcPr>
            <w:tcW w:w="2040" w:type="dxa"/>
            <w:vAlign w:val="center"/>
          </w:tcPr>
          <w:p>
            <w:pPr>
              <w:pStyle w:val="TableText"/>
              <w:jc w:val="left"/>
            </w:pPr>
            <w:r/>
            <w:r>
              <w:t>Before Substantial Completion, plus a refresher at [3] months</w:t>
            </w:r>
          </w:p>
        </w:tc>
        <w:tc>
          <w:tcPr>
            <w:tcW w:w="1703" w:type="dxa"/>
            <w:vAlign w:val="center"/>
          </w:tcPr>
          <w:p>
            <w:pPr>
              <w:pStyle w:val="TableText"/>
              <w:jc w:val="left"/>
            </w:pPr>
            <w:r/>
            <w:r>
              <w:t>Owner's facilities manager</w:t>
            </w:r>
          </w:p>
        </w:tc>
      </w:tr>
      <w:tr>
        <w:trPr>
          <w:cantSplit w:val="true"/>
        </w:trPr>
        <w:tc>
          <w:tcPr>
            <w:tcW w:w="3061" w:type="dxa"/>
            <w:vAlign w:val="center"/>
          </w:tcPr>
          <w:p>
            <w:pPr>
              <w:pStyle w:val="TableText"/>
              <w:jc w:val="left"/>
            </w:pPr>
            <w:r/>
          </w:p>
        </w:tc>
        <w:tc>
          <w:tcPr>
            <w:tcW w:w="2834" w:type="dxa"/>
            <w:vAlign w:val="center"/>
          </w:tcPr>
          <w:p>
            <w:pPr>
              <w:pStyle w:val="TableText"/>
              <w:jc w:val="left"/>
            </w:pPr>
            <w:r/>
          </w:p>
        </w:tc>
        <w:tc>
          <w:tcPr>
            <w:tcW w:w="2040" w:type="dxa"/>
            <w:vAlign w:val="center"/>
          </w:tcPr>
          <w:p>
            <w:pPr>
              <w:pStyle w:val="TableText"/>
              <w:jc w:val="left"/>
            </w:pPr>
            <w:r/>
          </w:p>
        </w:tc>
        <w:tc>
          <w:tcPr>
            <w:tcW w:w="1703" w:type="dxa"/>
            <w:vAlign w:val="center"/>
          </w:tcPr>
          <w:p>
            <w:pPr>
              <w:pStyle w:val="TableText"/>
              <w:jc w:val="left"/>
            </w:pPr>
            <w:r/>
          </w:p>
        </w:tc>
      </w:tr>
      <w:tr>
        <w:trPr>
          <w:cantSplit w:val="true"/>
        </w:trPr>
        <w:tc>
          <w:tcPr>
            <w:tcW w:w="3061" w:type="dxa"/>
            <w:vAlign w:val="center"/>
          </w:tcPr>
          <w:p>
            <w:pPr>
              <w:pStyle w:val="TableText"/>
              <w:jc w:val="left"/>
            </w:pPr>
            <w:r/>
          </w:p>
        </w:tc>
        <w:tc>
          <w:tcPr>
            <w:tcW w:w="2834" w:type="dxa"/>
            <w:vAlign w:val="center"/>
          </w:tcPr>
          <w:p>
            <w:pPr>
              <w:pStyle w:val="TableText"/>
              <w:jc w:val="left"/>
            </w:pPr>
            <w:r/>
          </w:p>
        </w:tc>
        <w:tc>
          <w:tcPr>
            <w:tcW w:w="2040" w:type="dxa"/>
            <w:vAlign w:val="center"/>
          </w:tcPr>
          <w:p>
            <w:pPr>
              <w:pStyle w:val="TableText"/>
              <w:jc w:val="left"/>
            </w:pPr>
            <w:r/>
          </w:p>
        </w:tc>
        <w:tc>
          <w:tcPr>
            <w:tcW w:w="1703" w:type="dxa"/>
            <w:vAlign w:val="center"/>
          </w:tcPr>
          <w:p>
            <w:pPr>
              <w:pStyle w:val="TableText"/>
              <w:jc w:val="left"/>
            </w:pPr>
            <w:r/>
          </w:p>
        </w:tc>
      </w:tr>
    </w:tbl>
    <w:p>
      <w:pPr>
        <w:spacing w:before="0" w:after="0" w:line="60" w:lineRule="exact"/>
      </w:pPr>
    </w:p>
    <w:p>
      <w:pPr>
        <w:pStyle w:val="Heading2"/>
      </w:pPr>
      <w:bookmarkStart w:id="9067" w:name="_Toc90067"/>
      <w:r>
        <w:t>16.4 Spares and attic stock</w:t>
      </w:r>
      <w:bookmarkEnd w:id="9067"/>
    </w:p>
    <w:p>
      <w:pPr>
        <w:pStyle w:val="Note"/>
      </w:pPr>
      <w:r>
        <w:t>Example rows shown in gray italic — delete before use. Spares must be new, in the manufacturer's packaging, labeled with the element they serve, and listed on a schedule signed on delivery. Delivery of spares is a Substantial Completion criterion at Section 16.1.</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3061"/>
        <w:gridCol w:w="2607"/>
        <w:gridCol w:w="2154"/>
        <w:gridCol w:w="1816"/>
      </w:tblGrid>
      <w:tr>
        <w:trPr>
          <w:tblHeader w:val="true"/>
          <w:cantSplit w:val="true"/>
        </w:trPr>
        <w:tc>
          <w:tcPr>
            <w:tcW w:w="3061" w:type="dxa"/>
            <w:shd w:val="clear" w:color="auto" w:fill="1D3245"/>
            <w:vAlign w:val="center"/>
          </w:tcPr>
          <w:p>
            <w:pPr>
              <w:pStyle w:val="TableHeader"/>
              <w:jc w:val="left"/>
            </w:pPr>
            <w:r/>
            <w:r>
              <w:t>Item</w:t>
            </w:r>
          </w:p>
        </w:tc>
        <w:tc>
          <w:tcPr>
            <w:tcW w:w="2607" w:type="dxa"/>
            <w:shd w:val="clear" w:color="auto" w:fill="1D3245"/>
            <w:vAlign w:val="center"/>
          </w:tcPr>
          <w:p>
            <w:pPr>
              <w:pStyle w:val="TableHeader"/>
              <w:jc w:val="left"/>
            </w:pPr>
            <w:r/>
            <w:r>
              <w:t>Quantity required</w:t>
            </w:r>
          </w:p>
        </w:tc>
        <w:tc>
          <w:tcPr>
            <w:tcW w:w="2154" w:type="dxa"/>
            <w:shd w:val="clear" w:color="auto" w:fill="1D3245"/>
            <w:vAlign w:val="center"/>
          </w:tcPr>
          <w:p>
            <w:pPr>
              <w:pStyle w:val="TableHeader"/>
              <w:jc w:val="left"/>
            </w:pPr>
            <w:r/>
            <w:r>
              <w:t>Delivered to</w:t>
            </w:r>
          </w:p>
        </w:tc>
        <w:tc>
          <w:tcPr>
            <w:tcW w:w="1816" w:type="dxa"/>
            <w:shd w:val="clear" w:color="auto" w:fill="1D3245"/>
            <w:vAlign w:val="center"/>
          </w:tcPr>
          <w:p>
            <w:pPr>
              <w:pStyle w:val="TableHeader"/>
              <w:jc w:val="left"/>
            </w:pPr>
            <w:r/>
            <w:r>
              <w:t>Evidence</w:t>
            </w:r>
          </w:p>
        </w:tc>
      </w:tr>
      <w:tr>
        <w:trPr>
          <w:cantSplit w:val="true"/>
        </w:trPr>
        <w:tc>
          <w:tcPr>
            <w:tcW w:w="3061" w:type="dxa"/>
            <w:vAlign w:val="center"/>
          </w:tcPr>
          <w:p>
            <w:pPr>
              <w:pStyle w:val="TableTextExample"/>
              <w:jc w:val="left"/>
            </w:pPr>
            <w:r/>
            <w:r>
              <w:t>Floor finishes — each type</w:t>
            </w:r>
          </w:p>
        </w:tc>
        <w:tc>
          <w:tcPr>
            <w:tcW w:w="2607" w:type="dxa"/>
            <w:vAlign w:val="center"/>
          </w:tcPr>
          <w:p>
            <w:pPr>
              <w:pStyle w:val="TableTextExample"/>
              <w:jc w:val="left"/>
            </w:pPr>
            <w:r/>
            <w:r>
              <w:t>[2]% of installed area, minimum one full box</w:t>
            </w:r>
          </w:p>
        </w:tc>
        <w:tc>
          <w:tcPr>
            <w:tcW w:w="2154" w:type="dxa"/>
            <w:vAlign w:val="center"/>
          </w:tcPr>
          <w:p>
            <w:pPr>
              <w:pStyle w:val="TableTextExample"/>
              <w:jc w:val="left"/>
            </w:pPr>
            <w:r/>
            <w:r>
              <w:t>Owner's store, as directed</w:t>
            </w:r>
          </w:p>
        </w:tc>
        <w:tc>
          <w:tcPr>
            <w:tcW w:w="1816" w:type="dxa"/>
            <w:vAlign w:val="center"/>
          </w:tcPr>
          <w:p>
            <w:pPr>
              <w:pStyle w:val="TableTextExample"/>
              <w:jc w:val="left"/>
            </w:pPr>
            <w:r/>
            <w:r>
              <w:t>Signed delivery schedule</w:t>
            </w:r>
          </w:p>
        </w:tc>
      </w:tr>
      <w:tr>
        <w:trPr>
          <w:cantSplit w:val="true"/>
        </w:trPr>
        <w:tc>
          <w:tcPr>
            <w:tcW w:w="3061" w:type="dxa"/>
            <w:vAlign w:val="center"/>
          </w:tcPr>
          <w:p>
            <w:pPr>
              <w:pStyle w:val="TableTextExample"/>
              <w:jc w:val="left"/>
            </w:pPr>
            <w:r/>
            <w:r>
              <w:t>Lamps, drivers and filters — each type</w:t>
            </w:r>
          </w:p>
        </w:tc>
        <w:tc>
          <w:tcPr>
            <w:tcW w:w="2607" w:type="dxa"/>
            <w:vAlign w:val="center"/>
          </w:tcPr>
          <w:p>
            <w:pPr>
              <w:pStyle w:val="TableTextExample"/>
              <w:jc w:val="left"/>
            </w:pPr>
            <w:r/>
            <w:r>
              <w:t>[insert quantity or percentage]</w:t>
            </w:r>
          </w:p>
        </w:tc>
        <w:tc>
          <w:tcPr>
            <w:tcW w:w="2154" w:type="dxa"/>
            <w:vAlign w:val="center"/>
          </w:tcPr>
          <w:p>
            <w:pPr>
              <w:pStyle w:val="TableTextExample"/>
              <w:jc w:val="left"/>
            </w:pPr>
            <w:r/>
            <w:r>
              <w:t>Owner's store</w:t>
            </w:r>
          </w:p>
        </w:tc>
        <w:tc>
          <w:tcPr>
            <w:tcW w:w="1816" w:type="dxa"/>
            <w:vAlign w:val="center"/>
          </w:tcPr>
          <w:p>
            <w:pPr>
              <w:pStyle w:val="TableTextExample"/>
              <w:jc w:val="left"/>
            </w:pPr>
            <w:r/>
            <w:r>
              <w:t>Signed delivery schedule</w:t>
            </w:r>
          </w:p>
        </w:tc>
      </w:tr>
      <w:tr>
        <w:trPr>
          <w:cantSplit w:val="true"/>
        </w:trPr>
        <w:tc>
          <w:tcPr>
            <w:tcW w:w="3061" w:type="dxa"/>
            <w:vAlign w:val="center"/>
          </w:tcPr>
          <w:p>
            <w:pPr>
              <w:pStyle w:val="TableTextExample"/>
              <w:jc w:val="left"/>
            </w:pPr>
            <w:r/>
            <w:r>
              <w:t>Special tools, keys and access devices</w:t>
            </w:r>
          </w:p>
        </w:tc>
        <w:tc>
          <w:tcPr>
            <w:tcW w:w="2607" w:type="dxa"/>
            <w:vAlign w:val="center"/>
          </w:tcPr>
          <w:p>
            <w:pPr>
              <w:pStyle w:val="TableTextExample"/>
              <w:jc w:val="left"/>
            </w:pPr>
            <w:r/>
            <w:r>
              <w:t>One set per system, labeled and registered</w:t>
            </w:r>
          </w:p>
        </w:tc>
        <w:tc>
          <w:tcPr>
            <w:tcW w:w="2154" w:type="dxa"/>
            <w:vAlign w:val="center"/>
          </w:tcPr>
          <w:p>
            <w:pPr>
              <w:pStyle w:val="TableTextExample"/>
              <w:jc w:val="left"/>
            </w:pPr>
            <w:r/>
            <w:r>
              <w:t>Owner's facilities manager</w:t>
            </w:r>
          </w:p>
        </w:tc>
        <w:tc>
          <w:tcPr>
            <w:tcW w:w="1816" w:type="dxa"/>
            <w:vAlign w:val="center"/>
          </w:tcPr>
          <w:p>
            <w:pPr>
              <w:pStyle w:val="TableTextExample"/>
              <w:jc w:val="left"/>
            </w:pPr>
            <w:r/>
            <w:r>
              <w:t>Signed register</w:t>
            </w:r>
          </w:p>
        </w:tc>
      </w:tr>
      <w:tr>
        <w:trPr>
          <w:cantSplit w:val="true"/>
        </w:trPr>
        <w:tc>
          <w:tcPr>
            <w:tcW w:w="3061" w:type="dxa"/>
            <w:vAlign w:val="center"/>
          </w:tcPr>
          <w:p>
            <w:pPr>
              <w:pStyle w:val="TableText"/>
              <w:jc w:val="left"/>
            </w:pPr>
            <w:r/>
          </w:p>
        </w:tc>
        <w:tc>
          <w:tcPr>
            <w:tcW w:w="2607" w:type="dxa"/>
            <w:vAlign w:val="center"/>
          </w:tcPr>
          <w:p>
            <w:pPr>
              <w:pStyle w:val="TableText"/>
              <w:jc w:val="left"/>
            </w:pPr>
            <w:r/>
          </w:p>
        </w:tc>
        <w:tc>
          <w:tcPr>
            <w:tcW w:w="2154" w:type="dxa"/>
            <w:vAlign w:val="center"/>
          </w:tcPr>
          <w:p>
            <w:pPr>
              <w:pStyle w:val="TableText"/>
              <w:jc w:val="left"/>
            </w:pPr>
            <w:r/>
          </w:p>
        </w:tc>
        <w:tc>
          <w:tcPr>
            <w:tcW w:w="1816" w:type="dxa"/>
            <w:vAlign w:val="center"/>
          </w:tcPr>
          <w:p>
            <w:pPr>
              <w:pStyle w:val="TableText"/>
              <w:jc w:val="left"/>
            </w:pPr>
            <w:r/>
          </w:p>
        </w:tc>
      </w:tr>
      <w:tr>
        <w:trPr>
          <w:cantSplit w:val="true"/>
        </w:trPr>
        <w:tc>
          <w:tcPr>
            <w:tcW w:w="3061" w:type="dxa"/>
            <w:vAlign w:val="center"/>
          </w:tcPr>
          <w:p>
            <w:pPr>
              <w:pStyle w:val="TableText"/>
              <w:jc w:val="left"/>
            </w:pPr>
            <w:r/>
          </w:p>
        </w:tc>
        <w:tc>
          <w:tcPr>
            <w:tcW w:w="2607" w:type="dxa"/>
            <w:vAlign w:val="center"/>
          </w:tcPr>
          <w:p>
            <w:pPr>
              <w:pStyle w:val="TableText"/>
              <w:jc w:val="left"/>
            </w:pPr>
            <w:r/>
          </w:p>
        </w:tc>
        <w:tc>
          <w:tcPr>
            <w:tcW w:w="2154" w:type="dxa"/>
            <w:vAlign w:val="center"/>
          </w:tcPr>
          <w:p>
            <w:pPr>
              <w:pStyle w:val="TableText"/>
              <w:jc w:val="left"/>
            </w:pPr>
            <w:r/>
          </w:p>
        </w:tc>
        <w:tc>
          <w:tcPr>
            <w:tcW w:w="1816" w:type="dxa"/>
            <w:vAlign w:val="center"/>
          </w:tcPr>
          <w:p>
            <w:pPr>
              <w:pStyle w:val="TableText"/>
              <w:jc w:val="left"/>
            </w:pPr>
            <w:r/>
          </w:p>
        </w:tc>
      </w:tr>
    </w:tbl>
    <w:p>
      <w:pPr>
        <w:spacing w:before="0" w:after="0" w:line="60" w:lineRule="exact"/>
      </w:pPr>
    </w:p>
    <w:p>
      <w:pPr>
        <w:pStyle w:val="Heading2"/>
      </w:pPr>
      <w:bookmarkStart w:id="9068" w:name="_Toc90068"/>
      <w:r>
        <w:t>16.5 Correction period and final completion</w:t>
      </w:r>
      <w:bookmarkEnd w:id="9068"/>
    </w:p>
    <w:p>
      <w:pPr>
        <w:pStyle w:val="Body"/>
      </w:pPr>
      <w:r>
        <w:t>State the period, when it starts for each separable portion, and — most often omitted — the response and rectification times by severity. A correction period without response times is unmanageable for a facility in operation.</w:t>
      </w:r>
    </w:p>
    <w:p>
      <w:pPr>
        <w:pStyle w:val="Note"/>
      </w:pPr>
      <w:r>
        <w:t>This table is a reference schedule — its rows are the content. Adjust the severities and periods to the asset and its operation, and align them with the General Conditions. Where the Contractor fails to respond within the stated time, state the Owner's right to rectify and recover the cost.</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1474"/>
        <w:gridCol w:w="3968"/>
        <w:gridCol w:w="1814"/>
        <w:gridCol w:w="2382"/>
      </w:tblGrid>
      <w:tr>
        <w:trPr>
          <w:tblHeader w:val="true"/>
          <w:cantSplit w:val="true"/>
        </w:trPr>
        <w:tc>
          <w:tcPr>
            <w:tcW w:w="1474" w:type="dxa"/>
            <w:shd w:val="clear" w:color="auto" w:fill="1D3245"/>
            <w:vAlign w:val="center"/>
          </w:tcPr>
          <w:p>
            <w:pPr>
              <w:pStyle w:val="TableHeader"/>
              <w:jc w:val="left"/>
            </w:pPr>
            <w:r/>
            <w:r>
              <w:t>Defect severity</w:t>
            </w:r>
          </w:p>
        </w:tc>
        <w:tc>
          <w:tcPr>
            <w:tcW w:w="3968" w:type="dxa"/>
            <w:shd w:val="clear" w:color="auto" w:fill="1D3245"/>
            <w:vAlign w:val="center"/>
          </w:tcPr>
          <w:p>
            <w:pPr>
              <w:pStyle w:val="TableHeader"/>
              <w:jc w:val="left"/>
            </w:pPr>
            <w:r/>
            <w:r>
              <w:t>Definition</w:t>
            </w:r>
          </w:p>
        </w:tc>
        <w:tc>
          <w:tcPr>
            <w:tcW w:w="1814" w:type="dxa"/>
            <w:shd w:val="clear" w:color="auto" w:fill="1D3245"/>
            <w:vAlign w:val="center"/>
          </w:tcPr>
          <w:p>
            <w:pPr>
              <w:pStyle w:val="TableHeader"/>
              <w:jc w:val="left"/>
            </w:pPr>
            <w:r/>
            <w:r>
              <w:t>Response time</w:t>
            </w:r>
          </w:p>
        </w:tc>
        <w:tc>
          <w:tcPr>
            <w:tcW w:w="2382" w:type="dxa"/>
            <w:shd w:val="clear" w:color="auto" w:fill="1D3245"/>
            <w:vAlign w:val="center"/>
          </w:tcPr>
          <w:p>
            <w:pPr>
              <w:pStyle w:val="TableHeader"/>
              <w:jc w:val="left"/>
            </w:pPr>
            <w:r/>
            <w:r>
              <w:t>Rectification time</w:t>
            </w:r>
          </w:p>
        </w:tc>
      </w:tr>
      <w:tr>
        <w:trPr>
          <w:cantSplit w:val="true"/>
        </w:trPr>
        <w:tc>
          <w:tcPr>
            <w:tcW w:w="1474" w:type="dxa"/>
            <w:vAlign w:val="center"/>
          </w:tcPr>
          <w:p>
            <w:pPr>
              <w:pStyle w:val="TableText"/>
              <w:jc w:val="left"/>
            </w:pPr>
            <w:r/>
            <w:r>
              <w:t>Critical</w:t>
            </w:r>
          </w:p>
        </w:tc>
        <w:tc>
          <w:tcPr>
            <w:tcW w:w="3968" w:type="dxa"/>
            <w:vAlign w:val="center"/>
          </w:tcPr>
          <w:p>
            <w:pPr>
              <w:pStyle w:val="TableText"/>
              <w:jc w:val="left"/>
            </w:pPr>
            <w:r/>
            <w:r>
              <w:t>Affects life safety, clinical or operational capability, or renders an area unusable — for example failure of essential power, medical gas, fire systems or an elevator with a trapped occupant</w:t>
            </w:r>
          </w:p>
        </w:tc>
        <w:tc>
          <w:tcPr>
            <w:tcW w:w="1814" w:type="dxa"/>
            <w:vAlign w:val="center"/>
          </w:tcPr>
          <w:p>
            <w:pPr>
              <w:pStyle w:val="TableText"/>
              <w:jc w:val="left"/>
            </w:pPr>
            <w:r/>
            <w:r>
              <w:t>[1] hour, 24 hours a day</w:t>
            </w:r>
          </w:p>
        </w:tc>
        <w:tc>
          <w:tcPr>
            <w:tcW w:w="2382" w:type="dxa"/>
            <w:vAlign w:val="center"/>
          </w:tcPr>
          <w:p>
            <w:pPr>
              <w:pStyle w:val="TableText"/>
              <w:jc w:val="left"/>
            </w:pPr>
            <w:r/>
            <w:r>
              <w:t>[24] hours, or an accepted interim measure within [24] hours and permanent rectification within [10] working days</w:t>
            </w:r>
          </w:p>
        </w:tc>
      </w:tr>
      <w:tr>
        <w:trPr>
          <w:cantSplit w:val="true"/>
        </w:trPr>
        <w:tc>
          <w:tcPr>
            <w:tcW w:w="1474" w:type="dxa"/>
            <w:vAlign w:val="center"/>
          </w:tcPr>
          <w:p>
            <w:pPr>
              <w:pStyle w:val="TableText"/>
              <w:jc w:val="left"/>
            </w:pPr>
            <w:r/>
            <w:r>
              <w:t>Major</w:t>
            </w:r>
          </w:p>
        </w:tc>
        <w:tc>
          <w:tcPr>
            <w:tcW w:w="3968" w:type="dxa"/>
            <w:vAlign w:val="center"/>
          </w:tcPr>
          <w:p>
            <w:pPr>
              <w:pStyle w:val="TableText"/>
              <w:jc w:val="left"/>
            </w:pPr>
            <w:r/>
            <w:r>
              <w:t>Significantly impairs use or performance, or will cause further damage if not addressed — for example water ingress, HVAC failure to an occupied area</w:t>
            </w:r>
          </w:p>
        </w:tc>
        <w:tc>
          <w:tcPr>
            <w:tcW w:w="1814" w:type="dxa"/>
            <w:vAlign w:val="center"/>
          </w:tcPr>
          <w:p>
            <w:pPr>
              <w:pStyle w:val="TableText"/>
              <w:jc w:val="left"/>
            </w:pPr>
            <w:r/>
            <w:r>
              <w:t>[4] hours during business hours</w:t>
            </w:r>
          </w:p>
        </w:tc>
        <w:tc>
          <w:tcPr>
            <w:tcW w:w="2382" w:type="dxa"/>
            <w:vAlign w:val="center"/>
          </w:tcPr>
          <w:p>
            <w:pPr>
              <w:pStyle w:val="TableText"/>
              <w:jc w:val="left"/>
            </w:pPr>
            <w:r/>
            <w:r>
              <w:t>[5] working days</w:t>
            </w:r>
          </w:p>
        </w:tc>
      </w:tr>
      <w:tr>
        <w:trPr>
          <w:cantSplit w:val="true"/>
        </w:trPr>
        <w:tc>
          <w:tcPr>
            <w:tcW w:w="1474" w:type="dxa"/>
            <w:vAlign w:val="center"/>
          </w:tcPr>
          <w:p>
            <w:pPr>
              <w:pStyle w:val="TableText"/>
              <w:jc w:val="left"/>
            </w:pPr>
            <w:r/>
            <w:r>
              <w:t>Minor</w:t>
            </w:r>
          </w:p>
        </w:tc>
        <w:tc>
          <w:tcPr>
            <w:tcW w:w="3968" w:type="dxa"/>
            <w:vAlign w:val="center"/>
          </w:tcPr>
          <w:p>
            <w:pPr>
              <w:pStyle w:val="TableText"/>
              <w:jc w:val="left"/>
            </w:pPr>
            <w:r/>
            <w:r>
              <w:t>Cosmetic or minor functional defect that does not impair use</w:t>
            </w:r>
          </w:p>
        </w:tc>
        <w:tc>
          <w:tcPr>
            <w:tcW w:w="1814" w:type="dxa"/>
            <w:vAlign w:val="center"/>
          </w:tcPr>
          <w:p>
            <w:pPr>
              <w:pStyle w:val="TableText"/>
              <w:jc w:val="left"/>
            </w:pPr>
            <w:r/>
            <w:r>
              <w:t>[2] working days</w:t>
            </w:r>
          </w:p>
        </w:tc>
        <w:tc>
          <w:tcPr>
            <w:tcW w:w="2382" w:type="dxa"/>
            <w:vAlign w:val="center"/>
          </w:tcPr>
          <w:p>
            <w:pPr>
              <w:pStyle w:val="TableText"/>
              <w:jc w:val="left"/>
            </w:pPr>
            <w:r/>
            <w:r>
              <w:t>[20] working days, or in an agreed batch</w:t>
            </w:r>
          </w:p>
        </w:tc>
      </w:tr>
    </w:tbl>
    <w:p>
      <w:pPr>
        <w:spacing w:before="0" w:after="0" w:line="60" w:lineRule="exact"/>
      </w:pPr>
    </w:p>
    <w:p>
      <w:pPr>
        <w:pStyle w:val="BodyBullet"/>
      </w:pPr>
      <w:r>
        <w:rPr>
          <w:color w:val="3480BC"/>
        </w:rPr>
        <w:t xml:space="preserve">—   </w:t>
      </w:r>
      <w:r>
        <w:t>The correction period is [12] months from Substantial Completion of each separable portion, running separately for each — see Section 11.2.</w:t>
      </w:r>
    </w:p>
    <w:p>
      <w:pPr>
        <w:pStyle w:val="BodyBullet"/>
      </w:pPr>
      <w:r>
        <w:rPr>
          <w:color w:val="3480BC"/>
        </w:rPr>
        <w:t xml:space="preserve">—   </w:t>
      </w:r>
      <w:r>
        <w:t>The Contractor attends a joint inspection [1] month before the expiry of each correction period and rectifies every defect identified before expiry.</w:t>
      </w:r>
    </w:p>
    <w:p>
      <w:pPr>
        <w:pStyle w:val="BodyBullet"/>
      </w:pPr>
      <w:r>
        <w:rPr>
          <w:color w:val="3480BC"/>
        </w:rPr>
        <w:t xml:space="preserve">—   </w:t>
      </w:r>
      <w:r>
        <w:t>Final completion occurs when every notified defect has been rectified, the final documentation is complete, and the Owner's Representative issues the final certificate. Release of retainage follows the contract, not this scope. Latent defects, and any warranty longer than the correction period, are unaffected by its expiry.</w:t>
      </w:r>
    </w:p>
    <w:p>
      <w:pPr>
        <w:spacing w:before="0" w:after="0" w:line="80" w:lineRule="exact"/>
      </w:pPr>
    </w:p>
    <w:p>
      <w:pPr>
        <w:pStyle w:val="Heading1"/>
      </w:pPr>
      <w:bookmarkStart w:id="9069" w:name="_Toc90069"/>
      <w:r>
        <w:t>17. Assumptions, Clarifications and Qualifications</w:t>
      </w:r>
      <w:bookmarkEnd w:id="9069"/>
    </w:p>
    <w:p>
      <w:pPr>
        <w:pStyle w:val="BodyLead"/>
      </w:pPr>
      <w:r>
        <w:t>This section is for the Contractor to complete at bid, and it is the only place in which a qualification has contractual effect. A qualification recorded anywhere else — a covering letter, an email, a pricing note — is not incorporated unless the contract agreement lists it.</w:t>
      </w:r>
    </w:p>
    <w:p>
      <w:pPr>
        <w:pStyle w:val="Note"/>
      </w:pPr>
      <w:r>
        <w:t>Example rows shown in gray italic — delete before use. Number assumptions A-nn and qualifications Q-nn. Each row must state the section affected and the consequence if the assumption proves wrong — one with no stated impact cannot be evaluated and will be rejected.</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642"/>
        <w:gridCol w:w="3426"/>
        <w:gridCol w:w="1713"/>
        <w:gridCol w:w="2355"/>
        <w:gridCol w:w="1502"/>
      </w:tblGrid>
      <w:tr>
        <w:trPr>
          <w:tblHeader w:val="true"/>
          <w:cantSplit w:val="true"/>
        </w:trPr>
        <w:tc>
          <w:tcPr>
            <w:tcW w:w="642" w:type="dxa"/>
            <w:shd w:val="clear" w:color="auto" w:fill="1D3245"/>
            <w:vAlign w:val="center"/>
          </w:tcPr>
          <w:p>
            <w:pPr>
              <w:pStyle w:val="TableHeader"/>
              <w:jc w:val="left"/>
            </w:pPr>
            <w:r/>
            <w:r>
              <w:t>Ref</w:t>
            </w:r>
          </w:p>
        </w:tc>
        <w:tc>
          <w:tcPr>
            <w:tcW w:w="3426" w:type="dxa"/>
            <w:shd w:val="clear" w:color="auto" w:fill="1D3245"/>
            <w:vAlign w:val="center"/>
          </w:tcPr>
          <w:p>
            <w:pPr>
              <w:pStyle w:val="TableHeader"/>
              <w:jc w:val="left"/>
            </w:pPr>
            <w:r/>
            <w:r>
              <w:t>Assumption, clarification or qualification</w:t>
            </w:r>
          </w:p>
        </w:tc>
        <w:tc>
          <w:tcPr>
            <w:tcW w:w="1713" w:type="dxa"/>
            <w:shd w:val="clear" w:color="auto" w:fill="1D3245"/>
            <w:vAlign w:val="center"/>
          </w:tcPr>
          <w:p>
            <w:pPr>
              <w:pStyle w:val="TableHeader"/>
              <w:jc w:val="left"/>
            </w:pPr>
            <w:r/>
            <w:r>
              <w:t>Clause / section affected</w:t>
            </w:r>
          </w:p>
        </w:tc>
        <w:tc>
          <w:tcPr>
            <w:tcW w:w="2355" w:type="dxa"/>
            <w:shd w:val="clear" w:color="auto" w:fill="1D3245"/>
            <w:vAlign w:val="center"/>
          </w:tcPr>
          <w:p>
            <w:pPr>
              <w:pStyle w:val="TableHeader"/>
              <w:jc w:val="left"/>
            </w:pPr>
            <w:r/>
            <w:r>
              <w:t>Impact if not accepted</w:t>
            </w:r>
          </w:p>
        </w:tc>
        <w:tc>
          <w:tcPr>
            <w:tcW w:w="1502" w:type="dxa"/>
            <w:shd w:val="clear" w:color="auto" w:fill="1D3245"/>
            <w:vAlign w:val="center"/>
          </w:tcPr>
          <w:p>
            <w:pPr>
              <w:pStyle w:val="TableHeader"/>
              <w:jc w:val="left"/>
            </w:pPr>
            <w:r/>
            <w:r>
              <w:t>Owner response</w:t>
            </w:r>
          </w:p>
        </w:tc>
      </w:tr>
      <w:tr>
        <w:trPr>
          <w:cantSplit w:val="true"/>
        </w:trPr>
        <w:tc>
          <w:tcPr>
            <w:tcW w:w="642" w:type="dxa"/>
            <w:vAlign w:val="center"/>
          </w:tcPr>
          <w:p>
            <w:pPr>
              <w:pStyle w:val="TableTextExample"/>
              <w:jc w:val="left"/>
            </w:pPr>
            <w:r/>
            <w:r>
              <w:t>A-01</w:t>
            </w:r>
          </w:p>
        </w:tc>
        <w:tc>
          <w:tcPr>
            <w:tcW w:w="3426" w:type="dxa"/>
            <w:vAlign w:val="center"/>
          </w:tcPr>
          <w:p>
            <w:pPr>
              <w:pStyle w:val="TableTextExample"/>
              <w:jc w:val="left"/>
            </w:pPr>
            <w:r/>
            <w:r>
              <w:t>Assumed that the transfer slab will be available for steel erection by [MM/DD/YY] and that the holding-down bolt record survey will be issued within [5] working days of the pour</w:t>
            </w:r>
          </w:p>
        </w:tc>
        <w:tc>
          <w:tcPr>
            <w:tcW w:w="1713" w:type="dxa"/>
            <w:vAlign w:val="center"/>
          </w:tcPr>
          <w:p>
            <w:pPr>
              <w:pStyle w:val="TableTextExample"/>
              <w:jc w:val="left"/>
            </w:pPr>
            <w:r/>
            <w:r>
              <w:t>Sections 9.1 (IF-03) and 11.1 (M3)</w:t>
            </w:r>
          </w:p>
        </w:tc>
        <w:tc>
          <w:tcPr>
            <w:tcW w:w="2355" w:type="dxa"/>
            <w:vAlign w:val="center"/>
          </w:tcPr>
          <w:p>
            <w:pPr>
              <w:pStyle w:val="TableTextExample"/>
              <w:jc w:val="left"/>
            </w:pPr>
            <w:r/>
            <w:r>
              <w:t>Erection start delayed day for day; standing time for the crane and the erection crew at the force account work rates at Section 15.4</w:t>
            </w:r>
          </w:p>
        </w:tc>
        <w:tc>
          <w:tcPr>
            <w:tcW w:w="1502" w:type="dxa"/>
            <w:vAlign w:val="center"/>
          </w:tcPr>
          <w:p>
            <w:pPr>
              <w:pStyle w:val="TableTextExample"/>
              <w:jc w:val="left"/>
            </w:pPr>
            <w:r/>
            <w:r>
              <w:t>[Accepted / Not accepted / Accepted as amended]</w:t>
            </w:r>
          </w:p>
        </w:tc>
      </w:tr>
      <w:tr>
        <w:trPr>
          <w:cantSplit w:val="true"/>
        </w:trPr>
        <w:tc>
          <w:tcPr>
            <w:tcW w:w="642" w:type="dxa"/>
            <w:vAlign w:val="center"/>
          </w:tcPr>
          <w:p>
            <w:pPr>
              <w:pStyle w:val="TableTextExample"/>
              <w:jc w:val="left"/>
            </w:pPr>
            <w:r/>
            <w:r>
              <w:t>Q-01</w:t>
            </w:r>
          </w:p>
        </w:tc>
        <w:tc>
          <w:tcPr>
            <w:tcW w:w="3426" w:type="dxa"/>
            <w:vAlign w:val="center"/>
          </w:tcPr>
          <w:p>
            <w:pPr>
              <w:pStyle w:val="TableTextExample"/>
              <w:jc w:val="left"/>
            </w:pPr>
            <w:r/>
            <w:r>
              <w:t>Qualification: rock excavation is priced on the volumes in the geotechnical report; volumes above 5% are excluded and carried at allowance rate PR-03</w:t>
            </w:r>
          </w:p>
        </w:tc>
        <w:tc>
          <w:tcPr>
            <w:tcW w:w="1713" w:type="dxa"/>
            <w:vAlign w:val="center"/>
          </w:tcPr>
          <w:p>
            <w:pPr>
              <w:pStyle w:val="TableTextExample"/>
              <w:jc w:val="left"/>
            </w:pPr>
            <w:r/>
            <w:r>
              <w:t>Sections 6.1 (03-10) and 15.1</w:t>
            </w:r>
          </w:p>
        </w:tc>
        <w:tc>
          <w:tcPr>
            <w:tcW w:w="2355" w:type="dxa"/>
            <w:vAlign w:val="center"/>
          </w:tcPr>
          <w:p>
            <w:pPr>
              <w:pStyle w:val="TableTextExample"/>
              <w:jc w:val="left"/>
            </w:pPr>
            <w:r/>
            <w:r>
              <w:t>Contractor carries an unquantified ground risk; the price would need to be increased by a risk allowance</w:t>
            </w:r>
          </w:p>
        </w:tc>
        <w:tc>
          <w:tcPr>
            <w:tcW w:w="1502" w:type="dxa"/>
            <w:vAlign w:val="center"/>
          </w:tcPr>
          <w:p>
            <w:pPr>
              <w:pStyle w:val="TableTextExample"/>
              <w:jc w:val="left"/>
            </w:pPr>
            <w:r/>
            <w:r>
              <w:t>[Accepted / Not accepted / Accepted as amended]</w:t>
            </w:r>
          </w:p>
        </w:tc>
      </w:tr>
      <w:tr>
        <w:trPr>
          <w:cantSplit w:val="true"/>
        </w:trPr>
        <w:tc>
          <w:tcPr>
            <w:tcW w:w="642" w:type="dxa"/>
            <w:vAlign w:val="center"/>
          </w:tcPr>
          <w:p>
            <w:pPr>
              <w:pStyle w:val="TableText"/>
              <w:jc w:val="left"/>
            </w:pPr>
            <w:r/>
          </w:p>
        </w:tc>
        <w:tc>
          <w:tcPr>
            <w:tcW w:w="3426" w:type="dxa"/>
            <w:vAlign w:val="center"/>
          </w:tcPr>
          <w:p>
            <w:pPr>
              <w:pStyle w:val="TableText"/>
              <w:jc w:val="left"/>
            </w:pPr>
            <w:r/>
          </w:p>
        </w:tc>
        <w:tc>
          <w:tcPr>
            <w:tcW w:w="1713" w:type="dxa"/>
            <w:vAlign w:val="center"/>
          </w:tcPr>
          <w:p>
            <w:pPr>
              <w:pStyle w:val="TableText"/>
              <w:jc w:val="left"/>
            </w:pPr>
            <w:r/>
          </w:p>
        </w:tc>
        <w:tc>
          <w:tcPr>
            <w:tcW w:w="2355" w:type="dxa"/>
            <w:vAlign w:val="center"/>
          </w:tcPr>
          <w:p>
            <w:pPr>
              <w:pStyle w:val="TableText"/>
              <w:jc w:val="left"/>
            </w:pPr>
            <w:r/>
          </w:p>
        </w:tc>
        <w:tc>
          <w:tcPr>
            <w:tcW w:w="1502" w:type="dxa"/>
            <w:vAlign w:val="center"/>
          </w:tcPr>
          <w:p>
            <w:pPr>
              <w:pStyle w:val="TableText"/>
              <w:jc w:val="left"/>
            </w:pPr>
            <w:r/>
          </w:p>
        </w:tc>
      </w:tr>
      <w:tr>
        <w:trPr>
          <w:cantSplit w:val="true"/>
        </w:trPr>
        <w:tc>
          <w:tcPr>
            <w:tcW w:w="642" w:type="dxa"/>
            <w:vAlign w:val="center"/>
          </w:tcPr>
          <w:p>
            <w:pPr>
              <w:pStyle w:val="TableText"/>
              <w:jc w:val="left"/>
            </w:pPr>
            <w:r/>
          </w:p>
        </w:tc>
        <w:tc>
          <w:tcPr>
            <w:tcW w:w="3426" w:type="dxa"/>
            <w:vAlign w:val="center"/>
          </w:tcPr>
          <w:p>
            <w:pPr>
              <w:pStyle w:val="TableText"/>
              <w:jc w:val="left"/>
            </w:pPr>
            <w:r/>
          </w:p>
        </w:tc>
        <w:tc>
          <w:tcPr>
            <w:tcW w:w="1713" w:type="dxa"/>
            <w:vAlign w:val="center"/>
          </w:tcPr>
          <w:p>
            <w:pPr>
              <w:pStyle w:val="TableText"/>
              <w:jc w:val="left"/>
            </w:pPr>
            <w:r/>
          </w:p>
        </w:tc>
        <w:tc>
          <w:tcPr>
            <w:tcW w:w="2355" w:type="dxa"/>
            <w:vAlign w:val="center"/>
          </w:tcPr>
          <w:p>
            <w:pPr>
              <w:pStyle w:val="TableText"/>
              <w:jc w:val="left"/>
            </w:pPr>
            <w:r/>
          </w:p>
        </w:tc>
        <w:tc>
          <w:tcPr>
            <w:tcW w:w="1502" w:type="dxa"/>
            <w:vAlign w:val="center"/>
          </w:tcPr>
          <w:p>
            <w:pPr>
              <w:pStyle w:val="TableText"/>
              <w:jc w:val="left"/>
            </w:pPr>
            <w:r/>
          </w:p>
        </w:tc>
      </w:tr>
      <w:tr>
        <w:trPr>
          <w:cantSplit w:val="true"/>
        </w:trPr>
        <w:tc>
          <w:tcPr>
            <w:tcW w:w="642" w:type="dxa"/>
            <w:vAlign w:val="center"/>
          </w:tcPr>
          <w:p>
            <w:pPr>
              <w:pStyle w:val="TableText"/>
              <w:jc w:val="left"/>
            </w:pPr>
            <w:r/>
          </w:p>
        </w:tc>
        <w:tc>
          <w:tcPr>
            <w:tcW w:w="3426" w:type="dxa"/>
            <w:vAlign w:val="center"/>
          </w:tcPr>
          <w:p>
            <w:pPr>
              <w:pStyle w:val="TableText"/>
              <w:jc w:val="left"/>
            </w:pPr>
            <w:r/>
          </w:p>
        </w:tc>
        <w:tc>
          <w:tcPr>
            <w:tcW w:w="1713" w:type="dxa"/>
            <w:vAlign w:val="center"/>
          </w:tcPr>
          <w:p>
            <w:pPr>
              <w:pStyle w:val="TableText"/>
              <w:jc w:val="left"/>
            </w:pPr>
            <w:r/>
          </w:p>
        </w:tc>
        <w:tc>
          <w:tcPr>
            <w:tcW w:w="2355" w:type="dxa"/>
            <w:vAlign w:val="center"/>
          </w:tcPr>
          <w:p>
            <w:pPr>
              <w:pStyle w:val="TableText"/>
              <w:jc w:val="left"/>
            </w:pPr>
            <w:r/>
          </w:p>
        </w:tc>
        <w:tc>
          <w:tcPr>
            <w:tcW w:w="1502" w:type="dxa"/>
            <w:vAlign w:val="center"/>
          </w:tcPr>
          <w:p>
            <w:pPr>
              <w:pStyle w:val="TableText"/>
              <w:jc w:val="left"/>
            </w:pPr>
            <w:r/>
          </w:p>
        </w:tc>
      </w:tr>
    </w:tbl>
    <w:p>
      <w:pPr>
        <w:spacing w:before="0" w:after="0" w:line="60" w:lineRule="exact"/>
      </w:pPr>
    </w:p>
    <w:tbl>
      <w:tblPr>
        <w:tblLook w:firstColumn="1" w:firstRow="1" w:lastColumn="0" w:lastRow="0" w:noHBand="0" w:noVBand="1" w:val="04A0"/>
        <w:tblLayout w:type="fixed"/>
        <w:tblW w:w="9638" w:type="dxa"/>
        <w:tblInd w:w="0" w:type="dxa"/>
        <w:tblCellMar>
          <w:top w:w="110" w:type="dxa"/>
          <w:left w:w="170" w:type="dxa"/>
          <w:bottom w:w="110" w:type="dxa"/>
          <w:right w:w="170" w:type="dxa"/>
        </w:tblCellMar>
      </w:tblPr>
      <w:tblGrid>
        <w:gridCol w:w="9638"/>
      </w:tblGrid>
      <w:tr>
        <w:tc>
          <w:tcPr>
            <w:tcW w:w="9638" w:type="dxa"/>
            <w:shd w:val="clear" w:color="auto" w:fill="FDF3DC"/>
            <w:tcBorders>
              <w:left w:val="single" w:sz="4" w:space="0" w:color="C98A0E"/>
            </w:tcBorders>
          </w:tcPr>
          <w:p>
            <w:pPr>
              <w:pStyle w:val="Body"/>
            </w:pPr>
            <w:r/>
            <w:r>
              <w:t>A bid submitted without entries in this table is deemed to accept the scope as written, without qualification, and to have included everything reasonably inferable as necessary to complete the Work. Only the assumptions and qualifications recorded in this table and expressly accepted in writing by the Owner, and listed in the contract agreement, have any contractual effect.</w:t>
            </w:r>
          </w:p>
        </w:tc>
      </w:tr>
    </w:tbl>
    <w:p>
      <w:pPr>
        <w:spacing w:before="0" w:after="0" w:line="160" w:lineRule="exact"/>
      </w:pPr>
    </w:p>
    <w:p>
      <w:pPr>
        <w:pStyle w:val="Heading1"/>
      </w:pPr>
      <w:bookmarkStart w:id="9070" w:name="_Toc90070"/>
      <w:r>
        <w:t>18. Acceptance and Execution</w:t>
      </w:r>
      <w:bookmarkEnd w:id="9070"/>
    </w:p>
    <w:p>
      <w:pPr>
        <w:pStyle w:val="Body"/>
      </w:pPr>
      <w:r>
        <w:t>Signature records that the Contractor has read this scope, read the documents it references, inspected the site and accepts the Work as defined. It is not a substitute for the contract agreement.</w:t>
      </w:r>
    </w:p>
    <w:p>
      <w:pPr>
        <w:pStyle w:val="Note"/>
      </w:pPr>
      <w:r>
        <w:t>Contractor's acknowledgment.  By signing below the Contractor acknowledges that it has examined this Scope of Work and every document in the registers at Section 5, at the revisions listed; inspected the Site and satisfied itself as to the conditions, access and constraints at Section 10; raised every ambiguity, discrepancy and omission as a Request for Information before pricing; recorded at Section 17 every assumption on which its price depends; and priced the whole of the Work, including everything reasonably inferable as necessary and not expressly excluded at Section 8.</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3212"/>
        <w:gridCol w:w="3212"/>
        <w:gridCol w:w="3214"/>
      </w:tblGrid>
      <w:tr>
        <w:trPr>
          <w:tblHeader w:val="true"/>
          <w:cantSplit w:val="true"/>
        </w:trPr>
        <w:tc>
          <w:tcPr>
            <w:tcW w:w="3212" w:type="dxa"/>
            <w:shd w:val="clear" w:color="auto" w:fill="1D3245"/>
            <w:vAlign w:val="center"/>
          </w:tcPr>
          <w:p>
            <w:pPr>
              <w:pStyle w:val="TableHeader"/>
              <w:jc w:val="left"/>
            </w:pPr>
            <w:r/>
            <w:r>
              <w:t>Prepared by</w:t>
            </w:r>
          </w:p>
        </w:tc>
        <w:tc>
          <w:tcPr>
            <w:tcW w:w="3212" w:type="dxa"/>
            <w:shd w:val="clear" w:color="auto" w:fill="1D3245"/>
            <w:vAlign w:val="center"/>
          </w:tcPr>
          <w:p>
            <w:pPr>
              <w:pStyle w:val="TableHeader"/>
              <w:jc w:val="left"/>
            </w:pPr>
            <w:r/>
            <w:r>
              <w:t>Reviewed by</w:t>
            </w:r>
          </w:p>
        </w:tc>
        <w:tc>
          <w:tcPr>
            <w:tcW w:w="3214" w:type="dxa"/>
            <w:shd w:val="clear" w:color="auto" w:fill="1D3245"/>
            <w:vAlign w:val="center"/>
          </w:tcPr>
          <w:p>
            <w:pPr>
              <w:pStyle w:val="TableHeader"/>
              <w:jc w:val="left"/>
            </w:pPr>
            <w:r/>
            <w:r>
              <w:t>Approved for issue by</w:t>
            </w:r>
          </w:p>
        </w:tc>
      </w:tr>
      <w:tr>
        <w:trPr>
          <w:cantSplit w:val="true"/>
          <w:trHeight w:val="1077" w:hRule="atLeast"/>
        </w:trPr>
        <w:tc>
          <w:tcPr>
            <w:tcW w:w="3212" w:type="dxa"/>
            <w:vAlign w:val="center"/>
          </w:tcPr>
          <w:p>
            <w:pPr>
              <w:pStyle w:val="TableText"/>
              <w:jc w:val="left"/>
            </w:pPr>
            <w:r/>
            <w:r>
              <w:t>Signature: ______________________</w:t>
            </w:r>
          </w:p>
          <w:p>
            <w:pPr>
              <w:pStyle w:val="TableText"/>
              <w:jc w:val="left"/>
            </w:pPr>
            <w:r>
              <w:t>Name: [Name]</w:t>
            </w:r>
          </w:p>
          <w:p>
            <w:pPr>
              <w:pStyle w:val="TableText"/>
              <w:jc w:val="left"/>
            </w:pPr>
            <w:r>
              <w:t>Role: [Role]</w:t>
            </w:r>
          </w:p>
          <w:p>
            <w:pPr>
              <w:pStyle w:val="TableText"/>
              <w:jc w:val="left"/>
            </w:pPr>
            <w:r>
              <w:t>Organization: [Organization]</w:t>
            </w:r>
          </w:p>
          <w:p>
            <w:pPr>
              <w:pStyle w:val="TableText"/>
              <w:jc w:val="left"/>
            </w:pPr>
            <w:r>
              <w:t>Date: [MM/DD/YY]</w:t>
            </w:r>
          </w:p>
        </w:tc>
        <w:tc>
          <w:tcPr>
            <w:tcW w:w="3212" w:type="dxa"/>
            <w:vAlign w:val="center"/>
          </w:tcPr>
          <w:p>
            <w:pPr>
              <w:pStyle w:val="TableText"/>
              <w:jc w:val="left"/>
            </w:pPr>
            <w:r/>
            <w:r>
              <w:t>Signature: ______________________</w:t>
            </w:r>
          </w:p>
          <w:p>
            <w:pPr>
              <w:pStyle w:val="TableText"/>
              <w:jc w:val="left"/>
            </w:pPr>
            <w:r>
              <w:t>Name: [Name]</w:t>
            </w:r>
          </w:p>
          <w:p>
            <w:pPr>
              <w:pStyle w:val="TableText"/>
              <w:jc w:val="left"/>
            </w:pPr>
            <w:r>
              <w:t>Role: [Role]</w:t>
            </w:r>
          </w:p>
          <w:p>
            <w:pPr>
              <w:pStyle w:val="TableText"/>
              <w:jc w:val="left"/>
            </w:pPr>
            <w:r>
              <w:t>Organization: [Organization]</w:t>
            </w:r>
          </w:p>
          <w:p>
            <w:pPr>
              <w:pStyle w:val="TableText"/>
              <w:jc w:val="left"/>
            </w:pPr>
            <w:r>
              <w:t>Date: [MM/DD/YY]</w:t>
            </w:r>
          </w:p>
        </w:tc>
        <w:tc>
          <w:tcPr>
            <w:tcW w:w="3214" w:type="dxa"/>
            <w:vAlign w:val="center"/>
          </w:tcPr>
          <w:p>
            <w:pPr>
              <w:pStyle w:val="TableText"/>
              <w:jc w:val="left"/>
            </w:pPr>
            <w:r/>
            <w:r>
              <w:t>Signature: ______________________</w:t>
            </w:r>
          </w:p>
          <w:p>
            <w:pPr>
              <w:pStyle w:val="TableText"/>
              <w:jc w:val="left"/>
            </w:pPr>
            <w:r>
              <w:t>Name: [Name]</w:t>
            </w:r>
          </w:p>
          <w:p>
            <w:pPr>
              <w:pStyle w:val="TableText"/>
              <w:jc w:val="left"/>
            </w:pPr>
            <w:r>
              <w:t>Role: [Role]</w:t>
            </w:r>
          </w:p>
          <w:p>
            <w:pPr>
              <w:pStyle w:val="TableText"/>
              <w:jc w:val="left"/>
            </w:pPr>
            <w:r>
              <w:t>Organization: [Organization]</w:t>
            </w:r>
          </w:p>
          <w:p>
            <w:pPr>
              <w:pStyle w:val="TableText"/>
              <w:jc w:val="left"/>
            </w:pPr>
            <w:r>
              <w:t>Date: [MM/DD/YY]</w:t>
            </w:r>
          </w:p>
        </w:tc>
      </w:tr>
    </w:tbl>
    <w:p>
      <w:pPr>
        <w:spacing w:before="0" w:after="0" w:line="160" w:lineRule="exact"/>
      </w:pP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4819"/>
        <w:gridCol w:w="4819"/>
      </w:tblGrid>
      <w:tr>
        <w:trPr>
          <w:tblHeader w:val="true"/>
          <w:cantSplit w:val="true"/>
        </w:trPr>
        <w:tc>
          <w:tcPr>
            <w:tcW w:w="4819" w:type="dxa"/>
            <w:shd w:val="clear" w:color="auto" w:fill="1D3245"/>
            <w:vAlign w:val="center"/>
          </w:tcPr>
          <w:p>
            <w:pPr>
              <w:pStyle w:val="TableHeader"/>
              <w:jc w:val="left"/>
            </w:pPr>
            <w:r/>
            <w:r>
              <w:t>Accepted for the Contractor</w:t>
            </w:r>
          </w:p>
        </w:tc>
        <w:tc>
          <w:tcPr>
            <w:tcW w:w="4819" w:type="dxa"/>
            <w:shd w:val="clear" w:color="auto" w:fill="1D3245"/>
            <w:vAlign w:val="center"/>
          </w:tcPr>
          <w:p>
            <w:pPr>
              <w:pStyle w:val="TableHeader"/>
              <w:jc w:val="left"/>
            </w:pPr>
            <w:r/>
            <w:r>
              <w:t>Accepted for the Owner</w:t>
            </w:r>
          </w:p>
        </w:tc>
      </w:tr>
      <w:tr>
        <w:trPr>
          <w:cantSplit w:val="true"/>
          <w:trHeight w:val="1077" w:hRule="atLeast"/>
        </w:trPr>
        <w:tc>
          <w:tcPr>
            <w:tcW w:w="4819" w:type="dxa"/>
            <w:vAlign w:val="center"/>
          </w:tcPr>
          <w:p>
            <w:pPr>
              <w:pStyle w:val="TableText"/>
              <w:jc w:val="left"/>
            </w:pPr>
            <w:r/>
            <w:r>
              <w:t>Signature: ______________________</w:t>
            </w:r>
          </w:p>
          <w:p>
            <w:pPr>
              <w:pStyle w:val="TableText"/>
              <w:jc w:val="left"/>
            </w:pPr>
            <w:r>
              <w:t>Name: [Name]</w:t>
            </w:r>
          </w:p>
          <w:p>
            <w:pPr>
              <w:pStyle w:val="TableText"/>
              <w:jc w:val="left"/>
            </w:pPr>
            <w:r>
              <w:t>Role: [Role]</w:t>
            </w:r>
          </w:p>
          <w:p>
            <w:pPr>
              <w:pStyle w:val="TableText"/>
              <w:jc w:val="left"/>
            </w:pPr>
            <w:r>
              <w:t>Organization: [Organization]</w:t>
            </w:r>
          </w:p>
          <w:p>
            <w:pPr>
              <w:pStyle w:val="TableText"/>
              <w:jc w:val="left"/>
            </w:pPr>
            <w:r>
              <w:t>Date: [MM/DD/YY]</w:t>
            </w:r>
          </w:p>
        </w:tc>
        <w:tc>
          <w:tcPr>
            <w:tcW w:w="4819" w:type="dxa"/>
            <w:vAlign w:val="center"/>
          </w:tcPr>
          <w:p>
            <w:pPr>
              <w:pStyle w:val="TableText"/>
              <w:jc w:val="left"/>
            </w:pPr>
            <w:r/>
            <w:r>
              <w:t>Signature: ______________________</w:t>
            </w:r>
          </w:p>
          <w:p>
            <w:pPr>
              <w:pStyle w:val="TableText"/>
              <w:jc w:val="left"/>
            </w:pPr>
            <w:r>
              <w:t>Name: [Name]</w:t>
            </w:r>
          </w:p>
          <w:p>
            <w:pPr>
              <w:pStyle w:val="TableText"/>
              <w:jc w:val="left"/>
            </w:pPr>
            <w:r>
              <w:t>Role: [Role]</w:t>
            </w:r>
          </w:p>
          <w:p>
            <w:pPr>
              <w:pStyle w:val="TableText"/>
              <w:jc w:val="left"/>
            </w:pPr>
            <w:r>
              <w:t>Organization: [Organization]</w:t>
            </w:r>
          </w:p>
          <w:p>
            <w:pPr>
              <w:pStyle w:val="TableText"/>
              <w:jc w:val="left"/>
            </w:pPr>
            <w:r>
              <w:t>Date: [MM/DD/YY]</w:t>
            </w:r>
          </w:p>
        </w:tc>
      </w:tr>
    </w:tbl>
    <w:p>
      <w:pPr>
        <w:spacing w:before="0" w:after="0" w:line="120" w:lineRule="exact"/>
      </w:pPr>
    </w:p>
    <w:p>
      <w:pPr>
        <w:pStyle w:val="Note"/>
      </w:pPr>
      <w:r>
        <w:t>Where this scope is issued as a trade package the second block is signed by the Contractor in place of the Owner, and by the Subcontractor in place of the Contractor.</w:t>
      </w:r>
    </w:p>
    <w:p>
      <w:pPr>
        <w:pStyle w:val="Heading1"/>
      </w:pPr>
      <w:bookmarkStart w:id="9071" w:name="_Toc90071"/>
      <w:r>
        <w:t>Appendices</w:t>
      </w:r>
      <w:bookmarkEnd w:id="9071"/>
    </w:p>
    <w:p>
      <w:pPr>
        <w:pStyle w:val="Body"/>
      </w:pPr>
      <w:r>
        <w:t>Attach the documents below; delete any that do not apply and renumber the remainder. Where a document is voluminous or maintained live, reference it and state where the current version is held — but state the revision current at issue, so the basis of the price is fixed.</w:t>
      </w:r>
    </w:p>
    <w:tbl>
      <w:tblPr>
        <w:jc w:val="left"/>
        <w:tblLook w:firstColumn="1" w:firstRow="1" w:lastColumn="0" w:lastRow="0" w:noHBand="0" w:noVBand="1" w:val="04A0"/>
        <w:tblBorders>
          <w:top w:val="single" w:sz="4" w:space="0" w:color="D3DEE9"/>
          <w:left w:val="single" w:sz="4" w:space="0" w:color="D3DEE9"/>
          <w:bottom w:val="single" w:sz="4" w:space="0" w:color="D3DEE9"/>
          <w:right w:val="single" w:sz="4" w:space="0" w:color="D3DEE9"/>
          <w:insideH w:val="single" w:sz="4" w:space="0" w:color="D3DEE9"/>
          <w:insideV w:val="single" w:sz="4" w:space="0" w:color="D3DEE9"/>
        </w:tblBorders>
        <w:tblLayout w:type="fixed"/>
        <w:tblW w:w="9638" w:type="dxa"/>
        <w:tblInd w:w="0" w:type="dxa"/>
        <w:tblCellMar>
          <w:top w:w="45" w:type="dxa"/>
          <w:left w:w="100" w:type="dxa"/>
          <w:bottom w:w="45" w:type="dxa"/>
          <w:right w:w="100" w:type="dxa"/>
        </w:tblCellMar>
      </w:tblPr>
      <w:tblGrid>
        <w:gridCol w:w="453"/>
        <w:gridCol w:w="4308"/>
        <w:gridCol w:w="453"/>
        <w:gridCol w:w="4424"/>
      </w:tblGrid>
      <w:tr>
        <w:trPr>
          <w:tblHeader w:val="true"/>
          <w:cantSplit w:val="true"/>
        </w:trPr>
        <w:tc>
          <w:tcPr>
            <w:tcW w:w="453" w:type="dxa"/>
            <w:shd w:val="clear" w:color="auto" w:fill="1D3245"/>
            <w:vAlign w:val="center"/>
          </w:tcPr>
          <w:p>
            <w:pPr>
              <w:pStyle w:val="TableHeader"/>
              <w:jc w:val="center"/>
            </w:pPr>
            <w:r/>
          </w:p>
        </w:tc>
        <w:tc>
          <w:tcPr>
            <w:tcW w:w="4308" w:type="dxa"/>
            <w:shd w:val="clear" w:color="auto" w:fill="1D3245"/>
            <w:vAlign w:val="center"/>
          </w:tcPr>
          <w:p>
            <w:pPr>
              <w:pStyle w:val="TableHeader"/>
              <w:jc w:val="left"/>
            </w:pPr>
            <w:r/>
            <w:r>
              <w:t>Appendix</w:t>
            </w:r>
          </w:p>
        </w:tc>
        <w:tc>
          <w:tcPr>
            <w:tcW w:w="453" w:type="dxa"/>
            <w:shd w:val="clear" w:color="auto" w:fill="1D3245"/>
            <w:vAlign w:val="center"/>
          </w:tcPr>
          <w:p>
            <w:pPr>
              <w:pStyle w:val="TableHeader"/>
              <w:jc w:val="center"/>
            </w:pPr>
            <w:r/>
          </w:p>
        </w:tc>
        <w:tc>
          <w:tcPr>
            <w:tcW w:w="4424" w:type="dxa"/>
            <w:shd w:val="clear" w:color="auto" w:fill="1D3245"/>
            <w:vAlign w:val="center"/>
          </w:tcPr>
          <w:p>
            <w:pPr>
              <w:pStyle w:val="TableHeader"/>
              <w:jc w:val="left"/>
            </w:pPr>
            <w:r/>
            <w:r>
              <w:t>Appendix</w:t>
            </w:r>
          </w:p>
        </w:tc>
      </w:tr>
      <w:tr>
        <w:trPr>
          <w:cantSplit w:val="true"/>
        </w:trPr>
        <w:tc>
          <w:tcPr>
            <w:tcW w:w="453" w:type="dxa"/>
            <w:vAlign w:val="center"/>
          </w:tcPr>
          <w:p>
            <w:pPr>
              <w:pStyle w:val="TableTextCentre"/>
              <w:jc w:val="center"/>
            </w:pPr>
            <w:r/>
            <w:r>
              <w:t>A</w:t>
            </w:r>
          </w:p>
        </w:tc>
        <w:tc>
          <w:tcPr>
            <w:tcW w:w="4308" w:type="dxa"/>
            <w:vAlign w:val="center"/>
          </w:tcPr>
          <w:p>
            <w:pPr>
              <w:pStyle w:val="TableText"/>
              <w:jc w:val="left"/>
            </w:pPr>
            <w:r/>
            <w:r>
              <w:t>Drawing set — the register at Section 5.1, at the revisions listed</w:t>
            </w:r>
          </w:p>
        </w:tc>
        <w:tc>
          <w:tcPr>
            <w:tcW w:w="453" w:type="dxa"/>
            <w:vAlign w:val="center"/>
          </w:tcPr>
          <w:p>
            <w:pPr>
              <w:pStyle w:val="TableTextCentre"/>
              <w:jc w:val="center"/>
            </w:pPr>
            <w:r/>
            <w:r>
              <w:t>F</w:t>
            </w:r>
          </w:p>
        </w:tc>
        <w:tc>
          <w:tcPr>
            <w:tcW w:w="4424" w:type="dxa"/>
            <w:vAlign w:val="center"/>
          </w:tcPr>
          <w:p>
            <w:pPr>
              <w:pStyle w:val="TableText"/>
              <w:jc w:val="left"/>
            </w:pPr>
            <w:r/>
            <w:r>
              <w:t>Contract schedule and the milestones at Section 11.1</w:t>
            </w:r>
          </w:p>
        </w:tc>
      </w:tr>
      <w:tr>
        <w:trPr>
          <w:cantSplit w:val="true"/>
        </w:trPr>
        <w:tc>
          <w:tcPr>
            <w:tcW w:w="453" w:type="dxa"/>
            <w:vAlign w:val="center"/>
          </w:tcPr>
          <w:p>
            <w:pPr>
              <w:pStyle w:val="TableTextCentre"/>
              <w:jc w:val="center"/>
            </w:pPr>
            <w:r/>
            <w:r>
              <w:t>B</w:t>
            </w:r>
          </w:p>
        </w:tc>
        <w:tc>
          <w:tcPr>
            <w:tcW w:w="4308" w:type="dxa"/>
            <w:vAlign w:val="center"/>
          </w:tcPr>
          <w:p>
            <w:pPr>
              <w:pStyle w:val="TableText"/>
              <w:jc w:val="left"/>
            </w:pPr>
            <w:r/>
            <w:r>
              <w:t>Specifications per Section 5.2 and the conditions of approval register</w:t>
            </w:r>
          </w:p>
        </w:tc>
        <w:tc>
          <w:tcPr>
            <w:tcW w:w="453" w:type="dxa"/>
            <w:vAlign w:val="center"/>
          </w:tcPr>
          <w:p>
            <w:pPr>
              <w:pStyle w:val="TableTextCentre"/>
              <w:jc w:val="center"/>
            </w:pPr>
            <w:r/>
            <w:r>
              <w:t>G</w:t>
            </w:r>
          </w:p>
        </w:tc>
        <w:tc>
          <w:tcPr>
            <w:tcW w:w="4424" w:type="dxa"/>
            <w:vAlign w:val="center"/>
          </w:tcPr>
          <w:p>
            <w:pPr>
              <w:pStyle w:val="TableText"/>
              <w:jc w:val="left"/>
            </w:pPr>
            <w:r/>
            <w:r>
              <w:t>Schedule of values structured per Section 15.2</w:t>
            </w:r>
          </w:p>
        </w:tc>
      </w:tr>
      <w:tr>
        <w:trPr>
          <w:cantSplit w:val="true"/>
        </w:trPr>
        <w:tc>
          <w:tcPr>
            <w:tcW w:w="453" w:type="dxa"/>
            <w:vAlign w:val="center"/>
          </w:tcPr>
          <w:p>
            <w:pPr>
              <w:pStyle w:val="TableTextCentre"/>
              <w:jc w:val="center"/>
            </w:pPr>
            <w:r/>
            <w:r>
              <w:t>C</w:t>
            </w:r>
          </w:p>
        </w:tc>
        <w:tc>
          <w:tcPr>
            <w:tcW w:w="4308" w:type="dxa"/>
            <w:vAlign w:val="center"/>
          </w:tcPr>
          <w:p>
            <w:pPr>
              <w:pStyle w:val="TableText"/>
              <w:jc w:val="left"/>
            </w:pPr>
            <w:r/>
            <w:r>
              <w:t>Geotechnical report, hazardous materials survey and register, sensitive equipment schedule</w:t>
            </w:r>
          </w:p>
        </w:tc>
        <w:tc>
          <w:tcPr>
            <w:tcW w:w="453" w:type="dxa"/>
            <w:vAlign w:val="center"/>
          </w:tcPr>
          <w:p>
            <w:pPr>
              <w:pStyle w:val="TableTextCentre"/>
              <w:jc w:val="center"/>
            </w:pPr>
            <w:r/>
            <w:r>
              <w:t>H</w:t>
            </w:r>
          </w:p>
        </w:tc>
        <w:tc>
          <w:tcPr>
            <w:tcW w:w="4424" w:type="dxa"/>
            <w:vAlign w:val="center"/>
          </w:tcPr>
          <w:p>
            <w:pPr>
              <w:pStyle w:val="TableText"/>
              <w:jc w:val="left"/>
            </w:pPr>
            <w:r/>
            <w:r>
              <w:t>Interface matrix and the register at Section 9.1</w:t>
            </w:r>
          </w:p>
        </w:tc>
      </w:tr>
      <w:tr>
        <w:trPr>
          <w:cantSplit w:val="true"/>
        </w:trPr>
        <w:tc>
          <w:tcPr>
            <w:tcW w:w="453" w:type="dxa"/>
            <w:vAlign w:val="center"/>
          </w:tcPr>
          <w:p>
            <w:pPr>
              <w:pStyle w:val="TableTextCentre"/>
              <w:jc w:val="center"/>
            </w:pPr>
            <w:r/>
            <w:r>
              <w:t>D</w:t>
            </w:r>
          </w:p>
        </w:tc>
        <w:tc>
          <w:tcPr>
            <w:tcW w:w="4308" w:type="dxa"/>
            <w:vAlign w:val="center"/>
          </w:tcPr>
          <w:p>
            <w:pPr>
              <w:pStyle w:val="TableText"/>
              <w:jc w:val="left"/>
            </w:pPr>
            <w:r/>
            <w:r>
              <w:t>Detailed and feature survey, service location survey, potholing records</w:t>
            </w:r>
          </w:p>
        </w:tc>
        <w:tc>
          <w:tcPr>
            <w:tcW w:w="453" w:type="dxa"/>
            <w:vAlign w:val="center"/>
          </w:tcPr>
          <w:p>
            <w:pPr>
              <w:pStyle w:val="TableTextCentre"/>
              <w:jc w:val="center"/>
            </w:pPr>
            <w:r/>
            <w:r>
              <w:t>I</w:t>
            </w:r>
          </w:p>
        </w:tc>
        <w:tc>
          <w:tcPr>
            <w:tcW w:w="4424" w:type="dxa"/>
            <w:vAlign w:val="center"/>
          </w:tcPr>
          <w:p>
            <w:pPr>
              <w:pStyle w:val="TableText"/>
              <w:jc w:val="left"/>
            </w:pPr>
            <w:r/>
            <w:r>
              <w:t>Inspection and test plan set (Mastt ITP templates)</w:t>
            </w:r>
          </w:p>
        </w:tc>
      </w:tr>
      <w:tr>
        <w:trPr>
          <w:cantSplit w:val="true"/>
        </w:trPr>
        <w:tc>
          <w:tcPr>
            <w:tcW w:w="453" w:type="dxa"/>
            <w:vAlign w:val="center"/>
          </w:tcPr>
          <w:p>
            <w:pPr>
              <w:pStyle w:val="TableTextCentre"/>
              <w:jc w:val="center"/>
            </w:pPr>
            <w:r/>
            <w:r>
              <w:t>E</w:t>
            </w:r>
          </w:p>
        </w:tc>
        <w:tc>
          <w:tcPr>
            <w:tcW w:w="4308" w:type="dxa"/>
            <w:vAlign w:val="center"/>
          </w:tcPr>
          <w:p>
            <w:pPr>
              <w:pStyle w:val="TableText"/>
              <w:jc w:val="left"/>
            </w:pPr>
            <w:r/>
            <w:r>
              <w:t>Site plan — boundary, access, laydown, craneage, exclusion zones, limits of possession</w:t>
            </w:r>
          </w:p>
        </w:tc>
        <w:tc>
          <w:tcPr>
            <w:tcW w:w="453" w:type="dxa"/>
            <w:vAlign w:val="center"/>
          </w:tcPr>
          <w:p>
            <w:pPr>
              <w:pStyle w:val="TableTextCentre"/>
              <w:jc w:val="center"/>
            </w:pPr>
            <w:r/>
            <w:r>
              <w:t>J</w:t>
            </w:r>
          </w:p>
        </w:tc>
        <w:tc>
          <w:tcPr>
            <w:tcW w:w="4424" w:type="dxa"/>
            <w:vAlign w:val="center"/>
          </w:tcPr>
          <w:p>
            <w:pPr>
              <w:pStyle w:val="TableText"/>
              <w:jc w:val="left"/>
            </w:pPr>
            <w:r/>
            <w:r>
              <w:t>Safety Management Plan and JHA register (Mastt templates)</w:t>
            </w:r>
          </w:p>
        </w:tc>
      </w:tr>
    </w:tbl>
    <w:p>
      <w:pPr>
        <w:pStyle w:val="Body"/>
        <w:spacing w:after="0"/>
        <w:pBdr>
          <w:bottom w:val="single" w:sz="6" w:space="0" w:color="D3DEE9"/>
        </w:pBdr>
      </w:pPr>
    </w:p>
    <w:p>
      <w:pPr>
        <w:pStyle w:val="Note"/>
      </w:pPr>
      <w:r>
        <w:t xml:space="preserve">Disclaimer.  This template is a framework only. It is not legal, safety or financial advice and it is not a contract. It must be reviewed and adapted to the project, the contract form and [insert applicable jurisdiction's applicable law] by a competent person, and approved by a person with authority to issue it, before use. Every worked example, quantity, rate, period and name in gray italic relates to the fictional Northbank Health Campus — Stage 2 and must be deleted. Where this document and the contract differ, the contract prevails. </w:t>
      </w:r>
    </w:p>
    <w:sectPr w:rsidR="00FC693F" w:rsidRPr="0006063C" w:rsidSect="00034616">
      <w:headerReference w:type="default" r:id="rId15"/>
      <w:footerReference w:type="default" r:id="rId16"/>
      <w:pgSz w:w="11906" w:h="16838"/>
      <w:pgMar w:top="1049" w:right="1134" w:bottom="850" w:left="1134" w:header="482"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Inter">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4" w:color="D3DEE9"/>
      </w:pBdr>
      <w:tabs>
        <w:tab w:pos="9638" w:val="right"/>
      </w:tabs>
    </w:pPr>
    <w:r>
      <w:rPr>
        <w:rFonts w:ascii="Inter" w:hAnsi="Inter"/>
        <w:color w:val="8E98A2"/>
        <w:sz w:val="15"/>
      </w:rPr>
      <w:t xml:space="preserve"/>
    </w:r>
    <w:hyperlink r:id="rId1">
      <w:r>
        <w:rPr>
          <w:rFonts w:ascii="Inter" w:hAnsi="Inter" w:cs="Inter"/>
          <w:color w:val="3480BC"/>
          <w:sz w:val="15"/>
          <w:u w:val="single"/>
        </w:rPr>
        <w:t xml:space="preserve">Visit mastt.com</w:t>
      </w:r>
    </w:hyperlink>
    <w:r>
      <w:rPr>
        <w:rFonts w:ascii="Inter" w:hAnsi="Inter"/>
        <w:color w:val="8E98A2"/>
        <w:sz w:val="15"/>
      </w:rPr>
      <w:t xml:space="preserve"/>
    </w:r>
    <w:r>
      <w:rPr>
        <w:rFonts w:ascii="Inter" w:hAnsi="Inter"/>
        <w:color w:val="8E98A2"/>
        <w:sz w:val="15"/>
      </w:rPr>
      <w:tab/>
    </w:r>
    <w:r>
      <w:rPr>
        <w:rFonts w:ascii="Inter" w:hAnsi="Inter" w:cs="Inter"/>
        <w:color w:val="8E98A2"/>
        <w:sz w:val="15"/>
      </w:rPr>
      <w:fldChar w:fldCharType="begin"/>
    </w:r>
    <w:r>
      <w:rPr>
        <w:rFonts w:ascii="Inter" w:hAnsi="Inter" w:cs="Inter"/>
        <w:color w:val="8E98A2"/>
        <w:sz w:val="15"/>
      </w:rPr>
      <w:instrText xml:space="preserve"> PAGE </w:instrText>
    </w:r>
    <w:r>
      <w:rPr>
        <w:rFonts w:ascii="Inter" w:hAnsi="Inter" w:cs="Inter"/>
        <w:color w:val="8E98A2"/>
        <w:sz w:val="15"/>
      </w:rPr>
      <w:fldChar w:fldCharType="separate"/>
    </w:r>
    <w:r>
      <w:rPr>
        <w:rFonts w:ascii="Inter" w:hAnsi="Inter" w:cs="Inter"/>
        <w:color w:val="8E98A2"/>
        <w:sz w:val="15"/>
      </w:rPr>
      <w:t>1</w:t>
    </w:r>
    <w:r>
      <w:rPr>
        <w:rFonts w:ascii="Inter" w:hAnsi="Inter" w:cs="Inter"/>
        <w:color w:val="8E98A2"/>
        <w:sz w:val="15"/>
      </w:rPr>
      <w:fldChar w:fldCharType="end"/>
    </w:r>
    <w:r>
      <w:rPr>
        <w:rFonts w:ascii="Inter" w:hAnsi="Inter"/>
        <w:color w:val="8E98A2"/>
        <w:sz w:val="15"/>
      </w:rPr>
      <w:t xml:space="preserve"> of </w:t>
    </w:r>
    <w:r>
      <w:rPr>
        <w:rFonts w:ascii="Inter" w:hAnsi="Inter" w:cs="Inter"/>
        <w:color w:val="8E98A2"/>
        <w:sz w:val="15"/>
      </w:rPr>
      <w:fldChar w:fldCharType="begin"/>
    </w:r>
    <w:r>
      <w:rPr>
        <w:rFonts w:ascii="Inter" w:hAnsi="Inter" w:cs="Inter"/>
        <w:color w:val="8E98A2"/>
        <w:sz w:val="15"/>
      </w:rPr>
      <w:instrText xml:space="preserve"> NUMPAGES </w:instrText>
    </w:r>
    <w:r>
      <w:rPr>
        <w:rFonts w:ascii="Inter" w:hAnsi="Inter" w:cs="Inter"/>
        <w:color w:val="8E98A2"/>
        <w:sz w:val="15"/>
      </w:rPr>
      <w:fldChar w:fldCharType="separate"/>
    </w:r>
    <w:r>
      <w:rPr>
        <w:rFonts w:ascii="Inter" w:hAnsi="Inter" w:cs="Inter"/>
        <w:color w:val="8E98A2"/>
        <w:sz w:val="15"/>
      </w:rPr>
      <w:t>1</w:t>
    </w:r>
    <w:r>
      <w:rPr>
        <w:rFonts w:ascii="Inter" w:hAnsi="Inter" w:cs="Inter"/>
        <w:color w:val="8E98A2"/>
        <w:sz w:val="15"/>
      </w:rP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4" w:color="D3DEE9"/>
      </w:pBdr>
      <w:tabs>
        <w:tab w:pos="14570" w:val="right"/>
      </w:tabs>
    </w:pPr>
    <w:r>
      <w:rPr>
        <w:rFonts w:ascii="Inter" w:hAnsi="Inter"/>
        <w:color w:val="8E98A2"/>
        <w:sz w:val="15"/>
      </w:rPr>
      <w:t xml:space="preserve"/>
    </w:r>
    <w:hyperlink r:id="rId1">
      <w:r>
        <w:rPr>
          <w:rFonts w:ascii="Inter" w:hAnsi="Inter" w:cs="Inter"/>
          <w:color w:val="3480BC"/>
          <w:sz w:val="15"/>
          <w:u w:val="single"/>
        </w:rPr>
        <w:t xml:space="preserve">Visit mastt.com</w:t>
      </w:r>
    </w:hyperlink>
    <w:r>
      <w:rPr>
        <w:rFonts w:ascii="Inter" w:hAnsi="Inter"/>
        <w:color w:val="8E98A2"/>
        <w:sz w:val="15"/>
      </w:rPr>
      <w:t xml:space="preserve"/>
    </w:r>
    <w:r>
      <w:rPr>
        <w:rFonts w:ascii="Inter" w:hAnsi="Inter"/>
        <w:color w:val="8E98A2"/>
        <w:sz w:val="15"/>
      </w:rPr>
      <w:tab/>
    </w:r>
    <w:r>
      <w:rPr>
        <w:rFonts w:ascii="Inter" w:hAnsi="Inter" w:cs="Inter"/>
        <w:color w:val="8E98A2"/>
        <w:sz w:val="15"/>
      </w:rPr>
      <w:fldChar w:fldCharType="begin"/>
    </w:r>
    <w:r>
      <w:rPr>
        <w:rFonts w:ascii="Inter" w:hAnsi="Inter" w:cs="Inter"/>
        <w:color w:val="8E98A2"/>
        <w:sz w:val="15"/>
      </w:rPr>
      <w:instrText xml:space="preserve"> PAGE </w:instrText>
    </w:r>
    <w:r>
      <w:rPr>
        <w:rFonts w:ascii="Inter" w:hAnsi="Inter" w:cs="Inter"/>
        <w:color w:val="8E98A2"/>
        <w:sz w:val="15"/>
      </w:rPr>
      <w:fldChar w:fldCharType="separate"/>
    </w:r>
    <w:r>
      <w:rPr>
        <w:rFonts w:ascii="Inter" w:hAnsi="Inter" w:cs="Inter"/>
        <w:color w:val="8E98A2"/>
        <w:sz w:val="15"/>
      </w:rPr>
      <w:t>1</w:t>
    </w:r>
    <w:r>
      <w:rPr>
        <w:rFonts w:ascii="Inter" w:hAnsi="Inter" w:cs="Inter"/>
        <w:color w:val="8E98A2"/>
        <w:sz w:val="15"/>
      </w:rPr>
      <w:fldChar w:fldCharType="end"/>
    </w:r>
    <w:r>
      <w:rPr>
        <w:rFonts w:ascii="Inter" w:hAnsi="Inter"/>
        <w:color w:val="8E98A2"/>
        <w:sz w:val="15"/>
      </w:rPr>
      <w:t xml:space="preserve"> of </w:t>
    </w:r>
    <w:r>
      <w:rPr>
        <w:rFonts w:ascii="Inter" w:hAnsi="Inter" w:cs="Inter"/>
        <w:color w:val="8E98A2"/>
        <w:sz w:val="15"/>
      </w:rPr>
      <w:fldChar w:fldCharType="begin"/>
    </w:r>
    <w:r>
      <w:rPr>
        <w:rFonts w:ascii="Inter" w:hAnsi="Inter" w:cs="Inter"/>
        <w:color w:val="8E98A2"/>
        <w:sz w:val="15"/>
      </w:rPr>
      <w:instrText xml:space="preserve"> NUMPAGES </w:instrText>
    </w:r>
    <w:r>
      <w:rPr>
        <w:rFonts w:ascii="Inter" w:hAnsi="Inter" w:cs="Inter"/>
        <w:color w:val="8E98A2"/>
        <w:sz w:val="15"/>
      </w:rPr>
      <w:fldChar w:fldCharType="separate"/>
    </w:r>
    <w:r>
      <w:rPr>
        <w:rFonts w:ascii="Inter" w:hAnsi="Inter" w:cs="Inter"/>
        <w:color w:val="8E98A2"/>
        <w:sz w:val="15"/>
      </w:rPr>
      <w:t>1</w:t>
    </w:r>
    <w:r>
      <w:rPr>
        <w:rFonts w:ascii="Inter" w:hAnsi="Inter" w:cs="Inter"/>
        <w:color w:val="8E98A2"/>
        <w:sz w:val="15"/>
      </w:rPr>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4" w:color="D3DEE9"/>
      </w:pBdr>
      <w:tabs>
        <w:tab w:pos="9638" w:val="right"/>
      </w:tabs>
    </w:pPr>
    <w:r>
      <w:rPr>
        <w:rFonts w:ascii="Inter" w:hAnsi="Inter"/>
        <w:color w:val="8E98A2"/>
        <w:sz w:val="15"/>
      </w:rPr>
      <w:t xml:space="preserve"/>
    </w:r>
    <w:hyperlink r:id="rId1">
      <w:r>
        <w:rPr>
          <w:rFonts w:ascii="Inter" w:hAnsi="Inter" w:cs="Inter"/>
          <w:color w:val="3480BC"/>
          <w:sz w:val="15"/>
          <w:u w:val="single"/>
        </w:rPr>
        <w:t xml:space="preserve">Visit mastt.com</w:t>
      </w:r>
    </w:hyperlink>
    <w:r>
      <w:rPr>
        <w:rFonts w:ascii="Inter" w:hAnsi="Inter"/>
        <w:color w:val="8E98A2"/>
        <w:sz w:val="15"/>
      </w:rPr>
      <w:t xml:space="preserve"/>
    </w:r>
    <w:r>
      <w:rPr>
        <w:rFonts w:ascii="Inter" w:hAnsi="Inter"/>
        <w:color w:val="8E98A2"/>
        <w:sz w:val="15"/>
      </w:rPr>
      <w:tab/>
    </w:r>
    <w:r>
      <w:rPr>
        <w:rFonts w:ascii="Inter" w:hAnsi="Inter" w:cs="Inter"/>
        <w:color w:val="8E98A2"/>
        <w:sz w:val="15"/>
      </w:rPr>
      <w:fldChar w:fldCharType="begin"/>
    </w:r>
    <w:r>
      <w:rPr>
        <w:rFonts w:ascii="Inter" w:hAnsi="Inter" w:cs="Inter"/>
        <w:color w:val="8E98A2"/>
        <w:sz w:val="15"/>
      </w:rPr>
      <w:instrText xml:space="preserve"> PAGE </w:instrText>
    </w:r>
    <w:r>
      <w:rPr>
        <w:rFonts w:ascii="Inter" w:hAnsi="Inter" w:cs="Inter"/>
        <w:color w:val="8E98A2"/>
        <w:sz w:val="15"/>
      </w:rPr>
      <w:fldChar w:fldCharType="separate"/>
    </w:r>
    <w:r>
      <w:rPr>
        <w:rFonts w:ascii="Inter" w:hAnsi="Inter" w:cs="Inter"/>
        <w:color w:val="8E98A2"/>
        <w:sz w:val="15"/>
      </w:rPr>
      <w:t>1</w:t>
    </w:r>
    <w:r>
      <w:rPr>
        <w:rFonts w:ascii="Inter" w:hAnsi="Inter" w:cs="Inter"/>
        <w:color w:val="8E98A2"/>
        <w:sz w:val="15"/>
      </w:rPr>
      <w:fldChar w:fldCharType="end"/>
    </w:r>
    <w:r>
      <w:rPr>
        <w:rFonts w:ascii="Inter" w:hAnsi="Inter"/>
        <w:color w:val="8E98A2"/>
        <w:sz w:val="15"/>
      </w:rPr>
      <w:t xml:space="preserve"> of </w:t>
    </w:r>
    <w:r>
      <w:rPr>
        <w:rFonts w:ascii="Inter" w:hAnsi="Inter" w:cs="Inter"/>
        <w:color w:val="8E98A2"/>
        <w:sz w:val="15"/>
      </w:rPr>
      <w:fldChar w:fldCharType="begin"/>
    </w:r>
    <w:r>
      <w:rPr>
        <w:rFonts w:ascii="Inter" w:hAnsi="Inter" w:cs="Inter"/>
        <w:color w:val="8E98A2"/>
        <w:sz w:val="15"/>
      </w:rPr>
      <w:instrText xml:space="preserve"> NUMPAGES </w:instrText>
    </w:r>
    <w:r>
      <w:rPr>
        <w:rFonts w:ascii="Inter" w:hAnsi="Inter" w:cs="Inter"/>
        <w:color w:val="8E98A2"/>
        <w:sz w:val="15"/>
      </w:rPr>
      <w:fldChar w:fldCharType="separate"/>
    </w:r>
    <w:r>
      <w:rPr>
        <w:rFonts w:ascii="Inter" w:hAnsi="Inter" w:cs="Inter"/>
        <w:color w:val="8E98A2"/>
        <w:sz w:val="15"/>
      </w:rPr>
      <w:t>1</w:t>
    </w:r>
    <w:r>
      <w:rPr>
        <w:rFonts w:ascii="Inter" w:hAnsi="Inter" w:cs="Inter"/>
        <w:color w:val="8E98A2"/>
        <w:sz w:val="15"/>
      </w:rPr>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6.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3" w:color="1D3245"/>
      </w:pBdr>
      <w:tabs>
        <w:tab w:pos="9638" w:val="right"/>
      </w:tabs>
      <w:spacing w:after="80"/>
    </w:pPr>
    <w:r>
      <w:drawing>
        <wp:inline xmlns:a="http://schemas.openxmlformats.org/drawingml/2006/main" xmlns:pic="http://schemas.openxmlformats.org/drawingml/2006/picture">
          <wp:extent cx="90071" cy="151224"/>
          <wp:docPr id="1" name="Picture 1">
            <a:hlinkClick xmlns:a="http://schemas.openxmlformats.org/drawingml/2006/main" xmlns:r="http://schemas.openxmlformats.org/officeDocument/2006/relationships" r:id="rId2"/>
          </wp:docPr>
          <wp:cNvGraphicFramePr>
            <a:graphicFrameLocks noChangeAspect="1"/>
          </wp:cNvGraphicFramePr>
          <a:graphic>
            <a:graphicData uri="http://schemas.openxmlformats.org/drawingml/2006/picture">
              <pic:pic>
                <pic:nvPicPr>
                  <pic:cNvPr id="2" name="mastt-mark-navy.png"/>
                  <pic:cNvPicPr/>
                </pic:nvPicPr>
                <pic:blipFill>
                  <a:blip r:embed="rId1"/>
                  <a:stretch>
                    <a:fillRect/>
                  </a:stretch>
                </pic:blipFill>
                <pic:spPr>
                  <a:xfrm>
                    <a:off x="0" y="0"/>
                    <a:ext cx="90071" cy="151224"/>
                  </a:xfrm>
                  <a:prstGeom prst="rect"/>
                </pic:spPr>
              </pic:pic>
            </a:graphicData>
          </a:graphic>
        </wp:inline>
      </w:drawing>
    </w:r>
    <w:r>
      <w:rPr>
        <w:rFonts w:ascii="Inter" w:hAnsi="Inter"/>
        <w:b/>
        <w:color w:val="1D3245"/>
        <w:sz w:val="16"/>
      </w:rPr>
      <w:t xml:space="preserve">  [Project name]</w:t>
    </w:r>
    <w:r>
      <w:rPr>
        <w:rFonts w:ascii="Inter" w:hAnsi="Inter"/>
        <w:color w:val="8E98A2"/>
        <w:sz w:val="16"/>
      </w:rPr>
      <w:tab/>
      <w:t>Scope of Work · [Package / trade]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3" w:color="1D3245"/>
      </w:pBdr>
      <w:tabs>
        <w:tab w:pos="14570" w:val="right"/>
      </w:tabs>
      <w:spacing w:after="80"/>
    </w:pPr>
    <w:r>
      <w:drawing>
        <wp:inline xmlns:a="http://schemas.openxmlformats.org/drawingml/2006/main" xmlns:pic="http://schemas.openxmlformats.org/drawingml/2006/picture">
          <wp:extent cx="90071" cy="151224"/>
          <wp:docPr id="1" name="Picture 1">
            <a:hlinkClick xmlns:a="http://schemas.openxmlformats.org/drawingml/2006/main" xmlns:r="http://schemas.openxmlformats.org/officeDocument/2006/relationships" r:id="rId2"/>
          </wp:docPr>
          <wp:cNvGraphicFramePr>
            <a:graphicFrameLocks noChangeAspect="1"/>
          </wp:cNvGraphicFramePr>
          <a:graphic>
            <a:graphicData uri="http://schemas.openxmlformats.org/drawingml/2006/picture">
              <pic:pic>
                <pic:nvPicPr>
                  <pic:cNvPr id="2" name="mastt-mark-navy.png"/>
                  <pic:cNvPicPr/>
                </pic:nvPicPr>
                <pic:blipFill>
                  <a:blip r:embed="rId1"/>
                  <a:stretch>
                    <a:fillRect/>
                  </a:stretch>
                </pic:blipFill>
                <pic:spPr>
                  <a:xfrm>
                    <a:off x="0" y="0"/>
                    <a:ext cx="90071" cy="151224"/>
                  </a:xfrm>
                  <a:prstGeom prst="rect"/>
                </pic:spPr>
              </pic:pic>
            </a:graphicData>
          </a:graphic>
        </wp:inline>
      </w:drawing>
    </w:r>
    <w:r>
      <w:rPr>
        <w:rFonts w:ascii="Inter" w:hAnsi="Inter"/>
        <w:b/>
        <w:color w:val="1D3245"/>
        <w:sz w:val="16"/>
      </w:rPr>
      <w:t xml:space="preserve">  [Project name]</w:t>
    </w:r>
    <w:r>
      <w:rPr>
        <w:rFonts w:ascii="Inter" w:hAnsi="Inter"/>
        <w:color w:val="8E98A2"/>
        <w:sz w:val="16"/>
      </w:rPr>
      <w:tab/>
      <w:t>Scope of Work · [Package / trade]</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6" w:space="3" w:color="1D3245"/>
      </w:pBdr>
      <w:tabs>
        <w:tab w:pos="9638" w:val="right"/>
      </w:tabs>
      <w:spacing w:after="80"/>
    </w:pPr>
    <w:r>
      <w:drawing>
        <wp:inline xmlns:a="http://schemas.openxmlformats.org/drawingml/2006/main" xmlns:pic="http://schemas.openxmlformats.org/drawingml/2006/picture">
          <wp:extent cx="90071" cy="151224"/>
          <wp:docPr id="1" name="Picture 1">
            <a:hlinkClick xmlns:a="http://schemas.openxmlformats.org/drawingml/2006/main" xmlns:r="http://schemas.openxmlformats.org/officeDocument/2006/relationships" r:id="rId2"/>
          </wp:docPr>
          <wp:cNvGraphicFramePr>
            <a:graphicFrameLocks noChangeAspect="1"/>
          </wp:cNvGraphicFramePr>
          <a:graphic>
            <a:graphicData uri="http://schemas.openxmlformats.org/drawingml/2006/picture">
              <pic:pic>
                <pic:nvPicPr>
                  <pic:cNvPr id="2" name="mastt-mark-navy.png"/>
                  <pic:cNvPicPr/>
                </pic:nvPicPr>
                <pic:blipFill>
                  <a:blip r:embed="rId1"/>
                  <a:stretch>
                    <a:fillRect/>
                  </a:stretch>
                </pic:blipFill>
                <pic:spPr>
                  <a:xfrm>
                    <a:off x="0" y="0"/>
                    <a:ext cx="90071" cy="151224"/>
                  </a:xfrm>
                  <a:prstGeom prst="rect"/>
                </pic:spPr>
              </pic:pic>
            </a:graphicData>
          </a:graphic>
        </wp:inline>
      </w:drawing>
    </w:r>
    <w:r>
      <w:rPr>
        <w:rFonts w:ascii="Inter" w:hAnsi="Inter"/>
        <w:b/>
        <w:color w:val="1D3245"/>
        <w:sz w:val="16"/>
      </w:rPr>
      <w:t xml:space="preserve">  [Project name]</w:t>
    </w:r>
    <w:r>
      <w:rPr>
        <w:rFonts w:ascii="Inter" w:hAnsi="Inter"/>
        <w:color w:val="8E98A2"/>
        <w:sz w:val="16"/>
      </w:rPr>
      <w:tab/>
      <w:t>Scope of Work · [Package / trade]</w:t>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6.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keepLines w:val="0"/>
      <w:widowControl/>
      <w:spacing w:after="120" w:line="262" w:lineRule="auto"/>
    </w:pPr>
    <w:rPr>
      <w:rFonts w:ascii="Inter" w:hAnsi="Inter" w:cs="Inter" w:eastAsia="Inter"/>
      <w:color w:val="0C1628"/>
      <w:sz w:val="19"/>
    </w:rPr>
  </w:style>
  <w:style w:type="paragraph" w:styleId="Header">
    <w:name w:val="header"/>
    <w:basedOn w:val="Normal"/>
    <w:link w:val="HeaderChar"/>
    <w:uiPriority w:val="99"/>
    <w:unhideWhenUsed/>
    <w:rsid w:val="00E618BF"/>
    <w:pPr>
      <w:keepNext w:val="0"/>
      <w:keepLines w:val="0"/>
      <w:widowControl/>
      <w:spacing w:after="60" w:line="240" w:lineRule="auto" w:before="0"/>
    </w:pPr>
    <w:rPr>
      <w:rFonts w:ascii="Inter" w:hAnsi="Inter" w:cs="Inter" w:eastAsia="Inter"/>
      <w:color w:val="1D3245"/>
      <w:sz w:val="16"/>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keepNext w:val="0"/>
      <w:keepLines w:val="0"/>
      <w:widowControl/>
      <w:spacing w:after="0" w:line="240" w:lineRule="auto" w:before="60"/>
    </w:pPr>
    <w:rPr>
      <w:rFonts w:ascii="Inter" w:hAnsi="Inter" w:cs="Inter" w:eastAsia="Inter"/>
      <w:color w:val="8E98A2"/>
      <w:sz w:val="15"/>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400" w:after="140" w:line="252" w:lineRule="auto"/>
      <w:outlineLvl w:val="0"/>
    </w:pPr>
    <w:rPr>
      <w:rFonts w:asciiTheme="majorHAnsi" w:eastAsiaTheme="majorEastAsia" w:hAnsiTheme="majorHAnsi" w:cstheme="majorBidi" w:ascii="Inter" w:hAnsi="Inter" w:cs="Inter" w:eastAsia="Inter"/>
      <w:b/>
      <w:bCs/>
      <w:color w:val="1D3245"/>
      <w:sz w:val="30"/>
      <w:szCs w:val="28"/>
    </w:rPr>
  </w:style>
  <w:style w:type="paragraph" w:styleId="Heading2">
    <w:name w:val="heading 2"/>
    <w:basedOn w:val="Normal"/>
    <w:next w:val="Normal"/>
    <w:link w:val="Heading2Char"/>
    <w:uiPriority w:val="9"/>
    <w:unhideWhenUsed/>
    <w:qFormat/>
    <w:rsid w:val="00FC693F"/>
    <w:pPr>
      <w:keepNext/>
      <w:keepLines/>
      <w:widowControl/>
      <w:spacing w:before="220" w:after="100" w:line="264" w:lineRule="auto"/>
      <w:outlineLvl w:val="1"/>
    </w:pPr>
    <w:rPr>
      <w:rFonts w:asciiTheme="majorHAnsi" w:eastAsiaTheme="majorEastAsia" w:hAnsiTheme="majorHAnsi" w:cstheme="majorBidi" w:ascii="Inter" w:hAnsi="Inter" w:cs="Inter" w:eastAsia="Inter"/>
      <w:b/>
      <w:bCs/>
      <w:color w:val="0D3C61"/>
      <w:sz w:val="23"/>
      <w:szCs w:val="26"/>
    </w:rPr>
  </w:style>
  <w:style w:type="paragraph" w:styleId="Heading3">
    <w:name w:val="heading 3"/>
    <w:basedOn w:val="Normal"/>
    <w:next w:val="Normal"/>
    <w:link w:val="Heading3Char"/>
    <w:uiPriority w:val="9"/>
    <w:unhideWhenUsed/>
    <w:qFormat/>
    <w:rsid w:val="00FC693F"/>
    <w:pPr>
      <w:keepNext/>
      <w:keepLines/>
      <w:widowControl/>
      <w:spacing w:before="200" w:after="60" w:line="264" w:lineRule="auto"/>
      <w:outlineLvl w:val="2"/>
    </w:pPr>
    <w:rPr>
      <w:rFonts w:asciiTheme="majorHAnsi" w:eastAsiaTheme="majorEastAsia" w:hAnsiTheme="majorHAnsi" w:cstheme="majorBidi" w:ascii="Inter" w:hAnsi="Inter" w:cs="Inter" w:eastAsia="Inter"/>
      <w:b/>
      <w:bCs/>
      <w:caps w:val="1"/>
      <w:color w:val="1D3245"/>
      <w:spacing w:val="6"/>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val="0"/>
      <w:widowControl/>
      <w:spacing w:after="80" w:line="240" w:lineRule="auto" w:before="0"/>
      <w:contextualSpacing/>
    </w:pPr>
    <w:rPr>
      <w:rFonts w:asciiTheme="majorHAnsi" w:eastAsiaTheme="majorEastAsia" w:hAnsiTheme="majorHAnsi" w:cstheme="majorBidi" w:ascii="Inter" w:hAnsi="Inter" w:cs="Inter" w:eastAsia="Inter"/>
      <w:b/>
      <w:color w:val="1D3245"/>
      <w:spacing w:val="5"/>
      <w:spacing w:val="-8"/>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val="0"/>
      <w:keepLines w:val="0"/>
      <w:widowControl/>
      <w:numPr>
        <w:ilvl w:val="1"/>
      </w:numPr>
      <w:spacing w:before="0" w:after="360" w:line="288" w:lineRule="auto"/>
    </w:pPr>
    <w:rPr>
      <w:rFonts w:asciiTheme="majorHAnsi" w:eastAsiaTheme="majorEastAsia" w:hAnsiTheme="majorHAnsi" w:cstheme="majorBidi" w:ascii="Inter" w:hAnsi="Inter" w:cs="Inter" w:eastAsia="Inter"/>
      <w:b w:val="0"/>
      <w:i/>
      <w:iCs/>
      <w:color w:val="8E98A2"/>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keepNext w:val="0"/>
      <w:keepLines w:val="0"/>
      <w:widowControl/>
      <w:spacing w:line="264" w:lineRule="auto" w:before="80" w:after="240"/>
      <w:jc w:val="center"/>
    </w:pPr>
    <w:rPr>
      <w:rFonts w:ascii="Inter" w:hAnsi="Inter" w:cs="Inter" w:eastAsia="Inter"/>
      <w:b/>
      <w:bCs/>
      <w:i/>
      <w:color w:val="8E98A2"/>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
    <w:name w:val="Body"/>
    <w:basedOn w:val="Normal"/>
    <w:qFormat/>
    <w:pPr>
      <w:keepNext w:val="0"/>
      <w:keepLines w:val="0"/>
      <w:widowControl/>
      <w:spacing w:after="140" w:line="264" w:lineRule="auto"/>
    </w:pPr>
    <w:rPr>
      <w:rFonts w:ascii="Inter" w:hAnsi="Inter" w:cs="Inter" w:eastAsia="Inter"/>
      <w:color w:val="0C1628"/>
      <w:sz w:val="19"/>
    </w:rPr>
  </w:style>
  <w:style w:type="paragraph" w:customStyle="1" w:styleId="BodyLead">
    <w:name w:val="Body Lead"/>
    <w:basedOn w:val="Body"/>
    <w:pPr>
      <w:keepNext w:val="0"/>
      <w:keepLines w:val="0"/>
      <w:widowControl/>
      <w:spacing w:after="180" w:line="268" w:lineRule="auto"/>
    </w:pPr>
    <w:rPr>
      <w:rFonts w:ascii="Inter" w:hAnsi="Inter" w:cs="Inter" w:eastAsia="Inter"/>
      <w:color w:val="1D3245"/>
      <w:sz w:val="21"/>
    </w:rPr>
  </w:style>
  <w:style w:type="paragraph" w:customStyle="1" w:styleId="Placeholder">
    <w:name w:val="Placeholder"/>
    <w:basedOn w:val="Body"/>
    <w:qFormat/>
    <w:pPr>
      <w:keepNext w:val="0"/>
      <w:keepLines w:val="0"/>
      <w:widowControl/>
      <w:spacing w:after="160" w:line="264" w:lineRule="auto"/>
    </w:pPr>
    <w:rPr>
      <w:rFonts w:ascii="Inter" w:hAnsi="Inter" w:cs="Inter" w:eastAsia="Inter"/>
      <w:i/>
      <w:color w:val="8E98A2"/>
      <w:sz w:val="19"/>
    </w:rPr>
  </w:style>
  <w:style w:type="paragraph" w:customStyle="1" w:styleId="Note">
    <w:name w:val="Note"/>
    <w:basedOn w:val="Body"/>
    <w:pPr>
      <w:keepNext w:val="0"/>
      <w:keepLines w:val="0"/>
      <w:widowControl/>
      <w:spacing w:before="60" w:after="160" w:line="256" w:lineRule="auto"/>
    </w:pPr>
    <w:rPr>
      <w:rFonts w:ascii="Inter" w:hAnsi="Inter" w:cs="Inter" w:eastAsia="Inter"/>
      <w:i/>
      <w:color w:val="8E98A2"/>
      <w:sz w:val="16"/>
    </w:rPr>
  </w:style>
  <w:style w:type="paragraph" w:customStyle="1" w:styleId="BodyBullet">
    <w:name w:val="Body Bullet"/>
    <w:basedOn w:val="Body"/>
    <w:pPr>
      <w:keepNext w:val="0"/>
      <w:keepLines w:val="0"/>
      <w:widowControl/>
      <w:spacing w:after="60" w:line="262" w:lineRule="auto"/>
      <w:ind w:left="312" w:hanging="312"/>
    </w:pPr>
  </w:style>
  <w:style w:type="paragraph" w:customStyle="1" w:styleId="TableHeader">
    <w:name w:val="Table Header"/>
    <w:basedOn w:val="Normal"/>
    <w:qFormat/>
    <w:pPr>
      <w:keepNext w:val="0"/>
      <w:keepLines w:val="0"/>
      <w:widowControl/>
      <w:spacing w:before="40" w:after="40" w:line="252" w:lineRule="auto"/>
    </w:pPr>
    <w:rPr>
      <w:rFonts w:ascii="Inter" w:hAnsi="Inter" w:cs="Inter" w:eastAsia="Inter"/>
      <w:b/>
      <w:color w:val="FFFFFF"/>
      <w:sz w:val="17"/>
    </w:rPr>
  </w:style>
  <w:style w:type="paragraph" w:customStyle="1" w:styleId="TableText">
    <w:name w:val="Table Text"/>
    <w:basedOn w:val="Normal"/>
    <w:qFormat/>
    <w:pPr>
      <w:keepNext w:val="0"/>
      <w:keepLines w:val="0"/>
      <w:widowControl/>
      <w:spacing w:before="40" w:after="40" w:line="259" w:lineRule="auto"/>
    </w:pPr>
    <w:rPr>
      <w:rFonts w:ascii="Inter" w:hAnsi="Inter" w:cs="Inter" w:eastAsia="Inter"/>
      <w:color w:val="0C1628"/>
      <w:sz w:val="17"/>
    </w:rPr>
  </w:style>
  <w:style w:type="paragraph" w:customStyle="1" w:styleId="TableTextBold">
    <w:name w:val="Table Text Bold"/>
    <w:basedOn w:val="TableText"/>
    <w:rPr>
      <w:rFonts w:ascii="Inter" w:hAnsi="Inter" w:cs="Inter" w:eastAsia="Inter"/>
      <w:b/>
      <w:color w:val="1D3245"/>
      <w:sz w:val="17"/>
    </w:rPr>
  </w:style>
  <w:style w:type="paragraph" w:customStyle="1" w:styleId="TableTextExample">
    <w:name w:val="Table Text Example"/>
    <w:basedOn w:val="TableText"/>
    <w:rPr>
      <w:rFonts w:ascii="Inter" w:hAnsi="Inter" w:cs="Inter" w:eastAsia="Inter"/>
      <w:i/>
      <w:color w:val="8E98A2"/>
      <w:sz w:val="17"/>
    </w:rPr>
  </w:style>
  <w:style w:type="paragraph" w:customStyle="1" w:styleId="TableTextCentre">
    <w:name w:val="Table Text Centre"/>
    <w:basedOn w:val="TableText"/>
    <w:pPr>
      <w:keepNext w:val="0"/>
      <w:keepLines w:val="0"/>
      <w:widowControl/>
      <w:jc w:val="center"/>
    </w:pPr>
  </w:style>
  <w:style w:type="paragraph" w:customStyle="1" w:styleId="TableTextRight">
    <w:name w:val="Table Text Right"/>
    <w:basedOn w:val="TableText"/>
    <w:pPr>
      <w:keepNext w:val="0"/>
      <w:keepLines w:val="0"/>
      <w:widowControl/>
      <w:jc w:val="right"/>
    </w:pPr>
  </w:style>
  <w:style w:type="paragraph" w:customStyle="1" w:styleId="RAGStatus">
    <w:name w:val="RAG Status"/>
    <w:basedOn w:val="TableText"/>
    <w:pPr>
      <w:keepNext w:val="0"/>
      <w:keepLines w:val="0"/>
      <w:widowControl/>
      <w:jc w:val="center"/>
    </w:pPr>
    <w:rPr>
      <w:rFonts w:ascii="Inter" w:hAnsi="Inter" w:cs="Inter" w:eastAsia="Inter"/>
      <w:b/>
      <w:color w:val="FFFFFF"/>
      <w:sz w:val="17"/>
    </w:rPr>
  </w:style>
  <w:style w:type="paragraph" w:customStyle="1" w:styleId="MicroLabel">
    <w:name w:val="Micro Label"/>
    <w:basedOn w:val="Normal"/>
    <w:qFormat/>
    <w:pPr>
      <w:keepNext/>
      <w:keepLines w:val="0"/>
      <w:widowControl/>
      <w:spacing w:before="0" w:after="20" w:line="240" w:lineRule="auto"/>
    </w:pPr>
    <w:rPr>
      <w:rFonts w:ascii="Inter" w:hAnsi="Inter" w:cs="Inter" w:eastAsia="Inter"/>
      <w:b/>
      <w:caps w:val="1"/>
      <w:color w:val="8E98A2"/>
      <w:spacing w:val="12"/>
      <w:sz w:val="15"/>
    </w:rPr>
  </w:style>
  <w:style w:type="paragraph" w:customStyle="1" w:styleId="MicroLabelWhite">
    <w:name w:val="Micro Label White"/>
    <w:basedOn w:val="MicroLabel"/>
    <w:rPr>
      <w:rFonts w:ascii="Inter" w:hAnsi="Inter" w:cs="Inter" w:eastAsia="Inter"/>
      <w:b/>
      <w:caps w:val="1"/>
      <w:color w:val="B9C6D4"/>
      <w:spacing w:val="12"/>
      <w:sz w:val="15"/>
    </w:rPr>
  </w:style>
  <w:style w:type="paragraph" w:customStyle="1" w:styleId="CoverField">
    <w:name w:val="Cover Field"/>
    <w:basedOn w:val="Normal"/>
    <w:pPr>
      <w:keepNext w:val="0"/>
      <w:keepLines w:val="0"/>
      <w:widowControl/>
      <w:spacing w:before="60" w:after="60" w:line="252" w:lineRule="auto"/>
    </w:pPr>
    <w:rPr>
      <w:rFonts w:ascii="Inter" w:hAnsi="Inter" w:cs="Inter" w:eastAsia="Inter"/>
      <w:color w:val="0C1628"/>
      <w:sz w:val="20"/>
    </w:rPr>
  </w:style>
  <w:style w:type="paragraph" w:customStyle="1" w:styleId="CoverFieldPlaceholder">
    <w:name w:val="Cover Field Placeholder"/>
    <w:basedOn w:val="CoverField"/>
    <w:rPr>
      <w:rFonts w:ascii="Inter" w:hAnsi="Inter" w:cs="Inter" w:eastAsia="Inter"/>
      <w:i/>
      <w:color w:val="8E98A2"/>
      <w:sz w:val="20"/>
    </w:rPr>
  </w:style>
  <w:style w:type="paragraph" w:customStyle="1" w:styleId="TOC1">
    <w:name w:val="TOC 1"/>
    <w:basedOn w:val="Normal"/>
    <w:pPr>
      <w:keepNext w:val="0"/>
      <w:keepLines w:val="0"/>
      <w:widowControl/>
      <w:spacing w:before="140" w:after="20" w:line="252" w:lineRule="auto"/>
      <w:ind w:left="0"/>
    </w:pPr>
    <w:rPr>
      <w:rFonts w:ascii="Inter" w:hAnsi="Inter" w:cs="Inter" w:eastAsia="Inter"/>
      <w:b/>
      <w:color w:val="1D3245"/>
      <w:sz w:val="20"/>
    </w:rPr>
  </w:style>
  <w:style w:type="paragraph" w:customStyle="1" w:styleId="TOC2">
    <w:name w:val="TOC 2"/>
    <w:basedOn w:val="Normal"/>
    <w:pPr>
      <w:keepNext w:val="0"/>
      <w:keepLines w:val="0"/>
      <w:widowControl/>
      <w:spacing w:before="20" w:after="20" w:line="252" w:lineRule="auto"/>
      <w:ind w:left="283"/>
    </w:pPr>
    <w:rPr>
      <w:rFonts w:ascii="Inter" w:hAnsi="Inter" w:cs="Inter" w:eastAsia="Inter"/>
      <w:b w:val="0"/>
      <w:color w:val="0C1628"/>
      <w:sz w:val="18"/>
    </w:rPr>
  </w:style>
  <w:style w:type="paragraph" w:customStyle="1" w:styleId="TOC3">
    <w:name w:val="TOC 3"/>
    <w:basedOn w:val="Normal"/>
    <w:pPr>
      <w:keepNext w:val="0"/>
      <w:keepLines w:val="0"/>
      <w:widowControl/>
      <w:spacing w:before="0" w:after="20" w:line="252" w:lineRule="auto"/>
      <w:ind w:left="567"/>
    </w:pPr>
    <w:rPr>
      <w:rFonts w:ascii="Inter" w:hAnsi="Inter" w:cs="Inter" w:eastAsia="Inter"/>
      <w:b w:val="0"/>
      <w:color w:val="8E98A2"/>
      <w:sz w:val="17"/>
    </w:rPr>
  </w:style>
  <w:style w:type="character" w:customStyle="1" w:styleId="Hyperlink">
    <w:name w:val="Hyperlink"/>
    <w:rPr>
      <w:color w:val="3480BC"/>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www.mastt.com/"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header" Target="header4.xml"/><Relationship Id="rId18" Type="http://schemas.openxmlformats.org/officeDocument/2006/relationships/footer" Target="footer4.xml"/><Relationship Id="rId19" Type="http://schemas.openxmlformats.org/officeDocument/2006/relationships/header" Target="header5.xml"/><Relationship Id="rId20" Type="http://schemas.openxmlformats.org/officeDocument/2006/relationships/footer" Target="footer5.xml"/><Relationship Id="rId21" Type="http://schemas.openxmlformats.org/officeDocument/2006/relationships/header" Target="header6.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mast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www.mast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www.mastt.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www.mas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Scope of Work Template</dc:title>
  <dc:subject>Construction Scope of Work / Works Information — jurisdiction-neutral, for a head contract or a trade package</dc:subject>
  <dc:creator>Mastt</dc:creator>
  <cp:keywords>Mastt; scope of work; works information; employer's requirements; construction; contract administration; template</cp:keywords>
  <dc:description>Mastt global template - https://www.mastt.com/  © 2026 Mastt. Framework only; not legal, safety or financial advice.</dc:description>
  <cp:lastModifiedBy>Mastt</cp:lastModifiedBy>
  <cp:revision>1</cp:revision>
  <dcterms:created xsi:type="dcterms:W3CDTF">2013-12-23T23:15:00Z</dcterms:created>
  <dcterms:modified xsi:type="dcterms:W3CDTF">2013-12-23T23:15:00Z</dcterms:modified>
  <cp:category>Template</cp:category>
</cp:coreProperties>
</file>