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0040"/>
      </w:tblGrid>
      <w:tr>
        <w:trPr>
          <w:cantSplit/>
        </w:trPr>
        <w:tc>
          <w:tcPr>
            <w:tcW w:type="dxa" w:w="10040"/>
            <w:tcBorders>
              <w:top w:val="none" w:color="auto" w:sz="0"/>
              <w:left w:val="none" w:color="auto" w:sz="0"/>
              <w:bottom w:val="none" w:color="auto" w:sz="0"/>
              <w:right w:val="none" w:color="auto" w:sz="0"/>
            </w:tcBorders>
            <w:shd w:fill="1D3245" w:color="auto" w:val="clear"/>
            <w:tcMar>
              <w:top w:type="dxa" w:w="34"/>
              <w:left w:type="dxa" w:w="92"/>
              <w:bottom w:type="dxa" w:w="34"/>
              <w:right w:type="dxa" w:w="92"/>
            </w:tcMar>
          </w:tcPr>
          <w:p>
            <w:pPr>
              <w:keepNext w:val="false"/>
              <w:spacing w:after="0" w:before="0" w:line="330"/>
              <w:jc w:val="left"/>
            </w:pPr>
            <w:r>
              <w:rPr>
                <w:rFonts w:ascii="Inter" w:cs="Inter" w:eastAsia="Inter" w:hAnsi="Inter"/>
                <w:b/>
                <w:bCs/>
                <w:i w:val="false"/>
                <w:iCs w:val="false"/>
                <w:caps w:val="false"/>
                <w:color w:val="FFFFFF"/>
                <w:sz w:val="30"/>
                <w:szCs w:val="30"/>
              </w:rPr>
              <w:t xml:space="preserve">Change Management Plan</w:t>
            </w:r>
          </w:p>
        </w:tc>
      </w:tr>
      <w:tr>
        <w:trPr>
          <w:cantSplit/>
        </w:trPr>
        <w:tc>
          <w:tcPr>
            <w:tcW w:type="dxa" w:w="10040"/>
            <w:tcBorders>
              <w:top w:val="none" w:color="auto" w:sz="0"/>
              <w:left w:val="none" w:color="auto" w:sz="0"/>
              <w:bottom w:val="none" w:color="auto" w:sz="0"/>
              <w:right w:val="none" w:color="auto" w:sz="0"/>
            </w:tcBorders>
            <w:shd w:fill="1D3245" w:color="auto" w:val="clear"/>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val="false"/>
                <w:iCs w:val="false"/>
                <w:caps w:val="false"/>
                <w:color w:val="9FB3C8"/>
                <w:sz w:val="19"/>
                <w:szCs w:val="19"/>
              </w:rPr>
              <w:t xml:space="preserve">Organizational change management for a capital project. Template with a worked example.</w:t>
            </w:r>
          </w:p>
        </w:tc>
      </w:tr>
      <w:tr>
        <w:trPr>
          <w:cantSplit/>
        </w:trPr>
        <w:tc>
          <w:tcPr>
            <w:tcW w:type="dxa" w:w="10040"/>
            <w:tcBorders>
              <w:top w:val="none" w:color="auto" w:sz="0"/>
              <w:left w:val="none" w:color="auto" w:sz="0"/>
              <w:bottom w:val="none" w:color="auto" w:sz="0"/>
              <w:right w:val="none" w:color="auto" w:sz="0"/>
            </w:tcBorders>
            <w:shd w:fill="3480BC" w:color="auto" w:val="clear"/>
            <w:tcMar>
              <w:top w:type="dxa" w:w="34"/>
              <w:left w:type="dxa" w:w="92"/>
              <w:bottom w:type="dxa" w:w="34"/>
              <w:right w:type="dxa" w:w="92"/>
            </w:tcMar>
          </w:tcPr>
          <w:p>
            <w:pPr>
              <w:keepNext w:val="false"/>
              <w:spacing w:after="0" w:before="0" w:line="30"/>
              <w:jc w:val="left"/>
            </w:pPr>
            <w:r>
              <w:rPr>
                <w:rFonts w:ascii="Inter" w:cs="Inter" w:eastAsia="Inter" w:hAnsi="Inter"/>
                <w:b w:val="false"/>
                <w:bCs w:val="false"/>
                <w:i w:val="false"/>
                <w:iCs w:val="false"/>
                <w:caps w:val="false"/>
                <w:color w:val="1D3245"/>
                <w:sz w:val="2"/>
                <w:szCs w:val="2"/>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0"/>
          <w:szCs w:val="10"/>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0040"/>
      </w:tblGrid>
      <w:tr>
        <w:trPr>
          <w:cantSplit/>
        </w:trPr>
        <w:tc>
          <w:tcPr>
            <w:tcW w:type="dxa" w:w="10040"/>
            <w:tcBorders>
              <w:top w:val="single" w:color="FFB547" w:sz="4"/>
              <w:left w:val="single" w:color="FFB547" w:sz="4"/>
              <w:bottom w:val="single" w:color="FFB547" w:sz="4"/>
              <w:right w:val="single" w:color="FFB547" w:sz="4"/>
            </w:tcBorders>
            <w:shd w:fill="FFF4E0" w:color="auto" w:val="clear"/>
            <w:tcMar>
              <w:top w:type="dxa" w:w="34"/>
              <w:left w:type="dxa" w:w="92"/>
              <w:bottom w:type="dxa" w:w="34"/>
              <w:right w:type="dxa" w:w="92"/>
            </w:tcMar>
          </w:tcPr>
          <w:p>
            <w:pPr>
              <w:keepNext w:val="false"/>
              <w:spacing w:after="0" w:before="0" w:line="235"/>
              <w:jc w:val="left"/>
            </w:pPr>
            <w:r>
              <w:rPr>
                <w:rFonts w:ascii="Inter" w:cs="Inter" w:eastAsia="Inter" w:hAnsi="Inter"/>
                <w:b/>
                <w:bCs/>
                <w:i w:val="false"/>
                <w:iCs w:val="false"/>
                <w:caps w:val="false"/>
                <w:color w:val="EC6917"/>
                <w:sz w:val="18"/>
                <w:szCs w:val="18"/>
              </w:rPr>
              <w:t xml:space="preserve">ORGANIZATIONAL CHANGE MANAGEMENT — NOT PROJECT CHANGE CONTROL. For changes to scope, cost or schedule, see section 2. All example content is fictional and must be replaced.</w:t>
            </w:r>
          </w:p>
        </w:tc>
      </w:tr>
    </w:tbl>
    <w:p>
      <w:pPr>
        <w:keepNext w:val="false"/>
        <w:spacing w:after="0" w:before="0" w:line="250"/>
        <w:jc w:val="left"/>
      </w:pPr>
      <w:r>
        <w:rPr>
          <w:rFonts w:ascii="Inter" w:cs="Inter" w:eastAsia="Inter" w:hAnsi="Inter"/>
          <w:b w:val="false"/>
          <w:bCs w:val="false"/>
          <w:i w:val="false"/>
          <w:iCs w:val="false"/>
          <w:caps w:val="false"/>
          <w:color w:val="1D3245"/>
          <w:sz w:val="10"/>
          <w:szCs w:val="10"/>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502"/>
        <w:gridCol w:w="3815"/>
        <w:gridCol w:w="5723"/>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CONTENTS</w:t>
            </w:r>
          </w:p>
        </w:tc>
      </w:tr>
      <w:tr>
        <w:trPr>
          <w:cantSplit/>
          <w:tblHeader/>
        </w:trPr>
        <w:tc>
          <w:tcPr>
            <w:tcW w:type="dxa" w:w="502"/>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9"/>
                <w:szCs w:val="19"/>
              </w:rPr>
              <w:t xml:space="preserve"/>
            </w:r>
          </w:p>
        </w:tc>
        <w:tc>
          <w:tcPr>
            <w:tcW w:type="dxa" w:w="381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9"/>
                <w:szCs w:val="19"/>
              </w:rPr>
              <w:t xml:space="preserve">Section</w:t>
            </w:r>
          </w:p>
        </w:tc>
        <w:tc>
          <w:tcPr>
            <w:tcW w:type="dxa" w:w="572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9"/>
                <w:szCs w:val="19"/>
              </w:rPr>
              <w:t xml:space="preserve">Purpose</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DOCUMENT CONTROL</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Plan details, version history and distribution</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2</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PURPOSE AND SCOPE</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What this plan covers, and what it does not</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3</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CHANGE CLASSIFICATION</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Scale of the change and the sections required</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4</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CHANGE DESCRIPTION</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Current and future state, case for change, objectives</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5</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CHANGE IMPACT ASSESSMENT</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Groups affected and the extent of the impact</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6</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STAKEHOLDER ANALYSIS</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Assessment of each group and its barrier point</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7</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SPONSORSHIP</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Primary sponsor commitments and the sponsor coalition</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8</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ROLES AND RESPONSIBILITIES</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Accountabilities for the change work</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9</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PEOPLE MANAGER RESPONSIBILITIES</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The five duties of a people manager</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10</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CHANGE READINESS ASSESSMENT</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Readiness, capacity and culture</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11</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CHANGE RISK REGISTER</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Risks to adoption, with responses and owners</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12</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COMMUNICATIONS PLAN</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Messages, audiences, senders, channels and timing</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13</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TRAINING PLAN</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Training by group, and how competency is evidenced</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14</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RESISTANCE MANAGEMENT PLAN</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Anticipated resistance and the response to each</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15</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STAFF SUPPORT PLAN</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Support provided at go-live and afterwards</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16</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HR AND EMPLOYEE RELATIONS PLAN</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Role changes and the obligations they trigger</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17</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OPERATIONAL READINESS CRITERIA</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Go / no-go criteria to be met before occupancy</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18</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IMPLEMENTATION SCHEDULE</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Change activities sequenced against go-live</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19</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MEASUREMENT AND REPORTING</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Adoption measures, frequency and reporting</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20</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SUSTAINMENT AND EVALUATION</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Embedding the change and handing it to the business</w:t>
            </w:r>
          </w:p>
        </w:tc>
      </w:tr>
      <w:tr>
        <w:trPr>
          <w:cantSplit/>
        </w:trPr>
        <w:tc>
          <w:tcPr>
            <w:tcW w:type="dxa" w:w="5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21</w:t>
            </w:r>
          </w:p>
        </w:tc>
        <w:tc>
          <w:tcPr>
            <w:tcW w:type="dxa" w:w="381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APPROVAL</w:t>
            </w:r>
          </w:p>
        </w:tc>
        <w:tc>
          <w:tcPr>
            <w:tcW w:type="dxa" w:w="572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Signatures committing the resources this plan requires</w:t>
            </w:r>
          </w:p>
        </w:tc>
      </w:tr>
      <w:tr>
        <w:trPr>
          <w:cantSplit/>
        </w:trPr>
        <w:tc>
          <w:tcPr>
            <w:tcW w:type="dxa" w:w="5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9"/>
                <w:szCs w:val="19"/>
              </w:rPr>
              <w:t xml:space="preserve">22</w:t>
            </w:r>
          </w:p>
        </w:tc>
        <w:tc>
          <w:tcPr>
            <w:tcW w:type="dxa" w:w="381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9"/>
                <w:szCs w:val="19"/>
              </w:rPr>
              <w:t xml:space="preserve">NOTES AND REFERENCES</w:t>
            </w:r>
          </w:p>
        </w:tc>
        <w:tc>
          <w:tcPr>
            <w:tcW w:type="dxa" w:w="572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iCs/>
                <w:caps w:val="false"/>
                <w:color w:val="8E98A2"/>
                <w:sz w:val="19"/>
                <w:szCs w:val="19"/>
              </w:rPr>
              <w:t xml:space="preserve">Notes on use, limitations and sources</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Cross-references in this plan are by section number, not page number.</w:t>
            </w:r>
          </w:p>
        </w:tc>
      </w:tr>
    </w:tbl>
    <w:p>
      <w:pPr>
        <w:keepNext w:val="false"/>
        <w:pageBreakBefore/>
        <w:spacing w:after="0" w:before="0" w:line="250"/>
        <w:jc w:val="left"/>
      </w:pPr>
      <w:r>
        <w:rPr>
          <w:rFonts w:ascii="Inter" w:cs="Inter" w:eastAsia="Inter" w:hAnsi="Inter"/>
          <w:b w:val="false"/>
          <w:bCs w:val="false"/>
          <w:i w:val="false"/>
          <w:iCs w:val="false"/>
          <w:caps w:val="false"/>
          <w:color w:val="1D3245"/>
          <w:sz w:val="4"/>
          <w:szCs w:val="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108"/>
        <w:gridCol w:w="2912"/>
        <w:gridCol w:w="2108"/>
        <w:gridCol w:w="2912"/>
      </w:tblGrid>
      <w:tr>
        <w:trPr>
          <w:cantSplit/>
          <w:tblHeader/>
        </w:trPr>
        <w:tc>
          <w:tcPr>
            <w:tcW w:type="dxa" w:w="10040"/>
            <w:gridSpan w:val="4"/>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   DOCUMENT CONTROL</w:t>
            </w:r>
          </w:p>
        </w:tc>
      </w:tr>
      <w:tr>
        <w:trPr>
          <w:cantSplit/>
        </w:trPr>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CHANGE / PROJECT NAME</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change, not the construction contract]</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PROJECT NUMBER</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project or program number]</w:t>
            </w:r>
          </w:p>
        </w:tc>
      </w:tr>
      <w:tr>
        <w:trPr>
          <w:cantSplit/>
        </w:trPr>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ORGANIZATION</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organization the change happens to]</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PLAN REFERENCE</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document number, e.g. XXX-OCM-PLN-001]</w:t>
            </w:r>
          </w:p>
        </w:tc>
      </w:tr>
      <w:tr>
        <w:trPr>
          <w:cantSplit/>
        </w:trPr>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REVISION</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DATE</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r>
      <w:tr>
        <w:trPr>
          <w:cantSplit/>
        </w:trPr>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PRIMARY SPONSOR</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 role — the person accountable for WHY this change is happening]</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CHANGE MANAGER</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 role]</w:t>
            </w:r>
          </w:p>
        </w:tc>
      </w:tr>
      <w:tr>
        <w:trPr>
          <w:cantSplit/>
        </w:trPr>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PROJECT MANAGER</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 role]</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PREPARED BY</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 role]</w:t>
            </w:r>
          </w:p>
        </w:tc>
      </w:tr>
      <w:tr>
        <w:trPr>
          <w:cantSplit/>
        </w:trPr>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APPROVED BY</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 role — authorized to commit the resources this plan requires]</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NEXT REVIEW DUE</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r>
      <w:tr>
        <w:trPr>
          <w:cantSplit/>
        </w:trPr>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GO-LIVE / EFFECTIVE DATE</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PEOPLE AFFECTED</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headcount, all groups combined]</w:t>
            </w:r>
          </w:p>
        </w:tc>
      </w:tr>
      <w:tr>
        <w:trPr>
          <w:cantSplit/>
        </w:trPr>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GROUPS AFFECTED</w:t>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number of distinct impacted groups — see section 5]</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2912"/>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205"/>
        <w:gridCol w:w="4819"/>
        <w:gridCol w:w="2209"/>
        <w:gridCol w:w="1807"/>
      </w:tblGrid>
      <w:tr>
        <w:trPr>
          <w:cantSplit/>
          <w:tblHeader/>
        </w:trPr>
        <w:tc>
          <w:tcPr>
            <w:tcW w:type="dxa" w:w="10040"/>
            <w:gridSpan w:val="4"/>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VERSION HISTORY</w:t>
            </w:r>
          </w:p>
        </w:tc>
      </w:tr>
      <w:tr>
        <w:trPr>
          <w:cantSplit/>
          <w:tblHeader/>
        </w:trPr>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Version</w:t>
            </w:r>
          </w:p>
        </w:tc>
        <w:tc>
          <w:tcPr>
            <w:tcW w:type="dxa" w:w="481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Description of change</w:t>
            </w:r>
          </w:p>
        </w:tc>
        <w:tc>
          <w:tcPr>
            <w:tcW w:type="dxa" w:w="22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Approved by</w:t>
            </w:r>
          </w:p>
        </w:tc>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Date</w:t>
            </w:r>
          </w:p>
        </w:tc>
      </w:tr>
      <w:tr>
        <w:trPr>
          <w:cantSplit/>
        </w:trPr>
        <w:tc>
          <w:tcPr>
            <w:tcW w:type="dxa" w:w="1205"/>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[0.1]</w:t>
            </w:r>
          </w:p>
        </w:tc>
        <w:tc>
          <w:tcPr>
            <w:tcW w:type="dxa" w:w="481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[Draft issued for comment]</w:t>
            </w:r>
          </w:p>
        </w:tc>
        <w:tc>
          <w:tcPr>
            <w:tcW w:type="dxa" w:w="220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18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r>
      <w:tr>
        <w:trPr>
          <w:cantSplit/>
        </w:trPr>
        <w:tc>
          <w:tcPr>
            <w:tcW w:type="dxa" w:w="1205"/>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[1.0]</w:t>
            </w:r>
          </w:p>
        </w:tc>
        <w:tc>
          <w:tcPr>
            <w:tcW w:type="dxa" w:w="481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[Approved for issue]</w:t>
            </w:r>
          </w:p>
        </w:tc>
        <w:tc>
          <w:tcPr>
            <w:tcW w:type="dxa" w:w="220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18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r>
      <w:tr>
        <w:trPr>
          <w:cantSplit/>
        </w:trPr>
        <w:tc>
          <w:tcPr>
            <w:tcW w:type="dxa" w:w="1205"/>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481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20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8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r>
        <w:trPr>
          <w:cantSplit/>
        </w:trPr>
        <w:tc>
          <w:tcPr>
            <w:tcW w:type="dxa" w:w="1205"/>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481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209"/>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8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803"/>
        <w:gridCol w:w="2410"/>
        <w:gridCol w:w="2610"/>
        <w:gridCol w:w="2610"/>
        <w:gridCol w:w="1607"/>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DISTRIBUTION</w:t>
            </w:r>
          </w:p>
        </w:tc>
      </w:tr>
      <w:tr>
        <w:trPr>
          <w:cantSplit/>
          <w:tblHeader/>
        </w:trPr>
        <w:tc>
          <w:tcPr>
            <w:tcW w:type="dxa" w:w="80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Copy</w:t>
            </w:r>
          </w:p>
        </w:tc>
        <w:tc>
          <w:tcPr>
            <w:tcW w:type="dxa" w:w="241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Name</w:t>
            </w:r>
          </w:p>
        </w:tc>
        <w:tc>
          <w:tcPr>
            <w:tcW w:type="dxa" w:w="261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Position</w:t>
            </w:r>
          </w:p>
        </w:tc>
        <w:tc>
          <w:tcPr>
            <w:tcW w:type="dxa" w:w="261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Organization</w:t>
            </w:r>
          </w:p>
        </w:tc>
        <w:tc>
          <w:tcPr>
            <w:tcW w:type="dxa" w:w="16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Date issued</w:t>
            </w:r>
          </w:p>
        </w:tc>
      </w:tr>
      <w:tr>
        <w:trPr>
          <w:cantSplit/>
        </w:trPr>
        <w:tc>
          <w:tcPr>
            <w:tcW w:type="dxa" w:w="803"/>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1</w:t>
            </w:r>
          </w:p>
        </w:tc>
        <w:tc>
          <w:tcPr>
            <w:tcW w:type="dxa" w:w="24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[Position]</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[Organization]</w:t>
            </w:r>
          </w:p>
        </w:tc>
        <w:tc>
          <w:tcPr>
            <w:tcW w:type="dxa" w:w="16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[Date issued]</w:t>
            </w:r>
          </w:p>
        </w:tc>
      </w:tr>
      <w:tr>
        <w:trPr>
          <w:cantSplit/>
        </w:trPr>
        <w:tc>
          <w:tcPr>
            <w:tcW w:type="dxa" w:w="803"/>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2</w:t>
            </w:r>
          </w:p>
        </w:tc>
        <w:tc>
          <w:tcPr>
            <w:tcW w:type="dxa" w:w="24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[Position]</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[Organization]</w:t>
            </w:r>
          </w:p>
        </w:tc>
        <w:tc>
          <w:tcPr>
            <w:tcW w:type="dxa" w:w="16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[Date issued]</w:t>
            </w:r>
          </w:p>
        </w:tc>
      </w:tr>
      <w:tr>
        <w:trPr>
          <w:cantSplit/>
        </w:trPr>
        <w:tc>
          <w:tcPr>
            <w:tcW w:type="dxa" w:w="803"/>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3</w:t>
            </w:r>
          </w:p>
        </w:tc>
        <w:tc>
          <w:tcPr>
            <w:tcW w:type="dxa" w:w="24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[Position]</w:t>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[Organization]</w:t>
            </w:r>
          </w:p>
        </w:tc>
        <w:tc>
          <w:tcPr>
            <w:tcW w:type="dxa" w:w="16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[Date issued]</w:t>
            </w:r>
          </w:p>
        </w:tc>
      </w:tr>
      <w:tr>
        <w:trPr>
          <w:cantSplit/>
        </w:trPr>
        <w:tc>
          <w:tcPr>
            <w:tcW w:type="dxa" w:w="803"/>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4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61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607"/>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Reissue to this list whenever the plan changes materially.</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711"/>
        <w:gridCol w:w="4518"/>
        <w:gridCol w:w="2811"/>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2   PURPOSE AND SCOPE</w:t>
            </w:r>
          </w:p>
        </w:tc>
      </w:tr>
      <w:tr>
        <w:trPr>
          <w:cantSplit/>
          <w:tblHeader/>
        </w:trPr>
        <w:tc>
          <w:tcPr>
            <w:tcW w:type="dxa" w:w="271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Scope</w:t>
            </w:r>
          </w:p>
        </w:tc>
        <w:tc>
          <w:tcPr>
            <w:tcW w:type="dxa" w:w="451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Description</w:t>
            </w:r>
          </w:p>
        </w:tc>
        <w:tc>
          <w:tcPr>
            <w:tcW w:type="dxa" w:w="281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Where it is documented</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Three separate disciplines share this name. Confirm this is the right document.</w:t>
            </w:r>
          </w:p>
        </w:tc>
      </w:tr>
      <w:tr>
        <w:trPr>
          <w:cantSplit/>
        </w:trPr>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In scope — organizational change management</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People adopting a new way of working: who is affected, how their job changes, what they need in order to do it, and how adoption is measured and sustained.</w:t>
            </w:r>
          </w:p>
        </w:tc>
        <w:tc>
          <w:tcPr>
            <w:tcW w:type="dxa" w:w="28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This document</w:t>
            </w:r>
          </w:p>
        </w:tc>
      </w:tr>
      <w:tr>
        <w:trPr>
          <w:cantSplit/>
        </w:trPr>
        <w:tc>
          <w:tcPr>
            <w:tcW w:type="dxa" w:w="271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Out of scope — project change control</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Changes to project scope, cost or schedule: change requests against a baseline, change orders, the change control board that prices and approves them.</w:t>
            </w:r>
          </w:p>
        </w:tc>
        <w:tc>
          <w:tcPr>
            <w:tcW w:type="dxa" w:w="281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your change control procedure or change order process]</w:t>
            </w:r>
          </w:p>
        </w:tc>
      </w:tr>
      <w:tr>
        <w:trPr>
          <w:cantSplit/>
        </w:trPr>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Out of scope — IT change / release management</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Changes to production systems and infrastructure: change requests, change advisory board approval, release windows, rollback. A different discipline with the same name.</w:t>
            </w:r>
          </w:p>
        </w:tc>
        <w:tc>
          <w:tcPr>
            <w:tcW w:type="dxa" w:w="28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your IT service management change procedure]</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807"/>
        <w:gridCol w:w="3012"/>
        <w:gridCol w:w="5221"/>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3   CHANGE CLASSIFICATION</w:t>
            </w:r>
          </w:p>
        </w:tc>
      </w:tr>
      <w:tr>
        <w:trPr>
          <w:cantSplit/>
          <w:tblHeader/>
        </w:trPr>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Classification</w:t>
            </w:r>
          </w:p>
        </w:tc>
        <w:tc>
          <w:tcPr>
            <w:tcW w:type="dxa" w:w="3012"/>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Criteria</w:t>
            </w:r>
          </w:p>
        </w:tc>
        <w:tc>
          <w:tcPr>
            <w:tcW w:type="dxa" w:w="522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Sections to complete</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Classify the change before completing the remainder of this plan.</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Low</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One group, familiar systems, no role change, no headcount effect</w:t>
            </w:r>
          </w:p>
        </w:tc>
        <w:tc>
          <w:tcPr>
            <w:tcW w:type="dxa" w:w="522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Complete sections 1 to 5, plus 12, 18 and 19. A manager pack and a communications calendar are enough. Do not run the full plan set.</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Medium</w:t>
            </w:r>
          </w:p>
        </w:tc>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Process and system change, some role adjustment, no structural change</w:t>
            </w:r>
          </w:p>
        </w:tc>
        <w:tc>
          <w:tcPr>
            <w:tcW w:type="dxa" w:w="522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Complete sections 1 to 13, plus 18 to 20. Fold resistance into the communications plan. Skip 16 unless positions change.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High</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Multiple groups, role redesign or new positions, a fixed and public go-live date, a physical move, or an irreversible cutover</w:t>
            </w:r>
          </w:p>
        </w:tc>
        <w:tc>
          <w:tcPr>
            <w:tcW w:type="dxa" w:w="522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Complete every section, with a named change manager and a sponsor coalition. On a capital project this is the default, not the exception.</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008"/>
        <w:gridCol w:w="4016"/>
        <w:gridCol w:w="4016"/>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4   CHANGE DESCRIPTION</w:t>
            </w:r>
          </w:p>
        </w:tc>
      </w:tr>
      <w:tr>
        <w:trPr>
          <w:cantSplit/>
          <w:tblHeader/>
        </w:trPr>
        <w:tc>
          <w:tcPr>
            <w:tcW w:type="dxa" w:w="10040"/>
            <w:gridSpan w:val="3"/>
            <w:tcBorders>
              <w:top w:val="none" w:color="auto" w:sz="0"/>
              <w:left w:val="none" w:color="auto" w:sz="0"/>
              <w:bottom w:val="none" w:color="auto" w:sz="0"/>
              <w:right w:val="none" w:color="auto" w:sz="0"/>
            </w:tcBorders>
            <w:shd w:fill="3480BC"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0"/>
                <w:szCs w:val="20"/>
              </w:rPr>
              <w:t xml:space="preserve">CURRENT STATE AND FUTURE STATE</w:t>
            </w:r>
          </w:p>
        </w:tc>
      </w:tr>
      <w:tr>
        <w:trPr>
          <w:cantSplit/>
          <w:tblHeader/>
        </w:trPr>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Element</w:t>
            </w:r>
          </w:p>
        </w:tc>
        <w:tc>
          <w:tcPr>
            <w:tcW w:type="dxa" w:w="401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Current state</w:t>
            </w:r>
          </w:p>
        </w:tc>
        <w:tc>
          <w:tcPr>
            <w:tcW w:type="dxa" w:w="401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Future state</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Location</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Two inpatient units on the third floor of the 1974 building, 26 beds, shared nursing station</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Tower 2 levels 4 and 5, 64 single-occupancy rooms, decentralized care team stations</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Care model</w:t>
            </w:r>
          </w:p>
        </w:tc>
        <w:tc>
          <w:tcPr>
            <w:tcW w:type="dxa" w:w="401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Centralized station; staff line of sight across an open ward; supplies drawn from one room</w:t>
            </w:r>
          </w:p>
        </w:tc>
        <w:tc>
          <w:tcPr>
            <w:tcW w:type="dxa" w:w="401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Decentralized pods; no single line of sight; supplies held in-room, restocked on a par level</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Systems</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Paper whiteboard for bed status; nurse call to a fixed panel; pneumatic tube to the lab</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Real-time locating system feeds the electronic bed board; nurse call routes to a handset; specimens travel by the new tube system on a different address scheme</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Roles and staffing</w:t>
            </w:r>
          </w:p>
        </w:tc>
        <w:tc>
          <w:tcPr>
            <w:tcW w:type="dxa" w:w="401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Charge nurse manages assignment from the station; unit clerk at the desk</w:t>
            </w:r>
          </w:p>
        </w:tc>
        <w:tc>
          <w:tcPr>
            <w:tcW w:type="dxa" w:w="401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Charge nurse manages from a mobile device; the unit clerk role is redesigned; two new positions — care team coordinator and supply technician</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Skills and knowledge</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Existing workflows, learned on the job over years</w:t>
            </w:r>
          </w:p>
        </w:tc>
        <w:tc>
          <w:tcPr>
            <w:tcW w:type="dxa" w:w="401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New wayfinding, new equipment, new supply model, new escalation path, new codes coverage — before the first patient arrives, not after</w:t>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610"/>
        <w:gridCol w:w="7430"/>
      </w:tblGrid>
      <w:tr>
        <w:trPr>
          <w:cantSplit/>
          <w:tblHeader/>
        </w:trPr>
        <w:tc>
          <w:tcPr>
            <w:tcW w:type="dxa" w:w="10040"/>
            <w:gridSpan w:val="2"/>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CASE FOR CHANGE</w:t>
            </w:r>
          </w:p>
        </w:tc>
      </w:tr>
      <w:tr>
        <w:trPr>
          <w:cantSplit/>
        </w:trPr>
        <w:tc>
          <w:tcPr>
            <w:tcW w:type="dxa" w:w="26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Business driver</w:t>
            </w:r>
          </w:p>
        </w:tc>
        <w:tc>
          <w:tcPr>
            <w:tcW w:type="dxa" w:w="743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[State the business driver in one paragraph. Be specific about what happens if nothing changes. Example: the 1974 units cannot be brought to current infection-control standards in place, the license condition requires single-occupancy rooms by [date], and Tower 2 is complete and accruing carrying cost from [date].]</w:t>
            </w:r>
          </w:p>
        </w:tc>
      </w:tr>
      <w:tr>
        <w:trPr>
          <w:cantSplit/>
        </w:trPr>
        <w:tc>
          <w:tcPr>
            <w:tcW w:type="dxa" w:w="26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Required behavior change</w:t>
            </w:r>
          </w:p>
        </w:tc>
        <w:tc>
          <w:tcPr>
            <w:tcW w:type="dxa" w:w="743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[State it as behavior, not as a system. "Nurses will chart at the bedside" is a behavior. "We are rolling out a new electronic health record module" is not.]</w:t>
            </w:r>
          </w:p>
        </w:tc>
      </w:tr>
      <w:tr>
        <w:trPr>
          <w:cantSplit/>
        </w:trPr>
        <w:tc>
          <w:tcPr>
            <w:tcW w:type="dxa" w:w="26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Cost of not managing the change</w:t>
            </w:r>
          </w:p>
        </w:tc>
        <w:tc>
          <w:tcPr>
            <w:tcW w:type="dxa" w:w="7430"/>
            <w:tcBorders>
              <w:top w:val="single" w:color="E0E0E0" w:sz="4"/>
              <w:left w:val="single" w:color="E0E0E0" w:sz="4"/>
              <w:bottom w:val="single" w:color="E0E0E0" w:sz="4"/>
              <w:right w:val="single" w:color="E0E0E0" w:sz="4"/>
            </w:tcBorders>
            <w:shd w:fill="E3F0FA"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[State it in the organization's own terms — delayed opening, agency staffing to cover resignations, avoidable incidents in the first weeks, benefits that do not land.]</w:t>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406"/>
        <w:gridCol w:w="2610"/>
        <w:gridCol w:w="2209"/>
        <w:gridCol w:w="2209"/>
        <w:gridCol w:w="1606"/>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CHANGE OBJECTIVES</w:t>
            </w:r>
          </w:p>
        </w:tc>
      </w:tr>
      <w:tr>
        <w:trPr>
          <w:cantSplit/>
          <w:tblHeader/>
        </w:trPr>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Objective</w:t>
            </w:r>
          </w:p>
        </w:tc>
        <w:tc>
          <w:tcPr>
            <w:tcW w:type="dxa" w:w="261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Definition of success</w:t>
            </w:r>
          </w:p>
        </w:tc>
        <w:tc>
          <w:tcPr>
            <w:tcW w:type="dxa" w:w="22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Target</w:t>
            </w:r>
          </w:p>
        </w:tc>
        <w:tc>
          <w:tcPr>
            <w:tcW w:type="dxa" w:w="22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Measure</w:t>
            </w:r>
          </w:p>
        </w:tc>
        <w:tc>
          <w:tcPr>
            <w:tcW w:type="dxa" w:w="16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Adoption</w:t>
            </w:r>
          </w:p>
        </w:tc>
        <w:tc>
          <w:tcPr>
            <w:tcW w:type="dxa" w:w="26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Every affected member of staff is working to the new model</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by [date]</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Competency sign-off in the learning record</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 Manager</w:t>
            </w:r>
          </w:p>
        </w:tc>
      </w:tr>
      <w:tr>
        <w:trPr>
          <w:cantSplit/>
        </w:trPr>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Proficiency</w:t>
            </w:r>
          </w:p>
        </w:tc>
        <w:tc>
          <w:tcPr>
            <w:tcW w:type="dxa" w:w="26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Staff perform the new workflows at the expected standard, unaided</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assessed proficient within [nn] days of go-live</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Observation audit on the unit</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Nurse Educator</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Utilization</w:t>
            </w:r>
          </w:p>
        </w:tc>
        <w:tc>
          <w:tcPr>
            <w:tcW w:type="dxa" w:w="26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new systems are used as designed rather than worked around</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of bed status updates through the bed board, not the whiteboard</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System report, weekly</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Informatics Lead</w:t>
            </w:r>
          </w:p>
        </w:tc>
      </w:tr>
      <w:tr>
        <w:trPr>
          <w:cantSplit/>
        </w:trPr>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Retention</w:t>
            </w:r>
          </w:p>
        </w:tc>
        <w:tc>
          <w:tcPr>
            <w:tcW w:type="dxa" w:w="26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change does not cost the organization its experienced staff</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Voluntary turnover in affected units no higher than baseline + [n] points</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HR monthly report</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HR Business Partner</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Benefit realization</w:t>
            </w:r>
          </w:p>
        </w:tc>
        <w:tc>
          <w:tcPr>
            <w:tcW w:type="dxa" w:w="26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reason the building was funded actually materializes</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benefit and its measure — length of stay, throughput, incident rate]</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source]</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owner]</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These objectives measure adoption. Delivery is tracked in the project plan.</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707"/>
        <w:gridCol w:w="1205"/>
        <w:gridCol w:w="1807"/>
        <w:gridCol w:w="904"/>
        <w:gridCol w:w="3012"/>
        <w:gridCol w:w="1405"/>
      </w:tblGrid>
      <w:tr>
        <w:trPr>
          <w:cantSplit/>
          <w:tblHeader/>
        </w:trPr>
        <w:tc>
          <w:tcPr>
            <w:tcW w:type="dxa" w:w="10040"/>
            <w:gridSpan w:val="6"/>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5   CHANGE IMPACT ASSESSMENT</w:t>
            </w:r>
          </w:p>
        </w:tc>
      </w:tr>
      <w:tr>
        <w:trPr>
          <w:cantSplit/>
          <w:tblHeader/>
        </w:trPr>
        <w:tc>
          <w:tcPr>
            <w:tcW w:type="dxa" w:w="17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Group</w:t>
            </w:r>
          </w:p>
        </w:tc>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Headcount</w:t>
            </w:r>
          </w:p>
        </w:tc>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Nature of impact</w:t>
            </w:r>
          </w:p>
        </w:tc>
        <w:tc>
          <w:tcPr>
            <w:tcW w:type="dxa" w:w="9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Rating</w:t>
            </w:r>
          </w:p>
        </w:tc>
        <w:tc>
          <w:tcPr>
            <w:tcW w:type="dxa" w:w="3012"/>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Description of impact</w:t>
            </w:r>
          </w:p>
        </w:tc>
        <w:tc>
          <w:tcPr>
            <w:tcW w:type="dxa" w:w="14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r>
      <w:tr>
        <w:trPr>
          <w:cantSplit/>
        </w:trPr>
        <w:tc>
          <w:tcPr>
            <w:tcW w:type="dxa" w:w="10040"/>
            <w:gridSpan w:val="6"/>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Assess each group across process, systems, roles, location and behaviors. Add a row for every affected group, including those outside your control.</w:t>
            </w:r>
          </w:p>
        </w:tc>
      </w:tr>
      <w:tr>
        <w:trPr>
          <w:cantSplit/>
        </w:trPr>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Inpatient nursing — levels 4 and 5</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128</w:t>
            </w:r>
          </w:p>
        </w:tc>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Systems · Roles · Location · Behaviors</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Every shift routine changes. Decentralized pods remove the line of sight the team relies on. Two roles are redesigned and two are new.</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Environmental services</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34</w:t>
            </w:r>
          </w:p>
        </w:tc>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Location · Behaviors</w:t>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Room turnaround standard changes with single-occupancy rooms; cleaning sequence and equipment change; new territory and new travel distances.</w:t>
            </w:r>
          </w:p>
        </w:tc>
        <w:tc>
          <w:tcPr>
            <w:tcW w:type="dxa" w:w="14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Supply chain and materials</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12</w:t>
            </w:r>
          </w:p>
        </w:tc>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Systems · Roles</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Par-level restocking in-room replaces a central supply room. New scanning step. One new position on each floor.</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Laboratory</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22</w:t>
            </w:r>
          </w:p>
        </w:tc>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Systems</w:t>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Specimen transport moves to the new tube system on a different address scheme; existing muscle memory sends specimens to the wrong station.</w:t>
            </w:r>
          </w:p>
        </w:tc>
        <w:tc>
          <w:tcPr>
            <w:tcW w:type="dxa" w:w="14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Physicians and advanced practice</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90</w:t>
            </w:r>
          </w:p>
        </w:tc>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Location · Behaviors</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Rounding pattern changes with decentralized pods; new wayfinding; team communication no longer happens by proximity at a shared station.</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Facilities and biomedical engineering</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18</w:t>
            </w:r>
          </w:p>
        </w:tc>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Systems · Roles · Location</w:t>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New building systems, new asset register, new response routes and response times, warranty and commissioning obligations to carry.</w:t>
            </w:r>
          </w:p>
        </w:tc>
        <w:tc>
          <w:tcPr>
            <w:tcW w:type="dxa" w:w="14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Patient access and registration</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26</w:t>
            </w:r>
          </w:p>
        </w:tc>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Process · Location</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Low</w:t>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New arrival point and wayfinding; bed assignment logic changes.</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r>
        <w:trPr>
          <w:cantSplit/>
        </w:trPr>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807"/>
        <w:gridCol w:w="2008"/>
        <w:gridCol w:w="1305"/>
        <w:gridCol w:w="1606"/>
        <w:gridCol w:w="1305"/>
        <w:gridCol w:w="2009"/>
      </w:tblGrid>
      <w:tr>
        <w:trPr>
          <w:cantSplit/>
          <w:tblHeader/>
        </w:trPr>
        <w:tc>
          <w:tcPr>
            <w:tcW w:type="dxa" w:w="10040"/>
            <w:gridSpan w:val="6"/>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6   STAKEHOLDER ANALYSIS</w:t>
            </w:r>
          </w:p>
        </w:tc>
      </w:tr>
      <w:tr>
        <w:trPr>
          <w:cantSplit/>
          <w:tblHeader/>
        </w:trPr>
        <w:tc>
          <w:tcPr>
            <w:tcW w:type="dxa" w:w="10040"/>
            <w:gridSpan w:val="6"/>
            <w:tcBorders>
              <w:top w:val="none" w:color="auto" w:sz="0"/>
              <w:left w:val="none" w:color="auto" w:sz="0"/>
              <w:bottom w:val="none" w:color="auto" w:sz="0"/>
              <w:right w:val="none" w:color="auto" w:sz="0"/>
            </w:tcBorders>
            <w:shd w:fill="3480BC"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0"/>
                <w:szCs w:val="20"/>
              </w:rPr>
              <w:t xml:space="preserve">6A · STAKEHOLDER ASSESSMENT</w:t>
            </w:r>
          </w:p>
        </w:tc>
      </w:tr>
      <w:tr>
        <w:trPr>
          <w:cantSplit/>
          <w:tblHeader/>
        </w:trPr>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Stakeholder group</w:t>
            </w:r>
          </w:p>
        </w:tc>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Who this is</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Level of impact on them</w:t>
            </w:r>
          </w:p>
        </w:tc>
        <w:tc>
          <w:tcPr>
            <w:tcW w:type="dxa" w:w="16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Importance to project success</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Current attitude</w:t>
            </w:r>
          </w:p>
        </w:tc>
        <w:tc>
          <w:tcPr>
            <w:tcW w:type="dxa" w:w="20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Inpatient nursing staff</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Level 4 and 5 RNs, LPNs, techs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Neutral</w:t>
            </w:r>
          </w:p>
        </w:tc>
        <w:tc>
          <w:tcPr>
            <w:tcW w:type="dxa" w:w="20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Charge nurses</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Shift leadership on both units</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Negative</w:t>
            </w:r>
          </w:p>
        </w:tc>
        <w:tc>
          <w:tcPr>
            <w:tcW w:type="dxa" w:w="20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Physicians</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Hospitalists and specialty attendings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Neutral</w:t>
            </w:r>
          </w:p>
        </w:tc>
        <w:tc>
          <w:tcPr>
            <w:tcW w:type="dxa" w:w="20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Environmental services</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Housekeeping and turnaround</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Positive</w:t>
            </w:r>
          </w:p>
        </w:tc>
        <w:tc>
          <w:tcPr>
            <w:tcW w:type="dxa" w:w="20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Supply chain</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Materials management</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Positive</w:t>
            </w:r>
          </w:p>
        </w:tc>
        <w:tc>
          <w:tcPr>
            <w:tcW w:type="dxa" w:w="20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Union representatives</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[Insert bargaining units]</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Neutral</w:t>
            </w:r>
          </w:p>
        </w:tc>
        <w:tc>
          <w:tcPr>
            <w:tcW w:type="dxa" w:w="20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Patients and families</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Affected service lines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Low</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Neutral</w:t>
            </w:r>
          </w:p>
        </w:tc>
        <w:tc>
          <w:tcPr>
            <w:tcW w:type="dxa" w:w="20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20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20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008"/>
        <w:gridCol w:w="1606"/>
        <w:gridCol w:w="6426"/>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6B · BARRIER POINT AND ACTION</w:t>
            </w:r>
          </w:p>
        </w:tc>
      </w:tr>
      <w:tr>
        <w:trPr>
          <w:cantSplit/>
          <w:tblHeader/>
        </w:trPr>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Stakeholder group</w:t>
            </w:r>
          </w:p>
        </w:tc>
        <w:tc>
          <w:tcPr>
            <w:tcW w:type="dxa" w:w="16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Barrier point</w:t>
            </w:r>
          </w:p>
        </w:tc>
        <w:tc>
          <w:tcPr>
            <w:tcW w:type="dxa" w:w="642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Assessment and required action</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The barrier point is the first element in the key below that the group has not yet built.</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Inpatient nursing staff</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Desire</w:t>
            </w:r>
          </w:p>
        </w:tc>
        <w:tc>
          <w:tcPr>
            <w:tcW w:type="dxa" w:w="642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Working the new model is a personal choice they have not yet made. Involve charge nurses in designing the pod assignment before asking anyone to work it.</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Charge nurses</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Awareness</w:t>
            </w:r>
          </w:p>
        </w:tc>
        <w:tc>
          <w:tcPr>
            <w:tcW w:type="dxa" w:w="642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They have not been told why decentralized pods were chosen over the model they asked for. Sponsor to answer that directly, in person.</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Physicians</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Knowledge</w:t>
            </w:r>
          </w:p>
        </w:tc>
        <w:tc>
          <w:tcPr>
            <w:tcW w:type="dxa" w:w="642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Supportive in principle, but nobody has shown them the new rounding pattern.</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Environmental services</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Ability</w:t>
            </w:r>
          </w:p>
        </w:tc>
        <w:tc>
          <w:tcPr>
            <w:tcW w:type="dxa" w:w="642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Willing and briefed; have not yet practiced the new turnaround standard at the required pace.</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Supply chain</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Knowledge</w:t>
            </w:r>
          </w:p>
        </w:tc>
        <w:tc>
          <w:tcPr>
            <w:tcW w:type="dxa" w:w="642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New scanning step not yet trained; two positions not yet filled.</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Union representatives</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Awareness</w:t>
            </w:r>
          </w:p>
        </w:tc>
        <w:tc>
          <w:tcPr>
            <w:tcW w:type="dxa" w:w="642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Role redesign triggers a consultation obligation. Engage before the design is final, not after — see section 16.</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Patients and families</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Awareness</w:t>
            </w:r>
          </w:p>
        </w:tc>
        <w:tc>
          <w:tcPr>
            <w:tcW w:type="dxa" w:w="642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Wayfinding and visiting arrangements change on the go-live date.</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642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642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406"/>
        <w:gridCol w:w="1908"/>
        <w:gridCol w:w="3213"/>
        <w:gridCol w:w="3513"/>
      </w:tblGrid>
      <w:tr>
        <w:trPr>
          <w:cantSplit/>
          <w:tblHeader/>
        </w:trPr>
        <w:tc>
          <w:tcPr>
            <w:tcW w:type="dxa" w:w="10040"/>
            <w:gridSpan w:val="4"/>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KEY · ADKAR — THE FIVE ELEMENTS OF INDIVIDUAL CHANGE</w:t>
            </w:r>
          </w:p>
        </w:tc>
      </w:tr>
      <w:tr>
        <w:trPr>
          <w:cantSplit/>
          <w:tblHeader/>
        </w:trPr>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Element</w:t>
            </w:r>
          </w:p>
        </w:tc>
        <w:tc>
          <w:tcPr>
            <w:tcW w:type="dxa" w:w="19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Definition</w:t>
            </w:r>
          </w:p>
        </w:tc>
        <w:tc>
          <w:tcPr>
            <w:tcW w:type="dxa" w:w="32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Indicators when absent</w:t>
            </w:r>
          </w:p>
        </w:tc>
        <w:tc>
          <w:tcPr>
            <w:tcW w:type="dxa" w:w="35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How it is built</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Awareness</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of the need for change</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Carries on as before; asks why we are doing this at all</w:t>
            </w:r>
          </w:p>
        </w:tc>
        <w:tc>
          <w:tcPr>
            <w:tcW w:type="dxa" w:w="35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sponsor explains WHY, in person, in their own words. Not a newsletter.</w:t>
            </w:r>
          </w:p>
        </w:tc>
      </w:tr>
      <w:tr>
        <w:trPr>
          <w:cantSplit/>
        </w:trPr>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Desire</w:t>
            </w:r>
          </w:p>
        </w:tc>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to participate and support the change</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Disengages; goes quiet in meetings; passively resists; starts looking elsewhere</w:t>
            </w:r>
          </w:p>
        </w:tc>
        <w:tc>
          <w:tcPr>
            <w:tcW w:type="dxa" w:w="35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Involve them in a decision that is genuinely still open. Address what is in it for them honestly, including what they lose.</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Knowledge</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on how to change</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Honest attempts that do not work; frequent mistakes; asks the same question twice</w:t>
            </w:r>
          </w:p>
        </w:tc>
        <w:tc>
          <w:tcPr>
            <w:tcW w:type="dxa" w:w="35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Training, job aids, and time to absorb them. This is where most projects start, and it is the third step, not the first.</w:t>
            </w:r>
          </w:p>
        </w:tc>
      </w:tr>
      <w:tr>
        <w:trPr>
          <w:cantSplit/>
        </w:trPr>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Ability</w:t>
            </w:r>
          </w:p>
        </w:tc>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to implement required skills and behaviors</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Takes far longer than expected; low output; needs constant help</w:t>
            </w:r>
          </w:p>
        </w:tc>
        <w:tc>
          <w:tcPr>
            <w:tcW w:type="dxa" w:w="35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Practice in the real environment, coaching at the elbow, and enough runway before go-live.</w:t>
            </w:r>
          </w:p>
        </w:tc>
      </w:tr>
      <w:tr>
        <w:trPr>
          <w:cantSplit/>
        </w:trPr>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Reinforcement</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to sustain the change</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Early enthusiasm fades; quietly reverts to the old way within weeks</w:t>
            </w:r>
          </w:p>
        </w:tc>
        <w:tc>
          <w:tcPr>
            <w:tcW w:type="dxa" w:w="35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Recognition, measurement, removal of the old option, and a named owner after the project team has gone.</w:t>
            </w:r>
          </w:p>
        </w:tc>
      </w:tr>
      <w:tr>
        <w:trPr>
          <w:cantSplit/>
        </w:trPr>
        <w:tc>
          <w:tcPr>
            <w:tcW w:type="dxa" w:w="10040"/>
            <w:gridSpan w:val="4"/>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The elements are sequential. Address the earliest one that is missing.</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908"/>
        <w:gridCol w:w="4317"/>
        <w:gridCol w:w="1305"/>
        <w:gridCol w:w="1305"/>
        <w:gridCol w:w="1205"/>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7   SPONSORSHIP</w:t>
            </w:r>
          </w:p>
        </w:tc>
      </w:tr>
      <w:tr>
        <w:trPr>
          <w:cantSplit/>
          <w:tblHeader/>
        </w:trPr>
        <w:tc>
          <w:tcPr>
            <w:tcW w:type="dxa" w:w="10040"/>
            <w:gridSpan w:val="5"/>
            <w:tcBorders>
              <w:top w:val="none" w:color="auto" w:sz="0"/>
              <w:left w:val="none" w:color="auto" w:sz="0"/>
              <w:bottom w:val="none" w:color="auto" w:sz="0"/>
              <w:right w:val="none" w:color="auto" w:sz="0"/>
            </w:tcBorders>
            <w:shd w:fill="3480BC"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0"/>
                <w:szCs w:val="20"/>
              </w:rPr>
              <w:t xml:space="preserve">7A · SPONSOR COMMITMENTS</w:t>
            </w:r>
          </w:p>
        </w:tc>
      </w:tr>
      <w:tr>
        <w:trPr>
          <w:cantSplit/>
          <w:tblHeader/>
        </w:trPr>
        <w:tc>
          <w:tcPr>
            <w:tcW w:type="dxa" w:w="19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Commitment</w:t>
            </w:r>
          </w:p>
        </w:tc>
        <w:tc>
          <w:tcPr>
            <w:tcW w:type="dxa" w:w="431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Required actions</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Sponsor</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Signature</w:t>
            </w:r>
          </w:p>
        </w:tc>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Date</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The primary sponsor signs each commitment before this plan is issued.</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A — Active and visible participation</w:t>
            </w:r>
          </w:p>
        </w:tc>
        <w:tc>
          <w:tcPr>
            <w:tcW w:type="dxa" w:w="43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primary sponsor is present throughout, not only at launch. Attends [insert forum] at [insert frequency]; walks the affected areas; is visibly the owner of the change.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name]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[Signature]</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[MM/DD/YY]</w:t>
            </w:r>
          </w:p>
        </w:tc>
      </w:tr>
      <w:tr>
        <w:trPr>
          <w:cantSplit/>
        </w:trPr>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B — Build a coalition of sponsorship</w:t>
            </w:r>
          </w:p>
        </w:tc>
        <w:tc>
          <w:tcPr>
            <w:tcW w:type="dxa" w:w="43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Recruits and maintains the peer leaders below, so that every affected group hears the same message from a leader they already report to.</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name]</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[Signature]</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[MM/DD/YY]</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C — Communicate directly with those affected</w:t>
            </w:r>
          </w:p>
        </w:tc>
        <w:tc>
          <w:tcPr>
            <w:tcW w:type="dxa" w:w="43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Delivers the business reason for the change personally to affected staff. Messages about WHY come from the sponsor; messages about WHAT IT MEANS FOR ME come from the person's own manager. Swapping the two is the most common communication error in this plan.</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name]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[Signature]</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[MM/DD/YY]</w:t>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506"/>
        <w:gridCol w:w="1506"/>
        <w:gridCol w:w="2108"/>
        <w:gridCol w:w="3514"/>
        <w:gridCol w:w="1406"/>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7B · SPONSOR COALITION</w:t>
            </w:r>
          </w:p>
        </w:tc>
      </w:tr>
      <w:tr>
        <w:trPr>
          <w:cantSplit/>
          <w:tblHeader/>
        </w:trPr>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Area</w:t>
            </w:r>
          </w:p>
        </w:tc>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Name</w:t>
            </w:r>
          </w:p>
        </w:tc>
        <w:tc>
          <w:tcPr>
            <w:tcW w:type="dxa" w:w="21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Position</w:t>
            </w:r>
          </w:p>
        </w:tc>
        <w:tc>
          <w:tcPr>
            <w:tcW w:type="dxa" w:w="351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Scope of sponsorship</w:t>
            </w:r>
          </w:p>
        </w:tc>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Confirmed by</w:t>
            </w:r>
          </w:p>
        </w:tc>
      </w:tr>
      <w:tr>
        <w:trPr>
          <w:cantSplit/>
        </w:trPr>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Primary sponsor</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Chief Operating Officer</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Accountable for why the change is happening and for the resources it needs</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Nursing</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Chief Nursing Officer</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Sponsors the change for 128 nursing staff across both units</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Medical staff</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Chief Medical Officer</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Sponsors the change for physicians and advanced practice</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Support services</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Director, Support Services</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Sponsors environmental services, supply chain and food services</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Facilities</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Director, Facilities and Engineering</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Sponsors the operating handover of the building itself</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Human resources</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c>
          <w:tcPr>
            <w:tcW w:type="dxa" w:w="21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Chief Human Resources Officer</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Sponsors role redesign, consultation and any employee relations consequence</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1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Every affected group in section 5 needs a sponsor on this list whom that group already reports to.</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807"/>
        <w:gridCol w:w="6225"/>
        <w:gridCol w:w="2008"/>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8   ROLES AND RESPONSIBILITIES</w:t>
            </w:r>
          </w:p>
        </w:tc>
      </w:tr>
      <w:tr>
        <w:trPr>
          <w:cantSplit/>
          <w:tblHeader/>
        </w:trPr>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Role</w:t>
            </w:r>
          </w:p>
        </w:tc>
        <w:tc>
          <w:tcPr>
            <w:tcW w:type="dxa" w:w="622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Responsibilities</w:t>
            </w:r>
          </w:p>
        </w:tc>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Name</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Change management and project management are separate roles.</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Primary sponsor</w:t>
            </w:r>
          </w:p>
        </w:tc>
        <w:tc>
          <w:tcPr>
            <w:tcW w:type="dxa" w:w="622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WHY. Authorizes the plan and its resources. Builds and holds the coalition. Communicates the business case personally. Removes obstacles the change team cannot.</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Change manager</w:t>
            </w:r>
          </w:p>
        </w:tc>
        <w:tc>
          <w:tcPr>
            <w:tcW w:type="dxa" w:w="622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this plan and keeps it current. Runs the impact and readiness assessments, writes the component plans, tracks adoption, escalates barrier points that are not moving.</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Project manager</w:t>
            </w:r>
          </w:p>
        </w:tc>
        <w:tc>
          <w:tcPr>
            <w:tcW w:type="dxa" w:w="622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the technical side — the building, the systems, the schedule. Change and project management are separate disciplines on the same project and neither substitutes for the other.</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People managers</w:t>
            </w:r>
          </w:p>
        </w:tc>
        <w:tc>
          <w:tcPr>
            <w:tcW w:type="dxa" w:w="622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people whom affected staff actually listen to. Their five duties are set out at section 9.</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[Names]</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Change champions</w:t>
            </w:r>
          </w:p>
        </w:tc>
        <w:tc>
          <w:tcPr>
            <w:tcW w:type="dxa" w:w="622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Respected practitioners from within each affected group, not volunteers from outside it. Carry messages both directions and surface resistance early.</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[Names]</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Nurse educator / trainer</w:t>
            </w:r>
          </w:p>
        </w:tc>
        <w:tc>
          <w:tcPr>
            <w:tcW w:type="dxa" w:w="622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the learning plan, the competency standard and the sign-off record.</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HR business partner</w:t>
            </w:r>
          </w:p>
        </w:tc>
        <w:tc>
          <w:tcPr>
            <w:tcW w:type="dxa" w:w="622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role redesign, consultation obligations and any employee relations consequence.</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Operational readiness lead</w:t>
            </w:r>
          </w:p>
        </w:tc>
        <w:tc>
          <w:tcPr>
            <w:tcW w:type="dxa" w:w="622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Owns the transition from construction to operations — the readiness criteria at section 17 and the transfer of ownership at section 20.</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622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008"/>
        <w:gridCol w:w="4819"/>
        <w:gridCol w:w="3213"/>
      </w:tblGrid>
      <w:tr>
        <w:trPr>
          <w:cantSplit/>
          <w:tblHeader/>
        </w:trPr>
        <w:tc>
          <w:tcPr>
            <w:tcW w:type="dxa" w:w="10040"/>
            <w:gridSpan w:val="3"/>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9   PEOPLE MANAGER RESPONSIBILITIES</w:t>
            </w:r>
          </w:p>
        </w:tc>
      </w:tr>
      <w:tr>
        <w:trPr>
          <w:cantSplit/>
          <w:tblHeader/>
        </w:trPr>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Duty</w:t>
            </w:r>
          </w:p>
        </w:tc>
        <w:tc>
          <w:tcPr>
            <w:tcW w:type="dxa" w:w="481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Description</w:t>
            </w:r>
          </w:p>
        </w:tc>
        <w:tc>
          <w:tcPr>
            <w:tcW w:type="dxa" w:w="32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Arrangements on this change</w:t>
            </w:r>
          </w:p>
        </w:tc>
      </w:tr>
      <w:tr>
        <w:trPr>
          <w:cantSplit/>
        </w:trPr>
        <w:tc>
          <w:tcPr>
            <w:tcW w:type="dxa" w:w="10040"/>
            <w:gridSpan w:val="3"/>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Brief managers before their teams. See section 14.</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 — Communicator</w:t>
            </w:r>
          </w:p>
        </w:tc>
        <w:tc>
          <w:tcPr>
            <w:tcW w:type="dxa" w:w="481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Delivers the messages about what the change means for THIS person and THIS team. Employees want personal-impact messages from their own manager, not from the project.</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what and when]</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L — Liaison</w:t>
            </w:r>
          </w:p>
        </w:tc>
        <w:tc>
          <w:tcPr>
            <w:tcW w:type="dxa" w:w="481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Two-way channel between the team and the change team. Brings issues back, brings answers forward.</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forum and frequency]</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A — Advocate</w:t>
            </w:r>
          </w:p>
        </w:tc>
        <w:tc>
          <w:tcPr>
            <w:tcW w:type="dxa" w:w="481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Visibly supports the change in front of the team. A manager who signals private doubt cancels every other channel in this plan.</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commitment]</w:t>
            </w:r>
          </w:p>
        </w:tc>
      </w:tr>
      <w:tr>
        <w:trPr>
          <w:cantSplit/>
        </w:trPr>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 — Resistance manager</w:t>
            </w:r>
          </w:p>
        </w:tc>
        <w:tc>
          <w:tcPr>
            <w:tcW w:type="dxa" w:w="481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Identifies resistance in the team early and addresses it at its source rather than escalating it.</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escalation path]</w:t>
            </w:r>
          </w:p>
        </w:tc>
      </w:tr>
      <w:tr>
        <w:trPr>
          <w:cantSplit/>
        </w:trPr>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 — Coach</w:t>
            </w:r>
          </w:p>
        </w:tc>
        <w:tc>
          <w:tcPr>
            <w:tcW w:type="dxa" w:w="481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Works with individuals through their own barrier point, using the register at section 6.</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coaching arrangement]</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209"/>
        <w:gridCol w:w="3213"/>
        <w:gridCol w:w="1205"/>
        <w:gridCol w:w="2008"/>
        <w:gridCol w:w="1405"/>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10   CHANGE READINESS ASSESSMENT</w:t>
            </w:r>
          </w:p>
        </w:tc>
      </w:tr>
      <w:tr>
        <w:trPr>
          <w:cantSplit/>
          <w:tblHeader/>
        </w:trPr>
        <w:tc>
          <w:tcPr>
            <w:tcW w:type="dxa" w:w="22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Assessment area</w:t>
            </w:r>
          </w:p>
        </w:tc>
        <w:tc>
          <w:tcPr>
            <w:tcW w:type="dxa" w:w="32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Considerations</w:t>
            </w:r>
          </w:p>
        </w:tc>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Rating</w:t>
            </w:r>
          </w:p>
        </w:tc>
        <w:tc>
          <w:tcPr>
            <w:tcW w:type="dxa" w:w="20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Evidence</w:t>
            </w:r>
          </w:p>
        </w:tc>
        <w:tc>
          <w:tcPr>
            <w:tcW w:type="dxa" w:w="14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Readiness and capacity are separate questions. Assess both.</w:t>
            </w:r>
          </w:p>
        </w:tc>
      </w:tr>
      <w:tr>
        <w:trPr>
          <w:cantSplit/>
        </w:trPr>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Readiness</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Is the organization prepared for this change? Have the affected groups been told why? Are the sponsors visible? Is training built? Are the new roles filled? Is the environment available to practice in?</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[Red / Yellow / Green]</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evidence]</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Capacity</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How much change can the organization absorb right now? What else is landing on these same people in the same window? Count the other initiatives, not just this one. A group at capacity will fail a change it is otherwise ready for.</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[Red / Yellow / Green]</w:t>
            </w:r>
          </w:p>
        </w:tc>
        <w:tc>
          <w:tcPr>
            <w:tcW w:type="dxa" w:w="20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[List every other change hitting these groups]</w:t>
            </w:r>
          </w:p>
        </w:tc>
        <w:tc>
          <w:tcPr>
            <w:tcW w:type="dxa" w:w="14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Culture</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Does the way this organization works help or hinder? How has the last significant change here been remembered? Is speaking up safe? Is the hierarchy steep enough that bad news does not travel?</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[Red / Yellow / Green]</w:t>
            </w:r>
          </w:p>
        </w:tc>
        <w:tc>
          <w:tcPr>
            <w:tcW w:type="dxa" w:w="20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evidence]</w:t>
            </w:r>
          </w:p>
        </w:tc>
        <w:tc>
          <w:tcPr>
            <w:tcW w:type="dxa" w:w="14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703"/>
        <w:gridCol w:w="2661"/>
        <w:gridCol w:w="1155"/>
        <w:gridCol w:w="904"/>
        <w:gridCol w:w="3213"/>
        <w:gridCol w:w="1404"/>
      </w:tblGrid>
      <w:tr>
        <w:trPr>
          <w:cantSplit/>
          <w:tblHeader/>
        </w:trPr>
        <w:tc>
          <w:tcPr>
            <w:tcW w:type="dxa" w:w="10040"/>
            <w:gridSpan w:val="6"/>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11   CHANGE RISK REGISTER</w:t>
            </w:r>
          </w:p>
        </w:tc>
      </w:tr>
      <w:tr>
        <w:trPr>
          <w:cantSplit/>
          <w:tblHeader/>
        </w:trPr>
        <w:tc>
          <w:tcPr>
            <w:tcW w:type="dxa" w:w="70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Ref</w:t>
            </w:r>
          </w:p>
        </w:tc>
        <w:tc>
          <w:tcPr>
            <w:tcW w:type="dxa" w:w="266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Change risk</w:t>
            </w:r>
          </w:p>
        </w:tc>
        <w:tc>
          <w:tcPr>
            <w:tcW w:type="dxa" w:w="115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Likelihood</w:t>
            </w:r>
          </w:p>
        </w:tc>
        <w:tc>
          <w:tcPr>
            <w:tcW w:type="dxa" w:w="9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Impact</w:t>
            </w:r>
          </w:p>
        </w:tc>
        <w:tc>
          <w:tcPr>
            <w:tcW w:type="dxa" w:w="32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Response</w:t>
            </w:r>
          </w:p>
        </w:tc>
        <w:tc>
          <w:tcPr>
            <w:tcW w:type="dxa" w:w="14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r>
      <w:tr>
        <w:trPr>
          <w:cantSplit/>
        </w:trPr>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CR-01</w:t>
            </w:r>
          </w:p>
        </w:tc>
        <w:tc>
          <w:tcPr>
            <w:tcW w:type="dxa" w:w="266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Go-live date moves with construction completion, but training was scheduled to the original date and staff decay</w:t>
            </w:r>
          </w:p>
        </w:tc>
        <w:tc>
          <w:tcPr>
            <w:tcW w:type="dxa" w:w="115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Schedule competency assessment to a trigger, not a date — [nn] days before the confirmed occupancy certificate. Re-run refreshers if the gap exceeds [nn] days.</w:t>
            </w:r>
          </w:p>
        </w:tc>
        <w:tc>
          <w:tcPr>
            <w:tcW w:type="dxa" w:w="14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CR-02</w:t>
            </w:r>
          </w:p>
        </w:tc>
        <w:tc>
          <w:tcPr>
            <w:tcW w:type="dxa" w:w="266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sponsor is the capital projects director; the people who must change report to operations. Operations has no stake in the project's success.</w:t>
            </w:r>
          </w:p>
        </w:tc>
        <w:tc>
          <w:tcPr>
            <w:tcW w:type="dxa" w:w="115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primary sponsor is an operations executive, not the projects director — see section 7. The projects director sits on the coalition, not at its head.</w:t>
            </w:r>
          </w:p>
        </w:tc>
        <w:tc>
          <w:tcPr>
            <w:tcW w:type="dxa" w:w="14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CR-03</w:t>
            </w:r>
          </w:p>
        </w:tc>
        <w:tc>
          <w:tcPr>
            <w:tcW w:type="dxa" w:w="266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Charge nurses were not involved in the pod design and are the group the rest of the unit takes its cue from</w:t>
            </w:r>
          </w:p>
        </w:tc>
        <w:tc>
          <w:tcPr>
            <w:tcW w:type="dxa" w:w="115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conversation before any further communication goes out. Bring them into the assignment model design while it is genuinely still open.</w:t>
            </w:r>
          </w:p>
        </w:tc>
        <w:tc>
          <w:tcPr>
            <w:tcW w:type="dxa" w:w="14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CR-04</w:t>
            </w:r>
          </w:p>
        </w:tc>
        <w:tc>
          <w:tcPr>
            <w:tcW w:type="dxa" w:w="266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Two new positions are unfilled at go-live and the workload lands on existing staff</w:t>
            </w:r>
          </w:p>
        </w:tc>
        <w:tc>
          <w:tcPr>
            <w:tcW w:type="dxa" w:w="115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Recruit to a date [nn] weeks before go-live. If unfilled, agree the interim coverage and its end date in writing before occupancy.</w:t>
            </w:r>
          </w:p>
        </w:tc>
        <w:tc>
          <w:tcPr>
            <w:tcW w:type="dxa" w:w="14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CR-05</w:t>
            </w:r>
          </w:p>
        </w:tc>
        <w:tc>
          <w:tcPr>
            <w:tcW w:type="dxa" w:w="266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Old workflow remains available and people revert under pressure</w:t>
            </w:r>
          </w:p>
        </w:tc>
        <w:tc>
          <w:tcPr>
            <w:tcW w:type="dxa" w:w="115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High</w:t>
            </w:r>
          </w:p>
        </w:tc>
        <w:tc>
          <w:tcPr>
            <w:tcW w:type="dxa" w:w="9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Medium</w:t>
            </w:r>
          </w:p>
        </w:tc>
        <w:tc>
          <w:tcPr>
            <w:tcW w:type="dxa" w:w="32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Remove the old option on a stated date. A change that leaves the old way working is not a change, it is an option.</w:t>
            </w:r>
          </w:p>
        </w:tc>
        <w:tc>
          <w:tcPr>
            <w:tcW w:type="dxa" w:w="14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266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15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9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32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r>
        <w:trPr>
          <w:cantSplit/>
        </w:trPr>
        <w:tc>
          <w:tcPr>
            <w:tcW w:type="dxa" w:w="10040"/>
            <w:gridSpan w:val="6"/>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Record these risks in the project risk register under the same reference.</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807"/>
        <w:gridCol w:w="1506"/>
        <w:gridCol w:w="1305"/>
        <w:gridCol w:w="1606"/>
        <w:gridCol w:w="1506"/>
        <w:gridCol w:w="1506"/>
        <w:gridCol w:w="804"/>
      </w:tblGrid>
      <w:tr>
        <w:trPr>
          <w:cantSplit/>
          <w:tblHeader/>
        </w:trPr>
        <w:tc>
          <w:tcPr>
            <w:tcW w:type="dxa" w:w="10040"/>
            <w:gridSpan w:val="7"/>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12   COMMUNICATIONS PLAN</w:t>
            </w:r>
          </w:p>
        </w:tc>
      </w:tr>
      <w:tr>
        <w:trPr>
          <w:cantSplit/>
          <w:tblHeader/>
        </w:trPr>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Message</w:t>
            </w:r>
          </w:p>
        </w:tc>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Audience</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Sender</w:t>
            </w:r>
          </w:p>
        </w:tc>
        <w:tc>
          <w:tcPr>
            <w:tcW w:type="dxa" w:w="16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Channel</w:t>
            </w:r>
          </w:p>
        </w:tc>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Timing</w:t>
            </w:r>
          </w:p>
        </w:tc>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Evidence</w:t>
            </w:r>
          </w:p>
        </w:tc>
        <w:tc>
          <w:tcPr>
            <w:tcW w:type="dxa" w:w="8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r>
      <w:tr>
        <w:trPr>
          <w:cantSplit/>
        </w:trPr>
        <w:tc>
          <w:tcPr>
            <w:tcW w:type="dxa" w:w="10040"/>
            <w:gridSpan w:val="7"/>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Messages about why the change is happening come from the sponsor; messages about personal impact come from the person's own manager.</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Why this change is happening</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affected staff, all groups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Primary sponsor</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In person — town hall, then unit-level rounds</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At announcement, then monthly</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Attendance and a follow-up pulse question</w:t>
            </w:r>
          </w:p>
        </w:tc>
        <w:tc>
          <w:tcPr>
            <w:tcW w:type="dxa" w:w="8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What it means for you and your team</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Each group, by manager</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person's own manager</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Team huddle, face to face</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Every two weeks from announcement</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Huddle record; questions logged and answered</w:t>
            </w:r>
          </w:p>
        </w:tc>
        <w:tc>
          <w:tcPr>
            <w:tcW w:type="dxa" w:w="8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What is changing in the work itself</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Nursing, environmental services, supply chain, laboratory</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Change manager with the group's champion</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Workshop, walkthrough of the new space</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Once per group, then on any design change</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Workshop attendance; design decisions logged</w:t>
            </w:r>
          </w:p>
        </w:tc>
        <w:tc>
          <w:tcPr>
            <w:tcW w:type="dxa" w:w="8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Progress against readiness</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coalition and people managers</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Change manager</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Standing item, [insert forum]</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Weekly from [nn] weeks before go-live</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Readiness dashboard issued with the minutes</w:t>
            </w:r>
          </w:p>
        </w:tc>
        <w:tc>
          <w:tcPr>
            <w:tcW w:type="dxa" w:w="8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What happens on the day</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affected staff, patients, families, visitors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Operational readiness lead</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Briefing pack, signage, wayfinding, family letter</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then the week of</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Pack issued; signage installed and checked</w:t>
            </w:r>
          </w:p>
        </w:tc>
        <w:tc>
          <w:tcPr>
            <w:tcW w:type="dxa" w:w="8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What changed because you said so</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affected staff</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Primary sponsor</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Same channel the feedback arrived on</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Within [nn] days of each decision</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Feedback register showing the outcome fed back</w:t>
            </w:r>
          </w:p>
        </w:tc>
        <w:tc>
          <w:tcPr>
            <w:tcW w:type="dxa" w:w="8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8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8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908"/>
        <w:gridCol w:w="1406"/>
        <w:gridCol w:w="1857"/>
        <w:gridCol w:w="1004"/>
        <w:gridCol w:w="1556"/>
        <w:gridCol w:w="1456"/>
        <w:gridCol w:w="853"/>
      </w:tblGrid>
      <w:tr>
        <w:trPr>
          <w:cantSplit/>
          <w:tblHeader/>
        </w:trPr>
        <w:tc>
          <w:tcPr>
            <w:tcW w:type="dxa" w:w="10040"/>
            <w:gridSpan w:val="7"/>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13   TRAINING PLAN</w:t>
            </w:r>
          </w:p>
        </w:tc>
      </w:tr>
      <w:tr>
        <w:trPr>
          <w:cantSplit/>
          <w:tblHeader/>
        </w:trPr>
        <w:tc>
          <w:tcPr>
            <w:tcW w:type="dxa" w:w="19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Topic</w:t>
            </w:r>
          </w:p>
        </w:tc>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Audience</w:t>
            </w:r>
          </w:p>
        </w:tc>
        <w:tc>
          <w:tcPr>
            <w:tcW w:type="dxa" w:w="185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Method</w:t>
            </w:r>
          </w:p>
        </w:tc>
        <w:tc>
          <w:tcPr>
            <w:tcW w:type="dxa" w:w="10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Duration</w:t>
            </w:r>
          </w:p>
        </w:tc>
        <w:tc>
          <w:tcPr>
            <w:tcW w:type="dxa" w:w="155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Timing</w:t>
            </w:r>
          </w:p>
        </w:tc>
        <w:tc>
          <w:tcPr>
            <w:tcW w:type="dxa" w:w="145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Competency evidence</w:t>
            </w:r>
          </w:p>
        </w:tc>
        <w:tc>
          <w:tcPr>
            <w:tcW w:type="dxa" w:w="85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r>
      <w:tr>
        <w:trPr>
          <w:cantSplit/>
        </w:trPr>
        <w:tc>
          <w:tcPr>
            <w:tcW w:type="dxa" w:w="10040"/>
            <w:gridSpan w:val="7"/>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State what is evidenced, not what is delivered.</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Wayfinding and orientation to the new floor plan</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affected staff, 330</w:t>
            </w:r>
          </w:p>
        </w:tc>
        <w:tc>
          <w:tcPr>
            <w:tcW w:type="dxa" w:w="185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Guided walkthrough of the completed floor</w:t>
            </w:r>
          </w:p>
        </w:tc>
        <w:tc>
          <w:tcPr>
            <w:tcW w:type="dxa" w:w="10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Attendance</w:t>
            </w:r>
          </w:p>
        </w:tc>
        <w:tc>
          <w:tcPr>
            <w:tcW w:type="dxa" w:w="85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New care model — pod assignment and escalation</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Nursing, 128</w:t>
            </w:r>
          </w:p>
        </w:tc>
        <w:tc>
          <w:tcPr>
            <w:tcW w:type="dxa" w:w="185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Simulation on the unit, in teams, with the actual equipment</w:t>
            </w:r>
          </w:p>
        </w:tc>
        <w:tc>
          <w:tcPr>
            <w:tcW w:type="dxa" w:w="10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Observed competency sign-off</w:t>
            </w:r>
          </w:p>
        </w:tc>
        <w:tc>
          <w:tcPr>
            <w:tcW w:type="dxa" w:w="85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Bed board, real-time locating system and nurse call handsets</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Nursing, patient access, 154</w:t>
            </w:r>
          </w:p>
        </w:tc>
        <w:tc>
          <w:tcPr>
            <w:tcW w:type="dxa" w:w="185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Hands-on in the live environment</w:t>
            </w:r>
          </w:p>
        </w:tc>
        <w:tc>
          <w:tcPr>
            <w:tcW w:type="dxa" w:w="10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Assessed task completion</w:t>
            </w:r>
          </w:p>
        </w:tc>
        <w:tc>
          <w:tcPr>
            <w:tcW w:type="dxa" w:w="85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Par-level restocking and scanning</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Supply chain and nursing, 140</w:t>
            </w:r>
          </w:p>
        </w:tc>
        <w:tc>
          <w:tcPr>
            <w:tcW w:type="dxa" w:w="185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Hands-on with the scanner and the in-room stores</w:t>
            </w:r>
          </w:p>
        </w:tc>
        <w:tc>
          <w:tcPr>
            <w:tcW w:type="dxa" w:w="10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Assessed task completion</w:t>
            </w:r>
          </w:p>
        </w:tc>
        <w:tc>
          <w:tcPr>
            <w:tcW w:type="dxa" w:w="85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Room turnaround standard</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Environmental services, 34</w:t>
            </w:r>
          </w:p>
        </w:tc>
        <w:tc>
          <w:tcPr>
            <w:tcW w:type="dxa" w:w="185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Practice against the standard, timed</w:t>
            </w:r>
          </w:p>
        </w:tc>
        <w:tc>
          <w:tcPr>
            <w:tcW w:type="dxa" w:w="10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Timed observation to standard</w:t>
            </w:r>
          </w:p>
        </w:tc>
        <w:tc>
          <w:tcPr>
            <w:tcW w:type="dxa" w:w="85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Specimen transport on the new tube addressing</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Laboratory and nursing, 150</w:t>
            </w:r>
          </w:p>
        </w:tc>
        <w:tc>
          <w:tcPr>
            <w:tcW w:type="dxa" w:w="185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Job aid plus supervised first use</w:t>
            </w:r>
          </w:p>
        </w:tc>
        <w:tc>
          <w:tcPr>
            <w:tcW w:type="dxa" w:w="10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mins</w:t>
            </w:r>
          </w:p>
        </w:tc>
        <w:tc>
          <w:tcPr>
            <w:tcW w:type="dxa" w:w="15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weeks before go-live</w:t>
            </w:r>
          </w:p>
        </w:tc>
        <w:tc>
          <w:tcPr>
            <w:tcW w:type="dxa" w:w="14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First-use observation</w:t>
            </w:r>
          </w:p>
        </w:tc>
        <w:tc>
          <w:tcPr>
            <w:tcW w:type="dxa" w:w="85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Emergency codes, evacuation and fire response in the new building</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staff on the floor</w:t>
            </w:r>
          </w:p>
        </w:tc>
        <w:tc>
          <w:tcPr>
            <w:tcW w:type="dxa" w:w="185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Drill in the actual space, every shift</w:t>
            </w:r>
          </w:p>
        </w:tc>
        <w:tc>
          <w:tcPr>
            <w:tcW w:type="dxa" w:w="10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 hrs</w:t>
            </w:r>
          </w:p>
        </w:tc>
        <w:tc>
          <w:tcPr>
            <w:tcW w:type="dxa" w:w="15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Before occupancy — non-negotiable</w:t>
            </w:r>
          </w:p>
        </w:tc>
        <w:tc>
          <w:tcPr>
            <w:tcW w:type="dxa" w:w="145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Drill record, per shift</w:t>
            </w:r>
          </w:p>
        </w:tc>
        <w:tc>
          <w:tcPr>
            <w:tcW w:type="dxa" w:w="85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r>
      <w:tr>
        <w:trPr>
          <w:cantSplit/>
        </w:trPr>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85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0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5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5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85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r>
        <w:trPr>
          <w:cantSplit/>
        </w:trPr>
        <w:tc>
          <w:tcPr>
            <w:tcW w:type="dxa" w:w="10040"/>
            <w:gridSpan w:val="7"/>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Schedule assessment to a trigger, not to a date — see CR-01.</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205"/>
        <w:gridCol w:w="2460"/>
        <w:gridCol w:w="3363"/>
        <w:gridCol w:w="1707"/>
        <w:gridCol w:w="1305"/>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14   RESISTANCE MANAGEMENT PLAN</w:t>
            </w:r>
          </w:p>
        </w:tc>
      </w:tr>
      <w:tr>
        <w:trPr>
          <w:cantSplit/>
          <w:tblHeader/>
        </w:trPr>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Group</w:t>
            </w:r>
          </w:p>
        </w:tc>
        <w:tc>
          <w:tcPr>
            <w:tcW w:type="dxa" w:w="246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Anticipated source</w:t>
            </w:r>
          </w:p>
        </w:tc>
        <w:tc>
          <w:tcPr>
            <w:tcW w:type="dxa" w:w="336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Response</w:t>
            </w:r>
          </w:p>
        </w:tc>
        <w:tc>
          <w:tcPr>
            <w:tcW w:type="dxa" w:w="17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Timing</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Address each source at its own cause.</w:t>
            </w:r>
          </w:p>
        </w:tc>
      </w:tr>
      <w:tr>
        <w:trPr>
          <w:cantSplit/>
        </w:trPr>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Employees</w:t>
            </w:r>
          </w:p>
        </w:tc>
        <w:tc>
          <w:tcPr>
            <w:tcW w:type="dxa" w:w="246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Lack of awareness of why the change is being made</w:t>
            </w:r>
          </w:p>
        </w:tc>
        <w:tc>
          <w:tcPr>
            <w:tcW w:type="dxa" w:w="336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 delivers the business case in person before any operational detail is issued</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Charge nurses first — see CR-03</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Employees</w:t>
            </w:r>
          </w:p>
        </w:tc>
        <w:tc>
          <w:tcPr>
            <w:tcW w:type="dxa" w:w="246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Fear of the unknown, or of not being able to do the new job</w:t>
            </w:r>
          </w:p>
        </w:tc>
        <w:tc>
          <w:tcPr>
            <w:tcW w:type="dxa" w:w="336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Show the space early and often; practice in the real environment; make it safe to be a beginner</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Walkthroughs open from [insert date]</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Employees</w:t>
            </w:r>
          </w:p>
        </w:tc>
        <w:tc>
          <w:tcPr>
            <w:tcW w:type="dxa" w:w="246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Loss of something real — status, proximity to colleagues, a familiar routine</w:t>
            </w:r>
          </w:p>
        </w:tc>
        <w:tc>
          <w:tcPr>
            <w:tcW w:type="dxa" w:w="336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 the loss out loud rather than selling only the benefit. A decentralized pod does remove the shared station, and staff know it</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what is genuinely lost]</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Employees</w:t>
            </w:r>
          </w:p>
        </w:tc>
        <w:tc>
          <w:tcPr>
            <w:tcW w:type="dxa" w:w="246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 saturation — too much at once</w:t>
            </w:r>
          </w:p>
        </w:tc>
        <w:tc>
          <w:tcPr>
            <w:tcW w:type="dxa" w:w="336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Check the capacity assessment at section 10 and sequence or defer something else</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[List the competing initiatives]</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People managers</w:t>
            </w:r>
          </w:p>
        </w:tc>
        <w:tc>
          <w:tcPr>
            <w:tcW w:type="dxa" w:w="246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Lack of awareness, or disagreement with the change itself</w:t>
            </w:r>
          </w:p>
        </w:tc>
        <w:tc>
          <w:tcPr>
            <w:tcW w:type="dxa" w:w="336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Brief managers before their teams, and give them a route to disagree privately before they are asked to advocate publicly</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Manager briefing [nn] days ahead of each staff message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People managers</w:t>
            </w:r>
          </w:p>
        </w:tc>
        <w:tc>
          <w:tcPr>
            <w:tcW w:type="dxa" w:w="246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Loss of control, or of their own role in the new structure</w:t>
            </w:r>
          </w:p>
        </w:tc>
        <w:tc>
          <w:tcPr>
            <w:tcW w:type="dxa" w:w="336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Address the manager's own barrier point at section 6 before asking them to run anyone else's</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246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336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309"/>
        <w:gridCol w:w="1506"/>
        <w:gridCol w:w="3514"/>
        <w:gridCol w:w="1406"/>
        <w:gridCol w:w="1305"/>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15   STAFF SUPPORT PLAN</w:t>
            </w:r>
          </w:p>
        </w:tc>
      </w:tr>
      <w:tr>
        <w:trPr>
          <w:cantSplit/>
          <w:tblHeader/>
        </w:trPr>
        <w:tc>
          <w:tcPr>
            <w:tcW w:type="dxa" w:w="23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Support</w:t>
            </w:r>
          </w:p>
        </w:tc>
        <w:tc>
          <w:tcPr>
            <w:tcW w:type="dxa" w:w="15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Recipients</w:t>
            </w:r>
          </w:p>
        </w:tc>
        <w:tc>
          <w:tcPr>
            <w:tcW w:type="dxa" w:w="351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Description</w:t>
            </w:r>
          </w:p>
        </w:tc>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Period</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At-the-elbow support on the unit for the first [nn] days</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All affected staff, all shifts</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Super-users and educators scheduled alongside, not instead of, normal staffing</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Day 1 to day [nn]</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Daily huddle to surface what is not working</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Each unit, each shift</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Ten minutes, standing, with an action owner named before it ends</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Day 1 to day [nn]</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A single route to report a problem with the new environment</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All staff</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One channel, published, answered within [nn] hours, with the answer visible to everyone</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From go-live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Employee assistance and psychological support</w:t>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All affected staff</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provider and access route]. A physical move and a role change are recognized stressors; say so rather than leaving people to assume otherwise.</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Ongoing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Support for staff who are not coping with the change</w:t>
            </w:r>
          </w:p>
        </w:tc>
        <w:tc>
          <w:tcPr>
            <w:tcW w:type="dxa" w:w="15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Individual</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Confidential route via the manager or HR, with reassignment considered without penalty</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Ongoing</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15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807"/>
        <w:gridCol w:w="2711"/>
        <w:gridCol w:w="2309"/>
        <w:gridCol w:w="1908"/>
        <w:gridCol w:w="1305"/>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16   HR AND EMPLOYEE RELATIONS PLAN</w:t>
            </w:r>
          </w:p>
        </w:tc>
      </w:tr>
      <w:tr>
        <w:trPr>
          <w:cantSplit/>
          <w:tblHeader/>
        </w:trPr>
        <w:tc>
          <w:tcPr>
            <w:tcW w:type="dxa" w:w="18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Area affected</w:t>
            </w:r>
          </w:p>
        </w:tc>
        <w:tc>
          <w:tcPr>
            <w:tcW w:type="dxa" w:w="271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Detail</w:t>
            </w:r>
          </w:p>
        </w:tc>
        <w:tc>
          <w:tcPr>
            <w:tcW w:type="dxa" w:w="23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Obligation triggered</w:t>
            </w:r>
          </w:p>
        </w:tc>
        <w:tc>
          <w:tcPr>
            <w:tcW w:type="dxa" w:w="19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Process and timing</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Obligations vary by jurisdiction, employer and agreement. Confirm yours before relying on this section.</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Roles redesigned</w:t>
            </w:r>
          </w:p>
        </w:tc>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Unit clerk role redesigned; care team coordinator and supply technician are new positions</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consultation obligation and its trigger date]</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job evaluation / grading step]</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Positions affected</w:t>
            </w:r>
          </w:p>
        </w:tc>
        <w:tc>
          <w:tcPr>
            <w:tcW w:type="dxa" w:w="271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positions changed, created or made redundant, with headcount]</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obligation]</w:t>
            </w:r>
          </w:p>
        </w:tc>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process and its timing]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Bargaining obligations</w:t>
            </w:r>
          </w:p>
        </w:tc>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units and the agreement clause that applies]</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Engage representatives before the design is final — see section 6</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Terms and conditions</w:t>
            </w:r>
          </w:p>
        </w:tc>
        <w:tc>
          <w:tcPr>
            <w:tcW w:type="dxa" w:w="271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any change to hours, shift pattern, location, premium or differential]</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obligation]</w:t>
            </w:r>
          </w:p>
        </w:tc>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Recruitment</w:t>
            </w:r>
          </w:p>
        </w:tc>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Two new positions per floor</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Recruit to [nn] weeks before go-live</w:t>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Redeployment or exit</w:t>
            </w:r>
          </w:p>
        </w:tc>
        <w:tc>
          <w:tcPr>
            <w:tcW w:type="dxa" w:w="271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if applicable]</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9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18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
            </w:r>
          </w:p>
        </w:tc>
        <w:tc>
          <w:tcPr>
            <w:tcW w:type="dxa" w:w="271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9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402"/>
        <w:gridCol w:w="4217"/>
        <w:gridCol w:w="1707"/>
        <w:gridCol w:w="1707"/>
        <w:gridCol w:w="1406"/>
        <w:gridCol w:w="601"/>
      </w:tblGrid>
      <w:tr>
        <w:trPr>
          <w:cantSplit/>
          <w:tblHeader/>
        </w:trPr>
        <w:tc>
          <w:tcPr>
            <w:tcW w:type="dxa" w:w="10040"/>
            <w:gridSpan w:val="6"/>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17   OPERATIONAL READINESS CRITERIA</w:t>
            </w:r>
          </w:p>
        </w:tc>
      </w:tr>
      <w:tr>
        <w:trPr>
          <w:cantSplit/>
          <w:tblHeader/>
        </w:trPr>
        <w:tc>
          <w:tcPr>
            <w:tcW w:type="dxa" w:w="402"/>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w:t>
            </w:r>
          </w:p>
        </w:tc>
        <w:tc>
          <w:tcPr>
            <w:tcW w:type="dxa" w:w="421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Criterion</w:t>
            </w:r>
          </w:p>
        </w:tc>
        <w:tc>
          <w:tcPr>
            <w:tcW w:type="dxa" w:w="17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Evidence</w:t>
            </w:r>
          </w:p>
        </w:tc>
        <w:tc>
          <w:tcPr>
            <w:tcW w:type="dxa" w:w="17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Standard</w:t>
            </w:r>
          </w:p>
        </w:tc>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c>
          <w:tcPr>
            <w:tcW w:type="dxa" w:w="601"/>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Met</w:t>
            </w:r>
          </w:p>
        </w:tc>
      </w:tr>
      <w:tr>
        <w:trPr>
          <w:cantSplit/>
        </w:trPr>
        <w:tc>
          <w:tcPr>
            <w:tcW w:type="dxa" w:w="10040"/>
            <w:gridSpan w:val="6"/>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Every criterion is met, or a documented fallback agreed, before occupancy.</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1</w:t>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Every affected member of staff has completed orientation to the new floor</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Learning record</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[nn]%</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2</w:t>
            </w:r>
          </w:p>
        </w:tc>
        <w:tc>
          <w:tcPr>
            <w:tcW w:type="dxa" w:w="42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Competency signed off for every role-critical new workflow</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Competency register</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100% of staff scheduled in week 1</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3</w:t>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Emergency codes, evacuation and fire response drilled in the actual space, every shift</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Drill records</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shifts</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4</w:t>
            </w:r>
          </w:p>
        </w:tc>
        <w:tc>
          <w:tcPr>
            <w:tcW w:type="dxa" w:w="42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New positions filled, or interim coverage agreed in writing with an end date</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HR record</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positions</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5</w:t>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Equipment, supplies and par levels in place and counted</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Supply chain sign-off</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rooms</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6</w:t>
            </w:r>
          </w:p>
        </w:tc>
        <w:tc>
          <w:tcPr>
            <w:tcW w:type="dxa" w:w="42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Systems live, interfaced and tested with real users — not just with IT</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Test record</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All in-scope systems</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7</w:t>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Building systems commissioned and handed over, with the operations and maintenance manuals and warranties</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Commissioning and handover record</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Complete</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8</w:t>
            </w:r>
          </w:p>
        </w:tc>
        <w:tc>
          <w:tcPr>
            <w:tcW w:type="dxa" w:w="42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Day-one support model staffed and published — who to call, for what, for how long</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Support schedule</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Published</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9</w:t>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Fallback position agreed and documented if a criterion is not met</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Signed decision record</w:t>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Agreed</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10</w:t>
            </w:r>
          </w:p>
        </w:tc>
        <w:tc>
          <w:tcPr>
            <w:tcW w:type="dxa" w:w="421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confirms readiness in writing</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Go / no-go record</w:t>
            </w:r>
          </w:p>
        </w:tc>
        <w:tc>
          <w:tcPr>
            <w:tcW w:type="dxa" w:w="17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Signed</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w:t>
            </w:r>
          </w:p>
        </w:tc>
        <w:tc>
          <w:tcPr>
            <w:tcW w:type="dxa" w:w="601"/>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40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
            </w:r>
          </w:p>
        </w:tc>
        <w:tc>
          <w:tcPr>
            <w:tcW w:type="dxa" w:w="421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7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c>
          <w:tcPr>
            <w:tcW w:type="dxa" w:w="601"/>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104"/>
        <w:gridCol w:w="2209"/>
        <w:gridCol w:w="3514"/>
        <w:gridCol w:w="1205"/>
        <w:gridCol w:w="1305"/>
        <w:gridCol w:w="703"/>
      </w:tblGrid>
      <w:tr>
        <w:trPr>
          <w:cantSplit/>
          <w:tblHeader/>
        </w:trPr>
        <w:tc>
          <w:tcPr>
            <w:tcW w:type="dxa" w:w="10040"/>
            <w:gridSpan w:val="6"/>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18   IMPLEMENTATION SCHEDULE</w:t>
            </w:r>
          </w:p>
        </w:tc>
      </w:tr>
      <w:tr>
        <w:trPr>
          <w:cantSplit/>
          <w:tblHeader/>
        </w:trPr>
        <w:tc>
          <w:tcPr>
            <w:tcW w:type="dxa" w:w="110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Phase</w:t>
            </w:r>
          </w:p>
        </w:tc>
        <w:tc>
          <w:tcPr>
            <w:tcW w:type="dxa" w:w="22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Description</w:t>
            </w:r>
          </w:p>
        </w:tc>
        <w:tc>
          <w:tcPr>
            <w:tcW w:type="dxa" w:w="3514"/>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Change activities</w:t>
            </w:r>
          </w:p>
        </w:tc>
        <w:tc>
          <w:tcPr>
            <w:tcW w:type="dxa" w:w="12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Timing</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Owner</w:t>
            </w:r>
          </w:p>
        </w:tc>
        <w:tc>
          <w:tcPr>
            <w:tcW w:type="dxa" w:w="70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6"/>
                <w:szCs w:val="16"/>
              </w:rPr>
              <w:t xml:space="preserve">Done</w:t>
            </w:r>
          </w:p>
        </w:tc>
      </w:tr>
      <w:tr>
        <w:trPr>
          <w:cantSplit/>
        </w:trPr>
        <w:tc>
          <w:tcPr>
            <w:tcW w:type="dxa" w:w="10040"/>
            <w:gridSpan w:val="6"/>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Timings are stated against go-live. Convert them once the occupancy date is confirmed.</w:t>
            </w:r>
          </w:p>
        </w:tc>
      </w:tr>
      <w:tr>
        <w:trPr>
          <w:cantSplit/>
        </w:trPr>
        <w:tc>
          <w:tcPr>
            <w:tcW w:type="dxa" w:w="11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Define</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change is scoped and this plan is written</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Impact assessment · stakeholder register · sponsor coalition recruited · plan approved and resourced</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T-minus [nn] weeks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11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Prepare</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People are told why, and the materials are built</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Sponsor announcement · manager briefings · champions recruited · training built · readiness baseline taken</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T-minus [nn] weeks</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11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Practice</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People use the new way in the real environment before it counts</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Walkthroughs · simulation on the unit · competency assessment · codes and evacuation drills · workarounds found and closed</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T-minus [nn] weeks</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11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Cutover</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change becomes the only way to work</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Go / no-go decision against section 17 · old way withdrawn on a stated date · day-one support live</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Go-live</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110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Stabilize</w:t>
            </w:r>
          </w:p>
        </w:tc>
        <w:tc>
          <w:tcPr>
            <w:tcW w:type="dxa" w:w="22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Problems are found and fixed before people invent workarounds</w:t>
            </w:r>
          </w:p>
        </w:tc>
        <w:tc>
          <w:tcPr>
            <w:tcW w:type="dxa" w:w="3514"/>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At-the-elbow support · daily huddles · adoption and proficiency measures · rapid fixes fed back visibly</w:t>
            </w:r>
          </w:p>
        </w:tc>
        <w:tc>
          <w:tcPr>
            <w:tcW w:type="dxa" w:w="12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Day 1 to day [nn]</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r>
        <w:trPr>
          <w:cantSplit/>
        </w:trPr>
        <w:tc>
          <w:tcPr>
            <w:tcW w:type="dxa" w:w="110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6"/>
                <w:szCs w:val="16"/>
              </w:rPr>
              <w:t xml:space="preserve">Sustain</w:t>
            </w:r>
          </w:p>
        </w:tc>
        <w:tc>
          <w:tcPr>
            <w:tcW w:type="dxa" w:w="22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The change is owned by the business, not by the project</w:t>
            </w:r>
          </w:p>
        </w:tc>
        <w:tc>
          <w:tcPr>
            <w:tcW w:type="dxa" w:w="3514"/>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Handover to a named operational owner · measures continue · reinforcement · lessons recorded and handed on</w:t>
            </w:r>
          </w:p>
        </w:tc>
        <w:tc>
          <w:tcPr>
            <w:tcW w:type="dxa" w:w="12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Day [nn] onward</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[Name]</w:t>
            </w:r>
          </w:p>
        </w:tc>
        <w:tc>
          <w:tcPr>
            <w:tcW w:type="dxa" w:w="70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6"/>
                <w:szCs w:val="16"/>
              </w:rPr>
              <w:t xml:space="preserve">[  ]</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309"/>
        <w:gridCol w:w="4518"/>
        <w:gridCol w:w="1606"/>
        <w:gridCol w:w="1607"/>
      </w:tblGrid>
      <w:tr>
        <w:trPr>
          <w:cantSplit/>
          <w:tblHeader/>
        </w:trPr>
        <w:tc>
          <w:tcPr>
            <w:tcW w:type="dxa" w:w="10040"/>
            <w:gridSpan w:val="4"/>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19   MEASUREMENT AND REPORTING</w:t>
            </w:r>
          </w:p>
        </w:tc>
      </w:tr>
      <w:tr>
        <w:trPr>
          <w:cantSplit/>
          <w:tblHeader/>
        </w:trPr>
        <w:tc>
          <w:tcPr>
            <w:tcW w:type="dxa" w:w="23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Measurement level</w:t>
            </w:r>
          </w:p>
        </w:tc>
        <w:tc>
          <w:tcPr>
            <w:tcW w:type="dxa" w:w="451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Measures</w:t>
            </w:r>
          </w:p>
        </w:tc>
        <w:tc>
          <w:tcPr>
            <w:tcW w:type="dxa" w:w="16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Frequency</w:t>
            </w:r>
          </w:p>
        </w:tc>
        <w:tc>
          <w:tcPr>
            <w:tcW w:type="dxa" w:w="1607"/>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4"/>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Measure the individual, the organization and the change work itself.</w:t>
            </w:r>
          </w:p>
        </w:tc>
      </w:tr>
      <w:tr>
        <w:trPr>
          <w:cantSplit/>
        </w:trPr>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Individual</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ADKAR position by group and by barrier point (section 6); competency sign-offs; training completion; who is stuck and where</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 from [nn] weeks before go-live</w:t>
            </w:r>
          </w:p>
        </w:tc>
        <w:tc>
          <w:tcPr>
            <w:tcW w:type="dxa" w:w="16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 manager</w:t>
            </w:r>
          </w:p>
        </w:tc>
      </w:tr>
      <w:tr>
        <w:trPr>
          <w:cantSplit/>
        </w:trPr>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Organizational</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Speed of adoption — how quickly people move to the new way. Ultimate utilization — how many end up using it. Proficiency — how well they use it once they do.</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 to day [nn], then monthly</w:t>
            </w:r>
          </w:p>
        </w:tc>
        <w:tc>
          <w:tcPr>
            <w:tcW w:type="dxa" w:w="16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 manager</w:t>
            </w:r>
          </w:p>
        </w:tc>
      </w:tr>
      <w:tr>
        <w:trPr>
          <w:cantSplit/>
        </w:trPr>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Change management performance</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Plan completion against schedule; sponsor activity actually delivered against section 7; manager briefings held; feedback answered within the stated time</w:t>
            </w:r>
          </w:p>
        </w:tc>
        <w:tc>
          <w:tcPr>
            <w:tcW w:type="dxa" w:w="16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Monthly</w:t>
            </w:r>
          </w:p>
        </w:tc>
        <w:tc>
          <w:tcPr>
            <w:tcW w:type="dxa" w:w="1607"/>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Change manager</w:t>
            </w:r>
          </w:p>
        </w:tc>
      </w:tr>
      <w:tr>
        <w:trPr>
          <w:cantSplit/>
        </w:trPr>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Benefit realization</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the benefit measures from section 4 and the date each is assessed]</w:t>
            </w:r>
          </w:p>
        </w:tc>
        <w:tc>
          <w:tcPr>
            <w:tcW w:type="dxa" w:w="16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w:t>
            </w:r>
          </w:p>
        </w:tc>
        <w:tc>
          <w:tcPr>
            <w:tcW w:type="dxa" w:w="1607"/>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[Insert owner]</w:t>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3313"/>
        <w:gridCol w:w="2309"/>
        <w:gridCol w:w="1305"/>
        <w:gridCol w:w="1305"/>
        <w:gridCol w:w="1808"/>
      </w:tblGrid>
      <w:tr>
        <w:trPr>
          <w:cantSplit/>
          <w:tblHeader/>
        </w:trPr>
        <w:tc>
          <w:tcPr>
            <w:tcW w:type="dxa" w:w="10040"/>
            <w:gridSpan w:val="5"/>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CHANGE DASHBOARD</w:t>
            </w:r>
          </w:p>
        </w:tc>
      </w:tr>
      <w:tr>
        <w:trPr>
          <w:cantSplit/>
          <w:tblHeader/>
        </w:trPr>
        <w:tc>
          <w:tcPr>
            <w:tcW w:type="dxa" w:w="3313"/>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Indicator</w:t>
            </w:r>
          </w:p>
        </w:tc>
        <w:tc>
          <w:tcPr>
            <w:tcW w:type="dxa" w:w="2309"/>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Target</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Leading or lagging</w:t>
            </w:r>
          </w:p>
        </w:tc>
        <w:tc>
          <w:tcPr>
            <w:tcW w:type="dxa" w:w="1305"/>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Frequency</w:t>
            </w:r>
          </w:p>
        </w:tc>
        <w:tc>
          <w:tcPr>
            <w:tcW w:type="dxa" w:w="180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5"/>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Leading indicators tell you in time to act; lagging ones tell you what happened.</w:t>
            </w:r>
          </w:p>
        </w:tc>
      </w:tr>
      <w:tr>
        <w:trPr>
          <w:cantSplit/>
        </w:trPr>
        <w:tc>
          <w:tcPr>
            <w:tcW w:type="dxa" w:w="33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Training completion rate</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by [date]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Leading</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Competency sign-off rate</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100% of the week-1 schedule</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Leading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Groups at Green on readiness</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All groups by [date]</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Leading</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Sponsor activities delivered vs planned</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Leading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Monthly</w:t>
            </w:r>
          </w:p>
        </w:tc>
        <w:tc>
          <w:tcPr>
            <w:tcW w:type="dxa" w:w="18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Open barrier points not moving for 2 weeks</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Zero</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Leading</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Utilization of the new system vs the workaround</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by day [nn]</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Lagging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Voluntary turnover in affected units</w:t>
            </w:r>
          </w:p>
        </w:tc>
        <w:tc>
          <w:tcPr>
            <w:tcW w:type="dxa" w:w="2309"/>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Baseline + [n] pts or better</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Lagging</w:t>
            </w:r>
          </w:p>
        </w:tc>
        <w:tc>
          <w:tcPr>
            <w:tcW w:type="dxa" w:w="1305"/>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Monthly</w:t>
            </w:r>
          </w:p>
        </w:tc>
        <w:tc>
          <w:tcPr>
            <w:tcW w:type="dxa" w:w="180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3313"/>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Incidents attributable to unfamiliarity, first 30 days</w:t>
            </w:r>
          </w:p>
        </w:tc>
        <w:tc>
          <w:tcPr>
            <w:tcW w:type="dxa" w:w="2309"/>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[nn] or fewer</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Lagging</w:t>
            </w:r>
          </w:p>
        </w:tc>
        <w:tc>
          <w:tcPr>
            <w:tcW w:type="dxa" w:w="1305"/>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Weekly</w:t>
            </w:r>
          </w:p>
        </w:tc>
        <w:tc>
          <w:tcPr>
            <w:tcW w:type="dxa" w:w="180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410"/>
        <w:gridCol w:w="4518"/>
        <w:gridCol w:w="1406"/>
        <w:gridCol w:w="1706"/>
      </w:tblGrid>
      <w:tr>
        <w:trPr>
          <w:cantSplit/>
          <w:tblHeader/>
        </w:trPr>
        <w:tc>
          <w:tcPr>
            <w:tcW w:type="dxa" w:w="10040"/>
            <w:gridSpan w:val="4"/>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20   SUSTAINMENT AND EVALUATION</w:t>
            </w:r>
          </w:p>
        </w:tc>
      </w:tr>
      <w:tr>
        <w:trPr>
          <w:cantSplit/>
          <w:tblHeader/>
        </w:trPr>
        <w:tc>
          <w:tcPr>
            <w:tcW w:type="dxa" w:w="2410"/>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Activity</w:t>
            </w:r>
          </w:p>
        </w:tc>
        <w:tc>
          <w:tcPr>
            <w:tcW w:type="dxa" w:w="4518"/>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Description</w:t>
            </w:r>
          </w:p>
        </w:tc>
        <w:tc>
          <w:tcPr>
            <w:tcW w:type="dxa" w:w="14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Due</w:t>
            </w:r>
          </w:p>
        </w:tc>
        <w:tc>
          <w:tcPr>
            <w:tcW w:type="dxa" w:w="1706"/>
            <w:tcBorders>
              <w:top w:val="single" w:color="E0E0E0" w:sz="4"/>
              <w:left w:val="single" w:color="E0E0E0" w:sz="4"/>
              <w:bottom w:val="single" w:color="E0E0E0" w:sz="4"/>
              <w:right w:val="single" w:color="E0E0E0" w:sz="4"/>
            </w:tcBorders>
            <w:shd w:fill="DCE9F4"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0D3C61"/>
                <w:sz w:val="17"/>
                <w:szCs w:val="17"/>
              </w:rPr>
              <w:t xml:space="preserve">Owner</w:t>
            </w:r>
          </w:p>
        </w:tc>
      </w:tr>
      <w:tr>
        <w:trPr>
          <w:cantSplit/>
        </w:trPr>
        <w:tc>
          <w:tcPr>
            <w:tcW w:type="dxa" w:w="10040"/>
            <w:gridSpan w:val="4"/>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30"/>
              <w:jc w:val="left"/>
            </w:pPr>
            <w:r>
              <w:rPr>
                <w:rFonts w:ascii="Inter" w:cs="Inter" w:eastAsia="Inter" w:hAnsi="Inter"/>
                <w:b w:val="false"/>
                <w:bCs w:val="false"/>
                <w:i/>
                <w:iCs/>
                <w:caps w:val="false"/>
                <w:color w:val="8E98A2"/>
                <w:sz w:val="17"/>
                <w:szCs w:val="17"/>
              </w:rPr>
              <w:t xml:space="preserve">Reinforcement is lost when the project team demobilizes. Name an operational owner.</w:t>
            </w:r>
          </w:p>
        </w:tc>
      </w:tr>
      <w:tr>
        <w:trPr>
          <w:cantSplit/>
        </w:trPr>
        <w:tc>
          <w:tcPr>
            <w:tcW w:type="dxa" w:w="24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Remove the old way</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old workflow, form or system is withdrawn on a stated date</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17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4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Move it into business as usual</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 new workflow is in the standard operating procedure, the orientation pack for new hires, and the competency framework</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17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4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Name the owner after the project ends</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 named operational owner accepts the change, its measures and its remaining actions. The project team does not sustain anything.</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17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4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Keep measuring for a stated period</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Adoption and proficiency measures continue to [date] and are reported to [insert forum]</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17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410"/>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Reinforce</w:t>
            </w:r>
          </w:p>
        </w:tc>
        <w:tc>
          <w:tcPr>
            <w:tcW w:type="dxa" w:w="451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Recognition for the groups that made it work; correction where the old way persists; both visible</w:t>
            </w:r>
          </w:p>
        </w:tc>
        <w:tc>
          <w:tcPr>
            <w:tcW w:type="dxa" w:w="14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Ongoing to [MM/DD/YY]</w:t>
            </w:r>
          </w:p>
        </w:tc>
        <w:tc>
          <w:tcPr>
            <w:tcW w:type="dxa" w:w="1706"/>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r>
        <w:trPr>
          <w:cantSplit/>
        </w:trPr>
        <w:tc>
          <w:tcPr>
            <w:tcW w:type="dxa" w:w="2410"/>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Close out</w:t>
            </w:r>
          </w:p>
        </w:tc>
        <w:tc>
          <w:tcPr>
            <w:tcW w:type="dxa" w:w="451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Lessons recorded and handed to the next activation; this plan archived at its final revision</w:t>
            </w:r>
          </w:p>
        </w:tc>
        <w:tc>
          <w:tcPr>
            <w:tcW w:type="dxa" w:w="14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[MM/DD/YY]</w:t>
            </w:r>
          </w:p>
        </w:tc>
        <w:tc>
          <w:tcPr>
            <w:tcW w:type="dxa" w:w="1706"/>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[Name]</w:t>
            </w:r>
          </w:p>
        </w:tc>
      </w:tr>
    </w:tbl>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p>
      <w:pPr>
        <w:keepNext w:val="false"/>
        <w:spacing w:after="0" w:before="0" w:line="250"/>
        <w:jc w:val="left"/>
      </w:pPr>
      <w:r>
        <w:rPr>
          <w:rFonts w:ascii="Inter" w:cs="Inter" w:eastAsia="Inter" w:hAnsi="Inter"/>
          <w:b w:val="false"/>
          <w:bCs w:val="false"/>
          <w:i w:val="false"/>
          <w:iCs w:val="false"/>
          <w:caps w:val="false"/>
          <w:color w:val="1D3245"/>
          <w:sz w:val="18"/>
          <w:szCs w:val="18"/>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0040"/>
      </w:tblGrid>
      <w:tr>
        <w:trPr>
          <w:cantSplit/>
        </w:trPr>
        <w:tc>
          <w:tcPr>
            <w:tcW w:type="dxa" w:w="10040"/>
            <w:gridSpan w:val="1"/>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21   APPROVAL</w:t>
            </w:r>
          </w:p>
        </w:tc>
      </w:tr>
    </w:tbl>
    <w:p>
      <w:pPr>
        <w:keepNext w:val="false"/>
        <w:spacing w:after="0" w:before="0" w:line="250"/>
        <w:jc w:val="left"/>
      </w:pPr>
      <w:r>
        <w:rPr>
          <w:rFonts w:ascii="Inter" w:cs="Inter" w:eastAsia="Inter" w:hAnsi="Inter"/>
          <w:b w:val="false"/>
          <w:bCs w:val="false"/>
          <w:i w:val="false"/>
          <w:iCs w:val="false"/>
          <w:caps w:val="false"/>
          <w:color w:val="1D3245"/>
          <w:sz w:val="8"/>
          <w:szCs w:val="8"/>
        </w:rPr>
        <w:t xml:space="preserve"/>
      </w:r>
    </w:p>
    <w:p>
      <w:pPr>
        <w:keepNext w:val="false"/>
        <w:spacing w:after="160" w:before="0" w:line="250"/>
        <w:jc w:val="left"/>
      </w:pPr>
      <w:r>
        <w:rPr>
          <w:rFonts w:ascii="Inter" w:cs="Inter" w:eastAsia="Inter" w:hAnsi="Inter"/>
          <w:b w:val="false"/>
          <w:bCs w:val="false"/>
          <w:i w:val="false"/>
          <w:iCs w:val="false"/>
          <w:caps w:val="false"/>
          <w:color w:val="1D3245"/>
          <w:sz w:val="19"/>
          <w:szCs w:val="19"/>
        </w:rPr>
        <w:t xml:space="preserve">This plan is approved for issue. Approval commits the resources it requires, not only the document.</w:t>
      </w:r>
    </w:p>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479"/>
        <w:gridCol w:w="2911"/>
        <w:gridCol w:w="240"/>
        <w:gridCol w:w="2029"/>
        <w:gridCol w:w="2381"/>
      </w:tblGrid>
      <w:tr>
        <w:trPr>
          <w:cantSplit/>
        </w:trPr>
        <w:tc>
          <w:tcPr>
            <w:tcW w:type="dxa" w:w="247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Primary sponsor</w:t>
            </w:r>
          </w:p>
        </w:tc>
        <w:tc>
          <w:tcPr>
            <w:tcW w:type="dxa" w:w="291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40"/>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02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Date</w:t>
            </w:r>
          </w:p>
        </w:tc>
        <w:tc>
          <w:tcPr>
            <w:tcW w:type="dxa" w:w="238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479"/>
        <w:gridCol w:w="2911"/>
        <w:gridCol w:w="240"/>
        <w:gridCol w:w="2029"/>
        <w:gridCol w:w="2381"/>
      </w:tblGrid>
      <w:tr>
        <w:trPr>
          <w:cantSplit/>
        </w:trPr>
        <w:tc>
          <w:tcPr>
            <w:tcW w:type="dxa" w:w="247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Change manager</w:t>
            </w:r>
          </w:p>
        </w:tc>
        <w:tc>
          <w:tcPr>
            <w:tcW w:type="dxa" w:w="291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40"/>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02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Date</w:t>
            </w:r>
          </w:p>
        </w:tc>
        <w:tc>
          <w:tcPr>
            <w:tcW w:type="dxa" w:w="238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479"/>
        <w:gridCol w:w="2911"/>
        <w:gridCol w:w="240"/>
        <w:gridCol w:w="2029"/>
        <w:gridCol w:w="2381"/>
      </w:tblGrid>
      <w:tr>
        <w:trPr>
          <w:cantSplit/>
        </w:trPr>
        <w:tc>
          <w:tcPr>
            <w:tcW w:type="dxa" w:w="247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Project manager</w:t>
            </w:r>
          </w:p>
        </w:tc>
        <w:tc>
          <w:tcPr>
            <w:tcW w:type="dxa" w:w="291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40"/>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02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Date</w:t>
            </w:r>
          </w:p>
        </w:tc>
        <w:tc>
          <w:tcPr>
            <w:tcW w:type="dxa" w:w="238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2479"/>
        <w:gridCol w:w="2911"/>
        <w:gridCol w:w="240"/>
        <w:gridCol w:w="2029"/>
        <w:gridCol w:w="2381"/>
      </w:tblGrid>
      <w:tr>
        <w:trPr>
          <w:cantSplit/>
        </w:trPr>
        <w:tc>
          <w:tcPr>
            <w:tcW w:type="dxa" w:w="247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Print name and title</w:t>
            </w:r>
          </w:p>
        </w:tc>
        <w:tc>
          <w:tcPr>
            <w:tcW w:type="dxa" w:w="291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40"/>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c>
          <w:tcPr>
            <w:tcW w:type="dxa" w:w="2029"/>
            <w:tcBorders>
              <w:top w:val="none" w:color="auto" w:sz="0"/>
              <w:left w:val="none" w:color="auto" w:sz="0"/>
              <w:bottom w:val="none" w:color="auto" w:sz="0"/>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8E98A2"/>
                <w:sz w:val="17"/>
                <w:szCs w:val="17"/>
              </w:rPr>
              <w:t xml:space="preserve">Plan version</w:t>
            </w:r>
          </w:p>
        </w:tc>
        <w:tc>
          <w:tcPr>
            <w:tcW w:type="dxa" w:w="2381"/>
            <w:tcBorders>
              <w:top w:val="none" w:color="auto" w:sz="0"/>
              <w:left w:val="none" w:color="auto" w:sz="0"/>
              <w:bottom w:val="single" w:color="BDBDBD" w:sz="6"/>
              <w:right w:val="none" w:color="auto" w:sz="0"/>
            </w:tcBorders>
            <w:tcMar>
              <w:top w:type="dxa" w:w="34"/>
              <w:left w:type="dxa" w:w="92"/>
              <w:bottom w:type="dxa" w:w="34"/>
              <w:right w:type="dxa" w:w="92"/>
            </w:tcMar>
          </w:tcPr>
          <w:p>
            <w:pPr>
              <w:keepNext w:val="false"/>
              <w:spacing w:after="0" w:before="0" w:line="250"/>
              <w:jc w:val="left"/>
            </w:pPr>
            <w:r>
              <w:rPr>
                <w:rFonts w:ascii="Inter" w:cs="Inter" w:eastAsia="Inter" w:hAnsi="Inter"/>
                <w:b w:val="false"/>
                <w:bCs w:val="false"/>
                <w:i w:val="false"/>
                <w:iCs w:val="false"/>
                <w:caps w:val="false"/>
                <w:color w:val="1D3245"/>
                <w:sz w:val="24"/>
                <w:szCs w:val="24"/>
              </w:rPr>
              <w:t xml:space="preserve"/>
            </w:r>
          </w:p>
        </w:tc>
      </w:tr>
    </w:tbl>
    <w:p>
      <w:pPr>
        <w:keepNext w:val="false"/>
        <w:spacing w:after="0" w:before="0" w:line="250"/>
        <w:jc w:val="left"/>
      </w:pPr>
      <w:r>
        <w:rPr>
          <w:rFonts w:ascii="Inter" w:cs="Inter" w:eastAsia="Inter" w:hAnsi="Inter"/>
          <w:b w:val="false"/>
          <w:bCs w:val="false"/>
          <w:i w:val="false"/>
          <w:iCs w:val="false"/>
          <w:caps w:val="false"/>
          <w:color w:val="1D3245"/>
          <w:sz w:val="18"/>
          <w:szCs w:val="18"/>
        </w:rPr>
        <w:t xml:space="preserve"/>
      </w:r>
    </w:p>
    <w:p>
      <w:pPr>
        <w:keepNext w:val="false"/>
        <w:spacing w:after="0" w:before="0" w:line="250"/>
        <w:jc w:val="left"/>
      </w:pPr>
      <w:r>
        <w:rPr>
          <w:rFonts w:ascii="Inter" w:cs="Inter" w:eastAsia="Inter" w:hAnsi="Inter"/>
          <w:b w:val="false"/>
          <w:bCs w:val="false"/>
          <w:i w:val="false"/>
          <w:iCs w:val="false"/>
          <w:caps w:val="false"/>
          <w:color w:val="1D3245"/>
          <w:sz w:val="14"/>
          <w:szCs w:val="14"/>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3012"/>
        <w:gridCol w:w="7028"/>
      </w:tblGrid>
      <w:tr>
        <w:trPr>
          <w:cantSplit/>
          <w:tblHeader/>
        </w:trPr>
        <w:tc>
          <w:tcPr>
            <w:tcW w:type="dxa" w:w="10040"/>
            <w:gridSpan w:val="2"/>
            <w:tcBorders>
              <w:top w:val="none" w:color="auto" w:sz="0"/>
              <w:left w:val="none" w:color="auto" w:sz="0"/>
              <w:bottom w:val="none" w:color="auto" w:sz="0"/>
              <w:right w:val="none" w:color="auto" w:sz="0"/>
            </w:tcBorders>
            <w:shd w:fill="0D3C61" w:color="auto" w:val="clear"/>
            <w:tcMar>
              <w:top w:type="dxa" w:w="34"/>
              <w:left w:type="dxa" w:w="92"/>
              <w:bottom w:type="dxa" w:w="34"/>
              <w:right w:type="dxa" w:w="92"/>
            </w:tcMar>
          </w:tcPr>
          <w:p>
            <w:pPr>
              <w:keepNext w:val="false"/>
              <w:spacing w:after="0" w:before="0" w:line="250"/>
              <w:jc w:val="left"/>
            </w:pPr>
            <w:r>
              <w:rPr>
                <w:rFonts w:ascii="Inter" w:cs="Inter" w:eastAsia="Inter" w:hAnsi="Inter"/>
                <w:b/>
                <w:bCs/>
                <w:i w:val="false"/>
                <w:iCs w:val="false"/>
                <w:caps w:val="false"/>
                <w:color w:val="FFFFFF"/>
                <w:sz w:val="22"/>
                <w:szCs w:val="22"/>
              </w:rPr>
              <w:t xml:space="preserve">22   NOTES AND REFERENCES</w:t>
            </w:r>
          </w:p>
        </w:tc>
      </w:tr>
      <w:tr>
        <w:trPr>
          <w:cantSplit/>
        </w:trPr>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Scope of this plan</w:t>
            </w:r>
          </w:p>
        </w:tc>
        <w:tc>
          <w:tcPr>
            <w:tcW w:type="dxa" w:w="702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For changes to project scope, cost or schedule, use your change order process — see section 2. This plan covers people adopting a new way of working.</w:t>
            </w:r>
          </w:p>
        </w:tc>
      </w:tr>
      <w:tr>
        <w:trPr>
          <w:cantSplit/>
        </w:trPr>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Example content</w:t>
            </w:r>
          </w:p>
        </w:tc>
        <w:tc>
          <w:tcPr>
            <w:tcW w:type="dxa" w:w="702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All content shown in gray italic relates to a fictional facility activation and must be replaced. The structure is the template; the example shows the level of detail each row requires.</w:t>
            </w:r>
          </w:p>
        </w:tc>
      </w:tr>
      <w:tr>
        <w:trPr>
          <w:cantSplit/>
        </w:trPr>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Scaling the plan</w:t>
            </w:r>
          </w:p>
        </w:tc>
        <w:tc>
          <w:tcPr>
            <w:tcW w:type="dxa" w:w="702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Section 3 sets the scope of effort. A full plan set is not appropriate for every change.</w:t>
            </w:r>
          </w:p>
        </w:tc>
      </w:tr>
      <w:tr>
        <w:trPr>
          <w:cantSplit/>
        </w:trPr>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Sponsorship</w:t>
            </w:r>
          </w:p>
        </w:tc>
        <w:tc>
          <w:tcPr>
            <w:tcW w:type="dxa" w:w="702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Active and visible sponsorship has been the top contributor to change success in every Prosci benchmarking study since 1998. Projects with extremely effective sponsors met objectives 79% of the time, against 27% with extremely ineffective sponsors.</w:t>
            </w:r>
          </w:p>
        </w:tc>
      </w:tr>
      <w:tr>
        <w:trPr>
          <w:cantSplit/>
        </w:trPr>
        <w:tc>
          <w:tcPr>
            <w:tcW w:type="dxa" w:w="3012"/>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Terminology</w:t>
            </w:r>
          </w:p>
        </w:tc>
        <w:tc>
          <w:tcPr>
            <w:tcW w:type="dxa" w:w="7028"/>
            <w:tcBorders>
              <w:top w:val="single" w:color="E0E0E0" w:sz="4"/>
              <w:left w:val="single" w:color="E0E0E0" w:sz="4"/>
              <w:bottom w:val="single" w:color="E0E0E0" w:sz="4"/>
              <w:right w:val="single" w:color="E0E0E0" w:sz="4"/>
            </w:tcBorders>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There is no authoritative "five C's" or "seven C's" of change management. Neither phrase has an originating researcher, professional body or standard behind it, and published lists disagree with one another. Use a mnemonic if it helps; do not cite it as a standard.</w:t>
            </w:r>
          </w:p>
        </w:tc>
      </w:tr>
      <w:tr>
        <w:trPr>
          <w:cantSplit/>
        </w:trPr>
        <w:tc>
          <w:tcPr>
            <w:tcW w:type="dxa" w:w="3012"/>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bCs/>
                <w:i w:val="false"/>
                <w:iCs w:val="false"/>
                <w:caps w:val="false"/>
                <w:color w:val="0D3C61"/>
                <w:sz w:val="17"/>
                <w:szCs w:val="17"/>
              </w:rPr>
              <w:t xml:space="preserve">Sources</w:t>
            </w:r>
          </w:p>
        </w:tc>
        <w:tc>
          <w:tcPr>
            <w:tcW w:type="dxa" w:w="7028"/>
            <w:tcBorders>
              <w:top w:val="single" w:color="E0E0E0" w:sz="4"/>
              <w:left w:val="single" w:color="E0E0E0" w:sz="4"/>
              <w:bottom w:val="single" w:color="E0E0E0" w:sz="4"/>
              <w:right w:val="single" w:color="E0E0E0" w:sz="4"/>
            </w:tcBorders>
            <w:shd w:fill="F5F5F5" w:color="auto" w:val="clear"/>
            <w:tcMar>
              <w:top w:type="dxa" w:w="34"/>
              <w:left w:type="dxa" w:w="92"/>
              <w:bottom w:type="dxa" w:w="34"/>
              <w:right w:type="dxa" w:w="92"/>
            </w:tcMar>
          </w:tcPr>
          <w:p>
            <w:pPr>
              <w:keepNext w:val="false"/>
              <w:spacing w:after="0" w:before="0" w:line="232"/>
              <w:jc w:val="left"/>
            </w:pPr>
            <w:r>
              <w:rPr>
                <w:rFonts w:ascii="Inter" w:cs="Inter" w:eastAsia="Inter" w:hAnsi="Inter"/>
                <w:b w:val="false"/>
                <w:bCs w:val="false"/>
                <w:i w:val="false"/>
                <w:iCs w:val="false"/>
                <w:caps w:val="false"/>
                <w:color w:val="1D3245"/>
                <w:sz w:val="17"/>
                <w:szCs w:val="17"/>
              </w:rPr>
              <w:t xml:space="preserve">Component plans follow ACMP's Standard for Change Management, 2nd Edition (2025), which is methodology-neutral. The individual model is Prosci's ADKAR. Correlation figures are from Prosci's Best Practices in Change Management, 12th Edition (2023, n = 2,668): 88% of projects with excellent change management met or exceeded objectives, against 13% with poor change management.</w:t>
            </w:r>
          </w:p>
        </w:tc>
      </w:tr>
    </w:tbl>
    <w:p>
      <w:pPr>
        <w:keepNext w:val="false"/>
        <w:spacing w:after="0" w:before="0" w:line="250"/>
        <w:jc w:val="left"/>
      </w:pPr>
      <w:r>
        <w:rPr>
          <w:rFonts w:ascii="Inter" w:cs="Inter" w:eastAsia="Inter" w:hAnsi="Inter"/>
          <w:b w:val="false"/>
          <w:bCs w:val="false"/>
          <w:i w:val="false"/>
          <w:iCs w:val="false"/>
          <w:caps w:val="false"/>
          <w:color w:val="1D3245"/>
          <w:sz w:val="12"/>
          <w:szCs w:val="12"/>
        </w:rPr>
        <w:t xml:space="preserve"/>
      </w:r>
    </w:p>
    <w:tbl>
      <w:tblPr>
        <w:tblW w:type="dxa" w:w="10040"/>
        <w:tblBorders>
          <w:top w:val="single" w:color="auto" w:sz="4"/>
          <w:left w:val="single" w:color="auto" w:sz="4"/>
          <w:bottom w:val="single" w:color="auto" w:sz="4"/>
          <w:right w:val="single" w:color="auto" w:sz="4"/>
          <w:insideH w:val="single" w:color="auto" w:sz="4"/>
          <w:insideV w:val="single" w:color="auto" w:sz="4"/>
        </w:tblBorders>
      </w:tblPr>
      <w:tblGrid>
        <w:gridCol w:w="10040"/>
      </w:tblGrid>
      <w:tr>
        <w:trPr>
          <w:cantSplit/>
        </w:trPr>
        <w:tc>
          <w:tcPr>
            <w:tcW w:type="dxa" w:w="10040"/>
            <w:tcBorders>
              <w:top w:val="single" w:color="FFB547" w:sz="4"/>
              <w:left w:val="single" w:color="FFB547" w:sz="4"/>
              <w:bottom w:val="single" w:color="FFB547" w:sz="4"/>
              <w:right w:val="single" w:color="FFB547" w:sz="4"/>
            </w:tcBorders>
            <w:shd w:fill="FFF4E0" w:color="auto" w:val="clear"/>
            <w:tcMar>
              <w:top w:type="dxa" w:w="34"/>
              <w:left w:type="dxa" w:w="92"/>
              <w:bottom w:type="dxa" w:w="34"/>
              <w:right w:type="dxa" w:w="92"/>
            </w:tcMar>
          </w:tcPr>
          <w:p>
            <w:pPr>
              <w:keepNext w:val="false"/>
              <w:spacing w:after="0" w:before="0" w:line="235"/>
              <w:jc w:val="left"/>
            </w:pPr>
            <w:r>
              <w:rPr>
                <w:rFonts w:ascii="Inter" w:cs="Inter" w:eastAsia="Inter" w:hAnsi="Inter"/>
                <w:b/>
                <w:bCs/>
                <w:i w:val="false"/>
                <w:iCs w:val="false"/>
                <w:caps w:val="false"/>
                <w:color w:val="EC6917"/>
                <w:sz w:val="17"/>
                <w:szCs w:val="17"/>
              </w:rPr>
              <w:t xml:space="preserve">IMPORTANT   This is a template and a worked example, not legal, employment or clinical advice. Consultation, bargaining and notification obligations vary by jurisdiction, by employer and by agreement — confirm yours with your own HR and legal advisors before relying on section 16. All content shown in gray italic relates to the fictional Kelvyn Ridge Regional Medical Center Tower 2 activation and must be replaced.</w:t>
            </w:r>
          </w:p>
        </w:tc>
      </w:tr>
    </w:tbl>
    <w:p>
      <w:pPr>
        <w:keepNext w:val="false"/>
        <w:spacing w:after="0" w:before="0" w:line="250"/>
        <w:jc w:val="left"/>
      </w:pPr>
      <w:r>
        <w:rPr>
          <w:rFonts w:ascii="Inter" w:cs="Inter" w:eastAsia="Inter" w:hAnsi="Inter"/>
          <w:b w:val="false"/>
          <w:bCs w:val="false"/>
          <w:i w:val="false"/>
          <w:iCs w:val="false"/>
          <w:caps w:val="false"/>
          <w:color w:val="1D3245"/>
          <w:sz w:val="8"/>
          <w:szCs w:val="8"/>
        </w:rPr>
        <w:t xml:space="preserve"/>
      </w:r>
    </w:p>
    <w:p>
      <w:pPr>
        <w:keepNext w:val="false"/>
        <w:spacing w:after="0" w:before="0" w:line="250"/>
        <w:ind w:left="86"/>
        <w:jc w:val="left"/>
      </w:pPr>
      <w:r>
        <w:rPr>
          <w:rFonts w:ascii="Inter" w:cs="Inter" w:eastAsia="Inter" w:hAnsi="Inter"/>
          <w:b w:val="false"/>
          <w:bCs w:val="false"/>
          <w:i w:val="false"/>
          <w:iCs w:val="false"/>
          <w:caps w:val="false"/>
          <w:color w:val="8E98A2"/>
          <w:sz w:val="18"/>
          <w:szCs w:val="18"/>
        </w:rPr>
        <w:t xml:space="preserve">Built for teams delivering capital projects, programs and portfolios</w:t>
      </w:r>
    </w:p>
    <w:sectPr>
      <w:headerReference w:type="default" r:id="rId7"/>
      <w:footerReference w:type="default" r:id="rId8"/>
      <w:pgSz w:w="12240" w:h="15840" w:orient="portrait"/>
      <w:pgMar w:top="1500" w:right="1100" w:bottom="1200" w:left="1100" w:header="560" w:footer="46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E0E0E0" w:sz="6"/>
      </w:pBdr>
      <w:tabs>
        <w:tab w:val="right" w:pos="9026"/>
      </w:tabs>
      <w:spacing w:before="60"/>
    </w:pPr>
    <w:hyperlink w:history="1" r:id="rIdytj-u2wyptack4qlc0nww">
      <w:r>
        <w:rPr>
          <w:rFonts w:ascii="Inter" w:cs="Inter" w:eastAsia="Inter" w:hAnsi="Inter"/>
          <w:color w:val="3480BC"/>
          <w:sz w:val="19"/>
          <w:szCs w:val="19"/>
          <w:u w:val="single"/>
        </w:rPr>
        <w:t xml:space="preserve">Visit mastt.com</w:t>
      </w:r>
    </w:hyperlink>
    <w:r>
      <w:rPr>
        <w:rFonts w:ascii="Inter" w:cs="Inter" w:eastAsia="Inter" w:hAnsi="Inter"/>
        <w:color w:val="8E98A2"/>
        <w:sz w:val="19"/>
        <w:szCs w:val="19"/>
      </w:rPr>
      <w:t xml:space="preserve">	Page </w:t>
    </w:r>
    <w:r>
      <w:rPr>
        <w:rFonts w:ascii="Inter" w:cs="Inter" w:eastAsia="Inter" w:hAnsi="Inter"/>
        <w:color w:val="8E98A2"/>
        <w:sz w:val="19"/>
        <w:szCs w:val="19"/>
      </w:rPr>
      <w:fldChar w:fldCharType="begin"/>
      <w:instrText xml:space="preserve">PAGE</w:instrText>
      <w:fldChar w:fldCharType="separate"/>
      <w:fldChar w:fldCharType="end"/>
    </w:r>
    <w:r>
      <w:rPr>
        <w:rFonts w:ascii="Inter" w:cs="Inter" w:eastAsia="Inter" w:hAnsi="Inter"/>
        <w:color w:val="8E98A2"/>
        <w:sz w:val="19"/>
        <w:szCs w:val="19"/>
      </w:rPr>
      <w:t xml:space="preserve"> of </w:t>
    </w:r>
    <w:r>
      <w:rPr>
        <w:rFonts w:ascii="Inter" w:cs="Inter" w:eastAsia="Inter" w:hAnsi="Inter"/>
        <w:color w:val="8E98A2"/>
        <w:sz w:val="19"/>
        <w:szCs w:val="19"/>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3480BC" w:sz="10"/>
      </w:pBdr>
      <w:tabs>
        <w:tab w:val="right" w:pos="9026"/>
      </w:tabs>
      <w:spacing w:after="120" w:before="40" w:line="520" w:lineRule="atLeast"/>
    </w:pPr>
    <w:hyperlink w:history="1" r:id="rIdbz33rvf6kajbzrvdvvhhh">
      <w:r>
        <w:drawing>
          <wp:inline distT="0" distB="0" distL="0" distR="0">
            <wp:extent cx="990600" cy="295275"/>
            <wp:effectExtent t="0" r="0" b="0" l="0"/>
            <wp:docPr id="1" name="" descr="" title="">
              <a:hlinkClick xmlns:a="http://schemas.openxmlformats.org/drawingml/2006/main" r:id="rIdbz33rvf6kajbzrvdvvhh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descr="">
                      <a:hlinkClick r:id="rIdbz33rvf6kajbzrvdvvhhh"/>
                    </pic:cNvPr>
                    <pic:cNvPicPr>
                      <a:picLocks noChangeAspect="1" noChangeArrowheads="1"/>
                    </pic:cNvPicPr>
                  </pic:nvPicPr>
                  <pic:blipFill>
                    <a:blip r:embed="rId0" cstate="none"/>
                    <a:srcRect/>
                    <a:stretch>
                      <a:fillRect/>
                    </a:stretch>
                  </pic:blipFill>
                  <pic:spPr bwMode="auto">
                    <a:xfrm>
                      <a:off x="0" y="0"/>
                      <a:ext cx="990600" cy="295275"/>
                    </a:xfrm>
                    <a:prstGeom prst="rect">
                      <a:avLst/>
                    </a:prstGeom>
                  </pic:spPr>
                </pic:pic>
              </a:graphicData>
            </a:graphic>
          </wp:inline>
        </w:drawing>
      </w:r>
    </w:hyperlink>
    <w:r>
      <w:rPr>
        <w:rFonts w:ascii="Inter" w:cs="Inter" w:eastAsia="Inter" w:hAnsi="Inter"/>
        <w:b/>
        <w:bCs/>
        <w:color w:val="1D3245"/>
        <w:sz w:val="17"/>
        <w:szCs w:val="17"/>
      </w:rPr>
      <w:t xml:space="preserve">	CHANGE MANAGEMENT PLAN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200"/>
      </w:pPr>
      <w:rPr>
        <w:rFonts w:ascii="Inter" w:cs="Inter" w:eastAsia="Inter" w:hAnsi="Inter"/>
        <w:color w:val="3480BC"/>
      </w:rPr>
    </w:lvl>
    <w:lvl w:ilvl="1" w15:tentative="1">
      <w:start w:val="1"/>
      <w:numFmt w:val="bullet"/>
      <w:lvlText w:val="–"/>
      <w:lvlJc w:val="left"/>
      <w:pPr>
        <w:ind w:left="760" w:hanging="200"/>
      </w:pPr>
      <w:rPr>
        <w:rFonts w:ascii="Inter" w:cs="Inter" w:eastAsia="Inter" w:hAnsi="Inter"/>
        <w:color w:val="8E98A2"/>
      </w:rPr>
    </w:lvl>
  </w:abstractNum>
  <w:abstractNum w:abstractNumId="3" w15:restartNumberingAfterBreak="0">
    <w:multiLevelType w:val="hybridMultilevel"/>
    <w:lvl w:ilvl="0" w15:tentative="1">
      <w:start w:val="1"/>
      <w:numFmt w:val="decimal"/>
      <w:lvlText w:val="%1."/>
      <w:lvlJc w:val="left"/>
      <w:pPr>
        <w:ind w:left="460" w:hanging="340"/>
      </w:pPr>
      <w:rPr>
        <w:rFonts w:ascii="Inter" w:cs="Inter" w:eastAsia="Inter" w:hAnsi="Inter"/>
        <w:b/>
        <w:bCs/>
        <w:color w:val="0D3C61"/>
      </w:r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Inter" w:cs="Inter" w:eastAsia="Inter" w:hAnsi="Inter"/>
        <w:color w:val="1D3245"/>
        <w:sz w:val="20"/>
        <w:szCs w:val="20"/>
      </w:rPr>
    </w:rPrDefault>
    <w:pPrDefault>
      <w:pPr>
        <w:spacing w:after="12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Inter" w:cs="Inter" w:eastAsia="Inter" w:hAnsi="Inter"/>
      <w:b/>
      <w:bCs/>
      <w:color w:val="1D3245"/>
      <w:sz w:val="26"/>
      <w:szCs w:val="26"/>
    </w:rPr>
  </w:style>
  <w:style w:type="paragraph" w:styleId="Heading2">
    <w:name w:val="Heading 2"/>
    <w:basedOn w:val="Normal"/>
    <w:next w:val="Normal"/>
    <w:qFormat/>
    <w:pPr>
      <w:spacing w:after="100" w:before="240"/>
      <w:outlineLvl w:val="1"/>
    </w:pPr>
    <w:rPr>
      <w:rFonts w:ascii="Inter" w:cs="Inter" w:eastAsia="Inter" w:hAnsi="Inter"/>
      <w:b/>
      <w:bCs/>
      <w:color w:val="0D3C61"/>
      <w:sz w:val="22"/>
      <w:szCs w:val="22"/>
    </w:rPr>
  </w:style>
  <w:style w:type="paragraph" w:styleId="Heading3">
    <w:name w:val="Heading 3"/>
    <w:basedOn w:val="Normal"/>
    <w:next w:val="Normal"/>
    <w:qFormat/>
    <w:pPr>
      <w:spacing w:after="80" w:before="200"/>
      <w:outlineLvl w:val="2"/>
    </w:pPr>
    <w:rPr>
      <w:rFonts w:ascii="Inter" w:cs="Inter" w:eastAsia="Inter" w:hAnsi="Inter"/>
      <w:b/>
      <w:bCs/>
      <w:color w:val="215383"/>
      <w:sz w:val="19"/>
      <w:szCs w:val="19"/>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Relationship Id="rIdytj-u2wyptack4qlc0nww" Type="http://schemas.openxmlformats.org/officeDocument/2006/relationships/hyperlink" Target="https://www.mastt.com/" TargetMode="External"/></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bz33rvf6kajbzrvdvvhhh" Type="http://schemas.openxmlformats.org/officeDocument/2006/relationships/hyperlink" Target="https://www.mastt.com/" TargetMode="External"/><Relationship Id="rId0" Type="http://schemas.openxmlformats.org/officeDocument/2006/relationships/image" Target="media/1557be316619c2b10f6199fe144e31650db9fee0.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2026-08-31T05:09:34.406Z</dcterms:created>
  <dcterms:modified xsi:type="dcterms:W3CDTF">2026-08-31T05:09:34.406Z</dcterms:modified>
</cp:coreProperties>
</file>

<file path=docProps/custom.xml><?xml version="1.0" encoding="utf-8"?>
<Properties xmlns="http://schemas.openxmlformats.org/officeDocument/2006/custom-properties" xmlns:vt="http://schemas.openxmlformats.org/officeDocument/2006/docPropsVTypes"/>
</file>