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Client Services Menu (Short)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services outlined below are an illustrative example, not a comprehensive menu, and may be provided directly by staff or through community partnerships.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2680.42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Criminal Legal Support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Mitigation creation for pre and post-sentencing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Meeting criminal case requirements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Reentry 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Health and Benefits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Public Benefits Applications - SNAP, WIC, CHIP, SSI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Health Insurance - Medicaid, Medicate, Marketplace navigation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Life Essentials - clothing, food pantries, hygiene supplies, etc.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Navigate options to secure identification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5.94453124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Housing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Identifying emergency placements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Assess for long-term affordable housing options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Federal/state housing program applications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Negotiate with existing landlords on housing rights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Refer to pro bono counsel for eviction prevention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Employment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Karla" w:cs="Karla" w:eastAsia="Karla" w:hAnsi="Karl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Mock interviewing/resume workshops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Employment applications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Referrals to job readiness, job search, and training programs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Accessing GEDs and education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Navigating background checks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6.58453125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Financial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Understand breadth of court fines and fees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Informal advocacy to reduce debt burden of criminal case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Refer to pro bono counsel for financial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Transportation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Provide public transportation vouchers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Plan transportation options for court dates and other necessary appointments in collaboration with the office or 3rd party options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Navigate DMV requirements to access state licenses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