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Collaborative Service Menu (Post-Conviction)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Public Defender Social Worker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Serves as primary point of contact for client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Conducts initial client intake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Makes internal referrals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Strategizes case plan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Coordinates team meetings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Develops reentry plan </w:t>
            </w:r>
          </w:p>
        </w:tc>
      </w:tr>
      <w:tr>
        <w:trPr>
          <w:cantSplit w:val="0"/>
          <w:trHeight w:val="2680.42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Public Defender Attorney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Jail credit review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Warrant clean up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Traffic court misdemeanors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Stays on court orders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Sentence modifications/CTP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DOC facility transfer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Post-release supervision conditions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Child support contempt orders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Civil Legal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Child support modification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Housing (eviction)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Housing eviction expungement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Guardianship for minor children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Driver’s license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Health Care Navigator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u w:val="single"/>
                <w:rtl w:val="0"/>
              </w:rPr>
              <w:t xml:space="preserve">Services In-Custody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Behavioral health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Primary health care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Medication management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u w:val="single"/>
              </w:rPr>
            </w:pPr>
            <w:r w:rsidDel="00000000" w:rsidR="00000000" w:rsidRPr="00000000">
              <w:rPr>
                <w:rFonts w:ascii="Karla" w:cs="Karla" w:eastAsia="Karla" w:hAnsi="Karla"/>
                <w:u w:val="single"/>
                <w:rtl w:val="0"/>
              </w:rPr>
              <w:t xml:space="preserve">Post-Release Services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Behavioral health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Medicaid/ Health insurance application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Connection to medical providers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Employment Provider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u w:val="single"/>
                <w:rtl w:val="0"/>
              </w:rPr>
              <w:t xml:space="preserve">Services In-Custody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Vocational programs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Job readiness skills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Resume, interviewing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Financial literacy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Computer/digital training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Karla" w:cs="Karla" w:eastAsia="Karla" w:hAnsi="Karla"/>
                <w:u w:val="none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Benefits applications assistance (SSI/SSDI) 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Housing Navigator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Housing insecurity assessments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Housing navigation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Housing plans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Community Navigator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Peer support and coaching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Reentry plan execution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left="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