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8722" w14:textId="07FF05CA" w:rsidR="00982AE6" w:rsidRDefault="00982AE6" w:rsidP="00982AE6">
      <w:pPr>
        <w:pStyle w:val="Heading1"/>
        <w:jc w:val="center"/>
      </w:pPr>
      <w:r w:rsidRPr="00982AE6">
        <w:t xml:space="preserve">QliqSOFT </w:t>
      </w:r>
      <w:r w:rsidR="00CA4C96">
        <w:t>Administrator</w:t>
      </w:r>
      <w:r w:rsidR="00B705A0">
        <w:t xml:space="preserve"> </w:t>
      </w:r>
      <w:r w:rsidRPr="00982AE6">
        <w:t>Permissions</w:t>
      </w:r>
    </w:p>
    <w:p w14:paraId="05E08130" w14:textId="77777777" w:rsidR="00DE1E9D" w:rsidRDefault="00DE1E9D" w:rsidP="00982AE6">
      <w:pPr>
        <w:pStyle w:val="Heading2"/>
      </w:pPr>
    </w:p>
    <w:p w14:paraId="549A71DD" w14:textId="34FA6AD0" w:rsidR="00982AE6" w:rsidRPr="00982AE6" w:rsidRDefault="00982AE6" w:rsidP="00982AE6">
      <w:pPr>
        <w:pStyle w:val="Heading2"/>
      </w:pPr>
      <w:r>
        <w:t>Primary Permissions</w:t>
      </w:r>
    </w:p>
    <w:p w14:paraId="43CFFF97" w14:textId="3BAD48B8" w:rsidR="00982AE6" w:rsidRPr="00982AE6" w:rsidRDefault="00982AE6" w:rsidP="00982AE6">
      <w:r w:rsidRPr="00982AE6">
        <w:t xml:space="preserve">● </w:t>
      </w:r>
      <w:r w:rsidRPr="00982AE6">
        <w:rPr>
          <w:b/>
          <w:bCs/>
        </w:rPr>
        <w:t xml:space="preserve">Group Owner: </w:t>
      </w:r>
      <w:r w:rsidRPr="00982AE6">
        <w:t xml:space="preserve">Complete Access to </w:t>
      </w:r>
      <w:r w:rsidR="00BF3848">
        <w:t>Administrator</w:t>
      </w:r>
      <w:r w:rsidRPr="00982AE6">
        <w:t xml:space="preserve"> Portal. </w:t>
      </w:r>
      <w:r w:rsidR="00BF3848">
        <w:t xml:space="preserve">The </w:t>
      </w:r>
      <w:r w:rsidRPr="00982AE6">
        <w:t xml:space="preserve">Group Owner can add and remove additional administrators and manage the </w:t>
      </w:r>
      <w:r w:rsidR="00BF3848">
        <w:t>administrative</w:t>
      </w:r>
      <w:r w:rsidRPr="00982AE6">
        <w:t xml:space="preserve"> rights. </w:t>
      </w:r>
    </w:p>
    <w:p w14:paraId="1D8D0E56" w14:textId="635D337B" w:rsidR="00982AE6" w:rsidRPr="00982AE6" w:rsidRDefault="00982AE6" w:rsidP="00982AE6">
      <w:r w:rsidRPr="00982AE6">
        <w:t xml:space="preserve">● </w:t>
      </w:r>
      <w:r w:rsidRPr="00982AE6">
        <w:rPr>
          <w:b/>
          <w:bCs/>
        </w:rPr>
        <w:t xml:space="preserve">Point of Contact: </w:t>
      </w:r>
      <w:r w:rsidRPr="00982AE6">
        <w:t>Users will receive communication, such as an Invitation to download the QliqCHAT app and other emails related to Qliq Service</w:t>
      </w:r>
      <w:r w:rsidR="006A0898">
        <w:t>,</w:t>
      </w:r>
      <w:r w:rsidRPr="00982AE6">
        <w:t xml:space="preserve"> from the Admin who has this option turned on </w:t>
      </w:r>
    </w:p>
    <w:p w14:paraId="476BC1D9" w14:textId="77777777" w:rsidR="00982AE6" w:rsidRPr="00982AE6" w:rsidRDefault="00982AE6" w:rsidP="00982AE6">
      <w:r w:rsidRPr="00982AE6">
        <w:t xml:space="preserve">● </w:t>
      </w:r>
      <w:r w:rsidRPr="00982AE6">
        <w:rPr>
          <w:b/>
          <w:bCs/>
        </w:rPr>
        <w:t xml:space="preserve">IT/Server: </w:t>
      </w:r>
      <w:r w:rsidRPr="00982AE6">
        <w:t xml:space="preserve">System will send alerts such as email delivery failures, software updates, server errors, and others. The IT Admin may need to act on these alerts. </w:t>
      </w:r>
    </w:p>
    <w:p w14:paraId="56BBA682" w14:textId="10C8B6D4" w:rsidR="00982AE6" w:rsidRPr="00982AE6" w:rsidRDefault="00982AE6" w:rsidP="00982AE6">
      <w:pPr>
        <w:pStyle w:val="Heading2"/>
      </w:pPr>
      <w:r>
        <w:t>Secondary</w:t>
      </w:r>
      <w:r w:rsidRPr="00982AE6">
        <w:t xml:space="preserve"> permissions </w:t>
      </w:r>
    </w:p>
    <w:p w14:paraId="77EFB45F" w14:textId="77777777" w:rsidR="00982AE6" w:rsidRPr="00982AE6" w:rsidRDefault="00982AE6" w:rsidP="00982AE6">
      <w:r w:rsidRPr="00982AE6">
        <w:t xml:space="preserve">These permissions can be assigned </w:t>
      </w:r>
      <w:r w:rsidRPr="00982AE6">
        <w:rPr>
          <w:b/>
          <w:bCs/>
        </w:rPr>
        <w:t>individually</w:t>
      </w:r>
      <w:r w:rsidRPr="00982AE6">
        <w:t xml:space="preserve">, even if a user is </w:t>
      </w:r>
      <w:r w:rsidRPr="00982AE6">
        <w:rPr>
          <w:i/>
          <w:iCs/>
        </w:rPr>
        <w:t xml:space="preserve">not </w:t>
      </w:r>
      <w:r w:rsidRPr="00982AE6">
        <w:t xml:space="preserve">a Group Owner, Point of Contact, or IT/Server. (Group Owners automatically get all permissions.) </w:t>
      </w:r>
    </w:p>
    <w:p w14:paraId="41E796F9" w14:textId="77777777" w:rsidR="00982AE6" w:rsidRPr="00982AE6" w:rsidRDefault="00982AE6" w:rsidP="00982AE6">
      <w:r w:rsidRPr="00982AE6">
        <w:t xml:space="preserve">● </w:t>
      </w:r>
      <w:r w:rsidRPr="00982AE6">
        <w:rPr>
          <w:b/>
          <w:bCs/>
          <w:highlight w:val="yellow"/>
        </w:rPr>
        <w:t>User Management Access</w:t>
      </w:r>
      <w:r w:rsidRPr="00982AE6">
        <w:rPr>
          <w:b/>
          <w:bCs/>
        </w:rPr>
        <w:t xml:space="preserve">: </w:t>
      </w:r>
      <w:r w:rsidRPr="00982AE6">
        <w:t xml:space="preserve">Access to the “group settings” module that includes users, adding/removing them, subgroups, lock/unlock devices, etc. (users can be added by Active Directory) </w:t>
      </w:r>
    </w:p>
    <w:p w14:paraId="6C97AF0A" w14:textId="77777777" w:rsidR="00982AE6" w:rsidRPr="00982AE6" w:rsidRDefault="00982AE6" w:rsidP="00982AE6">
      <w:r w:rsidRPr="00982AE6">
        <w:t xml:space="preserve">● </w:t>
      </w:r>
      <w:r w:rsidRPr="00982AE6">
        <w:rPr>
          <w:b/>
          <w:bCs/>
          <w:shd w:val="clear" w:color="auto" w:fill="FFFF00"/>
        </w:rPr>
        <w:t>Reports Access(Reports Module)</w:t>
      </w:r>
      <w:r w:rsidRPr="00982AE6">
        <w:rPr>
          <w:b/>
          <w:bCs/>
        </w:rPr>
        <w:t xml:space="preserve">: </w:t>
      </w:r>
      <w:r w:rsidRPr="00982AE6">
        <w:t xml:space="preserve">Gives access to reporting tools for tracking activity and auditing within your organization (visit path, visit tracking, form submissions, QliqCHAT message activity, etc.) </w:t>
      </w:r>
    </w:p>
    <w:p w14:paraId="1222F1A5" w14:textId="77777777" w:rsidR="00982AE6" w:rsidRPr="00982AE6" w:rsidRDefault="00982AE6" w:rsidP="00982AE6">
      <w:r w:rsidRPr="00982AE6">
        <w:t xml:space="preserve">● </w:t>
      </w:r>
      <w:r w:rsidRPr="00982AE6">
        <w:rPr>
          <w:b/>
          <w:bCs/>
          <w:highlight w:val="cyan"/>
        </w:rPr>
        <w:t>Visit Path Oversight</w:t>
      </w:r>
      <w:r w:rsidRPr="00982AE6">
        <w:rPr>
          <w:b/>
          <w:bCs/>
        </w:rPr>
        <w:t xml:space="preserve">: </w:t>
      </w:r>
      <w:r w:rsidRPr="00982AE6">
        <w:t xml:space="preserve">Allows the admin to monitor and manage the Visit Path feature </w:t>
      </w:r>
    </w:p>
    <w:p w14:paraId="619D06B4" w14:textId="77777777" w:rsidR="00982AE6" w:rsidRPr="00982AE6" w:rsidRDefault="00982AE6" w:rsidP="00982AE6">
      <w:r w:rsidRPr="00982AE6">
        <w:t xml:space="preserve">● </w:t>
      </w:r>
      <w:r w:rsidRPr="00982AE6">
        <w:rPr>
          <w:b/>
          <w:bCs/>
          <w:highlight w:val="green"/>
        </w:rPr>
        <w:t>Form Submission Access</w:t>
      </w:r>
      <w:r w:rsidRPr="00982AE6">
        <w:rPr>
          <w:b/>
          <w:bCs/>
        </w:rPr>
        <w:t xml:space="preserve">: </w:t>
      </w:r>
      <w:r w:rsidRPr="00982AE6">
        <w:t xml:space="preserve">Access to all submitted forms </w:t>
      </w:r>
    </w:p>
    <w:p w14:paraId="60171755" w14:textId="77777777" w:rsidR="00982AE6" w:rsidRPr="00982AE6" w:rsidRDefault="00982AE6" w:rsidP="00982AE6">
      <w:r w:rsidRPr="00982AE6">
        <w:t xml:space="preserve">● </w:t>
      </w:r>
      <w:r w:rsidRPr="00982AE6">
        <w:rPr>
          <w:b/>
          <w:bCs/>
          <w:highlight w:val="green"/>
        </w:rPr>
        <w:t>Form Design Access</w:t>
      </w:r>
      <w:r w:rsidRPr="00982AE6">
        <w:rPr>
          <w:b/>
          <w:bCs/>
        </w:rPr>
        <w:t xml:space="preserve">: </w:t>
      </w:r>
      <w:r w:rsidRPr="00982AE6">
        <w:t xml:space="preserve">Allows admins to create and edit digital forms </w:t>
      </w:r>
    </w:p>
    <w:p w14:paraId="70E6FFF4" w14:textId="77777777" w:rsidR="00982AE6" w:rsidRPr="00982AE6" w:rsidRDefault="00982AE6" w:rsidP="00982AE6">
      <w:r w:rsidRPr="00982AE6">
        <w:t xml:space="preserve">● </w:t>
      </w:r>
      <w:r w:rsidRPr="00982AE6">
        <w:rPr>
          <w:b/>
          <w:bCs/>
          <w:highlight w:val="green"/>
        </w:rPr>
        <w:t>Care Campaign Access</w:t>
      </w:r>
      <w:r w:rsidRPr="00982AE6">
        <w:rPr>
          <w:b/>
          <w:bCs/>
        </w:rPr>
        <w:t xml:space="preserve">: </w:t>
      </w:r>
      <w:r w:rsidRPr="00982AE6">
        <w:t xml:space="preserve">Gives access to the Care Campaign module to send engagement messages to patients </w:t>
      </w:r>
    </w:p>
    <w:p w14:paraId="68F618F1" w14:textId="77777777" w:rsidR="00982AE6" w:rsidRPr="00982AE6" w:rsidRDefault="00982AE6" w:rsidP="00982AE6">
      <w:r w:rsidRPr="00982AE6">
        <w:t xml:space="preserve">● </w:t>
      </w:r>
      <w:r w:rsidRPr="00982AE6">
        <w:rPr>
          <w:b/>
          <w:bCs/>
          <w:highlight w:val="green"/>
        </w:rPr>
        <w:t>Campaign Appointment</w:t>
      </w:r>
      <w:r w:rsidRPr="00982AE6">
        <w:rPr>
          <w:b/>
          <w:bCs/>
        </w:rPr>
        <w:t xml:space="preserve">: </w:t>
      </w:r>
      <w:r w:rsidRPr="00982AE6">
        <w:t xml:space="preserve">Allows admins to manage the appointment section inside the Care Campaign module </w:t>
      </w:r>
    </w:p>
    <w:p w14:paraId="4427C592" w14:textId="77777777" w:rsidR="00982AE6" w:rsidRPr="00982AE6" w:rsidRDefault="00982AE6" w:rsidP="00982AE6">
      <w:r w:rsidRPr="00982AE6">
        <w:t xml:space="preserve">● </w:t>
      </w:r>
      <w:r w:rsidRPr="00982AE6">
        <w:rPr>
          <w:b/>
          <w:bCs/>
          <w:highlight w:val="green"/>
          <w:shd w:val="clear" w:color="auto" w:fill="AAE571"/>
        </w:rPr>
        <w:t>Sign Templates Access</w:t>
      </w:r>
      <w:r w:rsidRPr="00982AE6">
        <w:rPr>
          <w:b/>
          <w:bCs/>
        </w:rPr>
        <w:t xml:space="preserve">: </w:t>
      </w:r>
      <w:r w:rsidRPr="00982AE6">
        <w:t xml:space="preserve">Allows creation and management of signature templates </w:t>
      </w:r>
    </w:p>
    <w:p w14:paraId="44D33AB8" w14:textId="77777777" w:rsidR="00982AE6" w:rsidRPr="00982AE6" w:rsidRDefault="00982AE6" w:rsidP="00982AE6">
      <w:r w:rsidRPr="00982AE6">
        <w:t xml:space="preserve">● </w:t>
      </w:r>
      <w:r w:rsidRPr="00982AE6">
        <w:rPr>
          <w:b/>
          <w:bCs/>
          <w:highlight w:val="green"/>
        </w:rPr>
        <w:t>Sign Submission Access</w:t>
      </w:r>
      <w:r w:rsidRPr="00982AE6">
        <w:rPr>
          <w:b/>
          <w:bCs/>
        </w:rPr>
        <w:t xml:space="preserve">: </w:t>
      </w:r>
      <w:r w:rsidRPr="00982AE6">
        <w:t xml:space="preserve">Gives access to all completed/submitted signatures module </w:t>
      </w:r>
    </w:p>
    <w:p w14:paraId="3BA28493" w14:textId="77777777" w:rsidR="00982AE6" w:rsidRPr="00982AE6" w:rsidRDefault="00982AE6" w:rsidP="00982AE6">
      <w:r w:rsidRPr="00982AE6">
        <w:t xml:space="preserve">Modules highlighted in </w:t>
      </w:r>
      <w:r w:rsidRPr="00982AE6">
        <w:rPr>
          <w:highlight w:val="cyan"/>
        </w:rPr>
        <w:t>light blue</w:t>
      </w:r>
      <w:r w:rsidRPr="00982AE6">
        <w:t xml:space="preserve"> = QliqCHAT </w:t>
      </w:r>
    </w:p>
    <w:p w14:paraId="64C4C08F" w14:textId="77777777" w:rsidR="00982AE6" w:rsidRPr="00982AE6" w:rsidRDefault="00982AE6" w:rsidP="00982AE6">
      <w:r w:rsidRPr="00982AE6">
        <w:t>Modules highlighted in</w:t>
      </w:r>
      <w:r w:rsidRPr="00982AE6">
        <w:rPr>
          <w:shd w:val="clear" w:color="auto" w:fill="00B050"/>
        </w:rPr>
        <w:t xml:space="preserve"> </w:t>
      </w:r>
      <w:r w:rsidRPr="00982AE6">
        <w:rPr>
          <w:highlight w:val="green"/>
          <w:shd w:val="clear" w:color="auto" w:fill="00B050"/>
        </w:rPr>
        <w:t>green</w:t>
      </w:r>
      <w:r w:rsidRPr="00982AE6">
        <w:rPr>
          <w:shd w:val="clear" w:color="auto" w:fill="00B050"/>
        </w:rPr>
        <w:t xml:space="preserve"> </w:t>
      </w:r>
      <w:r w:rsidRPr="00982AE6">
        <w:t xml:space="preserve">= Quincy </w:t>
      </w:r>
    </w:p>
    <w:p w14:paraId="52C71790" w14:textId="18913D80" w:rsidR="006A6EA3" w:rsidRDefault="00982AE6">
      <w:r w:rsidRPr="00982AE6">
        <w:t xml:space="preserve">Modules highlighted in </w:t>
      </w:r>
      <w:r w:rsidRPr="00DE1E9D">
        <w:rPr>
          <w:highlight w:val="yellow"/>
        </w:rPr>
        <w:t>yellow</w:t>
      </w:r>
      <w:r w:rsidRPr="00982AE6">
        <w:t xml:space="preserve"> = both </w:t>
      </w:r>
    </w:p>
    <w:sectPr w:rsidR="006A6EA3" w:rsidSect="006A6EA3">
      <w:headerReference w:type="default" r:id="rId7"/>
      <w:footerReference w:type="even" r:id="rId8"/>
      <w:footerReference w:type="default" r:id="rId9"/>
      <w:pgSz w:w="12240" w:h="15840"/>
      <w:pgMar w:top="1227" w:right="720" w:bottom="1077" w:left="720" w:header="192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FE69" w14:textId="77777777" w:rsidR="00DE4A1E" w:rsidRDefault="00DE4A1E" w:rsidP="00E32006">
      <w:pPr>
        <w:spacing w:after="0" w:line="240" w:lineRule="auto"/>
      </w:pPr>
      <w:r>
        <w:separator/>
      </w:r>
    </w:p>
  </w:endnote>
  <w:endnote w:type="continuationSeparator" w:id="0">
    <w:p w14:paraId="0BB7FFC9" w14:textId="77777777" w:rsidR="00DE4A1E" w:rsidRDefault="00DE4A1E" w:rsidP="00E3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23783251"/>
      <w:docPartObj>
        <w:docPartGallery w:val="Page Numbers (Bottom of Page)"/>
        <w:docPartUnique/>
      </w:docPartObj>
    </w:sdtPr>
    <w:sdtContent>
      <w:p w14:paraId="63431E33" w14:textId="5B91F663" w:rsidR="00E32006" w:rsidRDefault="00E32006" w:rsidP="005C14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ACDC8C4" w14:textId="77777777" w:rsidR="00E32006" w:rsidRDefault="00E32006" w:rsidP="00E320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546678749"/>
      <w:docPartObj>
        <w:docPartGallery w:val="Page Numbers (Bottom of Page)"/>
        <w:docPartUnique/>
      </w:docPartObj>
    </w:sdtPr>
    <w:sdtContent>
      <w:p w14:paraId="1D49D185" w14:textId="77777777" w:rsidR="00E32006" w:rsidRPr="00E32006" w:rsidRDefault="00E32006" w:rsidP="00E32006">
        <w:pPr>
          <w:pStyle w:val="Footer"/>
          <w:framePr w:w="356" w:h="342" w:hRule="exact" w:wrap="none" w:vAnchor="text" w:hAnchor="page" w:x="11139" w:y="246"/>
          <w:jc w:val="right"/>
          <w:rPr>
            <w:rStyle w:val="PageNumber"/>
            <w:color w:val="FFFFFF" w:themeColor="background1"/>
          </w:rPr>
        </w:pPr>
        <w:r w:rsidRPr="00E32006">
          <w:rPr>
            <w:rStyle w:val="PageNumber"/>
            <w:rFonts w:ascii="DM Sans" w:hAnsi="DM Sans"/>
            <w:color w:val="FFFFFF" w:themeColor="background1"/>
            <w:sz w:val="20"/>
            <w:szCs w:val="20"/>
          </w:rPr>
          <w:fldChar w:fldCharType="begin"/>
        </w:r>
        <w:r w:rsidRPr="00E32006">
          <w:rPr>
            <w:rStyle w:val="PageNumber"/>
            <w:rFonts w:ascii="DM Sans" w:hAnsi="DM Sans"/>
            <w:color w:val="FFFFFF" w:themeColor="background1"/>
            <w:sz w:val="20"/>
            <w:szCs w:val="20"/>
          </w:rPr>
          <w:instrText xml:space="preserve"> PAGE </w:instrText>
        </w:r>
        <w:r w:rsidRPr="00E32006">
          <w:rPr>
            <w:rStyle w:val="PageNumber"/>
            <w:rFonts w:ascii="DM Sans" w:hAnsi="DM Sans"/>
            <w:color w:val="FFFFFF" w:themeColor="background1"/>
            <w:sz w:val="20"/>
            <w:szCs w:val="20"/>
          </w:rPr>
          <w:fldChar w:fldCharType="separate"/>
        </w:r>
        <w:r w:rsidRPr="00E32006">
          <w:rPr>
            <w:rStyle w:val="PageNumber"/>
            <w:rFonts w:ascii="DM Sans" w:hAnsi="DM Sans"/>
            <w:noProof/>
            <w:color w:val="FFFFFF" w:themeColor="background1"/>
            <w:sz w:val="20"/>
            <w:szCs w:val="20"/>
          </w:rPr>
          <w:t>1</w:t>
        </w:r>
        <w:r w:rsidRPr="00E32006">
          <w:rPr>
            <w:rStyle w:val="PageNumber"/>
            <w:rFonts w:ascii="DM Sans" w:hAnsi="DM Sans"/>
            <w:color w:val="FFFFFF" w:themeColor="background1"/>
            <w:sz w:val="20"/>
            <w:szCs w:val="20"/>
          </w:rPr>
          <w:fldChar w:fldCharType="end"/>
        </w:r>
      </w:p>
    </w:sdtContent>
  </w:sdt>
  <w:p w14:paraId="156E1C68" w14:textId="6A660302" w:rsidR="00E32006" w:rsidRDefault="00E32006" w:rsidP="00E32006">
    <w:pPr>
      <w:pStyle w:val="Footer"/>
      <w:ind w:right="360"/>
      <w:jc w:val="both"/>
      <w:rPr>
        <w:rFonts w:ascii="DM Sans" w:hAnsi="DM Sans"/>
        <w:sz w:val="20"/>
        <w:szCs w:val="20"/>
      </w:rPr>
    </w:pPr>
    <w:r>
      <w:rPr>
        <w:rFonts w:ascii="DM Sans" w:hAnsi="DM 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159B73" wp14:editId="5294E6D4">
              <wp:simplePos x="0" y="0"/>
              <wp:positionH relativeFrom="column">
                <wp:posOffset>-450850</wp:posOffset>
              </wp:positionH>
              <wp:positionV relativeFrom="paragraph">
                <wp:posOffset>-3810</wp:posOffset>
              </wp:positionV>
              <wp:extent cx="7770233" cy="480831"/>
              <wp:effectExtent l="0" t="0" r="2540" b="1905"/>
              <wp:wrapNone/>
              <wp:docPr id="200126630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0233" cy="480831"/>
                      </a:xfrm>
                      <a:prstGeom prst="rect">
                        <a:avLst/>
                      </a:prstGeom>
                      <a:solidFill>
                        <a:srgbClr val="1B44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AF1168" id="Rectangle 2" o:spid="_x0000_s1026" style="position:absolute;margin-left:-35.5pt;margin-top:-.3pt;width:611.85pt;height:3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" fillcolor="#1b4480" stroked="f" strokeweight="1pt"/>
          </w:pict>
        </mc:Fallback>
      </mc:AlternateContent>
    </w:r>
  </w:p>
  <w:p w14:paraId="0CF7AC17" w14:textId="459B3B33" w:rsidR="00E32006" w:rsidRPr="00E32006" w:rsidRDefault="00E32006" w:rsidP="00E32006">
    <w:pPr>
      <w:pStyle w:val="Footer"/>
      <w:ind w:right="360"/>
      <w:jc w:val="both"/>
      <w:rPr>
        <w:rFonts w:ascii="DM Sans" w:hAnsi="DM Sans"/>
        <w:color w:val="FFFFFF" w:themeColor="background1"/>
        <w:sz w:val="20"/>
        <w:szCs w:val="20"/>
      </w:rPr>
    </w:pPr>
    <w:r w:rsidRPr="00E32006">
      <w:rPr>
        <w:rFonts w:ascii="DM Sans" w:hAnsi="DM Sans"/>
        <w:color w:val="FFFFFF" w:themeColor="background1"/>
        <w:sz w:val="20"/>
        <w:szCs w:val="20"/>
      </w:rPr>
      <w:t xml:space="preserve">(866) 295-0451 | sales@qliqsoft.com | www.qliqsoft.com   </w:t>
    </w:r>
    <w:r w:rsidRPr="00E32006">
      <w:rPr>
        <w:rFonts w:ascii="DM Sans" w:hAnsi="DM Sans"/>
        <w:color w:val="FFFFFF" w:themeColor="background1"/>
        <w:sz w:val="20"/>
        <w:szCs w:val="20"/>
      </w:rPr>
      <w:tab/>
      <w:t xml:space="preserve">©2025 QliqSOFT, Inc. All Rights Reserved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3629" w14:textId="77777777" w:rsidR="00DE4A1E" w:rsidRDefault="00DE4A1E" w:rsidP="00E32006">
      <w:pPr>
        <w:spacing w:after="0" w:line="240" w:lineRule="auto"/>
      </w:pPr>
      <w:r>
        <w:separator/>
      </w:r>
    </w:p>
  </w:footnote>
  <w:footnote w:type="continuationSeparator" w:id="0">
    <w:p w14:paraId="4C7D466C" w14:textId="77777777" w:rsidR="00DE4A1E" w:rsidRDefault="00DE4A1E" w:rsidP="00E3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2713" w14:textId="140408D1" w:rsidR="00E32006" w:rsidRDefault="006A6E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17073BBD" wp14:editId="65376C06">
              <wp:simplePos x="0" y="0"/>
              <wp:positionH relativeFrom="column">
                <wp:posOffset>-451485</wp:posOffset>
              </wp:positionH>
              <wp:positionV relativeFrom="margin">
                <wp:posOffset>-773646</wp:posOffset>
              </wp:positionV>
              <wp:extent cx="7769860" cy="557939"/>
              <wp:effectExtent l="0" t="0" r="2540" b="1270"/>
              <wp:wrapNone/>
              <wp:docPr id="48229628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860" cy="557939"/>
                      </a:xfrm>
                      <a:prstGeom prst="rect">
                        <a:avLst/>
                      </a:prstGeom>
                      <a:solidFill>
                        <a:srgbClr val="1B44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B267CCC" id="Rectangle 4" o:spid="_x0000_s1026" style="position:absolute;margin-left:-35.55pt;margin-top:-60.9pt;width:611.8pt;height:43.9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" fillcolor="#1b4480" stroked="f" strokeweight="1pt">
              <w10:wrap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F53DF" wp14:editId="5CDC04A7">
              <wp:simplePos x="0" y="0"/>
              <wp:positionH relativeFrom="column">
                <wp:posOffset>2094854</wp:posOffset>
              </wp:positionH>
              <wp:positionV relativeFrom="paragraph">
                <wp:posOffset>12399</wp:posOffset>
              </wp:positionV>
              <wp:extent cx="4778580" cy="366449"/>
              <wp:effectExtent l="0" t="0" r="0" b="0"/>
              <wp:wrapNone/>
              <wp:docPr id="185493300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8580" cy="3664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F1FD5" w14:textId="410C021B" w:rsidR="006A6EA3" w:rsidRPr="006A6EA3" w:rsidRDefault="001B543E" w:rsidP="006A6EA3">
                          <w:pPr>
                            <w:jc w:val="right"/>
                            <w:rPr>
                              <w:rFonts w:ascii="DM Sans" w:hAnsi="DM San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Administrator Permissions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F53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4.95pt;margin-top:1pt;width:376.25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" filled="f" stroked="f" strokeweight=".5pt">
              <v:textbox inset="0,,0">
                <w:txbxContent>
                  <w:p w14:paraId="6D6F1FD5" w14:textId="410C021B" w:rsidR="006A6EA3" w:rsidRPr="006A6EA3" w:rsidRDefault="001B543E" w:rsidP="006A6EA3">
                    <w:pPr>
                      <w:jc w:val="right"/>
                      <w:rPr>
                        <w:rFonts w:ascii="DM Sans" w:hAnsi="DM Sans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DM Sans" w:hAnsi="DM Sans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Administrator Permissions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C0A71D8" wp14:editId="53C91BAC">
          <wp:extent cx="1143000" cy="333375"/>
          <wp:effectExtent l="0" t="0" r="0" b="0"/>
          <wp:docPr id="503323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3235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06"/>
    <w:rsid w:val="000214D7"/>
    <w:rsid w:val="00077510"/>
    <w:rsid w:val="000C6CF5"/>
    <w:rsid w:val="0015379E"/>
    <w:rsid w:val="001B543E"/>
    <w:rsid w:val="001E3C7B"/>
    <w:rsid w:val="0029625F"/>
    <w:rsid w:val="00330D93"/>
    <w:rsid w:val="00353970"/>
    <w:rsid w:val="00411ADA"/>
    <w:rsid w:val="00422AD1"/>
    <w:rsid w:val="00466D16"/>
    <w:rsid w:val="006A0898"/>
    <w:rsid w:val="006A6EA3"/>
    <w:rsid w:val="0078222D"/>
    <w:rsid w:val="007D7F60"/>
    <w:rsid w:val="008A2A20"/>
    <w:rsid w:val="008C6139"/>
    <w:rsid w:val="008D2522"/>
    <w:rsid w:val="00982AE6"/>
    <w:rsid w:val="00A756DE"/>
    <w:rsid w:val="00B0172F"/>
    <w:rsid w:val="00B705A0"/>
    <w:rsid w:val="00B86279"/>
    <w:rsid w:val="00BF3848"/>
    <w:rsid w:val="00C50B18"/>
    <w:rsid w:val="00C71D18"/>
    <w:rsid w:val="00CA4C96"/>
    <w:rsid w:val="00CD2085"/>
    <w:rsid w:val="00CE3C18"/>
    <w:rsid w:val="00D52F10"/>
    <w:rsid w:val="00DE1E9D"/>
    <w:rsid w:val="00DE4A1E"/>
    <w:rsid w:val="00E32006"/>
    <w:rsid w:val="00E41ADD"/>
    <w:rsid w:val="00E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B317C"/>
  <w15:chartTrackingRefBased/>
  <w15:docId w15:val="{CA4BA8DC-EC23-3C48-B928-1C5B7687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2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0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2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006"/>
  </w:style>
  <w:style w:type="paragraph" w:styleId="Footer">
    <w:name w:val="footer"/>
    <w:basedOn w:val="Normal"/>
    <w:link w:val="FooterChar"/>
    <w:uiPriority w:val="99"/>
    <w:unhideWhenUsed/>
    <w:rsid w:val="00E32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06"/>
  </w:style>
  <w:style w:type="character" w:styleId="Hyperlink">
    <w:name w:val="Hyperlink"/>
    <w:basedOn w:val="DefaultParagraphFont"/>
    <w:uiPriority w:val="99"/>
    <w:unhideWhenUsed/>
    <w:rsid w:val="00E320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006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3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83B10C-1E00-944B-95FA-7B5E67A8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Henson</dc:creator>
  <cp:keywords/>
  <dc:description/>
  <cp:lastModifiedBy>Bobbi Weber</cp:lastModifiedBy>
  <cp:revision>11</cp:revision>
  <dcterms:created xsi:type="dcterms:W3CDTF">2025-12-09T14:43:00Z</dcterms:created>
  <dcterms:modified xsi:type="dcterms:W3CDTF">2025-12-09T14:53:00Z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3460d531-f208-4c72-a07c-7257d168f1a1</vt:lpwstr>
  </property>
</Properties>
</file>