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28" w:rsidRPr="006939B5" w:rsidRDefault="001D42E7" w:rsidP="003E7391">
      <w:pPr>
        <w:jc w:val="both"/>
        <w:rPr>
          <w:rFonts w:ascii="Verdana" w:hAnsi="Verdana"/>
          <w:b/>
          <w:sz w:val="28"/>
          <w:szCs w:val="28"/>
          <w:u w:val="single"/>
        </w:rPr>
      </w:pPr>
      <w:r w:rsidRPr="006939B5">
        <w:rPr>
          <w:rFonts w:ascii="Verdana" w:hAnsi="Verdana"/>
          <w:b/>
          <w:sz w:val="28"/>
          <w:szCs w:val="28"/>
          <w:u w:val="single"/>
        </w:rPr>
        <w:t>ATA REUNIÃO EXTRAORDINÁRIA CONSELHO DE ADMINISTRAÇÃO DA ANFACER</w:t>
      </w:r>
    </w:p>
    <w:p w:rsidR="001D42E7" w:rsidRPr="00AD476D" w:rsidRDefault="001D42E7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No dia </w:t>
      </w:r>
      <w:r w:rsidR="0015762F" w:rsidRPr="00AD476D">
        <w:rPr>
          <w:rFonts w:ascii="Verdana" w:hAnsi="Verdana"/>
          <w:sz w:val="21"/>
          <w:szCs w:val="21"/>
        </w:rPr>
        <w:t>13</w:t>
      </w:r>
      <w:r w:rsidRPr="00AD476D">
        <w:rPr>
          <w:rFonts w:ascii="Verdana" w:hAnsi="Verdana"/>
          <w:sz w:val="21"/>
          <w:szCs w:val="21"/>
        </w:rPr>
        <w:t xml:space="preserve"> de maio de 2014, o Conselho de Administração da ANFACER, reuniu-se extraordinariamente para tratar do te</w:t>
      </w:r>
      <w:r w:rsidR="00575F85" w:rsidRPr="00AD476D">
        <w:rPr>
          <w:rFonts w:ascii="Verdana" w:hAnsi="Verdana"/>
          <w:sz w:val="21"/>
          <w:szCs w:val="21"/>
        </w:rPr>
        <w:t>m</w:t>
      </w:r>
      <w:r w:rsidR="003E7391" w:rsidRPr="00AD476D">
        <w:rPr>
          <w:rFonts w:ascii="Verdana" w:hAnsi="Verdana"/>
          <w:sz w:val="21"/>
          <w:szCs w:val="21"/>
        </w:rPr>
        <w:t>a</w:t>
      </w:r>
      <w:r w:rsidR="00575F85" w:rsidRPr="00AD476D">
        <w:rPr>
          <w:rFonts w:ascii="Verdana" w:hAnsi="Verdana"/>
          <w:sz w:val="21"/>
          <w:szCs w:val="21"/>
        </w:rPr>
        <w:t xml:space="preserve"> Antidumping que a Associação m</w:t>
      </w:r>
      <w:r w:rsidRPr="00AD476D">
        <w:rPr>
          <w:rFonts w:ascii="Verdana" w:hAnsi="Verdana"/>
          <w:sz w:val="21"/>
          <w:szCs w:val="21"/>
        </w:rPr>
        <w:t>ove contra a importação de porcelanato proveniente da China.</w:t>
      </w:r>
    </w:p>
    <w:p w:rsidR="001D42E7" w:rsidRPr="00AD476D" w:rsidRDefault="001D42E7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O </w:t>
      </w:r>
      <w:proofErr w:type="gramStart"/>
      <w:r w:rsidRPr="00AD476D">
        <w:rPr>
          <w:rFonts w:ascii="Verdana" w:hAnsi="Verdana"/>
          <w:sz w:val="21"/>
          <w:szCs w:val="21"/>
        </w:rPr>
        <w:t>Sr.</w:t>
      </w:r>
      <w:proofErr w:type="gramEnd"/>
      <w:r w:rsidRPr="00AD476D">
        <w:rPr>
          <w:rFonts w:ascii="Verdana" w:hAnsi="Verdana"/>
          <w:sz w:val="21"/>
          <w:szCs w:val="21"/>
        </w:rPr>
        <w:t xml:space="preserve"> Presidente do Conselho Edson </w:t>
      </w:r>
      <w:proofErr w:type="spellStart"/>
      <w:r w:rsidRPr="00AD476D">
        <w:rPr>
          <w:rFonts w:ascii="Verdana" w:hAnsi="Verdana"/>
          <w:sz w:val="21"/>
          <w:szCs w:val="21"/>
        </w:rPr>
        <w:t>Gaidzinski</w:t>
      </w:r>
      <w:proofErr w:type="spellEnd"/>
      <w:r w:rsidRPr="00AD476D">
        <w:rPr>
          <w:rFonts w:ascii="Verdana" w:hAnsi="Verdana"/>
          <w:sz w:val="21"/>
          <w:szCs w:val="21"/>
        </w:rPr>
        <w:t xml:space="preserve"> Jr. abriu a reunião saudando aos presentes e posicionando a pauta a ser tratada no dia –</w:t>
      </w:r>
      <w:r w:rsidR="003E7391" w:rsidRPr="00AD476D">
        <w:rPr>
          <w:rFonts w:ascii="Verdana" w:hAnsi="Verdana"/>
          <w:sz w:val="21"/>
          <w:szCs w:val="21"/>
        </w:rPr>
        <w:t xml:space="preserve"> </w:t>
      </w:r>
      <w:r w:rsidRPr="00AD476D">
        <w:rPr>
          <w:rFonts w:ascii="Verdana" w:hAnsi="Verdana"/>
          <w:sz w:val="21"/>
          <w:szCs w:val="21"/>
        </w:rPr>
        <w:t>Direitos Provisórios</w:t>
      </w:r>
      <w:r w:rsidR="00575F85" w:rsidRPr="00AD476D">
        <w:rPr>
          <w:rFonts w:ascii="Verdana" w:hAnsi="Verdana"/>
          <w:sz w:val="21"/>
          <w:szCs w:val="21"/>
        </w:rPr>
        <w:t xml:space="preserve">, face a eminente liberação </w:t>
      </w:r>
      <w:r w:rsidR="003E7391" w:rsidRPr="00AD476D">
        <w:rPr>
          <w:rFonts w:ascii="Verdana" w:hAnsi="Verdana"/>
          <w:sz w:val="21"/>
          <w:szCs w:val="21"/>
        </w:rPr>
        <w:t>de relatório técnico do DECON s</w:t>
      </w:r>
      <w:r w:rsidR="00575F85" w:rsidRPr="00AD476D">
        <w:rPr>
          <w:rFonts w:ascii="Verdana" w:hAnsi="Verdana"/>
          <w:sz w:val="21"/>
          <w:szCs w:val="21"/>
        </w:rPr>
        <w:t>obre o processo em andamento no MDIC e a possibilidade de tal relatório recomendar a aplicação dos referidos Direitos</w:t>
      </w:r>
      <w:r w:rsidRPr="00AD476D">
        <w:rPr>
          <w:rFonts w:ascii="Verdana" w:hAnsi="Verdana"/>
          <w:sz w:val="21"/>
          <w:szCs w:val="21"/>
        </w:rPr>
        <w:t>.</w:t>
      </w:r>
    </w:p>
    <w:p w:rsidR="00455FE4" w:rsidRPr="00AD476D" w:rsidRDefault="00455FE4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De imediato transferiu a palavra para o Dr. Gilvan </w:t>
      </w:r>
      <w:proofErr w:type="spellStart"/>
      <w:r w:rsidRPr="00AD476D">
        <w:rPr>
          <w:rFonts w:ascii="Verdana" w:hAnsi="Verdana"/>
          <w:sz w:val="21"/>
          <w:szCs w:val="21"/>
        </w:rPr>
        <w:t>Brogini</w:t>
      </w:r>
      <w:proofErr w:type="spellEnd"/>
      <w:r w:rsidRPr="00AD476D">
        <w:rPr>
          <w:rFonts w:ascii="Verdana" w:hAnsi="Verdana"/>
          <w:sz w:val="21"/>
          <w:szCs w:val="21"/>
        </w:rPr>
        <w:t>, Representante da Consultoria Barral M Jorge Associados, contratada p</w:t>
      </w:r>
      <w:r w:rsidR="003E7391" w:rsidRPr="00AD476D">
        <w:rPr>
          <w:rFonts w:ascii="Verdana" w:hAnsi="Verdana"/>
          <w:sz w:val="21"/>
          <w:szCs w:val="21"/>
        </w:rPr>
        <w:t>ara</w:t>
      </w:r>
      <w:r w:rsidRPr="00AD476D">
        <w:rPr>
          <w:rFonts w:ascii="Verdana" w:hAnsi="Verdana"/>
          <w:sz w:val="21"/>
          <w:szCs w:val="21"/>
        </w:rPr>
        <w:t xml:space="preserve"> condução técnica do processo de antidumping.</w:t>
      </w:r>
    </w:p>
    <w:p w:rsidR="00455FE4" w:rsidRPr="00AD476D" w:rsidRDefault="00455FE4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Dr. Gilvan passou explicar parecer </w:t>
      </w:r>
      <w:r w:rsidR="00575F85" w:rsidRPr="00AD476D">
        <w:rPr>
          <w:rFonts w:ascii="Verdana" w:hAnsi="Verdana"/>
          <w:sz w:val="21"/>
          <w:szCs w:val="21"/>
        </w:rPr>
        <w:t xml:space="preserve">técnico </w:t>
      </w:r>
      <w:r w:rsidRPr="00AD476D">
        <w:rPr>
          <w:rFonts w:ascii="Verdana" w:hAnsi="Verdana"/>
          <w:sz w:val="21"/>
          <w:szCs w:val="21"/>
        </w:rPr>
        <w:t xml:space="preserve">elaborado sobre a polêmica </w:t>
      </w:r>
      <w:r w:rsidR="00575F85" w:rsidRPr="00AD476D">
        <w:rPr>
          <w:rFonts w:ascii="Verdana" w:hAnsi="Verdana"/>
          <w:sz w:val="21"/>
          <w:szCs w:val="21"/>
        </w:rPr>
        <w:t>surgida entre a conveniência ou não da aplicação dos Direitos. Após longa explanação, foram</w:t>
      </w:r>
      <w:r w:rsidR="003E7391" w:rsidRPr="00AD476D">
        <w:rPr>
          <w:rFonts w:ascii="Verdana" w:hAnsi="Verdana"/>
          <w:sz w:val="21"/>
          <w:szCs w:val="21"/>
        </w:rPr>
        <w:t xml:space="preserve"> expostos todos os aspectos </w:t>
      </w:r>
      <w:r w:rsidR="00575F85" w:rsidRPr="00AD476D">
        <w:rPr>
          <w:rFonts w:ascii="Verdana" w:hAnsi="Verdana"/>
          <w:sz w:val="21"/>
          <w:szCs w:val="21"/>
        </w:rPr>
        <w:t xml:space="preserve">de seu parecer e os aspectos negativos </w:t>
      </w:r>
      <w:r w:rsidR="003E7391" w:rsidRPr="00AD476D">
        <w:rPr>
          <w:rFonts w:ascii="Verdana" w:hAnsi="Verdana"/>
          <w:sz w:val="21"/>
          <w:szCs w:val="21"/>
        </w:rPr>
        <w:t>para</w:t>
      </w:r>
      <w:r w:rsidR="00575F85" w:rsidRPr="00AD476D">
        <w:rPr>
          <w:rFonts w:ascii="Verdana" w:hAnsi="Verdana"/>
          <w:sz w:val="21"/>
          <w:szCs w:val="21"/>
        </w:rPr>
        <w:t xml:space="preserve"> o processo como um todo caso a ANFACER se manifestasse contraria a aplicação imediata dos Diretos Provisórios. Tal posicionamento enfraqueceria muito as teses defendidas pelo setor cerâmico.</w:t>
      </w:r>
    </w:p>
    <w:p w:rsidR="00575F85" w:rsidRPr="00AD476D" w:rsidRDefault="003E7391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>Concluída a a</w:t>
      </w:r>
      <w:r w:rsidR="00575F85" w:rsidRPr="00AD476D">
        <w:rPr>
          <w:rFonts w:ascii="Verdana" w:hAnsi="Verdana"/>
          <w:sz w:val="21"/>
          <w:szCs w:val="21"/>
        </w:rPr>
        <w:t>presentação do par</w:t>
      </w:r>
      <w:r w:rsidR="00255B8D" w:rsidRPr="00AD476D">
        <w:rPr>
          <w:rFonts w:ascii="Verdana" w:hAnsi="Verdana"/>
          <w:sz w:val="21"/>
          <w:szCs w:val="21"/>
        </w:rPr>
        <w:t>e</w:t>
      </w:r>
      <w:r w:rsidR="00575F85" w:rsidRPr="00AD476D">
        <w:rPr>
          <w:rFonts w:ascii="Verdana" w:hAnsi="Verdana"/>
          <w:sz w:val="21"/>
          <w:szCs w:val="21"/>
        </w:rPr>
        <w:t xml:space="preserve">cer, </w:t>
      </w:r>
      <w:r w:rsidR="00255B8D" w:rsidRPr="00AD476D">
        <w:rPr>
          <w:rFonts w:ascii="Verdana" w:hAnsi="Verdana"/>
          <w:sz w:val="21"/>
          <w:szCs w:val="21"/>
        </w:rPr>
        <w:t>o Dr. Gilvan explicou os tramites pós</w:t>
      </w:r>
      <w:r w:rsidRPr="00AD476D">
        <w:rPr>
          <w:rFonts w:ascii="Verdana" w:hAnsi="Verdana"/>
          <w:sz w:val="21"/>
          <w:szCs w:val="21"/>
        </w:rPr>
        <w:t>-</w:t>
      </w:r>
      <w:r w:rsidR="00255B8D" w:rsidRPr="00AD476D">
        <w:rPr>
          <w:rFonts w:ascii="Verdana" w:hAnsi="Verdana"/>
          <w:sz w:val="21"/>
          <w:szCs w:val="21"/>
        </w:rPr>
        <w:t xml:space="preserve"> emissão </w:t>
      </w:r>
      <w:r w:rsidR="009E17B4" w:rsidRPr="00AD476D">
        <w:rPr>
          <w:rFonts w:ascii="Verdana" w:hAnsi="Verdana"/>
          <w:sz w:val="21"/>
          <w:szCs w:val="21"/>
        </w:rPr>
        <w:t>do parecer do D</w:t>
      </w:r>
      <w:r w:rsidRPr="00AD476D">
        <w:rPr>
          <w:rFonts w:ascii="Verdana" w:hAnsi="Verdana"/>
          <w:sz w:val="21"/>
          <w:szCs w:val="21"/>
        </w:rPr>
        <w:t>ECOM</w:t>
      </w:r>
      <w:r w:rsidR="00255B8D" w:rsidRPr="00AD476D">
        <w:rPr>
          <w:rFonts w:ascii="Verdana" w:hAnsi="Verdana"/>
          <w:sz w:val="21"/>
          <w:szCs w:val="21"/>
        </w:rPr>
        <w:t xml:space="preserve">, o qual deverá ser </w:t>
      </w:r>
      <w:r w:rsidRPr="00AD476D">
        <w:rPr>
          <w:rFonts w:ascii="Verdana" w:hAnsi="Verdana"/>
          <w:sz w:val="21"/>
          <w:szCs w:val="21"/>
        </w:rPr>
        <w:t>submetido à</w:t>
      </w:r>
      <w:r w:rsidR="00255B8D" w:rsidRPr="00AD476D">
        <w:rPr>
          <w:rFonts w:ascii="Verdana" w:hAnsi="Verdana"/>
          <w:sz w:val="21"/>
          <w:szCs w:val="21"/>
        </w:rPr>
        <w:t xml:space="preserve"> Câmara de Comércio Exterior (CAMEX), após parecer técnico Comitê Executivo de Gestão (GECEX).</w:t>
      </w:r>
    </w:p>
    <w:p w:rsidR="00255B8D" w:rsidRPr="00AD476D" w:rsidRDefault="00255B8D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Discutiu-se ainda, os níveis de aplicação dos Diretos Provisórios, o qual se reflete através de um valor fixo </w:t>
      </w:r>
      <w:proofErr w:type="spellStart"/>
      <w:r w:rsidRPr="00AD476D">
        <w:rPr>
          <w:rFonts w:ascii="Verdana" w:hAnsi="Verdana"/>
          <w:i/>
          <w:sz w:val="21"/>
          <w:szCs w:val="21"/>
        </w:rPr>
        <w:t>ad-valoren</w:t>
      </w:r>
      <w:proofErr w:type="spellEnd"/>
      <w:r w:rsidRPr="00AD476D">
        <w:rPr>
          <w:rFonts w:ascii="Verdana" w:hAnsi="Verdana"/>
          <w:sz w:val="21"/>
          <w:szCs w:val="21"/>
        </w:rPr>
        <w:t xml:space="preserve"> FOB. Há um sentimento de parte dos consultores deve ficar algo em torno US$ 4,73 por/m² de produto importados, porém podendo variar em uma faixa de</w:t>
      </w:r>
      <w:r w:rsidR="009E17B4" w:rsidRPr="00AD476D">
        <w:rPr>
          <w:rFonts w:ascii="Verdana" w:hAnsi="Verdana"/>
          <w:sz w:val="21"/>
          <w:szCs w:val="21"/>
        </w:rPr>
        <w:t xml:space="preserve"> UU$</w:t>
      </w:r>
      <w:proofErr w:type="gramStart"/>
      <w:r w:rsidR="009E17B4" w:rsidRPr="00AD476D">
        <w:rPr>
          <w:rFonts w:ascii="Verdana" w:hAnsi="Verdana"/>
          <w:sz w:val="21"/>
          <w:szCs w:val="21"/>
        </w:rPr>
        <w:t xml:space="preserve">  </w:t>
      </w:r>
      <w:proofErr w:type="gramEnd"/>
      <w:r w:rsidR="003E7391" w:rsidRPr="00AD476D">
        <w:rPr>
          <w:rFonts w:ascii="Verdana" w:hAnsi="Verdana"/>
          <w:sz w:val="21"/>
          <w:szCs w:val="21"/>
        </w:rPr>
        <w:t>3,00</w:t>
      </w:r>
      <w:r w:rsidR="009E17B4" w:rsidRPr="00AD476D">
        <w:rPr>
          <w:rFonts w:ascii="Verdana" w:hAnsi="Verdana"/>
          <w:sz w:val="21"/>
          <w:szCs w:val="21"/>
        </w:rPr>
        <w:t xml:space="preserve"> e US$ </w:t>
      </w:r>
      <w:r w:rsidR="003E7391" w:rsidRPr="00AD476D">
        <w:rPr>
          <w:rFonts w:ascii="Verdana" w:hAnsi="Verdana"/>
          <w:sz w:val="21"/>
          <w:szCs w:val="21"/>
        </w:rPr>
        <w:t>6,00</w:t>
      </w:r>
      <w:r w:rsidR="009E17B4" w:rsidRPr="00AD476D">
        <w:rPr>
          <w:rFonts w:ascii="Verdana" w:hAnsi="Verdana"/>
          <w:sz w:val="21"/>
          <w:szCs w:val="21"/>
        </w:rPr>
        <w:t>.</w:t>
      </w:r>
    </w:p>
    <w:p w:rsidR="009E17B4" w:rsidRPr="00AD476D" w:rsidRDefault="009E17B4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Foi esclarecido ainda que seis empresas chinesas </w:t>
      </w:r>
      <w:proofErr w:type="gramStart"/>
      <w:r w:rsidRPr="00AD476D">
        <w:rPr>
          <w:rFonts w:ascii="Verdana" w:hAnsi="Verdana"/>
          <w:sz w:val="21"/>
          <w:szCs w:val="21"/>
        </w:rPr>
        <w:t>serão</w:t>
      </w:r>
      <w:proofErr w:type="gramEnd"/>
      <w:r w:rsidRPr="00AD476D">
        <w:rPr>
          <w:rFonts w:ascii="Verdana" w:hAnsi="Verdana"/>
          <w:sz w:val="21"/>
          <w:szCs w:val="21"/>
        </w:rPr>
        <w:t xml:space="preserve"> analisadas pelo DECOM e a essas a aplicação se dará de forma diferenciada, em função dos preços médios praticados na exportação ao Brasil.</w:t>
      </w:r>
    </w:p>
    <w:p w:rsidR="001D42E7" w:rsidRPr="00AD476D" w:rsidRDefault="009E17B4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>Após debates entre os conselheiros, foi consenso de q</w:t>
      </w:r>
      <w:r w:rsidR="003E7391" w:rsidRPr="00AD476D">
        <w:rPr>
          <w:rFonts w:ascii="Verdana" w:hAnsi="Verdana"/>
          <w:sz w:val="21"/>
          <w:szCs w:val="21"/>
        </w:rPr>
        <w:t xml:space="preserve">ue a ANFACER apoiará imediata </w:t>
      </w:r>
      <w:r w:rsidRPr="00AD476D">
        <w:rPr>
          <w:rFonts w:ascii="Verdana" w:hAnsi="Verdana"/>
          <w:sz w:val="21"/>
          <w:szCs w:val="21"/>
        </w:rPr>
        <w:t xml:space="preserve">aplicação dos Diretos Provisórios, caso o relatório do DECOM </w:t>
      </w:r>
      <w:bookmarkStart w:id="0" w:name="_GoBack"/>
      <w:bookmarkEnd w:id="0"/>
      <w:r w:rsidRPr="00AD476D">
        <w:rPr>
          <w:rFonts w:ascii="Verdana" w:hAnsi="Verdana"/>
          <w:sz w:val="21"/>
          <w:szCs w:val="21"/>
        </w:rPr>
        <w:t>contemple tal sugestão.</w:t>
      </w:r>
    </w:p>
    <w:p w:rsidR="009E17B4" w:rsidRPr="00AD476D" w:rsidRDefault="009E17B4" w:rsidP="003E7391">
      <w:pPr>
        <w:jc w:val="both"/>
        <w:rPr>
          <w:rFonts w:ascii="Verdana" w:hAnsi="Verdana"/>
          <w:sz w:val="21"/>
          <w:szCs w:val="21"/>
        </w:rPr>
      </w:pPr>
      <w:r w:rsidRPr="00AD476D">
        <w:rPr>
          <w:rFonts w:ascii="Verdana" w:hAnsi="Verdana"/>
          <w:sz w:val="21"/>
          <w:szCs w:val="21"/>
        </w:rPr>
        <w:t xml:space="preserve">Esgotada a pauta proposta para o dia e não havendo mais nenhum tema a ser tratado, o Presidente Edson </w:t>
      </w:r>
      <w:proofErr w:type="spellStart"/>
      <w:r w:rsidRPr="00AD476D">
        <w:rPr>
          <w:rFonts w:ascii="Verdana" w:hAnsi="Verdana"/>
          <w:sz w:val="21"/>
          <w:szCs w:val="21"/>
        </w:rPr>
        <w:t>Gaidinzinki</w:t>
      </w:r>
      <w:proofErr w:type="spellEnd"/>
      <w:r w:rsidRPr="00AD476D">
        <w:rPr>
          <w:rFonts w:ascii="Verdana" w:hAnsi="Verdana"/>
          <w:sz w:val="21"/>
          <w:szCs w:val="21"/>
        </w:rPr>
        <w:t xml:space="preserve"> agradeceu a presença de todos e deu por encerrada a Reunião Extraordinária do Conselho de Administração.</w:t>
      </w:r>
    </w:p>
    <w:sectPr w:rsidR="009E17B4" w:rsidRPr="00AD476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F0B" w:rsidRDefault="00F41F0B" w:rsidP="00AD476D">
      <w:pPr>
        <w:spacing w:after="0" w:line="240" w:lineRule="auto"/>
      </w:pPr>
      <w:r>
        <w:separator/>
      </w:r>
    </w:p>
  </w:endnote>
  <w:endnote w:type="continuationSeparator" w:id="0">
    <w:p w:rsidR="00F41F0B" w:rsidRDefault="00F41F0B" w:rsidP="00AD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76D" w:rsidRPr="006C3F38" w:rsidRDefault="00AD476D" w:rsidP="00AD476D">
    <w:pPr>
      <w:pStyle w:val="Rodap"/>
      <w:pBdr>
        <w:top w:val="single" w:sz="4" w:space="1" w:color="auto"/>
      </w:pBdr>
      <w:jc w:val="center"/>
      <w:rPr>
        <w:rFonts w:ascii="Arial Narrow" w:hAnsi="Arial Narrow"/>
        <w:sz w:val="14"/>
        <w:szCs w:val="14"/>
      </w:rPr>
    </w:pPr>
    <w:r w:rsidRPr="006C3F38">
      <w:rPr>
        <w:rFonts w:ascii="Arial Narrow" w:hAnsi="Arial Narrow"/>
        <w:sz w:val="14"/>
        <w:szCs w:val="14"/>
      </w:rPr>
      <w:t>Av</w:t>
    </w:r>
    <w:r>
      <w:rPr>
        <w:rFonts w:ascii="Arial Narrow" w:hAnsi="Arial Narrow"/>
        <w:sz w:val="14"/>
        <w:szCs w:val="14"/>
      </w:rPr>
      <w:t>. Paulista, 453 – 7º andar/</w:t>
    </w:r>
    <w:proofErr w:type="gramStart"/>
    <w:r>
      <w:rPr>
        <w:rFonts w:ascii="Arial Narrow" w:hAnsi="Arial Narrow"/>
        <w:sz w:val="14"/>
        <w:szCs w:val="14"/>
      </w:rPr>
      <w:t>cj.</w:t>
    </w:r>
    <w:proofErr w:type="gramEnd"/>
    <w:r>
      <w:rPr>
        <w:rFonts w:ascii="Arial Narrow" w:hAnsi="Arial Narrow"/>
        <w:sz w:val="14"/>
        <w:szCs w:val="14"/>
      </w:rPr>
      <w:t>72</w:t>
    </w:r>
    <w:r w:rsidRPr="006C3F38">
      <w:rPr>
        <w:rFonts w:ascii="Arial Narrow" w:hAnsi="Arial Narrow"/>
        <w:sz w:val="14"/>
        <w:szCs w:val="14"/>
      </w:rPr>
      <w:t xml:space="preserve"> – Cerqueira César       01311-907   São Paulo/SP</w:t>
    </w:r>
  </w:p>
  <w:p w:rsidR="00AD476D" w:rsidRPr="006C3F38" w:rsidRDefault="00AD476D" w:rsidP="00AD476D">
    <w:pPr>
      <w:pStyle w:val="Rodap"/>
      <w:pBdr>
        <w:top w:val="single" w:sz="4" w:space="1" w:color="auto"/>
      </w:pBdr>
      <w:jc w:val="center"/>
      <w:rPr>
        <w:rFonts w:ascii="Arial Narrow" w:hAnsi="Arial Narrow"/>
        <w:sz w:val="14"/>
        <w:szCs w:val="14"/>
      </w:rPr>
    </w:pPr>
    <w:r w:rsidRPr="006C3F38">
      <w:rPr>
        <w:rFonts w:ascii="Arial Narrow" w:hAnsi="Arial Narrow"/>
        <w:sz w:val="14"/>
        <w:szCs w:val="14"/>
      </w:rPr>
      <w:t>Tel.: (11) 3289-7555     Fax: (11) 3287-9624</w:t>
    </w:r>
  </w:p>
  <w:p w:rsidR="00AD476D" w:rsidRDefault="00AD476D" w:rsidP="00AD476D">
    <w:pPr>
      <w:pStyle w:val="Rodap"/>
      <w:pBdr>
        <w:top w:val="single" w:sz="4" w:space="1" w:color="auto"/>
      </w:pBdr>
      <w:jc w:val="center"/>
      <w:rPr>
        <w:rFonts w:ascii="Arial Narrow" w:hAnsi="Arial Narrow"/>
        <w:sz w:val="14"/>
        <w:szCs w:val="14"/>
      </w:rPr>
    </w:pPr>
    <w:r w:rsidRPr="006C3F38">
      <w:rPr>
        <w:rFonts w:ascii="Arial Narrow" w:hAnsi="Arial Narrow"/>
        <w:sz w:val="14"/>
        <w:szCs w:val="14"/>
      </w:rPr>
      <w:t>www.anfacer.org.br</w:t>
    </w:r>
    <w:proofErr w:type="gramStart"/>
    <w:r w:rsidRPr="006C3F38">
      <w:rPr>
        <w:rFonts w:ascii="Arial Narrow" w:hAnsi="Arial Narrow"/>
        <w:sz w:val="14"/>
        <w:szCs w:val="14"/>
      </w:rPr>
      <w:t xml:space="preserve">  </w:t>
    </w:r>
    <w:proofErr w:type="gramEnd"/>
    <w:r w:rsidRPr="006C3F38">
      <w:rPr>
        <w:rFonts w:ascii="Arial Narrow" w:hAnsi="Arial Narrow"/>
        <w:sz w:val="14"/>
        <w:szCs w:val="14"/>
      </w:rPr>
      <w:t xml:space="preserve">- E-mail: </w:t>
    </w:r>
    <w:hyperlink r:id="rId1" w:history="1">
      <w:r w:rsidRPr="005864FD">
        <w:rPr>
          <w:rStyle w:val="Hyperlink"/>
          <w:rFonts w:ascii="Arial Narrow" w:hAnsi="Arial Narrow"/>
          <w:sz w:val="14"/>
          <w:szCs w:val="14"/>
        </w:rPr>
        <w:t>info@anfacer.org.br</w:t>
      </w:r>
    </w:hyperlink>
  </w:p>
  <w:p w:rsidR="00AD476D" w:rsidRPr="006C3F38" w:rsidRDefault="00AD476D" w:rsidP="00AD476D">
    <w:pPr>
      <w:pStyle w:val="Rodap"/>
      <w:pBdr>
        <w:top w:val="single" w:sz="4" w:space="1" w:color="auto"/>
      </w:pBdr>
      <w:jc w:val="center"/>
      <w:rPr>
        <w:rFonts w:ascii="Arial Narrow" w:hAnsi="Arial Narrow"/>
        <w:sz w:val="14"/>
        <w:szCs w:val="14"/>
      </w:rPr>
    </w:pPr>
    <w:r>
      <w:rPr>
        <w:rFonts w:ascii="Arial Narrow" w:hAnsi="Arial Narrow"/>
        <w:sz w:val="14"/>
        <w:szCs w:val="14"/>
      </w:rPr>
      <w:t>CNPJ: 53.821.245/0001-46</w:t>
    </w:r>
  </w:p>
  <w:p w:rsidR="00AD476D" w:rsidRDefault="00AD47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F0B" w:rsidRDefault="00F41F0B" w:rsidP="00AD476D">
      <w:pPr>
        <w:spacing w:after="0" w:line="240" w:lineRule="auto"/>
      </w:pPr>
      <w:r>
        <w:separator/>
      </w:r>
    </w:p>
  </w:footnote>
  <w:footnote w:type="continuationSeparator" w:id="0">
    <w:p w:rsidR="00F41F0B" w:rsidRDefault="00F41F0B" w:rsidP="00AD4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76D" w:rsidRDefault="00AD476D">
    <w:pPr>
      <w:pStyle w:val="Cabealho"/>
    </w:pPr>
    <w:r>
      <w:rPr>
        <w:noProof/>
        <w:lang w:eastAsia="pt-BR"/>
      </w:rPr>
      <w:drawing>
        <wp:inline distT="0" distB="0" distL="0" distR="0" wp14:anchorId="0627DC71" wp14:editId="42408948">
          <wp:extent cx="2384755" cy="858511"/>
          <wp:effectExtent l="0" t="0" r="0" b="0"/>
          <wp:docPr id="1" name="Imagem 1" descr="ANFACER_MarcaRe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FACER_MarcaRedesig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468" cy="857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D476D" w:rsidRDefault="00AD47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2E7"/>
    <w:rsid w:val="0015762F"/>
    <w:rsid w:val="001D42E7"/>
    <w:rsid w:val="00255B8D"/>
    <w:rsid w:val="00356128"/>
    <w:rsid w:val="003E7391"/>
    <w:rsid w:val="00455FE4"/>
    <w:rsid w:val="00575F85"/>
    <w:rsid w:val="006939B5"/>
    <w:rsid w:val="009E17B4"/>
    <w:rsid w:val="00AD476D"/>
    <w:rsid w:val="00F4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D47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476D"/>
  </w:style>
  <w:style w:type="paragraph" w:styleId="Rodap">
    <w:name w:val="footer"/>
    <w:basedOn w:val="Normal"/>
    <w:link w:val="RodapChar"/>
    <w:unhideWhenUsed/>
    <w:rsid w:val="00AD47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476D"/>
  </w:style>
  <w:style w:type="paragraph" w:styleId="Textodebalo">
    <w:name w:val="Balloon Text"/>
    <w:basedOn w:val="Normal"/>
    <w:link w:val="TextodebaloChar"/>
    <w:uiPriority w:val="99"/>
    <w:semiHidden/>
    <w:unhideWhenUsed/>
    <w:rsid w:val="00AD4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476D"/>
    <w:rPr>
      <w:rFonts w:ascii="Tahoma" w:hAnsi="Tahoma" w:cs="Tahoma"/>
      <w:sz w:val="16"/>
      <w:szCs w:val="16"/>
    </w:rPr>
  </w:style>
  <w:style w:type="character" w:styleId="Hyperlink">
    <w:name w:val="Hyperlink"/>
    <w:rsid w:val="00AD47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D47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476D"/>
  </w:style>
  <w:style w:type="paragraph" w:styleId="Rodap">
    <w:name w:val="footer"/>
    <w:basedOn w:val="Normal"/>
    <w:link w:val="RodapChar"/>
    <w:unhideWhenUsed/>
    <w:rsid w:val="00AD47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476D"/>
  </w:style>
  <w:style w:type="paragraph" w:styleId="Textodebalo">
    <w:name w:val="Balloon Text"/>
    <w:basedOn w:val="Normal"/>
    <w:link w:val="TextodebaloChar"/>
    <w:uiPriority w:val="99"/>
    <w:semiHidden/>
    <w:unhideWhenUsed/>
    <w:rsid w:val="00AD4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476D"/>
    <w:rPr>
      <w:rFonts w:ascii="Tahoma" w:hAnsi="Tahoma" w:cs="Tahoma"/>
      <w:sz w:val="16"/>
      <w:szCs w:val="16"/>
    </w:rPr>
  </w:style>
  <w:style w:type="character" w:styleId="Hyperlink">
    <w:name w:val="Hyperlink"/>
    <w:rsid w:val="00AD4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5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nfacer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Carlos</dc:creator>
  <cp:lastModifiedBy>Alais</cp:lastModifiedBy>
  <cp:revision>4</cp:revision>
  <dcterms:created xsi:type="dcterms:W3CDTF">2014-06-18T17:17:00Z</dcterms:created>
  <dcterms:modified xsi:type="dcterms:W3CDTF">2014-06-18T17:25:00Z</dcterms:modified>
</cp:coreProperties>
</file>