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A8F58" w14:textId="21346A2C" w:rsidR="008A1A17" w:rsidRPr="006259CB" w:rsidRDefault="40EC358A" w:rsidP="00873720">
      <w:pPr>
        <w:pStyle w:val="Item"/>
      </w:pPr>
      <w:bookmarkStart w:id="0" w:name="_Toc225322712"/>
      <w:r>
        <w:t>Item 1:  Cover Page</w:t>
      </w:r>
      <w:bookmarkEnd w:id="0"/>
    </w:p>
    <w:p w14:paraId="2A66A5A0" w14:textId="626B3CD5" w:rsidR="008A1A17" w:rsidRPr="006259CB" w:rsidRDefault="00961A35" w:rsidP="00873720">
      <w:pPr>
        <w:pStyle w:val="Paragraph"/>
        <w:rPr>
          <w:b w:val="0"/>
          <w:bCs w:val="0"/>
        </w:rPr>
      </w:pPr>
      <w:r w:rsidRPr="006259CB">
        <w:rPr>
          <w:b w:val="0"/>
          <w:bCs w:val="0"/>
        </w:rPr>
        <w:t>____________________________________</w:t>
      </w:r>
      <w:r w:rsidR="00DC5A08" w:rsidRPr="006259CB">
        <w:rPr>
          <w:b w:val="0"/>
          <w:bCs w:val="0"/>
        </w:rPr>
        <w:t>____</w:t>
      </w:r>
      <w:r w:rsidRPr="006259CB">
        <w:rPr>
          <w:b w:val="0"/>
          <w:bCs w:val="0"/>
        </w:rPr>
        <w:t>__</w:t>
      </w:r>
      <w:r w:rsidR="00844421" w:rsidRPr="006259CB">
        <w:rPr>
          <w:b w:val="0"/>
          <w:bCs w:val="0"/>
        </w:rPr>
        <w:t>____</w:t>
      </w:r>
      <w:r w:rsidR="007211B9" w:rsidRPr="006259CB">
        <w:rPr>
          <w:b w:val="0"/>
          <w:bCs w:val="0"/>
        </w:rPr>
        <w:t>__________</w:t>
      </w:r>
      <w:r w:rsidR="00844421" w:rsidRPr="006259CB">
        <w:rPr>
          <w:b w:val="0"/>
          <w:bCs w:val="0"/>
        </w:rPr>
        <w:t>_</w:t>
      </w:r>
      <w:r w:rsidRPr="006259CB">
        <w:rPr>
          <w:b w:val="0"/>
          <w:bCs w:val="0"/>
        </w:rPr>
        <w:t>_________________________________</w:t>
      </w:r>
    </w:p>
    <w:p w14:paraId="27D26A08" w14:textId="2BDB6A62" w:rsidR="008A1A17" w:rsidRPr="006259CB" w:rsidRDefault="008A1A17" w:rsidP="00873720">
      <w:pPr>
        <w:rPr>
          <w:color w:val="6586A4"/>
        </w:rPr>
      </w:pPr>
    </w:p>
    <w:p w14:paraId="0C83D16F" w14:textId="334F34AE" w:rsidR="007453B8" w:rsidRPr="006259CB" w:rsidRDefault="00961C2B" w:rsidP="00873720">
      <w:pPr>
        <w:jc w:val="center"/>
      </w:pPr>
      <w:r w:rsidRPr="006259CB">
        <w:rPr>
          <w:noProof/>
        </w:rPr>
        <w:drawing>
          <wp:anchor distT="0" distB="0" distL="114300" distR="114300" simplePos="0" relativeHeight="251658240" behindDoc="1" locked="0" layoutInCell="1" allowOverlap="1" wp14:anchorId="0092122B" wp14:editId="36FBB32B">
            <wp:simplePos x="0" y="0"/>
            <wp:positionH relativeFrom="column">
              <wp:posOffset>149437</wp:posOffset>
            </wp:positionH>
            <wp:positionV relativeFrom="paragraph">
              <wp:posOffset>933450</wp:posOffset>
            </wp:positionV>
            <wp:extent cx="6107564" cy="5012266"/>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ffinBackgroundWatermark.gif"/>
                    <pic:cNvPicPr/>
                  </pic:nvPicPr>
                  <pic:blipFill>
                    <a:blip r:embed="rId11">
                      <a:extLst>
                        <a:ext uri="{28A0092B-C50C-407E-A947-70E740481C1C}">
                          <a14:useLocalDpi xmlns:a14="http://schemas.microsoft.com/office/drawing/2010/main" val="0"/>
                        </a:ext>
                      </a:extLst>
                    </a:blip>
                    <a:stretch>
                      <a:fillRect/>
                    </a:stretch>
                  </pic:blipFill>
                  <pic:spPr>
                    <a:xfrm>
                      <a:off x="0" y="0"/>
                      <a:ext cx="6107564" cy="5012266"/>
                    </a:xfrm>
                    <a:prstGeom prst="rect">
                      <a:avLst/>
                    </a:prstGeom>
                  </pic:spPr>
                </pic:pic>
              </a:graphicData>
            </a:graphic>
            <wp14:sizeRelV relativeFrom="margin">
              <wp14:pctHeight>0</wp14:pctHeight>
            </wp14:sizeRelV>
          </wp:anchor>
        </w:drawing>
      </w:r>
      <w:r w:rsidR="0046452E" w:rsidRPr="006259CB">
        <w:rPr>
          <w:noProof/>
        </w:rPr>
        <w:drawing>
          <wp:inline distT="0" distB="0" distL="0" distR="0" wp14:anchorId="75EA7BFD" wp14:editId="503C5548">
            <wp:extent cx="3137836" cy="938088"/>
            <wp:effectExtent l="0" t="0" r="1206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kerStreet_Logo_Vert.gif"/>
                    <pic:cNvPicPr/>
                  </pic:nvPicPr>
                  <pic:blipFill>
                    <a:blip r:embed="rId12">
                      <a:extLst>
                        <a:ext uri="{28A0092B-C50C-407E-A947-70E740481C1C}">
                          <a14:useLocalDpi xmlns:a14="http://schemas.microsoft.com/office/drawing/2010/main" val="0"/>
                        </a:ext>
                      </a:extLst>
                    </a:blip>
                    <a:stretch>
                      <a:fillRect/>
                    </a:stretch>
                  </pic:blipFill>
                  <pic:spPr>
                    <a:xfrm>
                      <a:off x="0" y="0"/>
                      <a:ext cx="3141471" cy="939175"/>
                    </a:xfrm>
                    <a:prstGeom prst="rect">
                      <a:avLst/>
                    </a:prstGeom>
                  </pic:spPr>
                </pic:pic>
              </a:graphicData>
            </a:graphic>
          </wp:inline>
        </w:drawing>
      </w:r>
    </w:p>
    <w:p w14:paraId="62D8E8AB" w14:textId="78175CC7" w:rsidR="00E75AA4" w:rsidRPr="006259CB" w:rsidRDefault="00E75AA4" w:rsidP="00873720"/>
    <w:p w14:paraId="62913310" w14:textId="01CF2BC7" w:rsidR="004713C7" w:rsidRPr="006259CB" w:rsidRDefault="004D7942" w:rsidP="00873720">
      <w:pPr>
        <w:pStyle w:val="ATitle"/>
        <w:rPr>
          <w:sz w:val="32"/>
          <w:szCs w:val="32"/>
        </w:rPr>
      </w:pPr>
      <w:r w:rsidRPr="006259CB">
        <w:rPr>
          <w:sz w:val="32"/>
          <w:szCs w:val="32"/>
        </w:rPr>
        <w:t>Form ADV</w:t>
      </w:r>
      <w:r w:rsidR="008A1A17" w:rsidRPr="006259CB">
        <w:rPr>
          <w:sz w:val="32"/>
          <w:szCs w:val="32"/>
        </w:rPr>
        <w:t xml:space="preserve"> Part 2A</w:t>
      </w:r>
    </w:p>
    <w:p w14:paraId="7760D8EE" w14:textId="0FAEBC55" w:rsidR="004713C7" w:rsidRPr="006259CB" w:rsidRDefault="004713C7" w:rsidP="00873720">
      <w:pPr>
        <w:pStyle w:val="ATitle"/>
        <w:rPr>
          <w:sz w:val="32"/>
          <w:szCs w:val="32"/>
        </w:rPr>
      </w:pPr>
      <w:r w:rsidRPr="006259CB">
        <w:rPr>
          <w:sz w:val="32"/>
          <w:szCs w:val="32"/>
        </w:rPr>
        <w:t>The Brochure</w:t>
      </w:r>
    </w:p>
    <w:p w14:paraId="24E28DE9" w14:textId="6FBB5CF9" w:rsidR="004B31A1" w:rsidRPr="006259CB" w:rsidRDefault="00251EB4" w:rsidP="00873720">
      <w:pPr>
        <w:pStyle w:val="ATitle"/>
        <w:rPr>
          <w:b w:val="0"/>
          <w:bCs/>
          <w:sz w:val="24"/>
          <w:szCs w:val="24"/>
        </w:rPr>
      </w:pPr>
      <w:r w:rsidRPr="006259CB">
        <w:rPr>
          <w:b w:val="0"/>
          <w:bCs/>
          <w:sz w:val="24"/>
          <w:szCs w:val="24"/>
        </w:rPr>
        <w:t>(CRD #128066</w:t>
      </w:r>
      <w:r w:rsidR="00763C4F" w:rsidRPr="006259CB">
        <w:rPr>
          <w:b w:val="0"/>
          <w:bCs/>
          <w:sz w:val="24"/>
          <w:szCs w:val="24"/>
        </w:rPr>
        <w:t xml:space="preserve"> </w:t>
      </w:r>
      <w:r w:rsidRPr="006259CB">
        <w:rPr>
          <w:b w:val="0"/>
          <w:bCs/>
          <w:sz w:val="24"/>
          <w:szCs w:val="24"/>
        </w:rPr>
        <w:t>/</w:t>
      </w:r>
      <w:r w:rsidR="00763C4F" w:rsidRPr="006259CB">
        <w:rPr>
          <w:b w:val="0"/>
          <w:bCs/>
          <w:sz w:val="24"/>
          <w:szCs w:val="24"/>
        </w:rPr>
        <w:t xml:space="preserve"> </w:t>
      </w:r>
      <w:r w:rsidRPr="006259CB">
        <w:rPr>
          <w:b w:val="0"/>
          <w:bCs/>
          <w:sz w:val="24"/>
          <w:szCs w:val="24"/>
        </w:rPr>
        <w:t>SEC</w:t>
      </w:r>
      <w:r w:rsidR="00763C4F" w:rsidRPr="006259CB">
        <w:rPr>
          <w:b w:val="0"/>
          <w:bCs/>
          <w:sz w:val="24"/>
          <w:szCs w:val="24"/>
        </w:rPr>
        <w:t xml:space="preserve"> </w:t>
      </w:r>
      <w:r w:rsidRPr="006259CB">
        <w:rPr>
          <w:b w:val="0"/>
          <w:bCs/>
          <w:sz w:val="24"/>
          <w:szCs w:val="24"/>
        </w:rPr>
        <w:t>#801-62370)</w:t>
      </w:r>
    </w:p>
    <w:p w14:paraId="596F26C8" w14:textId="293B36F3" w:rsidR="0018131B" w:rsidRPr="006259CB" w:rsidRDefault="0018131B" w:rsidP="00873720">
      <w:pPr>
        <w:jc w:val="center"/>
      </w:pPr>
    </w:p>
    <w:p w14:paraId="047DC7DC" w14:textId="6B5F0908" w:rsidR="002C6F4A" w:rsidRPr="006259CB" w:rsidRDefault="006C3A09" w:rsidP="00873720">
      <w:pPr>
        <w:jc w:val="center"/>
      </w:pPr>
      <w:r w:rsidRPr="006259CB">
        <w:t>575</w:t>
      </w:r>
      <w:r w:rsidR="001D4B82" w:rsidRPr="006259CB">
        <w:t xml:space="preserve"> Market Street, </w:t>
      </w:r>
      <w:r w:rsidRPr="006259CB">
        <w:t>Suite 600</w:t>
      </w:r>
    </w:p>
    <w:p w14:paraId="6868E743" w14:textId="557F9BC1" w:rsidR="009C2757" w:rsidRPr="00251939" w:rsidRDefault="009C2757" w:rsidP="00873720">
      <w:pPr>
        <w:jc w:val="center"/>
      </w:pPr>
      <w:r w:rsidRPr="00251939">
        <w:t>San Francisco, CA 94105</w:t>
      </w:r>
    </w:p>
    <w:p w14:paraId="15475676" w14:textId="0766B312" w:rsidR="00E22C5D" w:rsidRPr="00103505" w:rsidRDefault="00E22C5D" w:rsidP="00873720">
      <w:pPr>
        <w:jc w:val="center"/>
      </w:pPr>
      <w:r w:rsidRPr="00103505">
        <w:rPr>
          <w:color w:val="808080" w:themeColor="background1" w:themeShade="80"/>
        </w:rPr>
        <w:t>T</w:t>
      </w:r>
      <w:r w:rsidRPr="00103505">
        <w:t>: 415.344.6180</w:t>
      </w:r>
    </w:p>
    <w:p w14:paraId="1B7CD2DA" w14:textId="09F05D0F" w:rsidR="008E39FA" w:rsidRPr="00103505" w:rsidRDefault="00E22C5D" w:rsidP="00873720">
      <w:pPr>
        <w:jc w:val="center"/>
        <w:rPr>
          <w:color w:val="6586A4"/>
          <w:highlight w:val="yellow"/>
        </w:rPr>
      </w:pPr>
      <w:hyperlink r:id="rId13" w:history="1">
        <w:r w:rsidRPr="00103505">
          <w:rPr>
            <w:rStyle w:val="Hyperlink"/>
            <w:color w:val="4F81BD"/>
          </w:rPr>
          <w:t>www.BakerStreetAdvisors.com</w:t>
        </w:r>
      </w:hyperlink>
    </w:p>
    <w:p w14:paraId="52E45901" w14:textId="12DE1E2D" w:rsidR="0018131B" w:rsidRPr="00103505" w:rsidRDefault="0018131B" w:rsidP="00873720">
      <w:pPr>
        <w:jc w:val="center"/>
        <w:rPr>
          <w:highlight w:val="yellow"/>
        </w:rPr>
      </w:pPr>
    </w:p>
    <w:p w14:paraId="1D376B4F" w14:textId="38D3B5DE" w:rsidR="003D4F73" w:rsidRPr="00103505" w:rsidRDefault="003D4F73" w:rsidP="00873720">
      <w:pPr>
        <w:jc w:val="center"/>
      </w:pPr>
      <w:r w:rsidRPr="00103505">
        <w:t xml:space="preserve">Updated: </w:t>
      </w:r>
      <w:r w:rsidR="00AF3736" w:rsidRPr="00103505">
        <w:t xml:space="preserve">March </w:t>
      </w:r>
      <w:r w:rsidR="2342B6B6" w:rsidRPr="00103505">
        <w:t>31</w:t>
      </w:r>
      <w:r w:rsidR="00CE22C0" w:rsidRPr="00103505">
        <w:t>,</w:t>
      </w:r>
      <w:r w:rsidR="00E85C5C" w:rsidRPr="00103505">
        <w:t xml:space="preserve"> 202</w:t>
      </w:r>
      <w:r w:rsidR="00AF3736" w:rsidRPr="00103505">
        <w:t>6</w:t>
      </w:r>
    </w:p>
    <w:p w14:paraId="7D7760F3" w14:textId="77777777" w:rsidR="00E04F30" w:rsidRPr="00103505" w:rsidRDefault="00E04F30" w:rsidP="00873720">
      <w:pPr>
        <w:jc w:val="center"/>
      </w:pPr>
    </w:p>
    <w:p w14:paraId="16F03C6E" w14:textId="77777777" w:rsidR="00E04F30" w:rsidRPr="00103505" w:rsidRDefault="00E04F30" w:rsidP="00873720">
      <w:pPr>
        <w:jc w:val="center"/>
      </w:pPr>
    </w:p>
    <w:p w14:paraId="721C7769" w14:textId="126CE91F" w:rsidR="00674857" w:rsidRPr="00103505" w:rsidRDefault="00674857" w:rsidP="00873720">
      <w:pPr>
        <w:jc w:val="center"/>
      </w:pPr>
    </w:p>
    <w:p w14:paraId="199EF16F" w14:textId="47594108" w:rsidR="0018131B" w:rsidRPr="00103505" w:rsidRDefault="00091F88" w:rsidP="00873720">
      <w:r w:rsidRPr="00103505">
        <w:tab/>
      </w:r>
    </w:p>
    <w:p w14:paraId="3F6F4CA1" w14:textId="0C7A16A4" w:rsidR="001267AC" w:rsidRPr="006259CB" w:rsidRDefault="008E39FA" w:rsidP="00873720">
      <w:r w:rsidRPr="006259CB">
        <w:t>This brochure provides information about the qualifications and business practices of</w:t>
      </w:r>
      <w:r w:rsidR="009C2757" w:rsidRPr="006259CB">
        <w:t xml:space="preserve"> </w:t>
      </w:r>
      <w:r w:rsidR="009C2757" w:rsidRPr="006259CB">
        <w:rPr>
          <w:b/>
          <w:bCs/>
        </w:rPr>
        <w:t>Baker Street Advisors</w:t>
      </w:r>
      <w:r w:rsidR="003D4F73" w:rsidRPr="006259CB">
        <w:rPr>
          <w:b/>
          <w:bCs/>
        </w:rPr>
        <w:t>, LLC</w:t>
      </w:r>
      <w:r w:rsidRPr="006259CB">
        <w:t>.</w:t>
      </w:r>
      <w:r w:rsidR="0048713D" w:rsidRPr="006259CB">
        <w:t xml:space="preserve"> </w:t>
      </w:r>
      <w:r w:rsidRPr="006259CB">
        <w:t xml:space="preserve">If you have </w:t>
      </w:r>
      <w:r w:rsidR="00682A16" w:rsidRPr="006259CB">
        <w:t>any questions about the contents</w:t>
      </w:r>
      <w:r w:rsidRPr="006259CB">
        <w:t xml:space="preserve"> of this brochure, please contact </w:t>
      </w:r>
      <w:r w:rsidR="00116FD6" w:rsidRPr="00116FD6">
        <w:t xml:space="preserve">Henry Tran </w:t>
      </w:r>
      <w:r w:rsidR="00116FD6">
        <w:t>at</w:t>
      </w:r>
      <w:r w:rsidR="00116FD6" w:rsidRPr="00116FD6">
        <w:t xml:space="preserve"> 332.262.4843</w:t>
      </w:r>
      <w:r w:rsidRPr="006259CB">
        <w:t>.</w:t>
      </w:r>
      <w:r w:rsidR="0048713D" w:rsidRPr="006259CB">
        <w:t xml:space="preserve"> </w:t>
      </w:r>
      <w:r w:rsidRPr="006259CB">
        <w:t>The information in this brochure has not been approved or verified by the United States Securities and Exchange Commission or by any state securities authority.</w:t>
      </w:r>
    </w:p>
    <w:p w14:paraId="14E89A5A" w14:textId="77777777" w:rsidR="00236FC2" w:rsidRPr="006259CB" w:rsidRDefault="00236FC2" w:rsidP="00873720"/>
    <w:p w14:paraId="290B92ED" w14:textId="01461DAA" w:rsidR="00236FC2" w:rsidRPr="006259CB" w:rsidRDefault="00236FC2" w:rsidP="00873720">
      <w:r w:rsidRPr="006259CB">
        <w:t>Nothing in this document is to be construed as a recommendation or an endorsement by the United States Securities and Exchange Commission (</w:t>
      </w:r>
      <w:r w:rsidR="005518A2" w:rsidRPr="006259CB">
        <w:t>"</w:t>
      </w:r>
      <w:r w:rsidRPr="006259CB">
        <w:t>SEC</w:t>
      </w:r>
      <w:r w:rsidR="005518A2" w:rsidRPr="006259CB">
        <w:t>"</w:t>
      </w:r>
      <w:r w:rsidRPr="006259CB">
        <w:t xml:space="preserve">) or any state securities authority or an offer of securities; please refer to the actual investment offering and related legal documentation for complete disclosures. Registration as an investment adviser does not imply a certain level of skill or training. Investments involve risk, including the possible loss of principal. An adviser's written and oral communications provide you with information to determine whether to retain their services. This brochure is on file with the appropriate regulatory authorities as required by federal and state regulations.  </w:t>
      </w:r>
    </w:p>
    <w:p w14:paraId="3C1059ED" w14:textId="77777777" w:rsidR="00236FC2" w:rsidRPr="006259CB" w:rsidRDefault="00236FC2" w:rsidP="00873720"/>
    <w:p w14:paraId="374D8EB0" w14:textId="611BEB13" w:rsidR="00236FC2" w:rsidRPr="006259CB" w:rsidRDefault="00236FC2" w:rsidP="00873720">
      <w:r w:rsidRPr="006259CB">
        <w:t xml:space="preserve">Additional information about </w:t>
      </w:r>
      <w:r w:rsidR="00951A64" w:rsidRPr="006259CB">
        <w:t>t</w:t>
      </w:r>
      <w:r w:rsidR="005C2FFC" w:rsidRPr="006259CB">
        <w:t>he Adviser</w:t>
      </w:r>
      <w:r w:rsidR="00107B1E" w:rsidRPr="006259CB">
        <w:t xml:space="preserve"> </w:t>
      </w:r>
      <w:r w:rsidRPr="006259CB">
        <w:t xml:space="preserve">or any of its affiliated persons who are registered or required to be registered as Investment Advisor Representatives of the firm is available on the SEC's website at </w:t>
      </w:r>
      <w:hyperlink r:id="rId14" w:history="1">
        <w:r w:rsidRPr="006B2D94">
          <w:rPr>
            <w:color w:val="4F81BD"/>
            <w:u w:val="single"/>
          </w:rPr>
          <w:t>www.adviserinfo.se</w:t>
        </w:r>
        <w:r w:rsidR="0066001C" w:rsidRPr="006B2D94">
          <w:rPr>
            <w:color w:val="4F81BD"/>
            <w:u w:val="single"/>
          </w:rPr>
          <w:t>‌‌</w:t>
        </w:r>
        <w:r w:rsidRPr="006B2D94">
          <w:rPr>
            <w:color w:val="4F81BD"/>
            <w:u w:val="single"/>
          </w:rPr>
          <w:t>c.gov</w:t>
        </w:r>
      </w:hyperlink>
      <w:r w:rsidRPr="006259CB">
        <w:t>.</w:t>
      </w:r>
      <w:r w:rsidR="00214356" w:rsidRPr="006259CB">
        <w:t xml:space="preserve">  </w:t>
      </w:r>
    </w:p>
    <w:p w14:paraId="621DB73D" w14:textId="77777777" w:rsidR="00236FC2" w:rsidRPr="006259CB" w:rsidRDefault="00236FC2" w:rsidP="00873720"/>
    <w:p w14:paraId="456B965A" w14:textId="77777777" w:rsidR="008A1A17" w:rsidRPr="006259CB" w:rsidRDefault="008A1A17" w:rsidP="00873720">
      <w:pPr>
        <w:pStyle w:val="Paragraph"/>
      </w:pPr>
      <w:bookmarkStart w:id="1" w:name="_Toc270409645"/>
    </w:p>
    <w:p w14:paraId="6703C306" w14:textId="77777777" w:rsidR="00DC5A08" w:rsidRPr="006259CB" w:rsidRDefault="00DC5A08" w:rsidP="00873720">
      <w:pPr>
        <w:pStyle w:val="Paragraph"/>
      </w:pPr>
    </w:p>
    <w:p w14:paraId="23DE39CB" w14:textId="77777777" w:rsidR="00DC5A08" w:rsidRPr="006259CB" w:rsidRDefault="00DC5A08" w:rsidP="00873720">
      <w:pPr>
        <w:pStyle w:val="Paragraph"/>
      </w:pPr>
    </w:p>
    <w:p w14:paraId="68B1DB38" w14:textId="77777777" w:rsidR="00DC5A08" w:rsidRPr="006259CB" w:rsidRDefault="00DC5A08" w:rsidP="00873720">
      <w:pPr>
        <w:pStyle w:val="Paragraph"/>
      </w:pPr>
    </w:p>
    <w:p w14:paraId="7436263C" w14:textId="77777777" w:rsidR="000A0F5D" w:rsidRPr="006259CB" w:rsidRDefault="000A0F5D" w:rsidP="00873720">
      <w:pPr>
        <w:pStyle w:val="Paragraph"/>
      </w:pPr>
    </w:p>
    <w:p w14:paraId="48EE06B5" w14:textId="77777777" w:rsidR="000A0F5D" w:rsidRPr="006259CB" w:rsidRDefault="000A0F5D" w:rsidP="00873720">
      <w:pPr>
        <w:pStyle w:val="Paragraph"/>
      </w:pPr>
    </w:p>
    <w:p w14:paraId="617C4688" w14:textId="77777777" w:rsidR="000A0F5D" w:rsidRPr="006259CB" w:rsidRDefault="000A0F5D" w:rsidP="00873720">
      <w:pPr>
        <w:pStyle w:val="Paragraph"/>
      </w:pPr>
    </w:p>
    <w:p w14:paraId="6CA6BF77" w14:textId="77777777" w:rsidR="000A0F5D" w:rsidRPr="006259CB" w:rsidRDefault="000A0F5D" w:rsidP="00873720">
      <w:pPr>
        <w:pStyle w:val="Paragraph"/>
      </w:pPr>
    </w:p>
    <w:p w14:paraId="7211E0C3" w14:textId="77777777" w:rsidR="000A0F5D" w:rsidRPr="006259CB" w:rsidRDefault="000A0F5D" w:rsidP="00873720">
      <w:pPr>
        <w:pStyle w:val="Paragraph"/>
      </w:pPr>
    </w:p>
    <w:p w14:paraId="1C92575E" w14:textId="77777777" w:rsidR="000A0F5D" w:rsidRPr="006259CB" w:rsidRDefault="000A0F5D" w:rsidP="00873720">
      <w:pPr>
        <w:pStyle w:val="Paragraph"/>
      </w:pPr>
    </w:p>
    <w:p w14:paraId="53D391E3" w14:textId="77777777" w:rsidR="000A0F5D" w:rsidRPr="006259CB" w:rsidRDefault="000A0F5D" w:rsidP="00873720">
      <w:pPr>
        <w:pStyle w:val="Paragraph"/>
      </w:pPr>
    </w:p>
    <w:p w14:paraId="59597A02" w14:textId="77777777" w:rsidR="003A3F03" w:rsidRPr="006259CB" w:rsidRDefault="003A3F03" w:rsidP="00873720">
      <w:pPr>
        <w:pStyle w:val="Paragraph"/>
      </w:pPr>
    </w:p>
    <w:p w14:paraId="1EE8C3F6" w14:textId="77777777" w:rsidR="003A3F03" w:rsidRPr="006259CB" w:rsidRDefault="003A3F03" w:rsidP="00873720">
      <w:pPr>
        <w:pStyle w:val="Paragraph"/>
      </w:pPr>
    </w:p>
    <w:p w14:paraId="4078D81D" w14:textId="77777777" w:rsidR="003A3F03" w:rsidRPr="006259CB" w:rsidRDefault="003A3F03" w:rsidP="00873720">
      <w:pPr>
        <w:pStyle w:val="Paragraph"/>
      </w:pPr>
    </w:p>
    <w:p w14:paraId="4BCCB98B" w14:textId="77777777" w:rsidR="00413F90" w:rsidRPr="006259CB" w:rsidRDefault="00413F90" w:rsidP="00873720">
      <w:pPr>
        <w:pStyle w:val="Paragraph"/>
      </w:pPr>
    </w:p>
    <w:p w14:paraId="04079C61" w14:textId="77777777" w:rsidR="0069700E" w:rsidRPr="006259CB" w:rsidRDefault="0069700E" w:rsidP="00873720">
      <w:pPr>
        <w:pStyle w:val="Paragraph"/>
      </w:pPr>
    </w:p>
    <w:p w14:paraId="4E1A7430" w14:textId="77777777" w:rsidR="007211B9" w:rsidRPr="006259CB" w:rsidRDefault="007211B9" w:rsidP="00873720">
      <w:pPr>
        <w:pStyle w:val="Paragraph"/>
      </w:pPr>
    </w:p>
    <w:p w14:paraId="5C66DC6F" w14:textId="77777777" w:rsidR="00A34AD0" w:rsidRPr="006259CB" w:rsidRDefault="00A34AD0" w:rsidP="00873720">
      <w:pPr>
        <w:pStyle w:val="Item"/>
      </w:pPr>
    </w:p>
    <w:p w14:paraId="52C531F4" w14:textId="151EDF3D" w:rsidR="008D4376" w:rsidRPr="006259CB" w:rsidRDefault="430FCD88" w:rsidP="00873720">
      <w:pPr>
        <w:pStyle w:val="Item"/>
      </w:pPr>
      <w:bookmarkStart w:id="2" w:name="_Toc225322713"/>
      <w:r>
        <w:t xml:space="preserve">Item 2:  </w:t>
      </w:r>
      <w:r w:rsidR="6CD31427">
        <w:t>Table of Contents</w:t>
      </w:r>
      <w:bookmarkEnd w:id="1"/>
      <w:bookmarkEnd w:id="2"/>
    </w:p>
    <w:p w14:paraId="721A41BE" w14:textId="7ED4F2CD" w:rsidR="002A6624" w:rsidRPr="006259CB" w:rsidRDefault="00D54EC8" w:rsidP="00AC2E16">
      <w:bookmarkStart w:id="3" w:name="_Toc193901661"/>
      <w:r w:rsidRPr="006259CB">
        <w:rPr>
          <w:color w:val="6586A4"/>
        </w:rPr>
        <w:t>_______________________________</w:t>
      </w:r>
      <w:r w:rsidR="00DC5A08" w:rsidRPr="006259CB">
        <w:rPr>
          <w:color w:val="6586A4"/>
        </w:rPr>
        <w:t>_____</w:t>
      </w:r>
      <w:r w:rsidRPr="006259CB">
        <w:rPr>
          <w:color w:val="6586A4"/>
        </w:rPr>
        <w:t>_______</w:t>
      </w:r>
      <w:r w:rsidR="00961C2B" w:rsidRPr="006259CB">
        <w:rPr>
          <w:color w:val="6586A4"/>
        </w:rPr>
        <w:t>______</w:t>
      </w:r>
      <w:r w:rsidRPr="006259CB">
        <w:rPr>
          <w:color w:val="6586A4"/>
        </w:rPr>
        <w:t>__</w:t>
      </w:r>
      <w:r w:rsidR="00323F05" w:rsidRPr="006259CB">
        <w:rPr>
          <w:color w:val="6586A4"/>
        </w:rPr>
        <w:t>_______________________________________</w:t>
      </w:r>
      <w:bookmarkEnd w:id="3"/>
    </w:p>
    <w:sdt>
      <w:sdtPr>
        <w:rPr>
          <w:rFonts w:ascii="Arial" w:eastAsia="Times New Roman" w:hAnsi="Arial" w:cs="Arial"/>
          <w:b w:val="0"/>
          <w:bCs w:val="0"/>
          <w:color w:val="000000" w:themeColor="text1"/>
          <w:sz w:val="20"/>
          <w:szCs w:val="20"/>
          <w:lang w:eastAsia="en-US"/>
        </w:rPr>
        <w:id w:val="-1774468486"/>
        <w:docPartObj>
          <w:docPartGallery w:val="Table of Contents"/>
          <w:docPartUnique/>
        </w:docPartObj>
      </w:sdtPr>
      <w:sdtEndPr>
        <w:rPr>
          <w:noProof/>
        </w:rPr>
      </w:sdtEndPr>
      <w:sdtContent>
        <w:p w14:paraId="793840B0" w14:textId="55BFAC66" w:rsidR="009C7FA7" w:rsidRDefault="009C7FA7">
          <w:pPr>
            <w:pStyle w:val="TOCHeading"/>
          </w:pPr>
        </w:p>
        <w:p w14:paraId="4C21D9EE" w14:textId="62B75A7F" w:rsidR="009C7FA7" w:rsidRPr="009C7FA7" w:rsidRDefault="009C7FA7">
          <w:pPr>
            <w:pStyle w:val="TOC1"/>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225322712" w:history="1">
            <w:r w:rsidRPr="009C7FA7">
              <w:rPr>
                <w:rStyle w:val="Hyperlink"/>
                <w:noProof/>
              </w:rPr>
              <w:t>Item 1:  Cover Page</w:t>
            </w:r>
            <w:r w:rsidRPr="009C7FA7">
              <w:rPr>
                <w:noProof/>
                <w:webHidden/>
              </w:rPr>
              <w:tab/>
            </w:r>
            <w:r w:rsidRPr="009C7FA7">
              <w:rPr>
                <w:noProof/>
                <w:webHidden/>
              </w:rPr>
              <w:fldChar w:fldCharType="begin"/>
            </w:r>
            <w:r w:rsidRPr="009C7FA7">
              <w:rPr>
                <w:noProof/>
                <w:webHidden/>
              </w:rPr>
              <w:instrText xml:space="preserve"> PAGEREF _Toc225322712 \h </w:instrText>
            </w:r>
            <w:r w:rsidRPr="009C7FA7">
              <w:rPr>
                <w:noProof/>
                <w:webHidden/>
              </w:rPr>
            </w:r>
            <w:r w:rsidRPr="009C7FA7">
              <w:rPr>
                <w:noProof/>
                <w:webHidden/>
              </w:rPr>
              <w:fldChar w:fldCharType="separate"/>
            </w:r>
            <w:r w:rsidR="005317BA">
              <w:rPr>
                <w:noProof/>
                <w:webHidden/>
              </w:rPr>
              <w:t>1</w:t>
            </w:r>
            <w:r w:rsidRPr="009C7FA7">
              <w:rPr>
                <w:noProof/>
                <w:webHidden/>
              </w:rPr>
              <w:fldChar w:fldCharType="end"/>
            </w:r>
          </w:hyperlink>
        </w:p>
        <w:p w14:paraId="49B26ECE" w14:textId="3812FE4B" w:rsidR="009C7FA7" w:rsidRPr="009C7FA7" w:rsidRDefault="009C7FA7">
          <w:pPr>
            <w:pStyle w:val="TOC1"/>
            <w:rPr>
              <w:rFonts w:asciiTheme="minorHAnsi" w:eastAsiaTheme="minorEastAsia" w:hAnsiTheme="minorHAnsi" w:cstheme="minorBidi"/>
              <w:noProof/>
              <w:color w:val="auto"/>
              <w:kern w:val="2"/>
              <w:sz w:val="24"/>
              <w:szCs w:val="24"/>
              <w14:ligatures w14:val="standardContextual"/>
            </w:rPr>
          </w:pPr>
          <w:hyperlink w:anchor="_Toc225322713" w:history="1">
            <w:r w:rsidRPr="009C7FA7">
              <w:rPr>
                <w:rStyle w:val="Hyperlink"/>
                <w:noProof/>
              </w:rPr>
              <w:t>Item 2:  Table of Contents</w:t>
            </w:r>
            <w:r w:rsidRPr="009C7FA7">
              <w:rPr>
                <w:noProof/>
                <w:webHidden/>
              </w:rPr>
              <w:tab/>
            </w:r>
            <w:r w:rsidRPr="009C7FA7">
              <w:rPr>
                <w:noProof/>
                <w:webHidden/>
              </w:rPr>
              <w:fldChar w:fldCharType="begin"/>
            </w:r>
            <w:r w:rsidRPr="009C7FA7">
              <w:rPr>
                <w:noProof/>
                <w:webHidden/>
              </w:rPr>
              <w:instrText xml:space="preserve"> PAGEREF _Toc225322713 \h </w:instrText>
            </w:r>
            <w:r w:rsidRPr="009C7FA7">
              <w:rPr>
                <w:noProof/>
                <w:webHidden/>
              </w:rPr>
            </w:r>
            <w:r w:rsidRPr="009C7FA7">
              <w:rPr>
                <w:noProof/>
                <w:webHidden/>
              </w:rPr>
              <w:fldChar w:fldCharType="separate"/>
            </w:r>
            <w:r w:rsidR="005317BA">
              <w:rPr>
                <w:noProof/>
                <w:webHidden/>
              </w:rPr>
              <w:t>2</w:t>
            </w:r>
            <w:r w:rsidRPr="009C7FA7">
              <w:rPr>
                <w:noProof/>
                <w:webHidden/>
              </w:rPr>
              <w:fldChar w:fldCharType="end"/>
            </w:r>
          </w:hyperlink>
        </w:p>
        <w:p w14:paraId="5D51AB87" w14:textId="4A73B15C" w:rsidR="009C7FA7" w:rsidRPr="009C7FA7" w:rsidRDefault="009C7FA7">
          <w:pPr>
            <w:pStyle w:val="TOC1"/>
            <w:rPr>
              <w:rFonts w:asciiTheme="minorHAnsi" w:eastAsiaTheme="minorEastAsia" w:hAnsiTheme="minorHAnsi" w:cstheme="minorBidi"/>
              <w:noProof/>
              <w:color w:val="auto"/>
              <w:kern w:val="2"/>
              <w:sz w:val="24"/>
              <w:szCs w:val="24"/>
              <w14:ligatures w14:val="standardContextual"/>
            </w:rPr>
          </w:pPr>
          <w:hyperlink w:anchor="_Toc225322714" w:history="1">
            <w:r w:rsidRPr="009C7FA7">
              <w:rPr>
                <w:rStyle w:val="Hyperlink"/>
                <w:noProof/>
              </w:rPr>
              <w:t>Item 3:  Material Changes</w:t>
            </w:r>
            <w:r w:rsidRPr="009C7FA7">
              <w:rPr>
                <w:noProof/>
                <w:webHidden/>
              </w:rPr>
              <w:tab/>
            </w:r>
            <w:r w:rsidRPr="009C7FA7">
              <w:rPr>
                <w:noProof/>
                <w:webHidden/>
              </w:rPr>
              <w:fldChar w:fldCharType="begin"/>
            </w:r>
            <w:r w:rsidRPr="009C7FA7">
              <w:rPr>
                <w:noProof/>
                <w:webHidden/>
              </w:rPr>
              <w:instrText xml:space="preserve"> PAGEREF _Toc225322714 \h </w:instrText>
            </w:r>
            <w:r w:rsidRPr="009C7FA7">
              <w:rPr>
                <w:noProof/>
                <w:webHidden/>
              </w:rPr>
            </w:r>
            <w:r w:rsidRPr="009C7FA7">
              <w:rPr>
                <w:noProof/>
                <w:webHidden/>
              </w:rPr>
              <w:fldChar w:fldCharType="separate"/>
            </w:r>
            <w:r w:rsidR="005317BA">
              <w:rPr>
                <w:noProof/>
                <w:webHidden/>
              </w:rPr>
              <w:t>3</w:t>
            </w:r>
            <w:r w:rsidRPr="009C7FA7">
              <w:rPr>
                <w:noProof/>
                <w:webHidden/>
              </w:rPr>
              <w:fldChar w:fldCharType="end"/>
            </w:r>
          </w:hyperlink>
        </w:p>
        <w:p w14:paraId="212E39F4" w14:textId="5367FF3F" w:rsidR="009C7FA7" w:rsidRPr="009C7FA7" w:rsidRDefault="009C7FA7">
          <w:pPr>
            <w:pStyle w:val="TOC1"/>
            <w:rPr>
              <w:rFonts w:asciiTheme="minorHAnsi" w:eastAsiaTheme="minorEastAsia" w:hAnsiTheme="minorHAnsi" w:cstheme="minorBidi"/>
              <w:noProof/>
              <w:color w:val="auto"/>
              <w:kern w:val="2"/>
              <w:sz w:val="24"/>
              <w:szCs w:val="24"/>
              <w14:ligatures w14:val="standardContextual"/>
            </w:rPr>
          </w:pPr>
          <w:hyperlink w:anchor="_Toc225322715" w:history="1">
            <w:r w:rsidRPr="009C7FA7">
              <w:rPr>
                <w:rStyle w:val="Hyperlink"/>
                <w:noProof/>
              </w:rPr>
              <w:t>Item 4:  Advisory Business</w:t>
            </w:r>
            <w:r w:rsidRPr="009C7FA7">
              <w:rPr>
                <w:noProof/>
                <w:webHidden/>
              </w:rPr>
              <w:tab/>
            </w:r>
            <w:r w:rsidRPr="009C7FA7">
              <w:rPr>
                <w:noProof/>
                <w:webHidden/>
              </w:rPr>
              <w:fldChar w:fldCharType="begin"/>
            </w:r>
            <w:r w:rsidRPr="009C7FA7">
              <w:rPr>
                <w:noProof/>
                <w:webHidden/>
              </w:rPr>
              <w:instrText xml:space="preserve"> PAGEREF _Toc225322715 \h </w:instrText>
            </w:r>
            <w:r w:rsidRPr="009C7FA7">
              <w:rPr>
                <w:noProof/>
                <w:webHidden/>
              </w:rPr>
            </w:r>
            <w:r w:rsidRPr="009C7FA7">
              <w:rPr>
                <w:noProof/>
                <w:webHidden/>
              </w:rPr>
              <w:fldChar w:fldCharType="separate"/>
            </w:r>
            <w:r w:rsidR="005317BA">
              <w:rPr>
                <w:noProof/>
                <w:webHidden/>
              </w:rPr>
              <w:t>4</w:t>
            </w:r>
            <w:r w:rsidRPr="009C7FA7">
              <w:rPr>
                <w:noProof/>
                <w:webHidden/>
              </w:rPr>
              <w:fldChar w:fldCharType="end"/>
            </w:r>
          </w:hyperlink>
        </w:p>
        <w:p w14:paraId="034EA478" w14:textId="57B7F225" w:rsidR="009C7FA7" w:rsidRPr="009C7FA7" w:rsidRDefault="009C7FA7">
          <w:pPr>
            <w:pStyle w:val="TOC1"/>
            <w:rPr>
              <w:rFonts w:asciiTheme="minorHAnsi" w:eastAsiaTheme="minorEastAsia" w:hAnsiTheme="minorHAnsi" w:cstheme="minorBidi"/>
              <w:noProof/>
              <w:color w:val="auto"/>
              <w:kern w:val="2"/>
              <w:sz w:val="24"/>
              <w:szCs w:val="24"/>
              <w14:ligatures w14:val="standardContextual"/>
            </w:rPr>
          </w:pPr>
          <w:hyperlink w:anchor="_Toc225322717" w:history="1">
            <w:r w:rsidRPr="009C7FA7">
              <w:rPr>
                <w:rStyle w:val="Hyperlink"/>
                <w:noProof/>
              </w:rPr>
              <w:t>Item 5:  Fees &amp; Compensation</w:t>
            </w:r>
            <w:r w:rsidRPr="009C7FA7">
              <w:rPr>
                <w:noProof/>
                <w:webHidden/>
              </w:rPr>
              <w:tab/>
            </w:r>
            <w:r w:rsidRPr="009C7FA7">
              <w:rPr>
                <w:noProof/>
                <w:webHidden/>
              </w:rPr>
              <w:fldChar w:fldCharType="begin"/>
            </w:r>
            <w:r w:rsidRPr="009C7FA7">
              <w:rPr>
                <w:noProof/>
                <w:webHidden/>
              </w:rPr>
              <w:instrText xml:space="preserve"> PAGEREF _Toc225322717 \h </w:instrText>
            </w:r>
            <w:r w:rsidRPr="009C7FA7">
              <w:rPr>
                <w:noProof/>
                <w:webHidden/>
              </w:rPr>
            </w:r>
            <w:r w:rsidRPr="009C7FA7">
              <w:rPr>
                <w:noProof/>
                <w:webHidden/>
              </w:rPr>
              <w:fldChar w:fldCharType="separate"/>
            </w:r>
            <w:r w:rsidR="005317BA">
              <w:rPr>
                <w:noProof/>
                <w:webHidden/>
              </w:rPr>
              <w:t>8</w:t>
            </w:r>
            <w:r w:rsidRPr="009C7FA7">
              <w:rPr>
                <w:noProof/>
                <w:webHidden/>
              </w:rPr>
              <w:fldChar w:fldCharType="end"/>
            </w:r>
          </w:hyperlink>
        </w:p>
        <w:p w14:paraId="18C38A0F" w14:textId="46D1629D" w:rsidR="009C7FA7" w:rsidRPr="009C7FA7" w:rsidRDefault="009C7FA7">
          <w:pPr>
            <w:pStyle w:val="TOC1"/>
            <w:rPr>
              <w:rFonts w:asciiTheme="minorHAnsi" w:eastAsiaTheme="minorEastAsia" w:hAnsiTheme="minorHAnsi" w:cstheme="minorBidi"/>
              <w:noProof/>
              <w:color w:val="auto"/>
              <w:kern w:val="2"/>
              <w:sz w:val="24"/>
              <w:szCs w:val="24"/>
              <w14:ligatures w14:val="standardContextual"/>
            </w:rPr>
          </w:pPr>
          <w:hyperlink w:anchor="_Toc225322724" w:history="1">
            <w:r w:rsidRPr="009C7FA7">
              <w:rPr>
                <w:rStyle w:val="Hyperlink"/>
                <w:noProof/>
              </w:rPr>
              <w:t>Item 6:  Performance-Based Fees &amp; Side-by-Side Management</w:t>
            </w:r>
            <w:r w:rsidRPr="009C7FA7">
              <w:rPr>
                <w:noProof/>
                <w:webHidden/>
              </w:rPr>
              <w:tab/>
            </w:r>
            <w:r w:rsidRPr="009C7FA7">
              <w:rPr>
                <w:noProof/>
                <w:webHidden/>
              </w:rPr>
              <w:fldChar w:fldCharType="begin"/>
            </w:r>
            <w:r w:rsidRPr="009C7FA7">
              <w:rPr>
                <w:noProof/>
                <w:webHidden/>
              </w:rPr>
              <w:instrText xml:space="preserve"> PAGEREF _Toc225322724 \h </w:instrText>
            </w:r>
            <w:r w:rsidRPr="009C7FA7">
              <w:rPr>
                <w:noProof/>
                <w:webHidden/>
              </w:rPr>
            </w:r>
            <w:r w:rsidRPr="009C7FA7">
              <w:rPr>
                <w:noProof/>
                <w:webHidden/>
              </w:rPr>
              <w:fldChar w:fldCharType="separate"/>
            </w:r>
            <w:r w:rsidR="005317BA">
              <w:rPr>
                <w:noProof/>
                <w:webHidden/>
              </w:rPr>
              <w:t>14</w:t>
            </w:r>
            <w:r w:rsidRPr="009C7FA7">
              <w:rPr>
                <w:noProof/>
                <w:webHidden/>
              </w:rPr>
              <w:fldChar w:fldCharType="end"/>
            </w:r>
          </w:hyperlink>
        </w:p>
        <w:p w14:paraId="20942B1B" w14:textId="69C0ED76" w:rsidR="009C7FA7" w:rsidRPr="009C7FA7" w:rsidRDefault="009C7FA7">
          <w:pPr>
            <w:pStyle w:val="TOC1"/>
            <w:rPr>
              <w:rFonts w:asciiTheme="minorHAnsi" w:eastAsiaTheme="minorEastAsia" w:hAnsiTheme="minorHAnsi" w:cstheme="minorBidi"/>
              <w:noProof/>
              <w:color w:val="auto"/>
              <w:kern w:val="2"/>
              <w:sz w:val="24"/>
              <w:szCs w:val="24"/>
              <w14:ligatures w14:val="standardContextual"/>
            </w:rPr>
          </w:pPr>
          <w:hyperlink w:anchor="_Toc225322725" w:history="1">
            <w:r w:rsidRPr="009C7FA7">
              <w:rPr>
                <w:rStyle w:val="Hyperlink"/>
                <w:noProof/>
              </w:rPr>
              <w:t>Item 7:  Types of Clients</w:t>
            </w:r>
            <w:r w:rsidRPr="009C7FA7">
              <w:rPr>
                <w:noProof/>
                <w:webHidden/>
              </w:rPr>
              <w:tab/>
            </w:r>
            <w:r w:rsidRPr="009C7FA7">
              <w:rPr>
                <w:noProof/>
                <w:webHidden/>
              </w:rPr>
              <w:fldChar w:fldCharType="begin"/>
            </w:r>
            <w:r w:rsidRPr="009C7FA7">
              <w:rPr>
                <w:noProof/>
                <w:webHidden/>
              </w:rPr>
              <w:instrText xml:space="preserve"> PAGEREF _Toc225322725 \h </w:instrText>
            </w:r>
            <w:r w:rsidRPr="009C7FA7">
              <w:rPr>
                <w:noProof/>
                <w:webHidden/>
              </w:rPr>
            </w:r>
            <w:r w:rsidRPr="009C7FA7">
              <w:rPr>
                <w:noProof/>
                <w:webHidden/>
              </w:rPr>
              <w:fldChar w:fldCharType="separate"/>
            </w:r>
            <w:r w:rsidR="005317BA">
              <w:rPr>
                <w:noProof/>
                <w:webHidden/>
              </w:rPr>
              <w:t>14</w:t>
            </w:r>
            <w:r w:rsidRPr="009C7FA7">
              <w:rPr>
                <w:noProof/>
                <w:webHidden/>
              </w:rPr>
              <w:fldChar w:fldCharType="end"/>
            </w:r>
          </w:hyperlink>
        </w:p>
        <w:p w14:paraId="6F46737D" w14:textId="2962AC33" w:rsidR="009C7FA7" w:rsidRPr="009C7FA7" w:rsidRDefault="009C7FA7">
          <w:pPr>
            <w:pStyle w:val="TOC1"/>
            <w:rPr>
              <w:rFonts w:asciiTheme="minorHAnsi" w:eastAsiaTheme="minorEastAsia" w:hAnsiTheme="minorHAnsi" w:cstheme="minorBidi"/>
              <w:noProof/>
              <w:color w:val="auto"/>
              <w:kern w:val="2"/>
              <w:sz w:val="24"/>
              <w:szCs w:val="24"/>
              <w14:ligatures w14:val="standardContextual"/>
            </w:rPr>
          </w:pPr>
          <w:hyperlink w:anchor="_Toc225322726" w:history="1">
            <w:r w:rsidRPr="009C7FA7">
              <w:rPr>
                <w:rStyle w:val="Hyperlink"/>
                <w:noProof/>
              </w:rPr>
              <w:t>Item 8:  Methods of Analysis, Investment Strategies &amp; Risk of Loss</w:t>
            </w:r>
            <w:r w:rsidRPr="009C7FA7">
              <w:rPr>
                <w:noProof/>
                <w:webHidden/>
              </w:rPr>
              <w:tab/>
            </w:r>
            <w:r w:rsidRPr="009C7FA7">
              <w:rPr>
                <w:noProof/>
                <w:webHidden/>
              </w:rPr>
              <w:fldChar w:fldCharType="begin"/>
            </w:r>
            <w:r w:rsidRPr="009C7FA7">
              <w:rPr>
                <w:noProof/>
                <w:webHidden/>
              </w:rPr>
              <w:instrText xml:space="preserve"> PAGEREF _Toc225322726 \h </w:instrText>
            </w:r>
            <w:r w:rsidRPr="009C7FA7">
              <w:rPr>
                <w:noProof/>
                <w:webHidden/>
              </w:rPr>
            </w:r>
            <w:r w:rsidRPr="009C7FA7">
              <w:rPr>
                <w:noProof/>
                <w:webHidden/>
              </w:rPr>
              <w:fldChar w:fldCharType="separate"/>
            </w:r>
            <w:r w:rsidR="005317BA">
              <w:rPr>
                <w:noProof/>
                <w:webHidden/>
              </w:rPr>
              <w:t>14</w:t>
            </w:r>
            <w:r w:rsidRPr="009C7FA7">
              <w:rPr>
                <w:noProof/>
                <w:webHidden/>
              </w:rPr>
              <w:fldChar w:fldCharType="end"/>
            </w:r>
          </w:hyperlink>
        </w:p>
        <w:p w14:paraId="7CC96397" w14:textId="4974DC52" w:rsidR="009C7FA7" w:rsidRPr="009C7FA7" w:rsidRDefault="009C7FA7">
          <w:pPr>
            <w:pStyle w:val="TOC1"/>
            <w:rPr>
              <w:rFonts w:asciiTheme="minorHAnsi" w:eastAsiaTheme="minorEastAsia" w:hAnsiTheme="minorHAnsi" w:cstheme="minorBidi"/>
              <w:noProof/>
              <w:color w:val="auto"/>
              <w:kern w:val="2"/>
              <w:sz w:val="24"/>
              <w:szCs w:val="24"/>
              <w14:ligatures w14:val="standardContextual"/>
            </w:rPr>
          </w:pPr>
          <w:hyperlink w:anchor="_Toc225322727" w:history="1">
            <w:r w:rsidRPr="009C7FA7">
              <w:rPr>
                <w:rStyle w:val="Hyperlink"/>
                <w:noProof/>
              </w:rPr>
              <w:t>Item 9:  Disciplinary Information</w:t>
            </w:r>
            <w:r w:rsidRPr="009C7FA7">
              <w:rPr>
                <w:noProof/>
                <w:webHidden/>
              </w:rPr>
              <w:tab/>
            </w:r>
            <w:r w:rsidRPr="009C7FA7">
              <w:rPr>
                <w:noProof/>
                <w:webHidden/>
              </w:rPr>
              <w:fldChar w:fldCharType="begin"/>
            </w:r>
            <w:r w:rsidRPr="009C7FA7">
              <w:rPr>
                <w:noProof/>
                <w:webHidden/>
              </w:rPr>
              <w:instrText xml:space="preserve"> PAGEREF _Toc225322727 \h </w:instrText>
            </w:r>
            <w:r w:rsidRPr="009C7FA7">
              <w:rPr>
                <w:noProof/>
                <w:webHidden/>
              </w:rPr>
            </w:r>
            <w:r w:rsidRPr="009C7FA7">
              <w:rPr>
                <w:noProof/>
                <w:webHidden/>
              </w:rPr>
              <w:fldChar w:fldCharType="separate"/>
            </w:r>
            <w:r w:rsidR="005317BA">
              <w:rPr>
                <w:noProof/>
                <w:webHidden/>
              </w:rPr>
              <w:t>19</w:t>
            </w:r>
            <w:r w:rsidRPr="009C7FA7">
              <w:rPr>
                <w:noProof/>
                <w:webHidden/>
              </w:rPr>
              <w:fldChar w:fldCharType="end"/>
            </w:r>
          </w:hyperlink>
        </w:p>
        <w:p w14:paraId="54FE8852" w14:textId="23350DAF" w:rsidR="009C7FA7" w:rsidRPr="009C7FA7" w:rsidRDefault="009C7FA7">
          <w:pPr>
            <w:pStyle w:val="TOC1"/>
            <w:rPr>
              <w:rFonts w:asciiTheme="minorHAnsi" w:eastAsiaTheme="minorEastAsia" w:hAnsiTheme="minorHAnsi" w:cstheme="minorBidi"/>
              <w:noProof/>
              <w:color w:val="auto"/>
              <w:kern w:val="2"/>
              <w:sz w:val="24"/>
              <w:szCs w:val="24"/>
              <w14:ligatures w14:val="standardContextual"/>
            </w:rPr>
          </w:pPr>
          <w:hyperlink w:anchor="_Toc225322728" w:history="1">
            <w:r w:rsidRPr="009C7FA7">
              <w:rPr>
                <w:rStyle w:val="Hyperlink"/>
                <w:noProof/>
              </w:rPr>
              <w:t>Item 10:  Other Financial Industry Activities &amp; Affiliations</w:t>
            </w:r>
            <w:r w:rsidRPr="009C7FA7">
              <w:rPr>
                <w:noProof/>
                <w:webHidden/>
              </w:rPr>
              <w:tab/>
            </w:r>
            <w:r w:rsidRPr="009C7FA7">
              <w:rPr>
                <w:noProof/>
                <w:webHidden/>
              </w:rPr>
              <w:fldChar w:fldCharType="begin"/>
            </w:r>
            <w:r w:rsidRPr="009C7FA7">
              <w:rPr>
                <w:noProof/>
                <w:webHidden/>
              </w:rPr>
              <w:instrText xml:space="preserve"> PAGEREF _Toc225322728 \h </w:instrText>
            </w:r>
            <w:r w:rsidRPr="009C7FA7">
              <w:rPr>
                <w:noProof/>
                <w:webHidden/>
              </w:rPr>
            </w:r>
            <w:r w:rsidRPr="009C7FA7">
              <w:rPr>
                <w:noProof/>
                <w:webHidden/>
              </w:rPr>
              <w:fldChar w:fldCharType="separate"/>
            </w:r>
            <w:r w:rsidR="005317BA">
              <w:rPr>
                <w:noProof/>
                <w:webHidden/>
              </w:rPr>
              <w:t>19</w:t>
            </w:r>
            <w:r w:rsidRPr="009C7FA7">
              <w:rPr>
                <w:noProof/>
                <w:webHidden/>
              </w:rPr>
              <w:fldChar w:fldCharType="end"/>
            </w:r>
          </w:hyperlink>
        </w:p>
        <w:p w14:paraId="43C0A45B" w14:textId="455AA886" w:rsidR="009C7FA7" w:rsidRPr="009C7FA7" w:rsidRDefault="009C7FA7">
          <w:pPr>
            <w:pStyle w:val="TOC1"/>
            <w:rPr>
              <w:rFonts w:asciiTheme="minorHAnsi" w:eastAsiaTheme="minorEastAsia" w:hAnsiTheme="minorHAnsi" w:cstheme="minorBidi"/>
              <w:noProof/>
              <w:color w:val="auto"/>
              <w:kern w:val="2"/>
              <w:sz w:val="24"/>
              <w:szCs w:val="24"/>
              <w14:ligatures w14:val="standardContextual"/>
            </w:rPr>
          </w:pPr>
          <w:hyperlink w:anchor="_Toc225322729" w:history="1">
            <w:r w:rsidRPr="009C7FA7">
              <w:rPr>
                <w:rStyle w:val="Hyperlink"/>
                <w:noProof/>
              </w:rPr>
              <w:t>Item 11:  Code of Ethics, Participation or Interest in Client Transactions &amp; Personal Trading</w:t>
            </w:r>
            <w:r w:rsidRPr="009C7FA7">
              <w:rPr>
                <w:noProof/>
                <w:webHidden/>
              </w:rPr>
              <w:tab/>
            </w:r>
            <w:r w:rsidRPr="009C7FA7">
              <w:rPr>
                <w:noProof/>
                <w:webHidden/>
              </w:rPr>
              <w:fldChar w:fldCharType="begin"/>
            </w:r>
            <w:r w:rsidRPr="009C7FA7">
              <w:rPr>
                <w:noProof/>
                <w:webHidden/>
              </w:rPr>
              <w:instrText xml:space="preserve"> PAGEREF _Toc225322729 \h </w:instrText>
            </w:r>
            <w:r w:rsidRPr="009C7FA7">
              <w:rPr>
                <w:noProof/>
                <w:webHidden/>
              </w:rPr>
            </w:r>
            <w:r w:rsidRPr="009C7FA7">
              <w:rPr>
                <w:noProof/>
                <w:webHidden/>
              </w:rPr>
              <w:fldChar w:fldCharType="separate"/>
            </w:r>
            <w:r w:rsidR="005317BA">
              <w:rPr>
                <w:noProof/>
                <w:webHidden/>
              </w:rPr>
              <w:t>20</w:t>
            </w:r>
            <w:r w:rsidRPr="009C7FA7">
              <w:rPr>
                <w:noProof/>
                <w:webHidden/>
              </w:rPr>
              <w:fldChar w:fldCharType="end"/>
            </w:r>
          </w:hyperlink>
        </w:p>
        <w:p w14:paraId="27FB8B34" w14:textId="41FFEE20" w:rsidR="009C7FA7" w:rsidRPr="009C7FA7" w:rsidRDefault="009C7FA7">
          <w:pPr>
            <w:pStyle w:val="TOC1"/>
            <w:rPr>
              <w:rFonts w:asciiTheme="minorHAnsi" w:eastAsiaTheme="minorEastAsia" w:hAnsiTheme="minorHAnsi" w:cstheme="minorBidi"/>
              <w:noProof/>
              <w:color w:val="auto"/>
              <w:kern w:val="2"/>
              <w:sz w:val="24"/>
              <w:szCs w:val="24"/>
              <w14:ligatures w14:val="standardContextual"/>
            </w:rPr>
          </w:pPr>
          <w:hyperlink w:anchor="_Toc225322731" w:history="1">
            <w:r w:rsidRPr="009C7FA7">
              <w:rPr>
                <w:rStyle w:val="Hyperlink"/>
                <w:noProof/>
              </w:rPr>
              <w:t>Item 12:  Brokerage Practices</w:t>
            </w:r>
            <w:r w:rsidRPr="009C7FA7">
              <w:rPr>
                <w:noProof/>
                <w:webHidden/>
              </w:rPr>
              <w:tab/>
            </w:r>
            <w:r w:rsidRPr="009C7FA7">
              <w:rPr>
                <w:noProof/>
                <w:webHidden/>
              </w:rPr>
              <w:fldChar w:fldCharType="begin"/>
            </w:r>
            <w:r w:rsidRPr="009C7FA7">
              <w:rPr>
                <w:noProof/>
                <w:webHidden/>
              </w:rPr>
              <w:instrText xml:space="preserve"> PAGEREF _Toc225322731 \h </w:instrText>
            </w:r>
            <w:r w:rsidRPr="009C7FA7">
              <w:rPr>
                <w:noProof/>
                <w:webHidden/>
              </w:rPr>
            </w:r>
            <w:r w:rsidRPr="009C7FA7">
              <w:rPr>
                <w:noProof/>
                <w:webHidden/>
              </w:rPr>
              <w:fldChar w:fldCharType="separate"/>
            </w:r>
            <w:r w:rsidR="005317BA">
              <w:rPr>
                <w:noProof/>
                <w:webHidden/>
              </w:rPr>
              <w:t>22</w:t>
            </w:r>
            <w:r w:rsidRPr="009C7FA7">
              <w:rPr>
                <w:noProof/>
                <w:webHidden/>
              </w:rPr>
              <w:fldChar w:fldCharType="end"/>
            </w:r>
          </w:hyperlink>
        </w:p>
        <w:p w14:paraId="50A9B3E8" w14:textId="125F2C7A" w:rsidR="009C7FA7" w:rsidRPr="009C7FA7" w:rsidRDefault="009C7FA7">
          <w:pPr>
            <w:pStyle w:val="TOC1"/>
            <w:rPr>
              <w:rFonts w:asciiTheme="minorHAnsi" w:eastAsiaTheme="minorEastAsia" w:hAnsiTheme="minorHAnsi" w:cstheme="minorBidi"/>
              <w:noProof/>
              <w:color w:val="auto"/>
              <w:kern w:val="2"/>
              <w:sz w:val="24"/>
              <w:szCs w:val="24"/>
              <w14:ligatures w14:val="standardContextual"/>
            </w:rPr>
          </w:pPr>
          <w:hyperlink w:anchor="_Toc225322733" w:history="1">
            <w:r w:rsidRPr="009C7FA7">
              <w:rPr>
                <w:rStyle w:val="Hyperlink"/>
                <w:noProof/>
              </w:rPr>
              <w:t>Item 13:  Review of Accounts</w:t>
            </w:r>
            <w:r w:rsidRPr="009C7FA7">
              <w:rPr>
                <w:noProof/>
                <w:webHidden/>
              </w:rPr>
              <w:tab/>
            </w:r>
            <w:r w:rsidRPr="009C7FA7">
              <w:rPr>
                <w:noProof/>
                <w:webHidden/>
              </w:rPr>
              <w:fldChar w:fldCharType="begin"/>
            </w:r>
            <w:r w:rsidRPr="009C7FA7">
              <w:rPr>
                <w:noProof/>
                <w:webHidden/>
              </w:rPr>
              <w:instrText xml:space="preserve"> PAGEREF _Toc225322733 \h </w:instrText>
            </w:r>
            <w:r w:rsidRPr="009C7FA7">
              <w:rPr>
                <w:noProof/>
                <w:webHidden/>
              </w:rPr>
            </w:r>
            <w:r w:rsidRPr="009C7FA7">
              <w:rPr>
                <w:noProof/>
                <w:webHidden/>
              </w:rPr>
              <w:fldChar w:fldCharType="separate"/>
            </w:r>
            <w:r w:rsidR="005317BA">
              <w:rPr>
                <w:noProof/>
                <w:webHidden/>
              </w:rPr>
              <w:t>25</w:t>
            </w:r>
            <w:r w:rsidRPr="009C7FA7">
              <w:rPr>
                <w:noProof/>
                <w:webHidden/>
              </w:rPr>
              <w:fldChar w:fldCharType="end"/>
            </w:r>
          </w:hyperlink>
        </w:p>
        <w:p w14:paraId="1967B442" w14:textId="6839F88B" w:rsidR="009C7FA7" w:rsidRPr="009C7FA7" w:rsidRDefault="009C7FA7">
          <w:pPr>
            <w:pStyle w:val="TOC1"/>
            <w:rPr>
              <w:rFonts w:asciiTheme="minorHAnsi" w:eastAsiaTheme="minorEastAsia" w:hAnsiTheme="minorHAnsi" w:cstheme="minorBidi"/>
              <w:noProof/>
              <w:color w:val="auto"/>
              <w:kern w:val="2"/>
              <w:sz w:val="24"/>
              <w:szCs w:val="24"/>
              <w14:ligatures w14:val="standardContextual"/>
            </w:rPr>
          </w:pPr>
          <w:hyperlink w:anchor="_Toc225322734" w:history="1">
            <w:r w:rsidRPr="009C7FA7">
              <w:rPr>
                <w:rStyle w:val="Hyperlink"/>
                <w:noProof/>
              </w:rPr>
              <w:t>Item 14:  Client Referrals &amp; Other Compensation</w:t>
            </w:r>
            <w:r w:rsidRPr="009C7FA7">
              <w:rPr>
                <w:noProof/>
                <w:webHidden/>
              </w:rPr>
              <w:tab/>
            </w:r>
            <w:r w:rsidRPr="009C7FA7">
              <w:rPr>
                <w:noProof/>
                <w:webHidden/>
              </w:rPr>
              <w:fldChar w:fldCharType="begin"/>
            </w:r>
            <w:r w:rsidRPr="009C7FA7">
              <w:rPr>
                <w:noProof/>
                <w:webHidden/>
              </w:rPr>
              <w:instrText xml:space="preserve"> PAGEREF _Toc225322734 \h </w:instrText>
            </w:r>
            <w:r w:rsidRPr="009C7FA7">
              <w:rPr>
                <w:noProof/>
                <w:webHidden/>
              </w:rPr>
            </w:r>
            <w:r w:rsidRPr="009C7FA7">
              <w:rPr>
                <w:noProof/>
                <w:webHidden/>
              </w:rPr>
              <w:fldChar w:fldCharType="separate"/>
            </w:r>
            <w:r w:rsidR="005317BA">
              <w:rPr>
                <w:noProof/>
                <w:webHidden/>
              </w:rPr>
              <w:t>26</w:t>
            </w:r>
            <w:r w:rsidRPr="009C7FA7">
              <w:rPr>
                <w:noProof/>
                <w:webHidden/>
              </w:rPr>
              <w:fldChar w:fldCharType="end"/>
            </w:r>
          </w:hyperlink>
        </w:p>
        <w:p w14:paraId="3A7B0DCF" w14:textId="1300DD7E" w:rsidR="009C7FA7" w:rsidRPr="009C7FA7" w:rsidRDefault="009C7FA7">
          <w:pPr>
            <w:pStyle w:val="TOC1"/>
            <w:rPr>
              <w:rFonts w:asciiTheme="minorHAnsi" w:eastAsiaTheme="minorEastAsia" w:hAnsiTheme="minorHAnsi" w:cstheme="minorBidi"/>
              <w:noProof/>
              <w:color w:val="auto"/>
              <w:kern w:val="2"/>
              <w:sz w:val="24"/>
              <w:szCs w:val="24"/>
              <w14:ligatures w14:val="standardContextual"/>
            </w:rPr>
          </w:pPr>
          <w:hyperlink w:anchor="_Toc225322735" w:history="1">
            <w:r w:rsidRPr="009C7FA7">
              <w:rPr>
                <w:rStyle w:val="Hyperlink"/>
                <w:noProof/>
              </w:rPr>
              <w:t>Item 15:  Custody</w:t>
            </w:r>
            <w:r w:rsidRPr="009C7FA7">
              <w:rPr>
                <w:noProof/>
                <w:webHidden/>
              </w:rPr>
              <w:tab/>
            </w:r>
            <w:r w:rsidRPr="009C7FA7">
              <w:rPr>
                <w:noProof/>
                <w:webHidden/>
              </w:rPr>
              <w:fldChar w:fldCharType="begin"/>
            </w:r>
            <w:r w:rsidRPr="009C7FA7">
              <w:rPr>
                <w:noProof/>
                <w:webHidden/>
              </w:rPr>
              <w:instrText xml:space="preserve"> PAGEREF _Toc225322735 \h </w:instrText>
            </w:r>
            <w:r w:rsidRPr="009C7FA7">
              <w:rPr>
                <w:noProof/>
                <w:webHidden/>
              </w:rPr>
            </w:r>
            <w:r w:rsidRPr="009C7FA7">
              <w:rPr>
                <w:noProof/>
                <w:webHidden/>
              </w:rPr>
              <w:fldChar w:fldCharType="separate"/>
            </w:r>
            <w:r w:rsidR="005317BA">
              <w:rPr>
                <w:noProof/>
                <w:webHidden/>
              </w:rPr>
              <w:t>26</w:t>
            </w:r>
            <w:r w:rsidRPr="009C7FA7">
              <w:rPr>
                <w:noProof/>
                <w:webHidden/>
              </w:rPr>
              <w:fldChar w:fldCharType="end"/>
            </w:r>
          </w:hyperlink>
        </w:p>
        <w:p w14:paraId="1DCDA321" w14:textId="233DDAF4" w:rsidR="009C7FA7" w:rsidRPr="009C7FA7" w:rsidRDefault="009C7FA7">
          <w:pPr>
            <w:pStyle w:val="TOC1"/>
            <w:rPr>
              <w:rFonts w:asciiTheme="minorHAnsi" w:eastAsiaTheme="minorEastAsia" w:hAnsiTheme="minorHAnsi" w:cstheme="minorBidi"/>
              <w:noProof/>
              <w:color w:val="auto"/>
              <w:kern w:val="2"/>
              <w:sz w:val="24"/>
              <w:szCs w:val="24"/>
              <w14:ligatures w14:val="standardContextual"/>
            </w:rPr>
          </w:pPr>
          <w:hyperlink w:anchor="_Toc225322736" w:history="1">
            <w:r w:rsidRPr="009C7FA7">
              <w:rPr>
                <w:rStyle w:val="Hyperlink"/>
                <w:noProof/>
              </w:rPr>
              <w:t>Item 16:  Investment Discretion</w:t>
            </w:r>
            <w:r w:rsidRPr="009C7FA7">
              <w:rPr>
                <w:noProof/>
                <w:webHidden/>
              </w:rPr>
              <w:tab/>
            </w:r>
            <w:r w:rsidRPr="009C7FA7">
              <w:rPr>
                <w:noProof/>
                <w:webHidden/>
              </w:rPr>
              <w:fldChar w:fldCharType="begin"/>
            </w:r>
            <w:r w:rsidRPr="009C7FA7">
              <w:rPr>
                <w:noProof/>
                <w:webHidden/>
              </w:rPr>
              <w:instrText xml:space="preserve"> PAGEREF _Toc225322736 \h </w:instrText>
            </w:r>
            <w:r w:rsidRPr="009C7FA7">
              <w:rPr>
                <w:noProof/>
                <w:webHidden/>
              </w:rPr>
            </w:r>
            <w:r w:rsidRPr="009C7FA7">
              <w:rPr>
                <w:noProof/>
                <w:webHidden/>
              </w:rPr>
              <w:fldChar w:fldCharType="separate"/>
            </w:r>
            <w:r w:rsidR="005317BA">
              <w:rPr>
                <w:noProof/>
                <w:webHidden/>
              </w:rPr>
              <w:t>27</w:t>
            </w:r>
            <w:r w:rsidRPr="009C7FA7">
              <w:rPr>
                <w:noProof/>
                <w:webHidden/>
              </w:rPr>
              <w:fldChar w:fldCharType="end"/>
            </w:r>
          </w:hyperlink>
        </w:p>
        <w:p w14:paraId="74F7F629" w14:textId="1705949D" w:rsidR="009C7FA7" w:rsidRPr="009C7FA7" w:rsidRDefault="009C7FA7">
          <w:pPr>
            <w:pStyle w:val="TOC1"/>
            <w:rPr>
              <w:rFonts w:asciiTheme="minorHAnsi" w:eastAsiaTheme="minorEastAsia" w:hAnsiTheme="minorHAnsi" w:cstheme="minorBidi"/>
              <w:noProof/>
              <w:color w:val="auto"/>
              <w:kern w:val="2"/>
              <w:sz w:val="24"/>
              <w:szCs w:val="24"/>
              <w14:ligatures w14:val="standardContextual"/>
            </w:rPr>
          </w:pPr>
          <w:hyperlink w:anchor="_Toc225322737" w:history="1">
            <w:r w:rsidRPr="009C7FA7">
              <w:rPr>
                <w:rStyle w:val="Hyperlink"/>
                <w:noProof/>
              </w:rPr>
              <w:t>Item 17:  Voting Client Securities</w:t>
            </w:r>
            <w:r w:rsidRPr="009C7FA7">
              <w:rPr>
                <w:noProof/>
                <w:webHidden/>
              </w:rPr>
              <w:tab/>
            </w:r>
            <w:r w:rsidRPr="009C7FA7">
              <w:rPr>
                <w:noProof/>
                <w:webHidden/>
              </w:rPr>
              <w:fldChar w:fldCharType="begin"/>
            </w:r>
            <w:r w:rsidRPr="009C7FA7">
              <w:rPr>
                <w:noProof/>
                <w:webHidden/>
              </w:rPr>
              <w:instrText xml:space="preserve"> PAGEREF _Toc225322737 \h </w:instrText>
            </w:r>
            <w:r w:rsidRPr="009C7FA7">
              <w:rPr>
                <w:noProof/>
                <w:webHidden/>
              </w:rPr>
            </w:r>
            <w:r w:rsidRPr="009C7FA7">
              <w:rPr>
                <w:noProof/>
                <w:webHidden/>
              </w:rPr>
              <w:fldChar w:fldCharType="separate"/>
            </w:r>
            <w:r w:rsidR="005317BA">
              <w:rPr>
                <w:noProof/>
                <w:webHidden/>
              </w:rPr>
              <w:t>29</w:t>
            </w:r>
            <w:r w:rsidRPr="009C7FA7">
              <w:rPr>
                <w:noProof/>
                <w:webHidden/>
              </w:rPr>
              <w:fldChar w:fldCharType="end"/>
            </w:r>
          </w:hyperlink>
        </w:p>
        <w:p w14:paraId="67AB868B" w14:textId="4C2319EF" w:rsidR="009C7FA7" w:rsidRDefault="009C7FA7">
          <w:pPr>
            <w:pStyle w:val="TOC1"/>
            <w:rPr>
              <w:rFonts w:asciiTheme="minorHAnsi" w:eastAsiaTheme="minorEastAsia" w:hAnsiTheme="minorHAnsi" w:cstheme="minorBidi"/>
              <w:noProof/>
              <w:color w:val="auto"/>
              <w:kern w:val="2"/>
              <w:sz w:val="24"/>
              <w:szCs w:val="24"/>
              <w14:ligatures w14:val="standardContextual"/>
            </w:rPr>
          </w:pPr>
          <w:hyperlink w:anchor="_Toc225322738" w:history="1">
            <w:r w:rsidRPr="009C7FA7">
              <w:rPr>
                <w:rStyle w:val="Hyperlink"/>
                <w:noProof/>
              </w:rPr>
              <w:t>Item 18:  Financial Information</w:t>
            </w:r>
            <w:r w:rsidRPr="009C7FA7">
              <w:rPr>
                <w:noProof/>
                <w:webHidden/>
              </w:rPr>
              <w:tab/>
            </w:r>
            <w:r w:rsidRPr="009C7FA7">
              <w:rPr>
                <w:noProof/>
                <w:webHidden/>
              </w:rPr>
              <w:fldChar w:fldCharType="begin"/>
            </w:r>
            <w:r w:rsidRPr="009C7FA7">
              <w:rPr>
                <w:noProof/>
                <w:webHidden/>
              </w:rPr>
              <w:instrText xml:space="preserve"> PAGEREF _Toc225322738 \h </w:instrText>
            </w:r>
            <w:r w:rsidRPr="009C7FA7">
              <w:rPr>
                <w:noProof/>
                <w:webHidden/>
              </w:rPr>
            </w:r>
            <w:r w:rsidRPr="009C7FA7">
              <w:rPr>
                <w:noProof/>
                <w:webHidden/>
              </w:rPr>
              <w:fldChar w:fldCharType="separate"/>
            </w:r>
            <w:r w:rsidR="005317BA">
              <w:rPr>
                <w:noProof/>
                <w:webHidden/>
              </w:rPr>
              <w:t>29</w:t>
            </w:r>
            <w:r w:rsidRPr="009C7FA7">
              <w:rPr>
                <w:noProof/>
                <w:webHidden/>
              </w:rPr>
              <w:fldChar w:fldCharType="end"/>
            </w:r>
          </w:hyperlink>
        </w:p>
        <w:p w14:paraId="7E169CFD" w14:textId="54C6247A" w:rsidR="009C7FA7" w:rsidRDefault="009C7FA7">
          <w:r>
            <w:rPr>
              <w:b/>
              <w:bCs/>
              <w:noProof/>
            </w:rPr>
            <w:fldChar w:fldCharType="end"/>
          </w:r>
        </w:p>
      </w:sdtContent>
    </w:sdt>
    <w:p w14:paraId="57F8BE9C" w14:textId="77777777" w:rsidR="002A6624" w:rsidRPr="006259CB" w:rsidRDefault="002A6624" w:rsidP="00873720">
      <w:pPr>
        <w:pStyle w:val="Paragraph"/>
      </w:pPr>
    </w:p>
    <w:p w14:paraId="6026C097" w14:textId="31239592" w:rsidR="00924979" w:rsidRPr="006259CB" w:rsidRDefault="005317BA" w:rsidP="00AC2E16">
      <w:bookmarkStart w:id="4" w:name="_Toc270409644"/>
      <w:r>
        <w:br w:type="page"/>
      </w:r>
    </w:p>
    <w:p w14:paraId="49B74DE0" w14:textId="2446A6A5" w:rsidR="00106407" w:rsidRPr="006259CB" w:rsidRDefault="430FCD88" w:rsidP="00873720">
      <w:pPr>
        <w:pStyle w:val="Item"/>
      </w:pPr>
      <w:bookmarkStart w:id="5" w:name="_Toc225322714"/>
      <w:r>
        <w:lastRenderedPageBreak/>
        <w:t xml:space="preserve">Item </w:t>
      </w:r>
      <w:r w:rsidR="15E0F802">
        <w:t>3</w:t>
      </w:r>
      <w:r>
        <w:t xml:space="preserve">:  </w:t>
      </w:r>
      <w:r w:rsidR="2DC658AD">
        <w:t>Material Changes</w:t>
      </w:r>
      <w:bookmarkEnd w:id="4"/>
      <w:bookmarkEnd w:id="5"/>
    </w:p>
    <w:p w14:paraId="02EB3D8E" w14:textId="4D0B6443" w:rsidR="00961C2B" w:rsidRPr="006259CB" w:rsidRDefault="00961C2B" w:rsidP="00873720">
      <w:pPr>
        <w:spacing w:after="60"/>
        <w:rPr>
          <w:rStyle w:val="Emphasis"/>
          <w:i w:val="0"/>
          <w:iCs w:val="0"/>
          <w:color w:val="6586A4"/>
        </w:rPr>
      </w:pPr>
      <w:r w:rsidRPr="006259CB">
        <w:rPr>
          <w:rStyle w:val="Emphasis"/>
          <w:i w:val="0"/>
          <w:iCs w:val="0"/>
          <w:color w:val="6586A4"/>
        </w:rPr>
        <w:t>_________________________________________</w:t>
      </w:r>
      <w:r w:rsidR="00413F90" w:rsidRPr="006259CB">
        <w:rPr>
          <w:rStyle w:val="Emphasis"/>
          <w:i w:val="0"/>
          <w:iCs w:val="0"/>
          <w:color w:val="6586A4"/>
        </w:rPr>
        <w:t>_____</w:t>
      </w:r>
      <w:r w:rsidRPr="006259CB">
        <w:rPr>
          <w:rStyle w:val="Emphasis"/>
          <w:i w:val="0"/>
          <w:iCs w:val="0"/>
          <w:color w:val="6586A4"/>
        </w:rPr>
        <w:t>____________________________________________</w:t>
      </w:r>
    </w:p>
    <w:p w14:paraId="52C174AA" w14:textId="03252181" w:rsidR="004E5AC6" w:rsidRPr="006259CB" w:rsidRDefault="004E5AC6" w:rsidP="00873720">
      <w:r w:rsidRPr="332DA7C8">
        <w:rPr>
          <w:b/>
          <w:bCs/>
        </w:rPr>
        <w:t xml:space="preserve">Baker Street Advisors, </w:t>
      </w:r>
      <w:r w:rsidR="586922C4" w:rsidRPr="332DA7C8">
        <w:rPr>
          <w:b/>
          <w:bCs/>
        </w:rPr>
        <w:t>LLC</w:t>
      </w:r>
      <w:r w:rsidRPr="332DA7C8">
        <w:rPr>
          <w:b/>
          <w:bCs/>
        </w:rPr>
        <w:t xml:space="preserve"> </w:t>
      </w:r>
      <w:r>
        <w:t xml:space="preserve">reviews its Form ADV Part 2A brochure at least annually to confirm it remains current. In this item, we are required to summarize only those material changes made to our brochure since our last Annual Updating Amendment. If you are receiving this document for the first time, this section may not be relevant to you.  </w:t>
      </w:r>
    </w:p>
    <w:p w14:paraId="62A58AED" w14:textId="77777777" w:rsidR="004E5AC6" w:rsidRPr="006259CB" w:rsidRDefault="004E5AC6" w:rsidP="00873720"/>
    <w:p w14:paraId="65C247CC" w14:textId="6A6A6590" w:rsidR="004E5AC6" w:rsidRPr="006259CB" w:rsidRDefault="004E5AC6" w:rsidP="00873720">
      <w:r>
        <w:t xml:space="preserve">Since our last Annual Updating Amendment on </w:t>
      </w:r>
      <w:r w:rsidR="28CF4B61">
        <w:t>March 31, 2025</w:t>
      </w:r>
      <w:r>
        <w:t xml:space="preserve">, we have the following material changes to report: </w:t>
      </w:r>
    </w:p>
    <w:p w14:paraId="4B0D8F83" w14:textId="77777777" w:rsidR="00375263" w:rsidRPr="006259CB" w:rsidRDefault="00375263" w:rsidP="00873720"/>
    <w:p w14:paraId="7558AB25" w14:textId="405479FC" w:rsidR="5151FD07" w:rsidRDefault="527F8DD6" w:rsidP="332DA7C8">
      <w:pPr>
        <w:spacing w:line="259" w:lineRule="auto"/>
        <w:ind w:left="360" w:right="270"/>
      </w:pPr>
      <w:r>
        <w:t xml:space="preserve">Baker Street Advisors has appointed </w:t>
      </w:r>
      <w:r w:rsidR="07BF6727">
        <w:t>Christopher Wilkens</w:t>
      </w:r>
      <w:r>
        <w:t xml:space="preserve"> as Chief </w:t>
      </w:r>
      <w:r w:rsidR="232E93CB">
        <w:t xml:space="preserve">Executive </w:t>
      </w:r>
      <w:r>
        <w:t>Officer</w:t>
      </w:r>
      <w:r w:rsidR="007535BD">
        <w:t>, Peter Hand as Chief Investment Officer,</w:t>
      </w:r>
      <w:r w:rsidR="2B115FA7">
        <w:t xml:space="preserve"> and Henry Tran as </w:t>
      </w:r>
      <w:r w:rsidR="795BFE29">
        <w:t xml:space="preserve">Outsourced </w:t>
      </w:r>
      <w:r w:rsidR="2B115FA7">
        <w:t>Chief Compliance Officer.</w:t>
      </w:r>
    </w:p>
    <w:p w14:paraId="24ECD29E" w14:textId="4781597D" w:rsidR="332DA7C8" w:rsidRDefault="332DA7C8" w:rsidP="332DA7C8">
      <w:pPr>
        <w:spacing w:line="259" w:lineRule="auto"/>
        <w:ind w:left="360" w:right="270"/>
      </w:pPr>
    </w:p>
    <w:p w14:paraId="704A52A0" w14:textId="77777777" w:rsidR="00943E1C" w:rsidRPr="006259CB" w:rsidRDefault="4700BFC4" w:rsidP="00873720">
      <w:pPr>
        <w:pStyle w:val="Heading5"/>
        <w:ind w:left="360"/>
        <w:rPr>
          <w:lang w:eastAsia="ja-JP"/>
        </w:rPr>
      </w:pPr>
      <w:r w:rsidRPr="21FD5452">
        <w:rPr>
          <w:lang w:eastAsia="ja-JP"/>
        </w:rPr>
        <w:t>Item 4:  Services, Fees &amp; Compensation</w:t>
      </w:r>
    </w:p>
    <w:p w14:paraId="6E50B4BD" w14:textId="77777777" w:rsidR="00943E1C" w:rsidRPr="006259CB" w:rsidRDefault="00943E1C" w:rsidP="00873720">
      <w:pPr>
        <w:ind w:left="360" w:right="270"/>
        <w:rPr>
          <w:rStyle w:val="IntenseEmphasis"/>
        </w:rPr>
      </w:pPr>
      <w:r w:rsidRPr="006259CB">
        <w:rPr>
          <w:rStyle w:val="IntenseEmphasis"/>
        </w:rPr>
        <w:t>Assets Under Management</w:t>
      </w:r>
    </w:p>
    <w:p w14:paraId="643DB9EF" w14:textId="5E8678F2" w:rsidR="007C3C4E" w:rsidRPr="00E552AF" w:rsidRDefault="464F1FE2" w:rsidP="00E552AF">
      <w:pPr>
        <w:ind w:left="360" w:right="360"/>
        <w:rPr>
          <w:rFonts w:eastAsia="Calibri"/>
          <w:noProof/>
        </w:rPr>
      </w:pPr>
      <w:r w:rsidRPr="21FD5452">
        <w:rPr>
          <w:rFonts w:eastAsia="Calibri"/>
          <w:noProof/>
        </w:rPr>
        <w:t xml:space="preserve">As of </w:t>
      </w:r>
      <w:r w:rsidR="48A3D706" w:rsidRPr="21FD5452">
        <w:rPr>
          <w:rFonts w:eastAsia="Calibri"/>
          <w:noProof/>
        </w:rPr>
        <w:t>December 31, 2025</w:t>
      </w:r>
      <w:r w:rsidR="2D6EC730" w:rsidRPr="21FD5452">
        <w:rPr>
          <w:rFonts w:eastAsia="Calibri"/>
          <w:noProof/>
        </w:rPr>
        <w:t xml:space="preserve">, </w:t>
      </w:r>
      <w:r w:rsidRPr="21FD5452">
        <w:rPr>
          <w:rFonts w:eastAsia="Calibri"/>
          <w:noProof/>
        </w:rPr>
        <w:t>Baker Street's assets under continuous management totaled $</w:t>
      </w:r>
      <w:r w:rsidR="42E0BF46" w:rsidRPr="21FD5452">
        <w:rPr>
          <w:rFonts w:eastAsia="Calibri"/>
          <w:noProof/>
        </w:rPr>
        <w:t>20</w:t>
      </w:r>
      <w:r w:rsidR="37A8E352" w:rsidRPr="21FD5452">
        <w:rPr>
          <w:rFonts w:eastAsia="Calibri"/>
          <w:noProof/>
        </w:rPr>
        <w:t>.</w:t>
      </w:r>
      <w:r w:rsidR="00696617">
        <w:rPr>
          <w:rFonts w:eastAsia="Calibri"/>
          <w:noProof/>
        </w:rPr>
        <w:t>77</w:t>
      </w:r>
      <w:r w:rsidR="37A8E352" w:rsidRPr="21FD5452">
        <w:rPr>
          <w:rFonts w:eastAsia="Calibri"/>
          <w:noProof/>
        </w:rPr>
        <w:t xml:space="preserve"> billion</w:t>
      </w:r>
      <w:r w:rsidR="3B96738A" w:rsidRPr="21FD5452">
        <w:rPr>
          <w:rFonts w:eastAsia="Calibri"/>
          <w:noProof/>
        </w:rPr>
        <w:t xml:space="preserve"> </w:t>
      </w:r>
      <w:r>
        <w:t>on behalf of approximately 5</w:t>
      </w:r>
      <w:r w:rsidR="3B96738A">
        <w:t>40</w:t>
      </w:r>
      <w:r>
        <w:t xml:space="preserve"> </w:t>
      </w:r>
      <w:r w:rsidR="4F90CF74">
        <w:t>Client</w:t>
      </w:r>
      <w:r>
        <w:t>s. T</w:t>
      </w:r>
      <w:r w:rsidRPr="21FD5452">
        <w:rPr>
          <w:rFonts w:eastAsia="Calibri"/>
          <w:noProof/>
        </w:rPr>
        <w:t xml:space="preserve">he following represents </w:t>
      </w:r>
      <w:r w:rsidR="4F90CF74" w:rsidRPr="21FD5452">
        <w:rPr>
          <w:rFonts w:eastAsia="Calibri"/>
          <w:noProof/>
        </w:rPr>
        <w:t>Client</w:t>
      </w:r>
      <w:r w:rsidRPr="21FD5452">
        <w:rPr>
          <w:rFonts w:eastAsia="Calibri"/>
          <w:noProof/>
        </w:rPr>
        <w:t xml:space="preserve"> assets under management by account type: </w:t>
      </w:r>
    </w:p>
    <w:p w14:paraId="19A98D84" w14:textId="77777777" w:rsidR="00943E1C" w:rsidRPr="00E552AF" w:rsidRDefault="00943E1C" w:rsidP="00E552AF">
      <w:pPr>
        <w:ind w:left="360" w:right="270"/>
        <w:rPr>
          <w:rFonts w:eastAsia="Calibri"/>
          <w:noProof/>
          <w:sz w:val="12"/>
          <w:szCs w:val="12"/>
        </w:rPr>
      </w:pPr>
    </w:p>
    <w:tbl>
      <w:tblPr>
        <w:tblW w:w="0" w:type="auto"/>
        <w:jc w:val="center"/>
        <w:tblBorders>
          <w:top w:val="single" w:sz="2" w:space="0" w:color="6586A4"/>
          <w:left w:val="single" w:sz="2" w:space="0" w:color="6586A4"/>
          <w:bottom w:val="single" w:sz="2" w:space="0" w:color="6586A4"/>
          <w:right w:val="single" w:sz="2" w:space="0" w:color="6586A4"/>
          <w:insideH w:val="single" w:sz="2" w:space="0" w:color="6586A4"/>
          <w:insideV w:val="single" w:sz="2" w:space="0" w:color="6586A4"/>
        </w:tblBorders>
        <w:tblCellMar>
          <w:left w:w="0" w:type="dxa"/>
          <w:right w:w="0" w:type="dxa"/>
        </w:tblCellMar>
        <w:tblLook w:val="04A0" w:firstRow="1" w:lastRow="0" w:firstColumn="1" w:lastColumn="0" w:noHBand="0" w:noVBand="1"/>
      </w:tblPr>
      <w:tblGrid>
        <w:gridCol w:w="2517"/>
        <w:gridCol w:w="2970"/>
      </w:tblGrid>
      <w:tr w:rsidR="00943E1C" w:rsidRPr="00E552AF" w14:paraId="4A3E31CD" w14:textId="77777777" w:rsidTr="21FD5452">
        <w:trPr>
          <w:trHeight w:val="373"/>
          <w:jc w:val="center"/>
        </w:trPr>
        <w:tc>
          <w:tcPr>
            <w:tcW w:w="2517" w:type="dxa"/>
            <w:shd w:val="clear" w:color="auto" w:fill="F2F2F2" w:themeFill="background1" w:themeFillShade="F2"/>
            <w:tcMar>
              <w:top w:w="0" w:type="dxa"/>
              <w:left w:w="108" w:type="dxa"/>
              <w:bottom w:w="0" w:type="dxa"/>
              <w:right w:w="108" w:type="dxa"/>
            </w:tcMar>
            <w:vAlign w:val="center"/>
            <w:hideMark/>
          </w:tcPr>
          <w:p w14:paraId="18A6D0D4" w14:textId="77777777" w:rsidR="00943E1C" w:rsidRPr="00E552AF" w:rsidRDefault="00943E1C" w:rsidP="00E552AF">
            <w:pPr>
              <w:jc w:val="center"/>
              <w:rPr>
                <w:color w:val="6586A4"/>
              </w:rPr>
            </w:pPr>
            <w:r w:rsidRPr="00E552AF">
              <w:rPr>
                <w:color w:val="6586A4"/>
              </w:rPr>
              <w:t>Account Type</w:t>
            </w:r>
          </w:p>
        </w:tc>
        <w:tc>
          <w:tcPr>
            <w:tcW w:w="2970" w:type="dxa"/>
            <w:shd w:val="clear" w:color="auto" w:fill="F2F2F2" w:themeFill="background1" w:themeFillShade="F2"/>
            <w:tcMar>
              <w:top w:w="0" w:type="dxa"/>
              <w:left w:w="108" w:type="dxa"/>
              <w:bottom w:w="0" w:type="dxa"/>
              <w:right w:w="108" w:type="dxa"/>
            </w:tcMar>
            <w:vAlign w:val="center"/>
            <w:hideMark/>
          </w:tcPr>
          <w:p w14:paraId="52A6209E" w14:textId="77777777" w:rsidR="00943E1C" w:rsidRPr="00E552AF" w:rsidRDefault="00943E1C" w:rsidP="00E552AF">
            <w:pPr>
              <w:jc w:val="center"/>
              <w:rPr>
                <w:color w:val="6586A4"/>
              </w:rPr>
            </w:pPr>
            <w:r w:rsidRPr="00E552AF">
              <w:rPr>
                <w:color w:val="6586A4"/>
              </w:rPr>
              <w:t>Assets Under Management</w:t>
            </w:r>
          </w:p>
        </w:tc>
      </w:tr>
      <w:tr w:rsidR="00943E1C" w:rsidRPr="00E552AF" w14:paraId="5C5AD461" w14:textId="77777777" w:rsidTr="21FD5452">
        <w:trPr>
          <w:trHeight w:val="259"/>
          <w:jc w:val="center"/>
        </w:trPr>
        <w:tc>
          <w:tcPr>
            <w:tcW w:w="2517" w:type="dxa"/>
            <w:tcMar>
              <w:top w:w="0" w:type="dxa"/>
              <w:left w:w="108" w:type="dxa"/>
              <w:bottom w:w="0" w:type="dxa"/>
              <w:right w:w="108" w:type="dxa"/>
            </w:tcMar>
            <w:vAlign w:val="center"/>
            <w:hideMark/>
          </w:tcPr>
          <w:p w14:paraId="4F096E99" w14:textId="77777777" w:rsidR="00943E1C" w:rsidRPr="00E552AF" w:rsidRDefault="00943E1C" w:rsidP="00E552AF">
            <w:pPr>
              <w:ind w:left="360" w:right="270"/>
              <w:jc w:val="center"/>
            </w:pPr>
            <w:r w:rsidRPr="00E552AF">
              <w:t>Discretionary</w:t>
            </w:r>
          </w:p>
        </w:tc>
        <w:tc>
          <w:tcPr>
            <w:tcW w:w="2970" w:type="dxa"/>
            <w:tcMar>
              <w:top w:w="0" w:type="dxa"/>
              <w:left w:w="108" w:type="dxa"/>
              <w:bottom w:w="0" w:type="dxa"/>
              <w:right w:w="108" w:type="dxa"/>
            </w:tcMar>
            <w:vAlign w:val="center"/>
            <w:hideMark/>
          </w:tcPr>
          <w:p w14:paraId="37E4B75A" w14:textId="660EB644" w:rsidR="00943E1C" w:rsidRPr="00E552AF" w:rsidRDefault="4700BFC4" w:rsidP="00E552AF">
            <w:pPr>
              <w:ind w:left="522" w:right="-12"/>
              <w:jc w:val="left"/>
            </w:pPr>
            <w:r>
              <w:t>$</w:t>
            </w:r>
            <w:r w:rsidR="42E0BF46">
              <w:t>20</w:t>
            </w:r>
            <w:r w:rsidR="622E96C9">
              <w:t>,</w:t>
            </w:r>
            <w:r w:rsidR="00696617">
              <w:t>77</w:t>
            </w:r>
            <w:r w:rsidR="622E96C9">
              <w:t>0,000,000</w:t>
            </w:r>
          </w:p>
        </w:tc>
      </w:tr>
      <w:tr w:rsidR="00943E1C" w:rsidRPr="00E552AF" w14:paraId="34E542FB" w14:textId="77777777" w:rsidTr="21FD5452">
        <w:trPr>
          <w:trHeight w:val="259"/>
          <w:jc w:val="center"/>
        </w:trPr>
        <w:tc>
          <w:tcPr>
            <w:tcW w:w="2517" w:type="dxa"/>
            <w:tcMar>
              <w:top w:w="0" w:type="dxa"/>
              <w:left w:w="108" w:type="dxa"/>
              <w:bottom w:w="0" w:type="dxa"/>
              <w:right w:w="108" w:type="dxa"/>
            </w:tcMar>
            <w:vAlign w:val="center"/>
            <w:hideMark/>
          </w:tcPr>
          <w:p w14:paraId="23928187" w14:textId="77777777" w:rsidR="00943E1C" w:rsidRPr="00E552AF" w:rsidRDefault="00943E1C" w:rsidP="00E552AF">
            <w:pPr>
              <w:ind w:left="360" w:right="270"/>
              <w:jc w:val="center"/>
            </w:pPr>
            <w:r w:rsidRPr="00E552AF">
              <w:t>Non-Discretionary</w:t>
            </w:r>
          </w:p>
        </w:tc>
        <w:tc>
          <w:tcPr>
            <w:tcW w:w="2970" w:type="dxa"/>
            <w:tcMar>
              <w:top w:w="0" w:type="dxa"/>
              <w:left w:w="108" w:type="dxa"/>
              <w:bottom w:w="0" w:type="dxa"/>
              <w:right w:w="108" w:type="dxa"/>
            </w:tcMar>
            <w:vAlign w:val="center"/>
          </w:tcPr>
          <w:p w14:paraId="467FEE49" w14:textId="346CE02C" w:rsidR="00943E1C" w:rsidRPr="00E552AF" w:rsidRDefault="00943E1C" w:rsidP="00E552AF">
            <w:pPr>
              <w:ind w:left="522" w:right="-12"/>
              <w:jc w:val="left"/>
            </w:pPr>
            <w:r w:rsidRPr="00E552AF">
              <w:t xml:space="preserve">$ </w:t>
            </w:r>
            <w:r w:rsidR="00CA4A75" w:rsidRPr="00E552AF">
              <w:t xml:space="preserve">       </w:t>
            </w:r>
            <w:r w:rsidRPr="00E552AF">
              <w:t xml:space="preserve">   </w:t>
            </w:r>
            <w:r w:rsidR="00CA4A75" w:rsidRPr="00E552AF">
              <w:t>0</w:t>
            </w:r>
          </w:p>
        </w:tc>
      </w:tr>
      <w:tr w:rsidR="00943E1C" w:rsidRPr="00E552AF" w14:paraId="4832547E" w14:textId="77777777" w:rsidTr="21FD5452">
        <w:trPr>
          <w:trHeight w:val="259"/>
          <w:jc w:val="center"/>
        </w:trPr>
        <w:tc>
          <w:tcPr>
            <w:tcW w:w="2517" w:type="dxa"/>
            <w:tcMar>
              <w:top w:w="0" w:type="dxa"/>
              <w:left w:w="108" w:type="dxa"/>
              <w:bottom w:w="0" w:type="dxa"/>
              <w:right w:w="108" w:type="dxa"/>
            </w:tcMar>
            <w:vAlign w:val="center"/>
            <w:hideMark/>
          </w:tcPr>
          <w:p w14:paraId="5A477691" w14:textId="77777777" w:rsidR="00943E1C" w:rsidRPr="00E552AF" w:rsidRDefault="00943E1C" w:rsidP="00E552AF">
            <w:pPr>
              <w:ind w:left="360" w:right="270"/>
              <w:jc w:val="center"/>
            </w:pPr>
            <w:r w:rsidRPr="00E552AF">
              <w:t>Total</w:t>
            </w:r>
          </w:p>
        </w:tc>
        <w:tc>
          <w:tcPr>
            <w:tcW w:w="2970" w:type="dxa"/>
            <w:tcMar>
              <w:top w:w="0" w:type="dxa"/>
              <w:left w:w="108" w:type="dxa"/>
              <w:bottom w:w="0" w:type="dxa"/>
              <w:right w:w="108" w:type="dxa"/>
            </w:tcMar>
            <w:vAlign w:val="center"/>
            <w:hideMark/>
          </w:tcPr>
          <w:p w14:paraId="029C7B49" w14:textId="5BB38345" w:rsidR="00943E1C" w:rsidRPr="00E552AF" w:rsidRDefault="4700BFC4" w:rsidP="00E552AF">
            <w:pPr>
              <w:ind w:left="522" w:right="-12"/>
              <w:jc w:val="left"/>
            </w:pPr>
            <w:r>
              <w:t>$</w:t>
            </w:r>
            <w:r w:rsidR="42E0BF46">
              <w:t>20</w:t>
            </w:r>
            <w:r w:rsidR="622E96C9">
              <w:t>,</w:t>
            </w:r>
            <w:r w:rsidR="00696617">
              <w:t>77</w:t>
            </w:r>
            <w:r w:rsidR="622E96C9">
              <w:t>0,000,000</w:t>
            </w:r>
          </w:p>
        </w:tc>
      </w:tr>
    </w:tbl>
    <w:p w14:paraId="3BE892CE" w14:textId="5C99DF08" w:rsidR="00714F60" w:rsidRPr="006259CB" w:rsidRDefault="00714F60" w:rsidP="00E552AF">
      <w:pPr>
        <w:pStyle w:val="ListParagraph"/>
        <w:ind w:left="734" w:right="720" w:hanging="187"/>
        <w:contextualSpacing w:val="0"/>
        <w:jc w:val="left"/>
      </w:pPr>
      <w:bookmarkStart w:id="6" w:name="_Toc193886370"/>
    </w:p>
    <w:p w14:paraId="4B818C4D" w14:textId="7861DE46" w:rsidR="00B26EE0" w:rsidRPr="006259CB" w:rsidRDefault="5EE3DD6B" w:rsidP="00873720">
      <w:pPr>
        <w:pStyle w:val="Heading5"/>
        <w:ind w:left="360"/>
      </w:pPr>
      <w:r>
        <w:t>Enhancement to ADV Disclosures</w:t>
      </w:r>
      <w:bookmarkEnd w:id="6"/>
    </w:p>
    <w:p w14:paraId="43F039D1" w14:textId="5986B9B1" w:rsidR="00B26EE0" w:rsidRPr="006259CB" w:rsidRDefault="00E618B3" w:rsidP="00873720">
      <w:pPr>
        <w:ind w:left="360" w:right="270"/>
      </w:pPr>
      <w:r w:rsidRPr="006259CB">
        <w:t>This</w:t>
      </w:r>
      <w:r w:rsidR="00B26EE0" w:rsidRPr="006259CB">
        <w:t xml:space="preserve"> Brochure w</w:t>
      </w:r>
      <w:r w:rsidR="001667FA" w:rsidRPr="006259CB">
        <w:t>as</w:t>
      </w:r>
      <w:r w:rsidR="00B26EE0" w:rsidRPr="006259CB">
        <w:t xml:space="preserve"> </w:t>
      </w:r>
      <w:r w:rsidR="001667FA" w:rsidRPr="006259CB">
        <w:t xml:space="preserve">also </w:t>
      </w:r>
      <w:r w:rsidR="00B26EE0" w:rsidRPr="006259CB">
        <w:t xml:space="preserve">amended to include increased disclosures, supplementary clarifying information on </w:t>
      </w:r>
      <w:r w:rsidRPr="006259CB">
        <w:t>Baker Street</w:t>
      </w:r>
      <w:r w:rsidR="005518A2" w:rsidRPr="006259CB">
        <w:t>'</w:t>
      </w:r>
      <w:r w:rsidRPr="006259CB">
        <w:t>s</w:t>
      </w:r>
      <w:r w:rsidR="00B26EE0" w:rsidRPr="006259CB">
        <w:t xml:space="preserve"> advisory practices, and aesthetic and formatting changes. While these changes may not necessarily be material, the enhancements are intended to clarify and better aid investors in understanding the firm's business model, procedures, and services. </w:t>
      </w:r>
    </w:p>
    <w:p w14:paraId="1B6323AB" w14:textId="26318E28" w:rsidR="00A23AEC" w:rsidRPr="006259CB" w:rsidRDefault="00A23AEC" w:rsidP="332DA7C8"/>
    <w:p w14:paraId="0278C62C" w14:textId="77777777" w:rsidR="00171D0D" w:rsidRPr="006259CB" w:rsidRDefault="00171D0D" w:rsidP="00873720"/>
    <w:p w14:paraId="71E6EA94" w14:textId="3F0ADFD3" w:rsidR="00B26EE0" w:rsidRPr="006259CB" w:rsidRDefault="00B26EE0" w:rsidP="00873720">
      <w:pPr>
        <w:pStyle w:val="ATableSubhead"/>
      </w:pPr>
      <w:bookmarkStart w:id="7" w:name="_Toc180486384"/>
      <w:bookmarkStart w:id="8" w:name="_Toc192772144"/>
      <w:bookmarkStart w:id="9" w:name="_Toc193555513"/>
      <w:bookmarkStart w:id="10" w:name="_Toc193886371"/>
      <w:r w:rsidRPr="006259CB">
        <w:t>Full Brochure Availability</w:t>
      </w:r>
      <w:bookmarkEnd w:id="7"/>
      <w:bookmarkEnd w:id="8"/>
      <w:bookmarkEnd w:id="9"/>
      <w:bookmarkEnd w:id="10"/>
    </w:p>
    <w:p w14:paraId="42C21FEF" w14:textId="1F706847" w:rsidR="00B26EE0" w:rsidRPr="006259CB" w:rsidRDefault="00B26EE0" w:rsidP="00873720">
      <w:r w:rsidRPr="006259CB">
        <w:t xml:space="preserve">We may amend this document at any time to reflect material changes in our business practices, policies, or procedures, as securities regulators require. Annually, within 120 days of the close of our fiscal year on December 31st, and as needed for any material changes, we will provide </w:t>
      </w:r>
      <w:r w:rsidR="00202598" w:rsidRPr="006259CB">
        <w:t>Client</w:t>
      </w:r>
      <w:r w:rsidRPr="006259CB">
        <w:t>s - either electronically or in hard copy, with a new brochure or a summary of material changes from the previously supplied document</w:t>
      </w:r>
      <w:r w:rsidR="00A23AEC" w:rsidRPr="006259CB">
        <w:t>,</w:t>
      </w:r>
      <w:r w:rsidRPr="006259CB">
        <w:t xml:space="preserve"> along with an offer to deliver the full brochure upon request. Please retain this document for future reference, as it contains essential information about our advisory services and business.</w:t>
      </w:r>
    </w:p>
    <w:p w14:paraId="5A70BB54" w14:textId="77777777" w:rsidR="00E02ADB" w:rsidRPr="006259CB" w:rsidRDefault="00E02ADB" w:rsidP="00873720"/>
    <w:p w14:paraId="33560189" w14:textId="77777777" w:rsidR="000717D7" w:rsidRPr="006259CB" w:rsidRDefault="00B26EE0" w:rsidP="00873720">
      <w:r w:rsidRPr="006259CB">
        <w:t xml:space="preserve">You may view our current disclosure documents at the SEC's Investment Adviser Public Disclosure ("IAPD") website at </w:t>
      </w:r>
      <w:hyperlink r:id="rId15">
        <w:r w:rsidRPr="006B2D94">
          <w:rPr>
            <w:color w:val="4F81BD"/>
            <w:u w:val="single" w:color="006FC0"/>
          </w:rPr>
          <w:t>http://www.adviserinfo.sec.gov</w:t>
        </w:r>
      </w:hyperlink>
      <w:r w:rsidRPr="006259CB">
        <w:rPr>
          <w:color w:val="006FC0"/>
        </w:rPr>
        <w:t xml:space="preserve"> </w:t>
      </w:r>
      <w:r w:rsidRPr="006259CB">
        <w:t xml:space="preserve">by searching either by our firm name, </w:t>
      </w:r>
      <w:r w:rsidR="00A260CD" w:rsidRPr="006259CB">
        <w:rPr>
          <w:b/>
          <w:bCs/>
        </w:rPr>
        <w:t>Baker Street Advisors</w:t>
      </w:r>
      <w:r w:rsidR="0085080C" w:rsidRPr="006259CB">
        <w:rPr>
          <w:b/>
          <w:bCs/>
        </w:rPr>
        <w:t>, LLC</w:t>
      </w:r>
      <w:r w:rsidR="00A260CD" w:rsidRPr="006259CB">
        <w:rPr>
          <w:b/>
          <w:bCs/>
        </w:rPr>
        <w:t xml:space="preserve"> </w:t>
      </w:r>
      <w:r w:rsidRPr="006259CB">
        <w:t>or CRD #</w:t>
      </w:r>
      <w:r w:rsidR="00A260CD" w:rsidRPr="006259CB">
        <w:t>128066</w:t>
      </w:r>
      <w:r w:rsidRPr="006259CB">
        <w:rPr>
          <w:rStyle w:val="ui-provider"/>
        </w:rPr>
        <w:t>.</w:t>
      </w:r>
      <w:r w:rsidRPr="006259CB">
        <w:t xml:space="preserve"> </w:t>
      </w:r>
    </w:p>
    <w:p w14:paraId="760E026E" w14:textId="77777777" w:rsidR="000717D7" w:rsidRPr="006259CB" w:rsidRDefault="000717D7" w:rsidP="00873720"/>
    <w:p w14:paraId="2F5549F2" w14:textId="0585B8C5" w:rsidR="00B26EE0" w:rsidRPr="006259CB" w:rsidRDefault="00B26EE0" w:rsidP="00873720">
      <w:r w:rsidRPr="006259CB">
        <w:t xml:space="preserve">The SEC's website also provides information about any affiliated person registered or required to be registered as an Investment Adviser Representative of the firm. You may also request a copy free of charge by contacting us directly at </w:t>
      </w:r>
      <w:r w:rsidR="008F44DB" w:rsidRPr="006259CB">
        <w:t>T: 415.344.6180</w:t>
      </w:r>
      <w:r w:rsidR="005B5F68" w:rsidRPr="006259CB">
        <w:t>.</w:t>
      </w:r>
    </w:p>
    <w:p w14:paraId="76028767" w14:textId="77777777" w:rsidR="00B26EE0" w:rsidRPr="006259CB" w:rsidRDefault="00B26EE0" w:rsidP="00873720">
      <w:pPr>
        <w:pStyle w:val="BodyText"/>
      </w:pPr>
    </w:p>
    <w:p w14:paraId="5A1166FD" w14:textId="77777777" w:rsidR="00B26EE0" w:rsidRPr="006259CB" w:rsidRDefault="00B26EE0" w:rsidP="00873720">
      <w:pPr>
        <w:pStyle w:val="BodyText"/>
      </w:pPr>
    </w:p>
    <w:p w14:paraId="71A2A4FB" w14:textId="5E6FE1AC" w:rsidR="002A6624" w:rsidRPr="006259CB" w:rsidRDefault="002A6624" w:rsidP="00873720">
      <w:pPr>
        <w:pStyle w:val="Paragraph"/>
      </w:pPr>
      <w:r w:rsidRPr="006259CB">
        <w:br w:type="page"/>
      </w:r>
    </w:p>
    <w:p w14:paraId="0DE0A159" w14:textId="0D6F6C94" w:rsidR="000E607A" w:rsidRPr="006259CB" w:rsidRDefault="3BC04BE2" w:rsidP="00873720">
      <w:pPr>
        <w:pStyle w:val="Item"/>
      </w:pPr>
      <w:bookmarkStart w:id="11" w:name="_Toc225322715"/>
      <w:r>
        <w:lastRenderedPageBreak/>
        <w:t>Item 4:  Advisory Business</w:t>
      </w:r>
      <w:bookmarkStart w:id="12" w:name="_Toc270409646"/>
      <w:bookmarkEnd w:id="11"/>
    </w:p>
    <w:p w14:paraId="2C9FA011" w14:textId="77777777" w:rsidR="00792EFC" w:rsidRPr="006259CB" w:rsidRDefault="00792EFC" w:rsidP="00873720">
      <w:pPr>
        <w:spacing w:after="60"/>
        <w:rPr>
          <w:rStyle w:val="Emphasis"/>
          <w:i w:val="0"/>
          <w:iCs w:val="0"/>
          <w:color w:val="6586A4"/>
        </w:rPr>
      </w:pPr>
      <w:bookmarkStart w:id="13" w:name="_Toc193886374"/>
      <w:bookmarkEnd w:id="12"/>
      <w:r w:rsidRPr="006259CB">
        <w:rPr>
          <w:rStyle w:val="Emphasis"/>
          <w:i w:val="0"/>
          <w:iCs w:val="0"/>
          <w:color w:val="6586A4"/>
        </w:rPr>
        <w:t>__________________________________________________________________________________________</w:t>
      </w:r>
    </w:p>
    <w:p w14:paraId="221557CB" w14:textId="77777777" w:rsidR="005F2C18" w:rsidRPr="006259CB" w:rsidRDefault="005F2C18" w:rsidP="00873720">
      <w:pPr>
        <w:pStyle w:val="ATableSubhead"/>
      </w:pPr>
      <w:r w:rsidRPr="006259CB">
        <w:t>Description of Firm</w:t>
      </w:r>
      <w:bookmarkEnd w:id="13"/>
    </w:p>
    <w:p w14:paraId="467DA293" w14:textId="281F43DB" w:rsidR="007F2A37" w:rsidRPr="006259CB" w:rsidRDefault="00AC61A3" w:rsidP="00873720">
      <w:r w:rsidRPr="006259CB">
        <w:rPr>
          <w:b/>
          <w:bCs/>
        </w:rPr>
        <w:t>Baker Street Advisors, LLC</w:t>
      </w:r>
      <w:r w:rsidR="005F2C18" w:rsidRPr="006259CB">
        <w:t xml:space="preserve"> (</w:t>
      </w:r>
      <w:r w:rsidR="005518A2" w:rsidRPr="006259CB">
        <w:t>"</w:t>
      </w:r>
      <w:r w:rsidRPr="006259CB">
        <w:t>Baker Street</w:t>
      </w:r>
      <w:r w:rsidR="005518A2" w:rsidRPr="006259CB">
        <w:t>"</w:t>
      </w:r>
      <w:r w:rsidR="005F2C18" w:rsidRPr="006259CB">
        <w:t xml:space="preserve"> or </w:t>
      </w:r>
      <w:r w:rsidR="005518A2" w:rsidRPr="006259CB">
        <w:t>"</w:t>
      </w:r>
      <w:r w:rsidR="00E146A7" w:rsidRPr="006259CB">
        <w:t>t</w:t>
      </w:r>
      <w:r w:rsidR="005C2FFC" w:rsidRPr="006259CB">
        <w:t>he Adviser</w:t>
      </w:r>
      <w:r w:rsidR="005518A2" w:rsidRPr="006259CB">
        <w:t>"</w:t>
      </w:r>
      <w:r w:rsidR="00F40D8A" w:rsidRPr="006259CB">
        <w:t xml:space="preserve">) was founded in 2003. The </w:t>
      </w:r>
      <w:r w:rsidR="006F0B87" w:rsidRPr="006259CB">
        <w:t>f</w:t>
      </w:r>
      <w:r w:rsidR="00F40D8A" w:rsidRPr="006259CB">
        <w:t xml:space="preserve">irm, whose principal office and place of business is located at  </w:t>
      </w:r>
      <w:r w:rsidR="007F2A37" w:rsidRPr="006259CB">
        <w:t xml:space="preserve">575 Market Street, Suite 600, San Francisco, CA, </w:t>
      </w:r>
      <w:r w:rsidR="00F40D8A" w:rsidRPr="006259CB">
        <w:t xml:space="preserve">is an investment adviser </w:t>
      </w:r>
      <w:r w:rsidR="000717D7" w:rsidRPr="006259CB">
        <w:t>that</w:t>
      </w:r>
      <w:r w:rsidR="00E146A7" w:rsidRPr="006259CB">
        <w:t xml:space="preserve"> has been </w:t>
      </w:r>
      <w:r w:rsidR="00F40D8A" w:rsidRPr="006259CB">
        <w:t>registered with the U</w:t>
      </w:r>
      <w:r w:rsidR="007F2A37" w:rsidRPr="006259CB">
        <w:t xml:space="preserve">nited States </w:t>
      </w:r>
      <w:r w:rsidR="00F40D8A" w:rsidRPr="006259CB">
        <w:t>Securities and Exchange Commission under the Investment Advisers Act of 1940 as amended ("Advisers Act")</w:t>
      </w:r>
      <w:r w:rsidR="00E146A7" w:rsidRPr="006259CB">
        <w:t>, since 2003.</w:t>
      </w:r>
      <w:r w:rsidR="00C02E66" w:rsidRPr="006259CB">
        <w:t xml:space="preserve">  </w:t>
      </w:r>
      <w:r w:rsidR="00C02E66" w:rsidRPr="000A3564">
        <w:t>Registration as an investment adviser does not imply a certain level of skill or training.</w:t>
      </w:r>
    </w:p>
    <w:p w14:paraId="759DF143" w14:textId="77777777" w:rsidR="007F2A37" w:rsidRPr="006259CB" w:rsidRDefault="00F40D8A" w:rsidP="00873720">
      <w:r w:rsidRPr="006259CB">
        <w:t xml:space="preserve"> </w:t>
      </w:r>
      <w:bookmarkStart w:id="14" w:name="_Toc193927194"/>
    </w:p>
    <w:p w14:paraId="5BBB095A" w14:textId="685A91F2" w:rsidR="00C962DA" w:rsidRPr="006259CB" w:rsidRDefault="00C962DA" w:rsidP="00873720">
      <w:pPr>
        <w:pStyle w:val="ATableSubhead"/>
      </w:pPr>
      <w:r w:rsidRPr="006259CB">
        <w:t>Principal Ownership</w:t>
      </w:r>
      <w:bookmarkEnd w:id="14"/>
    </w:p>
    <w:p w14:paraId="3EEC306D" w14:textId="0085E3A9" w:rsidR="002501FE" w:rsidRPr="006B2D94" w:rsidRDefault="00185048" w:rsidP="00873720">
      <w:pPr>
        <w:rPr>
          <w:i/>
          <w:iCs/>
          <w:color w:val="595959" w:themeColor="text1" w:themeTint="A6"/>
        </w:rPr>
      </w:pPr>
      <w:r w:rsidRPr="006259CB">
        <w:t>Baker Street is directly owned by its Partners and Managing Members, each of which owns &lt; 25% equity interest except for Watson Acquisition, LLC (Managing Member), w</w:t>
      </w:r>
      <w:r w:rsidR="00CB1DFC" w:rsidRPr="006259CB">
        <w:t xml:space="preserve">hich maintains </w:t>
      </w:r>
      <w:r w:rsidR="00D7791D" w:rsidRPr="006259CB">
        <w:t xml:space="preserve">&gt; 50% </w:t>
      </w:r>
      <w:r w:rsidRPr="006259CB">
        <w:t xml:space="preserve">equity interest. In April 2015, Affiliated Managers Group, Inc. ("AMG") acquired </w:t>
      </w:r>
      <w:r w:rsidR="00D700B0" w:rsidRPr="006259CB">
        <w:t xml:space="preserve">over </w:t>
      </w:r>
      <w:r w:rsidR="000C481F" w:rsidRPr="006259CB">
        <w:t>50</w:t>
      </w:r>
      <w:r w:rsidRPr="006259CB">
        <w:t xml:space="preserve">% equity interest in </w:t>
      </w:r>
      <w:r w:rsidR="00CB1DFC" w:rsidRPr="006259CB">
        <w:t xml:space="preserve">the firm. </w:t>
      </w:r>
      <w:r w:rsidRPr="006259CB">
        <w:t xml:space="preserve">As a result of this transaction, </w:t>
      </w:r>
      <w:r w:rsidR="00CB1DFC" w:rsidRPr="006259CB">
        <w:t>the Adviser</w:t>
      </w:r>
      <w:r w:rsidRPr="006259CB">
        <w:t xml:space="preserve"> converted from a California</w:t>
      </w:r>
      <w:r w:rsidR="00F358A9" w:rsidRPr="006259CB">
        <w:t xml:space="preserve"> Limited Liability Company</w:t>
      </w:r>
      <w:r w:rsidRPr="006259CB">
        <w:t xml:space="preserve"> </w:t>
      </w:r>
      <w:r w:rsidR="00F358A9" w:rsidRPr="006259CB">
        <w:t>(“</w:t>
      </w:r>
      <w:r w:rsidRPr="006259CB">
        <w:t>L</w:t>
      </w:r>
      <w:r w:rsidR="00E70DA8" w:rsidRPr="006259CB">
        <w:t>LC</w:t>
      </w:r>
      <w:r w:rsidR="00F358A9" w:rsidRPr="006259CB">
        <w:t>”)</w:t>
      </w:r>
      <w:r w:rsidRPr="006259CB">
        <w:t xml:space="preserve"> to a Delaware LLC. AMG, a publicly traded asset management company (NYSE: AMG), also has equity interests in certain other investment management firms ("AMG Affiliates").</w:t>
      </w:r>
      <w:r w:rsidR="0007371A" w:rsidRPr="006259CB">
        <w:t xml:space="preserve"> </w:t>
      </w:r>
      <w:r w:rsidR="0007371A" w:rsidRPr="006B2D94">
        <w:rPr>
          <w:i/>
          <w:iCs/>
          <w:color w:val="595959" w:themeColor="text1" w:themeTint="A6"/>
        </w:rPr>
        <w:t xml:space="preserve">(Note:  </w:t>
      </w:r>
      <w:r w:rsidR="0064637F" w:rsidRPr="006B2D94">
        <w:rPr>
          <w:i/>
          <w:iCs/>
          <w:color w:val="595959" w:themeColor="text1" w:themeTint="A6"/>
        </w:rPr>
        <w:t xml:space="preserve">Further information on AMG and </w:t>
      </w:r>
      <w:r w:rsidR="0048713D" w:rsidRPr="006B2D94">
        <w:rPr>
          <w:i/>
          <w:iCs/>
          <w:color w:val="595959" w:themeColor="text1" w:themeTint="A6"/>
        </w:rPr>
        <w:t xml:space="preserve">the </w:t>
      </w:r>
      <w:r w:rsidR="0064637F" w:rsidRPr="006B2D94">
        <w:rPr>
          <w:i/>
          <w:iCs/>
          <w:color w:val="595959" w:themeColor="text1" w:themeTint="A6"/>
        </w:rPr>
        <w:t>AMG Affiliates is</w:t>
      </w:r>
      <w:r w:rsidR="000A0F5D" w:rsidRPr="006B2D94">
        <w:rPr>
          <w:i/>
          <w:iCs/>
          <w:color w:val="595959" w:themeColor="text1" w:themeTint="A6"/>
        </w:rPr>
        <w:t xml:space="preserve"> p</w:t>
      </w:r>
      <w:r w:rsidR="0064637F" w:rsidRPr="006B2D94">
        <w:rPr>
          <w:i/>
          <w:iCs/>
          <w:color w:val="595959" w:themeColor="text1" w:themeTint="A6"/>
        </w:rPr>
        <w:t xml:space="preserve">rovided in </w:t>
      </w:r>
      <w:r w:rsidR="0007371A" w:rsidRPr="006B2D94">
        <w:rPr>
          <w:i/>
          <w:iCs/>
          <w:color w:val="595959" w:themeColor="text1" w:themeTint="A6"/>
        </w:rPr>
        <w:t>Item</w:t>
      </w:r>
      <w:r w:rsidR="00BC7A34" w:rsidRPr="006B2D94">
        <w:rPr>
          <w:i/>
          <w:iCs/>
          <w:color w:val="595959" w:themeColor="text1" w:themeTint="A6"/>
        </w:rPr>
        <w:t xml:space="preserve"> 10</w:t>
      </w:r>
      <w:r w:rsidR="0007371A" w:rsidRPr="006B2D94">
        <w:rPr>
          <w:i/>
          <w:iCs/>
          <w:color w:val="595959" w:themeColor="text1" w:themeTint="A6"/>
        </w:rPr>
        <w:t xml:space="preserve">: </w:t>
      </w:r>
      <w:r w:rsidR="0064637F" w:rsidRPr="006B2D94">
        <w:rPr>
          <w:i/>
          <w:iCs/>
          <w:color w:val="595959" w:themeColor="text1" w:themeTint="A6"/>
        </w:rPr>
        <w:t xml:space="preserve">Other Financial Industry Activities </w:t>
      </w:r>
      <w:r w:rsidR="0007371A" w:rsidRPr="006B2D94">
        <w:rPr>
          <w:i/>
          <w:iCs/>
          <w:color w:val="595959" w:themeColor="text1" w:themeTint="A6"/>
        </w:rPr>
        <w:t xml:space="preserve">&amp; </w:t>
      </w:r>
      <w:r w:rsidR="0064637F" w:rsidRPr="006B2D94">
        <w:rPr>
          <w:i/>
          <w:iCs/>
          <w:color w:val="595959" w:themeColor="text1" w:themeTint="A6"/>
        </w:rPr>
        <w:t>Affiliations</w:t>
      </w:r>
      <w:r w:rsidR="0007371A" w:rsidRPr="006B2D94">
        <w:rPr>
          <w:i/>
          <w:iCs/>
          <w:color w:val="595959" w:themeColor="text1" w:themeTint="A6"/>
        </w:rPr>
        <w:t xml:space="preserve">.)  </w:t>
      </w:r>
    </w:p>
    <w:p w14:paraId="21F56EC9" w14:textId="77777777" w:rsidR="0007371A" w:rsidRPr="006259CB" w:rsidRDefault="0007371A" w:rsidP="00873720">
      <w:pPr>
        <w:rPr>
          <w:i/>
          <w:iCs/>
          <w:color w:val="7F7F7F" w:themeColor="text1" w:themeTint="80"/>
        </w:rPr>
      </w:pPr>
    </w:p>
    <w:p w14:paraId="686E685E" w14:textId="77777777" w:rsidR="00013325" w:rsidRPr="006259CB" w:rsidRDefault="0000164A" w:rsidP="00873720">
      <w:r w:rsidRPr="006259CB">
        <w:t xml:space="preserve">Baker Street's indirect ownership is as follows:  </w:t>
      </w:r>
    </w:p>
    <w:p w14:paraId="100F3281" w14:textId="77777777" w:rsidR="00013325" w:rsidRPr="006259CB" w:rsidRDefault="00013325" w:rsidP="00873720"/>
    <w:p w14:paraId="75C97C20" w14:textId="0A232C33" w:rsidR="00AF3A74" w:rsidRPr="006259CB" w:rsidRDefault="002501FE" w:rsidP="00873720">
      <w:pPr>
        <w:ind w:left="360" w:right="360"/>
      </w:pPr>
      <w:r w:rsidRPr="006259CB">
        <w:t>A</w:t>
      </w:r>
      <w:r w:rsidR="00366995" w:rsidRPr="006259CB">
        <w:t xml:space="preserve">ffiliated </w:t>
      </w:r>
      <w:r w:rsidRPr="006259CB">
        <w:t>Managers Group, Inc.</w:t>
      </w:r>
      <w:r w:rsidR="00DA71F3" w:rsidRPr="006259CB">
        <w:t>(Series A Member, Manager &amp; Sole Shareholder)</w:t>
      </w:r>
      <w:r w:rsidRPr="006259CB">
        <w:t xml:space="preserve"> holds a 50% ownership interest in A</w:t>
      </w:r>
      <w:r w:rsidR="00DA71F3" w:rsidRPr="006259CB">
        <w:t>MG</w:t>
      </w:r>
      <w:r w:rsidRPr="006259CB">
        <w:t xml:space="preserve"> </w:t>
      </w:r>
      <w:r w:rsidR="00495D39" w:rsidRPr="006259CB">
        <w:t xml:space="preserve">WP </w:t>
      </w:r>
      <w:r w:rsidR="00DA71F3" w:rsidRPr="006259CB">
        <w:t>LP Holdings, Inc.</w:t>
      </w:r>
      <w:r w:rsidR="0033625D" w:rsidRPr="006259CB">
        <w:t xml:space="preserve"> (Limited Partner). </w:t>
      </w:r>
      <w:r w:rsidRPr="006259CB">
        <w:t>A</w:t>
      </w:r>
      <w:r w:rsidR="00DA71F3" w:rsidRPr="006259CB">
        <w:t>MG</w:t>
      </w:r>
      <w:r w:rsidRPr="006259CB">
        <w:t xml:space="preserve"> Wealth Partners, LP</w:t>
      </w:r>
      <w:r w:rsidR="00DA71F3" w:rsidRPr="006259CB">
        <w:t xml:space="preserve"> (Member)</w:t>
      </w:r>
      <w:r w:rsidRPr="006259CB">
        <w:t xml:space="preserve"> holds a 50% ownership interest in A</w:t>
      </w:r>
      <w:r w:rsidR="00DA71F3" w:rsidRPr="006259CB">
        <w:t xml:space="preserve">MG </w:t>
      </w:r>
      <w:r w:rsidRPr="006259CB">
        <w:t>Managers Group, Inc</w:t>
      </w:r>
      <w:r w:rsidR="006F3A0A" w:rsidRPr="006259CB">
        <w:t>., and A</w:t>
      </w:r>
      <w:r w:rsidRPr="006259CB">
        <w:t xml:space="preserve">MG </w:t>
      </w:r>
      <w:r w:rsidR="00495D39" w:rsidRPr="006259CB">
        <w:t>W</w:t>
      </w:r>
      <w:r w:rsidRPr="006259CB">
        <w:t xml:space="preserve">P LP Holdings, LLC holds a 50% ownership interest </w:t>
      </w:r>
      <w:r w:rsidR="00495D39" w:rsidRPr="006259CB">
        <w:t>i</w:t>
      </w:r>
      <w:r w:rsidRPr="006259CB">
        <w:t>n A</w:t>
      </w:r>
      <w:r w:rsidR="00495D39" w:rsidRPr="006259CB">
        <w:t>MG</w:t>
      </w:r>
      <w:r w:rsidRPr="006259CB">
        <w:t xml:space="preserve"> Wealth Partners, LP.</w:t>
      </w:r>
      <w:r w:rsidR="008B6F26" w:rsidRPr="006259CB">
        <w:t xml:space="preserve"> </w:t>
      </w:r>
      <w:r w:rsidRPr="006259CB">
        <w:t>AW</w:t>
      </w:r>
      <w:r w:rsidR="008B6F26" w:rsidRPr="006259CB">
        <w:t>G WP GP H</w:t>
      </w:r>
      <w:r w:rsidRPr="006259CB">
        <w:t>oldings Corp</w:t>
      </w:r>
      <w:r w:rsidR="002406A5" w:rsidRPr="006259CB">
        <w:t>oration (</w:t>
      </w:r>
      <w:r w:rsidRPr="006259CB">
        <w:t xml:space="preserve">the </w:t>
      </w:r>
      <w:r w:rsidR="008B6F26" w:rsidRPr="006259CB">
        <w:t xml:space="preserve">General Partner </w:t>
      </w:r>
      <w:r w:rsidRPr="006259CB">
        <w:t>of A</w:t>
      </w:r>
      <w:r w:rsidR="008B6F26" w:rsidRPr="006259CB">
        <w:t>MG</w:t>
      </w:r>
      <w:r w:rsidRPr="006259CB">
        <w:t xml:space="preserve"> Wealth Partners, LP</w:t>
      </w:r>
      <w:r w:rsidR="002406A5" w:rsidRPr="006259CB">
        <w:t>)</w:t>
      </w:r>
      <w:r w:rsidRPr="006259CB">
        <w:t xml:space="preserve"> is indirectly controlled by A</w:t>
      </w:r>
      <w:r w:rsidR="008B6F26" w:rsidRPr="006259CB">
        <w:t>MG</w:t>
      </w:r>
      <w:r w:rsidRPr="006259CB">
        <w:t xml:space="preserve"> Managers Group, Inc., which owns 50% of AWP GP Holdings Corp</w:t>
      </w:r>
      <w:r w:rsidR="002406A5" w:rsidRPr="006259CB">
        <w:t>oration</w:t>
      </w:r>
      <w:r w:rsidRPr="006259CB">
        <w:t>.</w:t>
      </w:r>
      <w:r w:rsidR="005C35D2" w:rsidRPr="006259CB">
        <w:t xml:space="preserve">  </w:t>
      </w:r>
    </w:p>
    <w:p w14:paraId="1A9DCC3C" w14:textId="77777777" w:rsidR="00355507" w:rsidRPr="006259CB" w:rsidRDefault="00355507" w:rsidP="00873720">
      <w:pPr>
        <w:pStyle w:val="Paragraph"/>
      </w:pPr>
    </w:p>
    <w:p w14:paraId="689291BE" w14:textId="1829F6D4" w:rsidR="00C962DA" w:rsidRPr="006259CB" w:rsidRDefault="00010646" w:rsidP="00873720">
      <w:pPr>
        <w:pStyle w:val="Paragraph"/>
      </w:pPr>
      <w:r w:rsidRPr="006259CB">
        <w:t>Advisory Business</w:t>
      </w:r>
    </w:p>
    <w:p w14:paraId="725E916F" w14:textId="622DE9DB" w:rsidR="009D2626" w:rsidRPr="006259CB" w:rsidRDefault="009D2626" w:rsidP="00873720">
      <w:pPr>
        <w:rPr>
          <w:rFonts w:eastAsia="Arial MT"/>
          <w:noProof/>
          <w:lang w:bidi="en-US"/>
        </w:rPr>
      </w:pPr>
      <w:r w:rsidRPr="332DA7C8">
        <w:rPr>
          <w:rFonts w:eastAsia="Arial MT"/>
          <w:noProof/>
          <w:lang w:bidi="en-US"/>
        </w:rPr>
        <w:t xml:space="preserve">In this Brochure, the terms "we," "our," </w:t>
      </w:r>
      <w:r w:rsidR="00AD064F" w:rsidRPr="332DA7C8">
        <w:rPr>
          <w:rFonts w:eastAsia="Arial MT"/>
          <w:noProof/>
          <w:lang w:bidi="en-US"/>
        </w:rPr>
        <w:t>“the Advis</w:t>
      </w:r>
      <w:r w:rsidR="00D545CF" w:rsidRPr="332DA7C8">
        <w:rPr>
          <w:rFonts w:eastAsia="Arial MT"/>
          <w:noProof/>
          <w:lang w:bidi="en-US"/>
        </w:rPr>
        <w:t>e</w:t>
      </w:r>
      <w:r w:rsidR="00AD064F" w:rsidRPr="332DA7C8">
        <w:rPr>
          <w:rFonts w:eastAsia="Arial MT"/>
          <w:noProof/>
          <w:lang w:bidi="en-US"/>
        </w:rPr>
        <w:t>r</w:t>
      </w:r>
      <w:r w:rsidR="00D545CF" w:rsidRPr="332DA7C8">
        <w:rPr>
          <w:rFonts w:eastAsia="Arial MT"/>
          <w:noProof/>
          <w:lang w:bidi="en-US"/>
        </w:rPr>
        <w:t>,</w:t>
      </w:r>
      <w:r w:rsidR="00AD064F" w:rsidRPr="332DA7C8">
        <w:rPr>
          <w:rFonts w:eastAsia="Arial MT"/>
          <w:noProof/>
          <w:lang w:bidi="en-US"/>
        </w:rPr>
        <w:t xml:space="preserve">” </w:t>
      </w:r>
      <w:r w:rsidRPr="332DA7C8">
        <w:rPr>
          <w:rFonts w:eastAsia="Arial MT"/>
          <w:noProof/>
          <w:lang w:bidi="en-US"/>
        </w:rPr>
        <w:t xml:space="preserve">or "us" refer to </w:t>
      </w:r>
      <w:r w:rsidR="006449E3" w:rsidRPr="332DA7C8">
        <w:rPr>
          <w:rFonts w:eastAsia="Arial MT"/>
          <w:noProof/>
          <w:lang w:bidi="en-US"/>
        </w:rPr>
        <w:t>Baker Street</w:t>
      </w:r>
      <w:r w:rsidRPr="332DA7C8">
        <w:rPr>
          <w:rFonts w:eastAsia="Arial MT"/>
          <w:noProof/>
          <w:lang w:bidi="en-US"/>
        </w:rPr>
        <w:t>, and the terms "you," "your," and "</w:t>
      </w:r>
      <w:r w:rsidR="00202598" w:rsidRPr="332DA7C8">
        <w:rPr>
          <w:rFonts w:eastAsia="Arial MT"/>
          <w:noProof/>
          <w:lang w:bidi="en-US"/>
        </w:rPr>
        <w:t>Client</w:t>
      </w:r>
      <w:r w:rsidRPr="332DA7C8">
        <w:rPr>
          <w:rFonts w:eastAsia="Arial MT"/>
          <w:noProof/>
          <w:lang w:bidi="en-US"/>
        </w:rPr>
        <w:t xml:space="preserve">" refer to you as either a current or prospective </w:t>
      </w:r>
      <w:r w:rsidR="00202598" w:rsidRPr="332DA7C8">
        <w:rPr>
          <w:rFonts w:eastAsia="Arial MT"/>
          <w:noProof/>
          <w:lang w:bidi="en-US"/>
        </w:rPr>
        <w:t>Client</w:t>
      </w:r>
      <w:r w:rsidRPr="332DA7C8">
        <w:rPr>
          <w:rFonts w:eastAsia="Arial MT"/>
          <w:noProof/>
          <w:lang w:bidi="en-US"/>
        </w:rPr>
        <w:t xml:space="preserve"> of our firm. The term "</w:t>
      </w:r>
      <w:r w:rsidR="00620A45" w:rsidRPr="332DA7C8">
        <w:rPr>
          <w:rFonts w:eastAsia="Arial MT"/>
          <w:noProof/>
          <w:lang w:bidi="en-US"/>
        </w:rPr>
        <w:t>Employee</w:t>
      </w:r>
      <w:r w:rsidRPr="332DA7C8">
        <w:rPr>
          <w:rFonts w:eastAsia="Arial MT"/>
          <w:noProof/>
          <w:lang w:bidi="en-US"/>
        </w:rPr>
        <w:t xml:space="preserve">" refers to </w:t>
      </w:r>
      <w:r w:rsidR="006449E3" w:rsidRPr="332DA7C8">
        <w:rPr>
          <w:rFonts w:eastAsia="Arial MT"/>
          <w:noProof/>
          <w:lang w:bidi="en-US"/>
        </w:rPr>
        <w:t>Baker Street</w:t>
      </w:r>
      <w:r w:rsidR="00182348" w:rsidRPr="332DA7C8">
        <w:rPr>
          <w:rFonts w:eastAsia="Arial MT"/>
          <w:noProof/>
          <w:lang w:bidi="en-US"/>
        </w:rPr>
        <w:t>'</w:t>
      </w:r>
      <w:r w:rsidRPr="332DA7C8">
        <w:rPr>
          <w:rFonts w:eastAsia="Arial MT"/>
          <w:noProof/>
          <w:lang w:bidi="en-US"/>
        </w:rPr>
        <w:t>s Supervised Persons, which include the firm</w:t>
      </w:r>
      <w:r w:rsidR="00182348" w:rsidRPr="332DA7C8">
        <w:rPr>
          <w:rFonts w:eastAsia="Arial MT"/>
          <w:noProof/>
          <w:lang w:bidi="en-US"/>
        </w:rPr>
        <w:t>'</w:t>
      </w:r>
      <w:r w:rsidRPr="332DA7C8">
        <w:rPr>
          <w:rFonts w:eastAsia="Arial MT"/>
          <w:noProof/>
          <w:lang w:bidi="en-US"/>
        </w:rPr>
        <w:t xml:space="preserve">s Officers, Directors and Executive Officers ("Control Persons"), employees, and its </w:t>
      </w:r>
      <w:r w:rsidR="00572846" w:rsidRPr="332DA7C8">
        <w:rPr>
          <w:rFonts w:eastAsia="Arial MT"/>
          <w:noProof/>
          <w:lang w:bidi="en-US"/>
        </w:rPr>
        <w:t>Investment Professionals</w:t>
      </w:r>
      <w:r w:rsidR="002E64F9" w:rsidRPr="332DA7C8">
        <w:rPr>
          <w:rFonts w:eastAsia="Arial MT"/>
          <w:noProof/>
          <w:lang w:bidi="en-US"/>
        </w:rPr>
        <w:t xml:space="preserve"> </w:t>
      </w:r>
      <w:r w:rsidRPr="332DA7C8">
        <w:rPr>
          <w:rFonts w:eastAsia="Arial MT"/>
          <w:noProof/>
          <w:lang w:bidi="en-US"/>
        </w:rPr>
        <w:t xml:space="preserve">who are supervised, and approved by </w:t>
      </w:r>
      <w:r w:rsidR="006449E3" w:rsidRPr="332DA7C8">
        <w:rPr>
          <w:rFonts w:eastAsia="Arial MT"/>
          <w:noProof/>
          <w:lang w:bidi="en-US"/>
        </w:rPr>
        <w:t>Baker Street</w:t>
      </w:r>
      <w:r w:rsidRPr="332DA7C8">
        <w:rPr>
          <w:rFonts w:eastAsia="Arial MT"/>
          <w:noProof/>
          <w:lang w:bidi="en-US"/>
        </w:rPr>
        <w:t xml:space="preserve"> to provide investment advice or advisory services on behalf of the </w:t>
      </w:r>
      <w:r w:rsidR="00737860" w:rsidRPr="332DA7C8">
        <w:rPr>
          <w:rFonts w:eastAsia="Arial MT"/>
          <w:noProof/>
          <w:lang w:bidi="en-US"/>
        </w:rPr>
        <w:t>Adviser</w:t>
      </w:r>
      <w:r w:rsidRPr="332DA7C8">
        <w:rPr>
          <w:rFonts w:eastAsia="Arial MT"/>
          <w:noProof/>
          <w:lang w:bidi="en-US"/>
        </w:rPr>
        <w:t xml:space="preserve">, as required for their roles and </w:t>
      </w:r>
      <w:r w:rsidR="00202598" w:rsidRPr="332DA7C8">
        <w:rPr>
          <w:rFonts w:eastAsia="Arial MT"/>
          <w:noProof/>
          <w:lang w:bidi="en-US"/>
        </w:rPr>
        <w:t>Client</w:t>
      </w:r>
      <w:r w:rsidRPr="332DA7C8">
        <w:rPr>
          <w:rFonts w:eastAsia="Arial MT"/>
          <w:noProof/>
          <w:lang w:bidi="en-US"/>
        </w:rPr>
        <w:t xml:space="preserve"> base.</w:t>
      </w:r>
    </w:p>
    <w:p w14:paraId="30FE48A2" w14:textId="77777777" w:rsidR="009D2626" w:rsidRPr="006259CB" w:rsidRDefault="009D2626" w:rsidP="00873720">
      <w:pPr>
        <w:rPr>
          <w:rFonts w:eastAsia="Arial MT"/>
          <w:noProof/>
          <w:lang w:bidi="en-US"/>
        </w:rPr>
      </w:pPr>
    </w:p>
    <w:p w14:paraId="26354BB1" w14:textId="2D67FD0E" w:rsidR="009D2626" w:rsidRPr="006259CB" w:rsidRDefault="006449E3" w:rsidP="00873720">
      <w:pPr>
        <w:rPr>
          <w:rFonts w:eastAsia="Arial MT"/>
          <w:noProof/>
          <w:lang w:bidi="en-US"/>
        </w:rPr>
      </w:pPr>
      <w:r w:rsidRPr="006259CB">
        <w:rPr>
          <w:rFonts w:eastAsia="Arial MT"/>
          <w:noProof/>
          <w:lang w:bidi="en-US"/>
        </w:rPr>
        <w:t>Baker Street</w:t>
      </w:r>
      <w:r w:rsidR="009D2626" w:rsidRPr="006259CB">
        <w:rPr>
          <w:rFonts w:eastAsia="Arial MT"/>
          <w:noProof/>
          <w:lang w:bidi="en-US"/>
        </w:rPr>
        <w:t xml:space="preserve"> owes a fiduciary duty to its </w:t>
      </w:r>
      <w:r w:rsidR="00202598" w:rsidRPr="006259CB">
        <w:rPr>
          <w:rFonts w:eastAsia="Arial MT"/>
          <w:noProof/>
          <w:lang w:bidi="en-US"/>
        </w:rPr>
        <w:t>Client</w:t>
      </w:r>
      <w:r w:rsidR="009D2626" w:rsidRPr="006259CB">
        <w:rPr>
          <w:rFonts w:eastAsia="Arial MT"/>
          <w:noProof/>
          <w:lang w:bidi="en-US"/>
        </w:rPr>
        <w:t xml:space="preserve">s as defined by applicable laws and regulations. As a fiduciary, the firm is committed to acting with loyalty, care, fairness, and good faith toward each </w:t>
      </w:r>
      <w:r w:rsidR="00202598" w:rsidRPr="006259CB">
        <w:rPr>
          <w:rFonts w:eastAsia="Arial MT"/>
          <w:noProof/>
          <w:lang w:bidi="en-US"/>
        </w:rPr>
        <w:t>Client</w:t>
      </w:r>
      <w:r w:rsidR="009D2626" w:rsidRPr="006259CB">
        <w:rPr>
          <w:rFonts w:eastAsia="Arial MT"/>
          <w:noProof/>
          <w:lang w:bidi="en-US"/>
        </w:rPr>
        <w:t>. This commitment includes mitigating any potential conflicts of interest that may arise in the course of providing services. In delivering investment advice, we endeavor to exercise the highest degree of care, skill, prudence, and diligence that a prudent person acting in a fiduciary capacity would apply under similar circumstances.</w:t>
      </w:r>
    </w:p>
    <w:p w14:paraId="65A57ACC" w14:textId="77777777" w:rsidR="009D2626" w:rsidRPr="006259CB" w:rsidRDefault="009D2626" w:rsidP="00873720">
      <w:pPr>
        <w:rPr>
          <w:rFonts w:eastAsia="Arial MT"/>
          <w:noProof/>
          <w:lang w:bidi="en-US"/>
        </w:rPr>
      </w:pPr>
    </w:p>
    <w:p w14:paraId="3D4CD795" w14:textId="09390974" w:rsidR="009D2626" w:rsidRPr="006259CB" w:rsidRDefault="006D7D82" w:rsidP="332DA7C8">
      <w:pPr>
        <w:rPr>
          <w:rFonts w:eastAsia="Arial MT"/>
          <w:i/>
          <w:iCs/>
          <w:noProof/>
          <w:color w:val="595959" w:themeColor="text1" w:themeTint="A6"/>
          <w:lang w:bidi="en-US"/>
        </w:rPr>
      </w:pPr>
      <w:r>
        <w:t xml:space="preserve"> </w:t>
      </w:r>
      <w:r w:rsidR="009D2626" w:rsidRPr="332DA7C8">
        <w:rPr>
          <w:rFonts w:eastAsia="Arial MT"/>
          <w:noProof/>
          <w:lang w:bidi="en-US"/>
        </w:rPr>
        <w:t xml:space="preserve">For additional information about the individuals providing advisory services on our behalf, </w:t>
      </w:r>
      <w:r w:rsidR="00202598" w:rsidRPr="332DA7C8">
        <w:rPr>
          <w:rFonts w:eastAsia="Arial MT"/>
          <w:noProof/>
          <w:lang w:bidi="en-US"/>
        </w:rPr>
        <w:t>Client</w:t>
      </w:r>
      <w:r w:rsidR="009D2626" w:rsidRPr="332DA7C8">
        <w:rPr>
          <w:rFonts w:eastAsia="Arial MT"/>
          <w:noProof/>
          <w:lang w:bidi="en-US"/>
        </w:rPr>
        <w:t xml:space="preserve">s should refer to </w:t>
      </w:r>
      <w:r w:rsidR="6BB8493F" w:rsidRPr="332DA7C8">
        <w:rPr>
          <w:rFonts w:eastAsia="Arial MT"/>
          <w:noProof/>
          <w:lang w:bidi="en-US"/>
        </w:rPr>
        <w:t>the individual’s</w:t>
      </w:r>
      <w:r w:rsidR="009D2626" w:rsidRPr="332DA7C8">
        <w:rPr>
          <w:rFonts w:eastAsia="Arial MT"/>
          <w:noProof/>
          <w:lang w:bidi="en-US"/>
        </w:rPr>
        <w:t xml:space="preserve"> Form ADV 2B Brochure Supplement, a separate disclosure document provided alongside this </w:t>
      </w:r>
      <w:r w:rsidRPr="332DA7C8">
        <w:rPr>
          <w:rFonts w:eastAsia="Arial MT"/>
          <w:noProof/>
          <w:lang w:bidi="en-US"/>
        </w:rPr>
        <w:t>b</w:t>
      </w:r>
      <w:r w:rsidR="009D2626" w:rsidRPr="332DA7C8">
        <w:rPr>
          <w:rFonts w:eastAsia="Arial MT"/>
          <w:noProof/>
          <w:lang w:bidi="en-US"/>
        </w:rPr>
        <w:t xml:space="preserve">rochure, prior to or at the time the advisory relationship begins. </w:t>
      </w:r>
      <w:r w:rsidR="009D2626" w:rsidRPr="332DA7C8">
        <w:rPr>
          <w:rFonts w:eastAsia="Arial MT"/>
          <w:i/>
          <w:iCs/>
          <w:noProof/>
          <w:color w:val="595959" w:themeColor="text1" w:themeTint="A6"/>
          <w:lang w:bidi="en-US"/>
        </w:rPr>
        <w:t xml:space="preserve">(If the </w:t>
      </w:r>
      <w:r w:rsidR="00202598" w:rsidRPr="332DA7C8">
        <w:rPr>
          <w:rFonts w:eastAsia="Arial MT"/>
          <w:i/>
          <w:iCs/>
          <w:noProof/>
          <w:color w:val="595959" w:themeColor="text1" w:themeTint="A6"/>
          <w:lang w:bidi="en-US"/>
        </w:rPr>
        <w:t>Client</w:t>
      </w:r>
      <w:r w:rsidR="009D2626" w:rsidRPr="332DA7C8">
        <w:rPr>
          <w:rFonts w:eastAsia="Arial MT"/>
          <w:i/>
          <w:iCs/>
          <w:noProof/>
          <w:color w:val="595959" w:themeColor="text1" w:themeTint="A6"/>
          <w:lang w:bidi="en-US"/>
        </w:rPr>
        <w:t xml:space="preserve"> did not receive this document, please contact </w:t>
      </w:r>
      <w:r w:rsidRPr="332DA7C8">
        <w:rPr>
          <w:rFonts w:eastAsia="Arial MT"/>
          <w:i/>
          <w:iCs/>
          <w:noProof/>
          <w:color w:val="595959" w:themeColor="text1" w:themeTint="A6"/>
          <w:lang w:bidi="en-US"/>
        </w:rPr>
        <w:t xml:space="preserve">us directly at </w:t>
      </w:r>
      <w:r w:rsidRPr="332DA7C8">
        <w:rPr>
          <w:i/>
          <w:iCs/>
          <w:color w:val="595959" w:themeColor="text1" w:themeTint="A6"/>
        </w:rPr>
        <w:t>415.344.6180 to obtain a copy.)</w:t>
      </w:r>
    </w:p>
    <w:p w14:paraId="47F731BD" w14:textId="77777777" w:rsidR="009D2626" w:rsidRPr="006259CB" w:rsidRDefault="009D2626" w:rsidP="00873720">
      <w:pPr>
        <w:rPr>
          <w:rFonts w:eastAsia="Arial MT"/>
          <w:noProof/>
          <w:lang w:bidi="en-US"/>
        </w:rPr>
      </w:pPr>
    </w:p>
    <w:p w14:paraId="713C0BDB" w14:textId="77777777" w:rsidR="009D2626" w:rsidRPr="006259CB" w:rsidRDefault="009D2626" w:rsidP="00873720">
      <w:pPr>
        <w:pStyle w:val="Paragraph"/>
        <w:rPr>
          <w:noProof/>
          <w:lang w:bidi="en-US"/>
        </w:rPr>
      </w:pPr>
      <w:bookmarkStart w:id="15" w:name="_heading=h.2s8eyo1" w:colFirst="0" w:colLast="0"/>
      <w:bookmarkStart w:id="16" w:name="_Toc193147693"/>
      <w:bookmarkStart w:id="17" w:name="_Toc193886377"/>
      <w:bookmarkEnd w:id="15"/>
      <w:r w:rsidRPr="006259CB">
        <w:rPr>
          <w:noProof/>
          <w:lang w:bidi="en-US"/>
        </w:rPr>
        <w:t>Non-Exclusive Relationship</w:t>
      </w:r>
      <w:bookmarkEnd w:id="16"/>
      <w:bookmarkEnd w:id="17"/>
    </w:p>
    <w:p w14:paraId="279FB57D" w14:textId="7BCC3347" w:rsidR="009D2626" w:rsidRDefault="006449E3" w:rsidP="00873720">
      <w:pPr>
        <w:rPr>
          <w:rFonts w:eastAsia="Arial MT"/>
          <w:i/>
          <w:noProof/>
          <w:color w:val="595959" w:themeColor="text1" w:themeTint="A6"/>
          <w:lang w:bidi="en-US"/>
        </w:rPr>
      </w:pPr>
      <w:r w:rsidRPr="006259CB">
        <w:rPr>
          <w:rFonts w:eastAsia="Arial MT"/>
          <w:noProof/>
          <w:lang w:bidi="en-US"/>
        </w:rPr>
        <w:t>Baker Street</w:t>
      </w:r>
      <w:r w:rsidR="009D2626" w:rsidRPr="006259CB">
        <w:rPr>
          <w:rFonts w:eastAsia="Arial MT"/>
          <w:noProof/>
          <w:lang w:bidi="en-US"/>
        </w:rPr>
        <w:t xml:space="preserve">'s relationship with each </w:t>
      </w:r>
      <w:r w:rsidR="00202598" w:rsidRPr="006259CB">
        <w:rPr>
          <w:rFonts w:eastAsia="Arial MT"/>
          <w:noProof/>
          <w:lang w:bidi="en-US"/>
        </w:rPr>
        <w:t>Client</w:t>
      </w:r>
      <w:r w:rsidR="009D2626" w:rsidRPr="006259CB">
        <w:rPr>
          <w:rFonts w:eastAsia="Arial MT"/>
          <w:noProof/>
          <w:lang w:bidi="en-US"/>
        </w:rPr>
        <w:t xml:space="preserve"> is </w:t>
      </w:r>
      <w:r w:rsidR="009D2626" w:rsidRPr="006259CB">
        <w:rPr>
          <w:rFonts w:eastAsia="Arial MT"/>
          <w:i/>
          <w:iCs/>
          <w:noProof/>
          <w:lang w:bidi="en-US"/>
        </w:rPr>
        <w:t>non-exclusive</w:t>
      </w:r>
      <w:r w:rsidR="009D2626" w:rsidRPr="006259CB">
        <w:rPr>
          <w:rFonts w:eastAsia="Arial MT"/>
          <w:noProof/>
          <w:lang w:bidi="en-US"/>
        </w:rPr>
        <w:t xml:space="preserve">; in other words, we provide advisory services to multiple </w:t>
      </w:r>
      <w:r w:rsidR="00202598" w:rsidRPr="006259CB">
        <w:rPr>
          <w:rFonts w:eastAsia="Arial MT"/>
          <w:noProof/>
          <w:lang w:bidi="en-US"/>
        </w:rPr>
        <w:t>Client</w:t>
      </w:r>
      <w:r w:rsidR="009D2626" w:rsidRPr="006259CB">
        <w:rPr>
          <w:rFonts w:eastAsia="Arial MT"/>
          <w:noProof/>
          <w:lang w:bidi="en-US"/>
        </w:rPr>
        <w:t xml:space="preserve">s, with investment strategies and advice based on each </w:t>
      </w:r>
      <w:r w:rsidR="00202598" w:rsidRPr="006259CB">
        <w:rPr>
          <w:rFonts w:eastAsia="Arial MT"/>
          <w:noProof/>
          <w:lang w:bidi="en-US"/>
        </w:rPr>
        <w:t>Client</w:t>
      </w:r>
      <w:r w:rsidR="009D2626" w:rsidRPr="006259CB">
        <w:rPr>
          <w:rFonts w:eastAsia="Arial MT"/>
          <w:noProof/>
          <w:lang w:bidi="en-US"/>
        </w:rPr>
        <w:t xml:space="preserve">'s specific financial situation. Accordingly, since investment strategies and advice are custom-tailored based on each </w:t>
      </w:r>
      <w:r w:rsidR="00202598" w:rsidRPr="006259CB">
        <w:rPr>
          <w:rFonts w:eastAsia="Arial MT"/>
          <w:noProof/>
          <w:lang w:bidi="en-US"/>
        </w:rPr>
        <w:t>Client</w:t>
      </w:r>
      <w:r w:rsidR="009D2626" w:rsidRPr="006259CB">
        <w:rPr>
          <w:rFonts w:eastAsia="Arial MT"/>
          <w:noProof/>
          <w:lang w:bidi="en-US"/>
        </w:rPr>
        <w:t xml:space="preserve">'s specific financial situation, the advice we provide to one </w:t>
      </w:r>
      <w:r w:rsidR="00202598" w:rsidRPr="006259CB">
        <w:rPr>
          <w:rFonts w:eastAsia="Arial MT"/>
          <w:noProof/>
          <w:lang w:bidi="en-US"/>
        </w:rPr>
        <w:t>Client</w:t>
      </w:r>
      <w:r w:rsidR="009D2626" w:rsidRPr="006259CB">
        <w:rPr>
          <w:rFonts w:eastAsia="Arial MT"/>
          <w:noProof/>
          <w:lang w:bidi="en-US"/>
        </w:rPr>
        <w:t xml:space="preserve"> can differ or conflict with that provided for the same security or investment for another. </w:t>
      </w:r>
      <w:r w:rsidR="009D2626" w:rsidRPr="006B2D94">
        <w:rPr>
          <w:rFonts w:eastAsia="Arial MT"/>
          <w:i/>
          <w:noProof/>
          <w:color w:val="595959" w:themeColor="text1" w:themeTint="A6"/>
          <w:lang w:bidi="en-US"/>
        </w:rPr>
        <w:t>(See Item 8: Methods of Analysis, Investment Strategies &amp; Risk of Loss for additional information.)</w:t>
      </w:r>
    </w:p>
    <w:p w14:paraId="190E52B2" w14:textId="77777777" w:rsidR="002751B8" w:rsidRPr="006B2D94" w:rsidRDefault="002751B8" w:rsidP="00873720">
      <w:pPr>
        <w:rPr>
          <w:rFonts w:eastAsia="Arial MT"/>
          <w:i/>
          <w:noProof/>
          <w:color w:val="595959" w:themeColor="text1" w:themeTint="A6"/>
          <w:lang w:bidi="en-US"/>
        </w:rPr>
      </w:pPr>
    </w:p>
    <w:p w14:paraId="33D0BCA6" w14:textId="77777777" w:rsidR="009D2626" w:rsidRPr="006259CB" w:rsidRDefault="009D2626" w:rsidP="00873720">
      <w:pPr>
        <w:pStyle w:val="Paragraph"/>
        <w:rPr>
          <w:noProof/>
          <w:lang w:bidi="en-US"/>
        </w:rPr>
      </w:pPr>
      <w:bookmarkStart w:id="18" w:name="_heading=h.17dp8vu" w:colFirst="0" w:colLast="0"/>
      <w:bookmarkStart w:id="19" w:name="_Toc193147694"/>
      <w:bookmarkStart w:id="20" w:name="_Toc193886378"/>
      <w:bookmarkEnd w:id="18"/>
      <w:r w:rsidRPr="006259CB">
        <w:rPr>
          <w:noProof/>
          <w:lang w:bidi="en-US"/>
        </w:rPr>
        <w:t>Other Professional Service Provider Recommendations</w:t>
      </w:r>
      <w:bookmarkEnd w:id="19"/>
      <w:bookmarkEnd w:id="20"/>
    </w:p>
    <w:p w14:paraId="69E2077D" w14:textId="2AF25294" w:rsidR="009D2626" w:rsidRPr="006259CB" w:rsidRDefault="006449E3" w:rsidP="00873720">
      <w:pPr>
        <w:rPr>
          <w:rFonts w:eastAsia="Arial MT"/>
          <w:noProof/>
          <w:lang w:bidi="en-US"/>
        </w:rPr>
      </w:pPr>
      <w:r w:rsidRPr="006259CB">
        <w:rPr>
          <w:rFonts w:eastAsia="Arial MT"/>
          <w:noProof/>
          <w:lang w:bidi="en-US"/>
        </w:rPr>
        <w:t>Baker Street</w:t>
      </w:r>
      <w:r w:rsidR="009D2626" w:rsidRPr="006259CB">
        <w:rPr>
          <w:rFonts w:eastAsia="Arial MT"/>
          <w:noProof/>
          <w:lang w:bidi="en-US"/>
        </w:rPr>
        <w:t xml:space="preserve"> may suggest the services of other professionals for implementation purposes, such as lawyers, accountants, insurance agents, and others. These professionals are engaged directly by the </w:t>
      </w:r>
      <w:r w:rsidR="00202598" w:rsidRPr="006259CB">
        <w:rPr>
          <w:rFonts w:eastAsia="Arial MT"/>
          <w:noProof/>
          <w:lang w:bidi="en-US"/>
        </w:rPr>
        <w:t>Client</w:t>
      </w:r>
      <w:r w:rsidR="009D2626" w:rsidRPr="006259CB">
        <w:rPr>
          <w:rFonts w:eastAsia="Arial MT"/>
          <w:noProof/>
          <w:lang w:bidi="en-US"/>
        </w:rPr>
        <w:t xml:space="preserve"> on an as-needed basis. Unless otherwise stated, </w:t>
      </w:r>
      <w:r w:rsidRPr="006259CB">
        <w:rPr>
          <w:rFonts w:eastAsia="Arial MT"/>
          <w:noProof/>
          <w:lang w:bidi="en-US"/>
        </w:rPr>
        <w:t>Baker Street</w:t>
      </w:r>
      <w:r w:rsidR="009D2626" w:rsidRPr="006259CB">
        <w:rPr>
          <w:rFonts w:eastAsia="Arial MT"/>
          <w:noProof/>
          <w:lang w:bidi="en-US"/>
        </w:rPr>
        <w:t xml:space="preserve"> does not receive referral fees for such recommendations, and </w:t>
      </w:r>
      <w:r w:rsidR="00202598" w:rsidRPr="006259CB">
        <w:rPr>
          <w:rFonts w:eastAsia="Arial MT"/>
          <w:noProof/>
          <w:lang w:bidi="en-US"/>
        </w:rPr>
        <w:t>Client</w:t>
      </w:r>
      <w:r w:rsidR="009D2626" w:rsidRPr="006259CB">
        <w:rPr>
          <w:rFonts w:eastAsia="Arial MT"/>
          <w:noProof/>
          <w:lang w:bidi="en-US"/>
        </w:rPr>
        <w:t xml:space="preserve">s are under no obligation to use any recommended services. If </w:t>
      </w:r>
      <w:r w:rsidR="00202598" w:rsidRPr="006259CB">
        <w:rPr>
          <w:rFonts w:eastAsia="Arial MT"/>
          <w:noProof/>
          <w:lang w:bidi="en-US"/>
        </w:rPr>
        <w:t>Client</w:t>
      </w:r>
      <w:r w:rsidR="009D2626" w:rsidRPr="006259CB">
        <w:rPr>
          <w:rFonts w:eastAsia="Arial MT"/>
          <w:noProof/>
          <w:lang w:bidi="en-US"/>
        </w:rPr>
        <w:t xml:space="preserve">s choose to engage these professionals, they </w:t>
      </w:r>
      <w:r w:rsidR="009D2626" w:rsidRPr="006259CB">
        <w:rPr>
          <w:rFonts w:eastAsia="Arial MT"/>
          <w:noProof/>
          <w:lang w:bidi="en-US"/>
        </w:rPr>
        <w:lastRenderedPageBreak/>
        <w:t xml:space="preserve">will enter into a separate agreement directly with the selected individual(s). Except where specifically indicated, </w:t>
      </w:r>
      <w:r w:rsidRPr="006259CB">
        <w:rPr>
          <w:rFonts w:eastAsia="Arial MT"/>
          <w:noProof/>
          <w:lang w:bidi="en-US"/>
        </w:rPr>
        <w:t>Baker Street</w:t>
      </w:r>
      <w:r w:rsidR="009D2626" w:rsidRPr="006259CB">
        <w:rPr>
          <w:rFonts w:eastAsia="Arial MT"/>
          <w:noProof/>
          <w:lang w:bidi="en-US"/>
        </w:rPr>
        <w:t xml:space="preserve"> is not involved in the transaction and does not have the authority to accept </w:t>
      </w:r>
      <w:r w:rsidR="00202598" w:rsidRPr="006259CB">
        <w:rPr>
          <w:rFonts w:eastAsia="Arial MT"/>
          <w:noProof/>
          <w:lang w:bidi="en-US"/>
        </w:rPr>
        <w:t>Client</w:t>
      </w:r>
      <w:r w:rsidR="009D2626" w:rsidRPr="006259CB">
        <w:rPr>
          <w:rFonts w:eastAsia="Arial MT"/>
          <w:noProof/>
          <w:lang w:bidi="en-US"/>
        </w:rPr>
        <w:t xml:space="preserve">s on behalf of any referred professional. Each referred professional has the right to decline any </w:t>
      </w:r>
      <w:r w:rsidR="00202598" w:rsidRPr="006259CB">
        <w:rPr>
          <w:rFonts w:eastAsia="Arial MT"/>
          <w:noProof/>
          <w:lang w:bidi="en-US"/>
        </w:rPr>
        <w:t>Client</w:t>
      </w:r>
      <w:r w:rsidR="009D2626" w:rsidRPr="006259CB">
        <w:rPr>
          <w:rFonts w:eastAsia="Arial MT"/>
          <w:noProof/>
          <w:lang w:bidi="en-US"/>
        </w:rPr>
        <w:t xml:space="preserve"> or prospective </w:t>
      </w:r>
      <w:r w:rsidR="00202598" w:rsidRPr="006259CB">
        <w:rPr>
          <w:rFonts w:eastAsia="Arial MT"/>
          <w:noProof/>
          <w:lang w:bidi="en-US"/>
        </w:rPr>
        <w:t>Client</w:t>
      </w:r>
      <w:r w:rsidR="009D2626" w:rsidRPr="006259CB">
        <w:rPr>
          <w:rFonts w:eastAsia="Arial MT"/>
          <w:noProof/>
          <w:lang w:bidi="en-US"/>
        </w:rPr>
        <w:t xml:space="preserve"> for any reason or without reason.</w:t>
      </w:r>
    </w:p>
    <w:p w14:paraId="1F4648CA" w14:textId="77777777" w:rsidR="009D2626" w:rsidRPr="006259CB" w:rsidRDefault="009D2626" w:rsidP="00873720">
      <w:pPr>
        <w:rPr>
          <w:rFonts w:eastAsia="Arial MT"/>
          <w:noProof/>
          <w:lang w:bidi="en-US"/>
        </w:rPr>
      </w:pPr>
    </w:p>
    <w:p w14:paraId="666322F4" w14:textId="3BE81421" w:rsidR="009D2626" w:rsidRPr="006259CB" w:rsidRDefault="009D2626" w:rsidP="00873720">
      <w:pPr>
        <w:rPr>
          <w:rFonts w:eastAsia="Arial MT"/>
          <w:noProof/>
          <w:lang w:bidi="en-US"/>
        </w:rPr>
      </w:pPr>
      <w:r w:rsidRPr="006259CB">
        <w:rPr>
          <w:rFonts w:eastAsia="Arial MT"/>
          <w:noProof/>
          <w:lang w:bidi="en-US"/>
        </w:rPr>
        <w:t xml:space="preserve">In selecting a referred professional, the </w:t>
      </w:r>
      <w:r w:rsidR="00202598" w:rsidRPr="006259CB">
        <w:rPr>
          <w:rFonts w:eastAsia="Arial MT"/>
          <w:noProof/>
          <w:lang w:bidi="en-US"/>
        </w:rPr>
        <w:t>Client</w:t>
      </w:r>
      <w:r w:rsidRPr="006259CB">
        <w:rPr>
          <w:rFonts w:eastAsia="Arial MT"/>
          <w:noProof/>
          <w:lang w:bidi="en-US"/>
        </w:rPr>
        <w:t xml:space="preserve"> is responsible for reviewing and understanding the referred provider's separate contract, including any associated charges. The </w:t>
      </w:r>
      <w:r w:rsidR="00202598" w:rsidRPr="006259CB">
        <w:rPr>
          <w:rFonts w:eastAsia="Arial MT"/>
          <w:noProof/>
          <w:lang w:bidi="en-US"/>
        </w:rPr>
        <w:t>Client</w:t>
      </w:r>
      <w:r w:rsidRPr="006259CB">
        <w:rPr>
          <w:rFonts w:eastAsia="Arial MT"/>
          <w:noProof/>
          <w:lang w:bidi="en-US"/>
        </w:rPr>
        <w:t xml:space="preserve"> will be liable for these charges should they choose to engage the referred professional. The </w:t>
      </w:r>
      <w:r w:rsidR="00202598" w:rsidRPr="006259CB">
        <w:rPr>
          <w:rFonts w:eastAsia="Arial MT"/>
          <w:noProof/>
          <w:lang w:bidi="en-US"/>
        </w:rPr>
        <w:t>Client</w:t>
      </w:r>
      <w:r w:rsidRPr="006259CB">
        <w:rPr>
          <w:rFonts w:eastAsia="Arial MT"/>
          <w:noProof/>
          <w:lang w:bidi="en-US"/>
        </w:rPr>
        <w:t xml:space="preserve"> retains full discretion over all such implementation decisions and is under no obligation to accept or follow any recommendation from </w:t>
      </w:r>
      <w:r w:rsidR="006449E3" w:rsidRPr="006259CB">
        <w:rPr>
          <w:rFonts w:eastAsia="Arial MT"/>
          <w:noProof/>
          <w:lang w:bidi="en-US"/>
        </w:rPr>
        <w:t>Baker Street</w:t>
      </w:r>
      <w:r w:rsidRPr="006259CB">
        <w:rPr>
          <w:rFonts w:eastAsia="Arial MT"/>
          <w:noProof/>
          <w:lang w:bidi="en-US"/>
        </w:rPr>
        <w:t xml:space="preserve">. If a </w:t>
      </w:r>
      <w:r w:rsidR="00202598" w:rsidRPr="006259CB">
        <w:rPr>
          <w:rFonts w:eastAsia="Arial MT"/>
          <w:noProof/>
          <w:lang w:bidi="en-US"/>
        </w:rPr>
        <w:t>Client</w:t>
      </w:r>
      <w:r w:rsidRPr="006259CB">
        <w:rPr>
          <w:rFonts w:eastAsia="Arial MT"/>
          <w:noProof/>
          <w:lang w:bidi="en-US"/>
        </w:rPr>
        <w:t xml:space="preserve"> engages any recommended professional, and a dispute arises thereafter relative to such engagement, the </w:t>
      </w:r>
      <w:r w:rsidR="00202598" w:rsidRPr="006259CB">
        <w:rPr>
          <w:rFonts w:eastAsia="Arial MT"/>
          <w:noProof/>
          <w:lang w:bidi="en-US"/>
        </w:rPr>
        <w:t>Client</w:t>
      </w:r>
      <w:r w:rsidRPr="006259CB">
        <w:rPr>
          <w:rFonts w:eastAsia="Arial MT"/>
          <w:noProof/>
          <w:lang w:bidi="en-US"/>
        </w:rPr>
        <w:t xml:space="preserve"> agrees to seek recourse exclusively from and against the engaged professional. </w:t>
      </w:r>
    </w:p>
    <w:p w14:paraId="0440E5FA" w14:textId="77777777" w:rsidR="009D2626" w:rsidRPr="006259CB" w:rsidRDefault="009D2626" w:rsidP="00873720">
      <w:pPr>
        <w:rPr>
          <w:rFonts w:eastAsia="Arial MT"/>
          <w:noProof/>
          <w:lang w:bidi="en-US"/>
        </w:rPr>
      </w:pPr>
    </w:p>
    <w:p w14:paraId="48C35A8C" w14:textId="39B4BE52" w:rsidR="009D2626" w:rsidRPr="006B2D94" w:rsidRDefault="009D2626" w:rsidP="00873720">
      <w:pPr>
        <w:rPr>
          <w:rFonts w:eastAsia="Arial MT"/>
          <w:i/>
          <w:iCs/>
          <w:noProof/>
          <w:color w:val="595959" w:themeColor="text1" w:themeTint="A6"/>
          <w:lang w:bidi="en-US"/>
        </w:rPr>
      </w:pPr>
      <w:r w:rsidRPr="006259CB">
        <w:rPr>
          <w:rFonts w:eastAsia="Arial MT"/>
          <w:noProof/>
          <w:lang w:bidi="en-US"/>
        </w:rPr>
        <w:t xml:space="preserve">Should any conflicts of interest arise concerning the recommendation of other professionals in the future, </w:t>
      </w:r>
      <w:r w:rsidR="006449E3" w:rsidRPr="006259CB">
        <w:rPr>
          <w:rFonts w:eastAsia="Arial MT"/>
          <w:noProof/>
          <w:lang w:bidi="en-US"/>
        </w:rPr>
        <w:t>Baker Street</w:t>
      </w:r>
      <w:r w:rsidRPr="006259CB">
        <w:rPr>
          <w:rFonts w:eastAsia="Arial MT"/>
          <w:noProof/>
          <w:lang w:bidi="en-US"/>
        </w:rPr>
        <w:t xml:space="preserve"> will notify the </w:t>
      </w:r>
      <w:r w:rsidR="00202598" w:rsidRPr="006259CB">
        <w:rPr>
          <w:rFonts w:eastAsia="Arial MT"/>
          <w:noProof/>
          <w:lang w:bidi="en-US"/>
        </w:rPr>
        <w:t>Client</w:t>
      </w:r>
      <w:r w:rsidRPr="006259CB">
        <w:rPr>
          <w:rFonts w:eastAsia="Arial MT"/>
          <w:noProof/>
          <w:lang w:bidi="en-US"/>
        </w:rPr>
        <w:t xml:space="preserve"> accordingly. </w:t>
      </w:r>
      <w:r w:rsidRPr="006B2D94">
        <w:rPr>
          <w:rFonts w:eastAsia="Arial MT"/>
          <w:i/>
          <w:iCs/>
          <w:noProof/>
          <w:color w:val="595959" w:themeColor="text1" w:themeTint="A6"/>
          <w:lang w:bidi="en-US"/>
        </w:rPr>
        <w:t>(See Item 10:  Other Financial Industry Activities &amp; Affiliations for additional information.)</w:t>
      </w:r>
    </w:p>
    <w:p w14:paraId="09758594" w14:textId="77777777" w:rsidR="009D2626" w:rsidRPr="006259CB" w:rsidRDefault="009D2626" w:rsidP="00873720">
      <w:pPr>
        <w:rPr>
          <w:rFonts w:eastAsia="Arial MT"/>
          <w:noProof/>
          <w:lang w:bidi="en-US"/>
        </w:rPr>
      </w:pPr>
    </w:p>
    <w:p w14:paraId="7C9234A3" w14:textId="77777777" w:rsidR="009D2626" w:rsidRPr="006259CB" w:rsidRDefault="009D2626" w:rsidP="00873720">
      <w:pPr>
        <w:pStyle w:val="ATableSubhead"/>
        <w:rPr>
          <w:rFonts w:eastAsia="Arial"/>
          <w:noProof/>
          <w:lang w:bidi="en-US"/>
        </w:rPr>
      </w:pPr>
      <w:bookmarkStart w:id="21" w:name="_heading=h.3rdcrjn" w:colFirst="0" w:colLast="0"/>
      <w:bookmarkStart w:id="22" w:name="_Toc193147695"/>
      <w:bookmarkStart w:id="23" w:name="_Toc193886379"/>
      <w:bookmarkEnd w:id="21"/>
      <w:r w:rsidRPr="006259CB">
        <w:rPr>
          <w:rFonts w:eastAsia="Arial"/>
          <w:noProof/>
          <w:lang w:bidi="en-US"/>
        </w:rPr>
        <w:t>Client Responsibilities</w:t>
      </w:r>
      <w:bookmarkEnd w:id="22"/>
      <w:bookmarkEnd w:id="23"/>
      <w:r w:rsidRPr="006259CB">
        <w:rPr>
          <w:rFonts w:eastAsia="Arial"/>
          <w:noProof/>
          <w:lang w:bidi="en-US"/>
        </w:rPr>
        <w:t xml:space="preserve"> </w:t>
      </w:r>
    </w:p>
    <w:p w14:paraId="0FFA420F" w14:textId="2EED1692" w:rsidR="009D2626" w:rsidRPr="006259CB" w:rsidRDefault="006449E3" w:rsidP="00873720">
      <w:pPr>
        <w:rPr>
          <w:rFonts w:eastAsia="Arial MT"/>
          <w:noProof/>
          <w:lang w:bidi="en-US"/>
        </w:rPr>
      </w:pPr>
      <w:r w:rsidRPr="006259CB">
        <w:rPr>
          <w:rFonts w:eastAsia="Arial MT"/>
          <w:noProof/>
          <w:lang w:bidi="en-US"/>
        </w:rPr>
        <w:t>Baker Street</w:t>
      </w:r>
      <w:r w:rsidR="009D2626" w:rsidRPr="006259CB">
        <w:rPr>
          <w:rFonts w:eastAsia="Arial MT"/>
          <w:noProof/>
          <w:lang w:bidi="en-US"/>
        </w:rPr>
        <w:t xml:space="preserve">'s advisory services rely on the information provided by </w:t>
      </w:r>
      <w:r w:rsidR="00202598" w:rsidRPr="006259CB">
        <w:rPr>
          <w:rFonts w:eastAsia="Arial MT"/>
          <w:noProof/>
          <w:lang w:bidi="en-US"/>
        </w:rPr>
        <w:t>Client</w:t>
      </w:r>
      <w:r w:rsidR="009D2626" w:rsidRPr="006259CB">
        <w:rPr>
          <w:rFonts w:eastAsia="Arial MT"/>
          <w:noProof/>
          <w:lang w:bidi="en-US"/>
        </w:rPr>
        <w:t xml:space="preserve">s. The Adviser cannot adequately fulfill its obligations and fiduciary duties to the </w:t>
      </w:r>
      <w:r w:rsidR="00202598" w:rsidRPr="006259CB">
        <w:rPr>
          <w:rFonts w:eastAsia="Arial MT"/>
          <w:noProof/>
          <w:lang w:bidi="en-US"/>
        </w:rPr>
        <w:t>Client</w:t>
      </w:r>
      <w:r w:rsidR="009D2626" w:rsidRPr="006259CB">
        <w:rPr>
          <w:rFonts w:eastAsia="Arial MT"/>
          <w:noProof/>
          <w:lang w:bidi="en-US"/>
        </w:rPr>
        <w:t xml:space="preserve"> unless the </w:t>
      </w:r>
      <w:r w:rsidR="00202598" w:rsidRPr="006259CB">
        <w:rPr>
          <w:rFonts w:eastAsia="Arial MT"/>
          <w:noProof/>
          <w:lang w:bidi="en-US"/>
        </w:rPr>
        <w:t>Client</w:t>
      </w:r>
      <w:r w:rsidR="009D2626" w:rsidRPr="006259CB">
        <w:rPr>
          <w:rFonts w:eastAsia="Arial MT"/>
          <w:noProof/>
          <w:lang w:bidi="en-US"/>
        </w:rPr>
        <w:t xml:space="preserve"> discloses an accurate and complete representation of their financial position and investment needs, submits any requested data or documentation in a timely manner, provides updates promptly upon changes, and otherwise fulfills their responsibilities under the Advisory Agreement. </w:t>
      </w:r>
      <w:r w:rsidRPr="006259CB">
        <w:rPr>
          <w:rFonts w:eastAsia="Arial MT"/>
          <w:noProof/>
          <w:lang w:bidi="en-US"/>
        </w:rPr>
        <w:t>Baker Street</w:t>
      </w:r>
      <w:r w:rsidR="009D2626" w:rsidRPr="006259CB">
        <w:rPr>
          <w:rFonts w:eastAsia="Arial MT"/>
          <w:noProof/>
          <w:lang w:bidi="en-US"/>
        </w:rPr>
        <w:t xml:space="preserve"> will rely on the accuracy of the information supplied by the </w:t>
      </w:r>
      <w:r w:rsidR="00202598" w:rsidRPr="006259CB">
        <w:rPr>
          <w:rFonts w:eastAsia="Arial MT"/>
          <w:noProof/>
          <w:lang w:bidi="en-US"/>
        </w:rPr>
        <w:t>Client</w:t>
      </w:r>
      <w:r w:rsidR="009D2626" w:rsidRPr="006259CB">
        <w:rPr>
          <w:rFonts w:eastAsia="Arial MT"/>
          <w:noProof/>
          <w:lang w:bidi="en-US"/>
        </w:rPr>
        <w:t xml:space="preserve"> or on their behalf without further investigation; </w:t>
      </w:r>
      <w:r w:rsidR="005C2FFC" w:rsidRPr="006259CB">
        <w:rPr>
          <w:rFonts w:eastAsia="Arial MT"/>
          <w:noProof/>
          <w:lang w:bidi="en-US"/>
        </w:rPr>
        <w:t>The Adviser</w:t>
      </w:r>
      <w:r w:rsidR="009D2626" w:rsidRPr="006259CB">
        <w:rPr>
          <w:rFonts w:eastAsia="Arial MT"/>
          <w:noProof/>
          <w:lang w:bidi="en-US"/>
        </w:rPr>
        <w:t xml:space="preserve"> is not obligated to verify information obtained from </w:t>
      </w:r>
      <w:r w:rsidR="00202598" w:rsidRPr="006259CB">
        <w:rPr>
          <w:rFonts w:eastAsia="Arial MT"/>
          <w:noProof/>
          <w:lang w:bidi="en-US"/>
        </w:rPr>
        <w:t>Client</w:t>
      </w:r>
      <w:r w:rsidR="009D2626" w:rsidRPr="006259CB">
        <w:rPr>
          <w:rFonts w:eastAsia="Arial MT"/>
          <w:noProof/>
          <w:lang w:bidi="en-US"/>
        </w:rPr>
        <w:t xml:space="preserve">s or other professional advisors, including accountants or attorneys. </w:t>
      </w:r>
    </w:p>
    <w:p w14:paraId="0EC50235" w14:textId="77777777" w:rsidR="009D2626" w:rsidRPr="006259CB" w:rsidRDefault="009D2626" w:rsidP="00873720">
      <w:pPr>
        <w:rPr>
          <w:rFonts w:eastAsia="Arial MT"/>
          <w:noProof/>
          <w:lang w:bidi="en-US"/>
        </w:rPr>
      </w:pPr>
    </w:p>
    <w:p w14:paraId="36F26D0B" w14:textId="217F490E" w:rsidR="009D2626" w:rsidRPr="006259CB" w:rsidRDefault="009D2626" w:rsidP="00873720">
      <w:pPr>
        <w:rPr>
          <w:rFonts w:eastAsia="Arial MT"/>
          <w:noProof/>
          <w:lang w:bidi="en-US"/>
        </w:rPr>
      </w:pPr>
      <w:r w:rsidRPr="006259CB">
        <w:rPr>
          <w:rFonts w:eastAsia="Arial MT"/>
          <w:noProof/>
          <w:lang w:bidi="en-US"/>
        </w:rPr>
        <w:t xml:space="preserve">Clients will acknowledge and agree to their obligation to promptly notify </w:t>
      </w:r>
      <w:r w:rsidR="007C30AF" w:rsidRPr="006259CB">
        <w:rPr>
          <w:rFonts w:eastAsia="Arial MT"/>
          <w:noProof/>
          <w:lang w:bidi="en-US"/>
        </w:rPr>
        <w:t>the Adviser</w:t>
      </w:r>
      <w:r w:rsidRPr="006259CB">
        <w:rPr>
          <w:rFonts w:eastAsia="Arial MT"/>
          <w:noProof/>
          <w:lang w:bidi="en-US"/>
        </w:rPr>
        <w:t xml:space="preserve"> in writing if any information material to the advisory services provided changes</w:t>
      </w:r>
      <w:r w:rsidR="00F75BE9" w:rsidRPr="006259CB">
        <w:rPr>
          <w:rFonts w:eastAsia="Arial MT"/>
          <w:noProof/>
          <w:lang w:bidi="en-US"/>
        </w:rPr>
        <w:t>,</w:t>
      </w:r>
      <w:r w:rsidRPr="006259CB">
        <w:rPr>
          <w:rFonts w:eastAsia="Arial MT"/>
          <w:noProof/>
          <w:lang w:bidi="en-US"/>
        </w:rPr>
        <w:t xml:space="preserve"> if previously provided information that might affect the management of their account occurs, or if any earlier provided data becomes inaccurate. The </w:t>
      </w:r>
      <w:r w:rsidR="00202598" w:rsidRPr="006259CB">
        <w:rPr>
          <w:rFonts w:eastAsia="Arial MT"/>
          <w:noProof/>
          <w:lang w:bidi="en-US"/>
        </w:rPr>
        <w:t>Client</w:t>
      </w:r>
      <w:r w:rsidRPr="006259CB">
        <w:rPr>
          <w:rFonts w:eastAsia="Arial MT"/>
          <w:noProof/>
          <w:lang w:bidi="en-US"/>
        </w:rPr>
        <w:t xml:space="preserve"> or their successor shall also promptly notify </w:t>
      </w:r>
      <w:r w:rsidR="00642F4C" w:rsidRPr="006259CB">
        <w:rPr>
          <w:rFonts w:eastAsia="Arial MT"/>
          <w:noProof/>
          <w:lang w:bidi="en-US"/>
        </w:rPr>
        <w:t>us</w:t>
      </w:r>
      <w:r w:rsidRPr="006259CB">
        <w:rPr>
          <w:rFonts w:eastAsia="Arial MT"/>
          <w:noProof/>
          <w:lang w:bidi="en-US"/>
        </w:rPr>
        <w:t xml:space="preserve"> in writing of the </w:t>
      </w:r>
      <w:r w:rsidR="00202598" w:rsidRPr="006259CB">
        <w:rPr>
          <w:rFonts w:eastAsia="Arial MT"/>
          <w:noProof/>
          <w:lang w:bidi="en-US"/>
        </w:rPr>
        <w:t>Client</w:t>
      </w:r>
      <w:r w:rsidRPr="006259CB">
        <w:rPr>
          <w:rFonts w:eastAsia="Arial MT"/>
          <w:noProof/>
          <w:lang w:bidi="en-US"/>
        </w:rPr>
        <w:t xml:space="preserve">'s dissolution, termination, merger, or bankruptcy if the </w:t>
      </w:r>
      <w:r w:rsidR="00202598" w:rsidRPr="006259CB">
        <w:rPr>
          <w:rFonts w:eastAsia="Arial MT"/>
          <w:noProof/>
          <w:lang w:bidi="en-US"/>
        </w:rPr>
        <w:t>Client</w:t>
      </w:r>
      <w:r w:rsidRPr="006259CB">
        <w:rPr>
          <w:rFonts w:eastAsia="Arial MT"/>
          <w:noProof/>
          <w:lang w:bidi="en-US"/>
        </w:rPr>
        <w:t xml:space="preserve"> is not a natural person or of the occurrence of any other event that might affect the validity of their Advisory Agreement or our authority under the Agreement.</w:t>
      </w:r>
    </w:p>
    <w:p w14:paraId="0D4E04E8" w14:textId="77777777" w:rsidR="009D2626" w:rsidRPr="006259CB" w:rsidRDefault="009D2626" w:rsidP="00873720">
      <w:pPr>
        <w:rPr>
          <w:rFonts w:eastAsia="Arial MT"/>
          <w:noProof/>
          <w:lang w:bidi="en-US"/>
        </w:rPr>
      </w:pPr>
    </w:p>
    <w:p w14:paraId="051EFDD2" w14:textId="0C478938" w:rsidR="009D2626" w:rsidRPr="006259CB" w:rsidRDefault="006449E3" w:rsidP="00873720">
      <w:pPr>
        <w:rPr>
          <w:rFonts w:eastAsia="Arial MT"/>
          <w:noProof/>
          <w:lang w:bidi="en-US"/>
        </w:rPr>
      </w:pPr>
      <w:r w:rsidRPr="006259CB">
        <w:rPr>
          <w:rFonts w:eastAsia="Arial MT"/>
          <w:noProof/>
          <w:lang w:bidi="en-US"/>
        </w:rPr>
        <w:t>Baker Street</w:t>
      </w:r>
      <w:r w:rsidR="009D2626" w:rsidRPr="006259CB">
        <w:rPr>
          <w:rFonts w:eastAsia="Arial MT"/>
          <w:noProof/>
          <w:lang w:bidi="en-US"/>
        </w:rPr>
        <w:t xml:space="preserve"> reserves the right to terminate any </w:t>
      </w:r>
      <w:r w:rsidR="00202598" w:rsidRPr="006259CB">
        <w:rPr>
          <w:rFonts w:eastAsia="Arial MT"/>
          <w:noProof/>
          <w:lang w:bidi="en-US"/>
        </w:rPr>
        <w:t>Client</w:t>
      </w:r>
      <w:r w:rsidR="009D2626" w:rsidRPr="006259CB">
        <w:rPr>
          <w:rFonts w:eastAsia="Arial MT"/>
          <w:noProof/>
          <w:lang w:bidi="en-US"/>
        </w:rPr>
        <w:t xml:space="preserve"> engagement where the </w:t>
      </w:r>
      <w:r w:rsidR="00202598" w:rsidRPr="006259CB">
        <w:rPr>
          <w:rFonts w:eastAsia="Arial MT"/>
          <w:noProof/>
          <w:lang w:bidi="en-US"/>
        </w:rPr>
        <w:t>Client</w:t>
      </w:r>
      <w:r w:rsidR="009D2626" w:rsidRPr="006259CB">
        <w:rPr>
          <w:rFonts w:eastAsia="Arial MT"/>
          <w:noProof/>
          <w:lang w:bidi="en-US"/>
        </w:rPr>
        <w:t xml:space="preserve"> has willfully concealed or failed to provide pertinent information material to the advisory services to be rendered or to their individual or financial situations when necessary and appropriate, in its judgment, to provide proper financial advice.</w:t>
      </w:r>
    </w:p>
    <w:p w14:paraId="6E37DC12" w14:textId="77777777" w:rsidR="00FA5852" w:rsidRPr="006259CB" w:rsidRDefault="00FA5852" w:rsidP="00873720">
      <w:pPr>
        <w:rPr>
          <w:rFonts w:eastAsia="Arial MT"/>
          <w:noProof/>
          <w:lang w:bidi="en-US"/>
        </w:rPr>
      </w:pPr>
    </w:p>
    <w:p w14:paraId="54EC8D62" w14:textId="77777777" w:rsidR="00B4260A" w:rsidRPr="006259CB" w:rsidRDefault="00B4260A" w:rsidP="00873720">
      <w:pPr>
        <w:pStyle w:val="Paragraph"/>
      </w:pPr>
      <w:bookmarkStart w:id="24" w:name="_Toc193886380"/>
      <w:r w:rsidRPr="006259CB">
        <w:t>Advisory Agreement</w:t>
      </w:r>
      <w:bookmarkEnd w:id="24"/>
    </w:p>
    <w:p w14:paraId="4181198E" w14:textId="20ED0DC2" w:rsidR="005B79F7" w:rsidRPr="006259CB" w:rsidRDefault="007C30AF" w:rsidP="00873720">
      <w:pPr>
        <w:rPr>
          <w:rFonts w:eastAsia="Arial MT"/>
        </w:rPr>
      </w:pPr>
      <w:r w:rsidRPr="006259CB">
        <w:rPr>
          <w:rFonts w:eastAsia="Arial MT"/>
        </w:rPr>
        <w:t>Baker Street</w:t>
      </w:r>
      <w:r w:rsidR="00E146A7" w:rsidRPr="006259CB">
        <w:rPr>
          <w:rFonts w:eastAsia="Arial MT"/>
        </w:rPr>
        <w:t>'</w:t>
      </w:r>
      <w:r w:rsidR="00B4260A" w:rsidRPr="006259CB">
        <w:rPr>
          <w:rFonts w:eastAsia="Arial MT"/>
        </w:rPr>
        <w:t xml:space="preserve">s advisory services are designed to address the specific needs of each </w:t>
      </w:r>
      <w:r w:rsidR="00781EFD" w:rsidRPr="006259CB">
        <w:rPr>
          <w:rFonts w:eastAsia="Arial MT"/>
        </w:rPr>
        <w:t>Client</w:t>
      </w:r>
      <w:r w:rsidR="00B4260A" w:rsidRPr="006259CB">
        <w:rPr>
          <w:rFonts w:eastAsia="Arial MT"/>
        </w:rPr>
        <w:t xml:space="preserve">, as outlined in the applicable written </w:t>
      </w:r>
      <w:r w:rsidR="00781EFD" w:rsidRPr="006259CB">
        <w:rPr>
          <w:rFonts w:eastAsia="Arial MT"/>
        </w:rPr>
        <w:t>Client</w:t>
      </w:r>
      <w:r w:rsidR="00B4260A" w:rsidRPr="006259CB">
        <w:rPr>
          <w:rFonts w:eastAsia="Arial MT"/>
        </w:rPr>
        <w:t xml:space="preserve"> contract</w:t>
      </w:r>
      <w:r w:rsidR="006E4C49" w:rsidRPr="006259CB">
        <w:rPr>
          <w:rFonts w:eastAsia="Arial MT"/>
        </w:rPr>
        <w:t>,</w:t>
      </w:r>
      <w:r w:rsidR="00B4260A" w:rsidRPr="006259CB">
        <w:rPr>
          <w:rFonts w:eastAsia="Arial MT"/>
        </w:rPr>
        <w:t xml:space="preserve"> whether the </w:t>
      </w:r>
      <w:r w:rsidR="00B4260A" w:rsidRPr="006259CB">
        <w:rPr>
          <w:rFonts w:eastAsia="Arial MT"/>
          <w:u w:val="single" w:color="000000" w:themeColor="text1"/>
        </w:rPr>
        <w:t>Investment Advisory Agreement</w:t>
      </w:r>
      <w:r w:rsidR="00B4260A" w:rsidRPr="006259CB">
        <w:rPr>
          <w:rFonts w:eastAsia="Arial MT"/>
        </w:rPr>
        <w:t xml:space="preserve"> (</w:t>
      </w:r>
      <w:r w:rsidR="00E146A7" w:rsidRPr="006259CB">
        <w:rPr>
          <w:rFonts w:eastAsia="Arial MT"/>
        </w:rPr>
        <w:t>"</w:t>
      </w:r>
      <w:r w:rsidR="00B4260A" w:rsidRPr="006259CB">
        <w:rPr>
          <w:rFonts w:eastAsia="Arial MT"/>
        </w:rPr>
        <w:t>Advisory Agreement</w:t>
      </w:r>
      <w:r w:rsidR="00E146A7" w:rsidRPr="006259CB">
        <w:rPr>
          <w:rFonts w:eastAsia="Arial MT"/>
        </w:rPr>
        <w:t>"</w:t>
      </w:r>
      <w:r w:rsidR="00ED15D4" w:rsidRPr="006259CB">
        <w:rPr>
          <w:rFonts w:eastAsia="Arial MT"/>
        </w:rPr>
        <w:t xml:space="preserve">) or </w:t>
      </w:r>
      <w:r w:rsidR="00B17602" w:rsidRPr="006259CB">
        <w:rPr>
          <w:rFonts w:eastAsia="Arial MT"/>
          <w:u w:val="single" w:color="000000" w:themeColor="text1"/>
        </w:rPr>
        <w:t xml:space="preserve">Professional </w:t>
      </w:r>
      <w:r w:rsidR="00B4260A" w:rsidRPr="006259CB">
        <w:rPr>
          <w:rFonts w:eastAsia="Arial MT"/>
          <w:u w:val="single" w:color="000000" w:themeColor="text1"/>
        </w:rPr>
        <w:t>Services Agreement</w:t>
      </w:r>
      <w:r w:rsidR="00B4260A" w:rsidRPr="006259CB">
        <w:rPr>
          <w:rFonts w:eastAsia="Arial MT"/>
        </w:rPr>
        <w:t xml:space="preserve"> (collectively, the </w:t>
      </w:r>
      <w:r w:rsidR="00E146A7" w:rsidRPr="006259CB">
        <w:rPr>
          <w:rFonts w:eastAsia="Arial MT"/>
        </w:rPr>
        <w:t>"</w:t>
      </w:r>
      <w:r w:rsidR="00B4260A" w:rsidRPr="006259CB">
        <w:rPr>
          <w:rFonts w:eastAsia="Arial MT"/>
        </w:rPr>
        <w:t>Agreement</w:t>
      </w:r>
      <w:r w:rsidR="00E146A7" w:rsidRPr="006259CB">
        <w:rPr>
          <w:rFonts w:eastAsia="Arial MT"/>
        </w:rPr>
        <w:t>"</w:t>
      </w:r>
      <w:r w:rsidR="00B4260A" w:rsidRPr="006259CB">
        <w:rPr>
          <w:rFonts w:eastAsia="Arial MT"/>
        </w:rPr>
        <w:t>) - depending on the service</w:t>
      </w:r>
      <w:r w:rsidR="002476DE" w:rsidRPr="006259CB">
        <w:rPr>
          <w:rFonts w:eastAsia="Arial MT"/>
        </w:rPr>
        <w:t>s</w:t>
      </w:r>
      <w:r w:rsidR="00B4260A" w:rsidRPr="006259CB">
        <w:rPr>
          <w:rFonts w:eastAsia="Arial MT"/>
        </w:rPr>
        <w:t xml:space="preserve"> selected. Each Agreement will outline the scope of services, contract terms, advisory fees, the formula for calculating such </w:t>
      </w:r>
      <w:r w:rsidR="00A60277" w:rsidRPr="006259CB">
        <w:rPr>
          <w:rFonts w:eastAsia="Arial MT"/>
        </w:rPr>
        <w:t>charges,</w:t>
      </w:r>
      <w:r w:rsidR="00B4260A" w:rsidRPr="006259CB">
        <w:rPr>
          <w:rFonts w:eastAsia="Arial MT"/>
        </w:rPr>
        <w:t xml:space="preserve"> and the type of investment management authority granted. Additionally, the Agreement will specify whether any written reports or electronic plans will be provided. The final advisory fee structure for the selected service will be clearly documented in the executed</w:t>
      </w:r>
      <w:r w:rsidR="00412DC8" w:rsidRPr="006259CB">
        <w:rPr>
          <w:rFonts w:eastAsia="Arial MT"/>
        </w:rPr>
        <w:t xml:space="preserve"> </w:t>
      </w:r>
      <w:r w:rsidR="00B4260A" w:rsidRPr="006259CB">
        <w:rPr>
          <w:rFonts w:eastAsia="Arial MT"/>
        </w:rPr>
        <w:t xml:space="preserve">Agreement. </w:t>
      </w:r>
    </w:p>
    <w:p w14:paraId="6E824B04" w14:textId="77777777" w:rsidR="005B79F7" w:rsidRPr="006259CB" w:rsidRDefault="005B79F7" w:rsidP="00873720">
      <w:pPr>
        <w:rPr>
          <w:rFonts w:eastAsia="Arial MT"/>
        </w:rPr>
      </w:pPr>
    </w:p>
    <w:p w14:paraId="11F8DB78" w14:textId="2F0BCA39" w:rsidR="00B4260A" w:rsidRPr="006259CB" w:rsidRDefault="00C73FBA" w:rsidP="00873720">
      <w:pPr>
        <w:rPr>
          <w:rFonts w:eastAsia="Arial MT"/>
        </w:rPr>
      </w:pPr>
      <w:r w:rsidRPr="006259CB">
        <w:rPr>
          <w:rFonts w:eastAsia="Arial MT"/>
        </w:rPr>
        <w:t>IAR</w:t>
      </w:r>
      <w:r w:rsidR="00B4260A" w:rsidRPr="006259CB">
        <w:rPr>
          <w:rFonts w:eastAsia="Arial MT"/>
        </w:rPr>
        <w:t xml:space="preserve">s are limited to providing only the services specified in the respective </w:t>
      </w:r>
      <w:r w:rsidR="00825B89" w:rsidRPr="006259CB">
        <w:rPr>
          <w:rFonts w:eastAsia="Arial MT"/>
        </w:rPr>
        <w:t>A</w:t>
      </w:r>
      <w:r w:rsidR="00B4260A" w:rsidRPr="006259CB">
        <w:rPr>
          <w:rFonts w:eastAsia="Arial MT"/>
        </w:rPr>
        <w:t>greement</w:t>
      </w:r>
      <w:r w:rsidR="003A59F8" w:rsidRPr="006259CB">
        <w:rPr>
          <w:rFonts w:eastAsia="Arial MT"/>
        </w:rPr>
        <w:t>s</w:t>
      </w:r>
      <w:r w:rsidR="00B4260A" w:rsidRPr="006259CB">
        <w:rPr>
          <w:rFonts w:eastAsia="Arial MT"/>
        </w:rPr>
        <w:t xml:space="preserve"> and must adhere to the </w:t>
      </w:r>
      <w:r w:rsidR="00781EFD" w:rsidRPr="006259CB">
        <w:rPr>
          <w:rFonts w:eastAsia="Arial MT"/>
        </w:rPr>
        <w:t>Client</w:t>
      </w:r>
      <w:r w:rsidR="00B4260A" w:rsidRPr="006259CB">
        <w:rPr>
          <w:rFonts w:eastAsia="Arial MT"/>
        </w:rPr>
        <w:t xml:space="preserve">'s stated objectives, limitations, and restrictions, as applicable.  </w:t>
      </w:r>
    </w:p>
    <w:p w14:paraId="13084F88" w14:textId="77777777" w:rsidR="00B4260A" w:rsidRPr="006259CB" w:rsidRDefault="00B4260A" w:rsidP="00873720">
      <w:pPr>
        <w:rPr>
          <w:rFonts w:eastAsia="Arial MT"/>
        </w:rPr>
      </w:pPr>
    </w:p>
    <w:p w14:paraId="40DFCC14" w14:textId="5455B3F7" w:rsidR="00B4260A" w:rsidRPr="006259CB" w:rsidRDefault="00B4260A" w:rsidP="00873720">
      <w:pPr>
        <w:rPr>
          <w:rFonts w:eastAsia="Arial MT"/>
          <w:i/>
          <w:iCs/>
          <w:color w:val="595959" w:themeColor="text1" w:themeTint="A6"/>
          <w:lang w:bidi="en-US"/>
        </w:rPr>
      </w:pPr>
      <w:r w:rsidRPr="006259CB">
        <w:rPr>
          <w:rFonts w:eastAsia="Arial MT"/>
        </w:rPr>
        <w:t xml:space="preserve">To engage </w:t>
      </w:r>
      <w:r w:rsidR="007C30AF" w:rsidRPr="006259CB">
        <w:rPr>
          <w:rFonts w:eastAsia="Arial MT"/>
        </w:rPr>
        <w:t>Baker Street</w:t>
      </w:r>
      <w:r w:rsidRPr="006259CB">
        <w:rPr>
          <w:rFonts w:eastAsia="Arial MT"/>
        </w:rPr>
        <w:t xml:space="preserve">'s advisory services, </w:t>
      </w:r>
      <w:r w:rsidR="00781EFD" w:rsidRPr="006259CB">
        <w:rPr>
          <w:rFonts w:eastAsia="Arial MT"/>
        </w:rPr>
        <w:t>Client</w:t>
      </w:r>
      <w:r w:rsidRPr="006259CB">
        <w:rPr>
          <w:rFonts w:eastAsia="Arial MT"/>
        </w:rPr>
        <w:t xml:space="preserve">s must complete and execute the appropriate </w:t>
      </w:r>
      <w:r w:rsidR="00825B89" w:rsidRPr="006259CB">
        <w:rPr>
          <w:rFonts w:eastAsia="Arial MT"/>
        </w:rPr>
        <w:t>A</w:t>
      </w:r>
      <w:r w:rsidRPr="006259CB">
        <w:rPr>
          <w:rFonts w:eastAsia="Arial MT"/>
        </w:rPr>
        <w:t xml:space="preserve">greement for the selected service. </w:t>
      </w:r>
      <w:r w:rsidRPr="006259CB">
        <w:rPr>
          <w:rFonts w:eastAsia="Arial MT"/>
          <w:lang w:bidi="en-US"/>
        </w:rPr>
        <w:t xml:space="preserve">Clients may engage us for additional services at any time. Once established, an </w:t>
      </w:r>
      <w:r w:rsidR="00825B89" w:rsidRPr="006259CB">
        <w:rPr>
          <w:rFonts w:eastAsia="Arial MT"/>
          <w:lang w:bidi="en-US"/>
        </w:rPr>
        <w:t>A</w:t>
      </w:r>
      <w:r w:rsidRPr="006259CB">
        <w:rPr>
          <w:rFonts w:eastAsia="Arial MT"/>
          <w:lang w:bidi="en-US"/>
        </w:rPr>
        <w:t xml:space="preserve">greement may not be assigned, as defined under the Advisers Act, without the </w:t>
      </w:r>
      <w:r w:rsidR="00781EFD" w:rsidRPr="006259CB">
        <w:rPr>
          <w:rFonts w:eastAsia="Arial MT"/>
          <w:lang w:bidi="en-US"/>
        </w:rPr>
        <w:t>Client</w:t>
      </w:r>
      <w:r w:rsidR="00E146A7" w:rsidRPr="006259CB">
        <w:rPr>
          <w:rFonts w:eastAsia="Arial MT"/>
          <w:lang w:bidi="en-US"/>
        </w:rPr>
        <w:t>'</w:t>
      </w:r>
      <w:r w:rsidRPr="006259CB">
        <w:rPr>
          <w:rFonts w:eastAsia="Arial MT"/>
          <w:lang w:bidi="en-US"/>
        </w:rPr>
        <w:t>s consent, as specified therein</w:t>
      </w:r>
      <w:r w:rsidRPr="006259CB">
        <w:rPr>
          <w:rFonts w:eastAsia="Arial MT"/>
          <w:i/>
          <w:iCs/>
          <w:color w:val="595959" w:themeColor="text1" w:themeTint="A6"/>
          <w:lang w:bidi="en-US"/>
        </w:rPr>
        <w:t xml:space="preserve">. </w:t>
      </w:r>
    </w:p>
    <w:p w14:paraId="64A4F387" w14:textId="77777777" w:rsidR="00B4260A" w:rsidRPr="006259CB" w:rsidRDefault="00B4260A" w:rsidP="00873720">
      <w:pPr>
        <w:rPr>
          <w:rFonts w:eastAsia="Arial MT"/>
          <w:i/>
          <w:iCs/>
          <w:color w:val="595959" w:themeColor="text1" w:themeTint="A6"/>
          <w:lang w:bidi="en-US"/>
        </w:rPr>
      </w:pPr>
    </w:p>
    <w:p w14:paraId="291755D3" w14:textId="77777777" w:rsidR="006E4C49" w:rsidRPr="006259CB" w:rsidRDefault="006E4C49" w:rsidP="00873720">
      <w:pPr>
        <w:rPr>
          <w:rFonts w:eastAsia="Arial MT"/>
          <w:i/>
          <w:iCs/>
          <w:color w:val="595959" w:themeColor="text1" w:themeTint="A6"/>
          <w:lang w:bidi="en-US"/>
        </w:rPr>
      </w:pPr>
    </w:p>
    <w:p w14:paraId="7EAC3E5E" w14:textId="7E7D3B78" w:rsidR="00B4260A" w:rsidRPr="006259CB" w:rsidRDefault="00B4260A" w:rsidP="332DA7C8">
      <w:pPr>
        <w:rPr>
          <w:rFonts w:eastAsia="Arial MT"/>
          <w:i/>
          <w:iCs/>
          <w:color w:val="595959" w:themeColor="text1" w:themeTint="A6"/>
          <w:lang w:bidi="en-US"/>
        </w:rPr>
      </w:pPr>
      <w:r w:rsidRPr="332DA7C8">
        <w:rPr>
          <w:rFonts w:eastAsia="Arial MT"/>
          <w:lang w:bidi="en-US"/>
        </w:rPr>
        <w:t xml:space="preserve">Clients should consult with </w:t>
      </w:r>
      <w:r w:rsidR="40B3F4D1" w:rsidRPr="332DA7C8">
        <w:rPr>
          <w:rFonts w:eastAsia="Arial MT"/>
          <w:lang w:bidi="en-US"/>
        </w:rPr>
        <w:t>Baker Street</w:t>
      </w:r>
      <w:r w:rsidRPr="332DA7C8">
        <w:rPr>
          <w:rFonts w:eastAsia="Arial MT"/>
          <w:lang w:bidi="en-US"/>
        </w:rPr>
        <w:t xml:space="preserve"> and the applicable </w:t>
      </w:r>
      <w:r w:rsidR="00825B89" w:rsidRPr="332DA7C8">
        <w:rPr>
          <w:rFonts w:eastAsia="Arial MT"/>
          <w:lang w:bidi="en-US"/>
        </w:rPr>
        <w:t>A</w:t>
      </w:r>
      <w:r w:rsidRPr="332DA7C8">
        <w:rPr>
          <w:rFonts w:eastAsia="Arial MT"/>
          <w:lang w:bidi="en-US"/>
        </w:rPr>
        <w:t xml:space="preserve">greement and </w:t>
      </w:r>
      <w:r w:rsidR="00AE187D" w:rsidRPr="332DA7C8">
        <w:rPr>
          <w:rFonts w:eastAsia="Arial MT"/>
          <w:lang w:bidi="en-US"/>
        </w:rPr>
        <w:t>f</w:t>
      </w:r>
      <w:r w:rsidRPr="332DA7C8">
        <w:rPr>
          <w:rFonts w:eastAsia="Arial MT"/>
          <w:lang w:bidi="en-US"/>
        </w:rPr>
        <w:t xml:space="preserve">ee </w:t>
      </w:r>
      <w:r w:rsidR="00AE187D" w:rsidRPr="332DA7C8">
        <w:rPr>
          <w:rFonts w:eastAsia="Arial MT"/>
          <w:lang w:bidi="en-US"/>
        </w:rPr>
        <w:t>s</w:t>
      </w:r>
      <w:r w:rsidRPr="332DA7C8">
        <w:rPr>
          <w:rFonts w:eastAsia="Arial MT"/>
          <w:lang w:bidi="en-US"/>
        </w:rPr>
        <w:t xml:space="preserve">chedules for additional information regarding each service. </w:t>
      </w:r>
      <w:r w:rsidRPr="332DA7C8">
        <w:rPr>
          <w:rFonts w:eastAsia="Arial MT"/>
          <w:color w:val="595959" w:themeColor="text1" w:themeTint="A6"/>
          <w:lang w:bidi="en-US"/>
        </w:rPr>
        <w:t>(</w:t>
      </w:r>
      <w:r w:rsidRPr="332DA7C8">
        <w:rPr>
          <w:rFonts w:eastAsia="Arial MT"/>
          <w:i/>
          <w:iCs/>
          <w:color w:val="595959" w:themeColor="text1" w:themeTint="A6"/>
          <w:lang w:bidi="en-US"/>
        </w:rPr>
        <w:t>Note:  Transactions that do not result in a change of actual control or management of the Adviser within the meaning of the Advisers Act shall not be considered an assignment. For further information regarding advisory service fees and account management style, refer to Item 5: Fees &amp; Compensation and Item 16: Investment Discretion.)</w:t>
      </w:r>
    </w:p>
    <w:p w14:paraId="30E188DF" w14:textId="77777777" w:rsidR="00B4260A" w:rsidRPr="006259CB" w:rsidRDefault="00B4260A" w:rsidP="00873720">
      <w:pPr>
        <w:rPr>
          <w:rFonts w:eastAsia="Arial"/>
        </w:rPr>
      </w:pPr>
    </w:p>
    <w:p w14:paraId="574C9C11" w14:textId="77777777" w:rsidR="00B4260A" w:rsidRPr="006259CB" w:rsidRDefault="00B4260A" w:rsidP="00873720">
      <w:pPr>
        <w:pStyle w:val="Paragraph"/>
        <w:rPr>
          <w:lang w:bidi="en-US"/>
        </w:rPr>
      </w:pPr>
      <w:bookmarkStart w:id="25" w:name="_Toc193886381"/>
      <w:r w:rsidRPr="006259CB">
        <w:rPr>
          <w:lang w:bidi="en-US"/>
        </w:rPr>
        <w:t>Investor Profile &amp; Client Suitability</w:t>
      </w:r>
      <w:bookmarkEnd w:id="25"/>
    </w:p>
    <w:p w14:paraId="310C15D6" w14:textId="326E6364" w:rsidR="00B4260A" w:rsidRPr="006259CB" w:rsidRDefault="007C30AF" w:rsidP="00873720">
      <w:pPr>
        <w:rPr>
          <w:rFonts w:eastAsia="Arial MT"/>
        </w:rPr>
      </w:pPr>
      <w:r w:rsidRPr="006259CB">
        <w:rPr>
          <w:rFonts w:eastAsia="Arial MT"/>
        </w:rPr>
        <w:t>Baker Street</w:t>
      </w:r>
      <w:r w:rsidR="00B4260A" w:rsidRPr="006259CB">
        <w:rPr>
          <w:rFonts w:eastAsia="Arial MT"/>
        </w:rPr>
        <w:t xml:space="preserve"> is an investment advisory firm dedicated to </w:t>
      </w:r>
      <w:r w:rsidR="00781EFD" w:rsidRPr="006259CB">
        <w:rPr>
          <w:rFonts w:eastAsia="Arial MT"/>
        </w:rPr>
        <w:t>Client</w:t>
      </w:r>
      <w:r w:rsidR="00B4260A" w:rsidRPr="006259CB">
        <w:rPr>
          <w:rFonts w:eastAsia="Arial MT"/>
        </w:rPr>
        <w:t xml:space="preserve"> engagement and personalized financial guidance. We provide tailored investment advice, advisory services, and wealth management technology designed to </w:t>
      </w:r>
      <w:r w:rsidR="004A30A4" w:rsidRPr="006259CB">
        <w:rPr>
          <w:rFonts w:eastAsia="Arial MT"/>
        </w:rPr>
        <w:t xml:space="preserve">strive to </w:t>
      </w:r>
      <w:r w:rsidR="00B4260A" w:rsidRPr="006259CB">
        <w:rPr>
          <w:rFonts w:eastAsia="Arial MT"/>
        </w:rPr>
        <w:t xml:space="preserve">meet the unique needs of each </w:t>
      </w:r>
      <w:r w:rsidR="00781EFD" w:rsidRPr="006259CB">
        <w:rPr>
          <w:rFonts w:eastAsia="Arial MT"/>
        </w:rPr>
        <w:t>Client</w:t>
      </w:r>
      <w:r w:rsidR="00B4260A" w:rsidRPr="006259CB">
        <w:rPr>
          <w:rFonts w:eastAsia="Arial MT"/>
        </w:rPr>
        <w:t>.</w:t>
      </w:r>
    </w:p>
    <w:p w14:paraId="37AE8E88" w14:textId="77777777" w:rsidR="00B4260A" w:rsidRPr="006259CB" w:rsidRDefault="00B4260A" w:rsidP="00873720">
      <w:pPr>
        <w:rPr>
          <w:rFonts w:eastAsia="Arial MT"/>
        </w:rPr>
      </w:pPr>
    </w:p>
    <w:p w14:paraId="3E9EBE70" w14:textId="58DBA27E" w:rsidR="00B4260A" w:rsidRPr="006259CB" w:rsidRDefault="00B4260A" w:rsidP="00873720">
      <w:pPr>
        <w:rPr>
          <w:rFonts w:eastAsia="Arial MT"/>
        </w:rPr>
      </w:pPr>
      <w:r w:rsidRPr="332DA7C8">
        <w:rPr>
          <w:rFonts w:eastAsia="Arial MT"/>
        </w:rPr>
        <w:t xml:space="preserve">At the outset of the advisory relationship, </w:t>
      </w:r>
      <w:r w:rsidR="76BC1F17" w:rsidRPr="332DA7C8">
        <w:rPr>
          <w:rFonts w:eastAsia="Arial MT"/>
        </w:rPr>
        <w:t>Baker Street</w:t>
      </w:r>
      <w:r w:rsidRPr="332DA7C8">
        <w:rPr>
          <w:rFonts w:eastAsia="Arial MT"/>
        </w:rPr>
        <w:t xml:space="preserve"> will conduct a comprehensive assessment of the </w:t>
      </w:r>
      <w:r w:rsidR="00781EFD" w:rsidRPr="332DA7C8">
        <w:rPr>
          <w:rFonts w:eastAsia="Arial MT"/>
        </w:rPr>
        <w:t>Client</w:t>
      </w:r>
      <w:r w:rsidR="00E146A7" w:rsidRPr="332DA7C8">
        <w:rPr>
          <w:rFonts w:eastAsia="Arial MT"/>
        </w:rPr>
        <w:t>'</w:t>
      </w:r>
      <w:r w:rsidRPr="332DA7C8">
        <w:rPr>
          <w:rFonts w:eastAsia="Arial MT"/>
        </w:rPr>
        <w:t>s financial situation. This evaluation involves personal discussions, diagnostic questionnaires, and other tools provided by the Adviser. Key factors such as investment goals, financial objectives, risk tolerance, liquidity</w:t>
      </w:r>
      <w:r w:rsidR="000717D7" w:rsidRPr="332DA7C8">
        <w:rPr>
          <w:rFonts w:eastAsia="Arial MT"/>
        </w:rPr>
        <w:t>,</w:t>
      </w:r>
      <w:r w:rsidRPr="332DA7C8">
        <w:rPr>
          <w:rFonts w:eastAsia="Arial MT"/>
        </w:rPr>
        <w:t xml:space="preserve"> income needs, time horizon, and market expertise will be evaluated. Additionally, the </w:t>
      </w:r>
      <w:r w:rsidR="00781EFD" w:rsidRPr="332DA7C8">
        <w:rPr>
          <w:rFonts w:eastAsia="Arial MT"/>
        </w:rPr>
        <w:t>Client</w:t>
      </w:r>
      <w:r w:rsidR="00E146A7" w:rsidRPr="332DA7C8">
        <w:rPr>
          <w:rFonts w:eastAsia="Arial MT"/>
        </w:rPr>
        <w:t>'</w:t>
      </w:r>
      <w:r w:rsidRPr="332DA7C8">
        <w:rPr>
          <w:rFonts w:eastAsia="Arial MT"/>
        </w:rPr>
        <w:t xml:space="preserve">s income, expenses, and existing investments will be reviewed to form a clear understanding of their overall financial landscape. Further pertinent information will be gathered, including detailed financial data such as assets, liabilities, and portfolio statements. This data will serve as the foundation for crafting customized investment plans and recommendations tailored to the </w:t>
      </w:r>
      <w:r w:rsidR="00781EFD" w:rsidRPr="332DA7C8">
        <w:rPr>
          <w:rFonts w:eastAsia="Arial MT"/>
        </w:rPr>
        <w:t>Client</w:t>
      </w:r>
      <w:r w:rsidR="00E146A7" w:rsidRPr="332DA7C8">
        <w:rPr>
          <w:rFonts w:eastAsia="Arial MT"/>
        </w:rPr>
        <w:t>'</w:t>
      </w:r>
      <w:r w:rsidRPr="332DA7C8">
        <w:rPr>
          <w:rFonts w:eastAsia="Arial MT"/>
        </w:rPr>
        <w:t xml:space="preserve">s specific financial situation. Based on this comprehensive profile, the </w:t>
      </w:r>
      <w:r w:rsidR="00DE08F2" w:rsidRPr="332DA7C8">
        <w:rPr>
          <w:rFonts w:eastAsia="Arial MT"/>
        </w:rPr>
        <w:t>IAR</w:t>
      </w:r>
      <w:r w:rsidRPr="332DA7C8">
        <w:rPr>
          <w:rFonts w:eastAsia="Arial MT"/>
        </w:rPr>
        <w:t xml:space="preserve"> will recommend </w:t>
      </w:r>
      <w:r w:rsidR="00C005B2" w:rsidRPr="332DA7C8">
        <w:rPr>
          <w:rFonts w:eastAsia="Arial MT"/>
        </w:rPr>
        <w:t>an</w:t>
      </w:r>
      <w:r w:rsidRPr="332DA7C8">
        <w:rPr>
          <w:rFonts w:eastAsia="Arial MT"/>
        </w:rPr>
        <w:t xml:space="preserve"> appropriate advisory service for the </w:t>
      </w:r>
      <w:r w:rsidR="00781EFD" w:rsidRPr="332DA7C8">
        <w:rPr>
          <w:rFonts w:eastAsia="Arial MT"/>
        </w:rPr>
        <w:t>Client</w:t>
      </w:r>
      <w:r w:rsidRPr="332DA7C8">
        <w:rPr>
          <w:rFonts w:eastAsia="Arial MT"/>
        </w:rPr>
        <w:t>.</w:t>
      </w:r>
    </w:p>
    <w:p w14:paraId="6AFCB004" w14:textId="77777777" w:rsidR="00B4260A" w:rsidRPr="006259CB" w:rsidRDefault="00B4260A" w:rsidP="00873720">
      <w:pPr>
        <w:rPr>
          <w:rFonts w:eastAsia="Arial MT"/>
        </w:rPr>
      </w:pPr>
    </w:p>
    <w:p w14:paraId="7AF987C7" w14:textId="3BB8E38D" w:rsidR="00B4260A" w:rsidRPr="006259CB" w:rsidRDefault="00B4260A" w:rsidP="00873720">
      <w:pPr>
        <w:rPr>
          <w:rFonts w:eastAsia="Arial MT"/>
        </w:rPr>
      </w:pPr>
      <w:r w:rsidRPr="006259CB">
        <w:rPr>
          <w:rFonts w:eastAsia="Arial MT"/>
        </w:rPr>
        <w:t xml:space="preserve">Depending on the selected advisory service, a strategic investment recommendation will be formulated, which includes the development of an asset allocation strategy. This strategy will take into account the </w:t>
      </w:r>
      <w:r w:rsidR="00781EFD" w:rsidRPr="006259CB">
        <w:rPr>
          <w:rFonts w:eastAsia="Arial MT"/>
        </w:rPr>
        <w:t>Client</w:t>
      </w:r>
      <w:r w:rsidR="00E146A7" w:rsidRPr="006259CB">
        <w:rPr>
          <w:rFonts w:eastAsia="Arial MT"/>
        </w:rPr>
        <w:t>'</w:t>
      </w:r>
      <w:r w:rsidRPr="006259CB">
        <w:rPr>
          <w:rFonts w:eastAsia="Arial MT"/>
        </w:rPr>
        <w:t xml:space="preserve">s financial objectives, risk tolerance, and personal preferences. The goal is to establish realistic, measurable financial targets and create an investment strategy that supports both short-term and long-term financial objectives. The executed </w:t>
      </w:r>
      <w:r w:rsidR="00394A1B" w:rsidRPr="006259CB">
        <w:rPr>
          <w:rFonts w:eastAsia="Arial MT"/>
        </w:rPr>
        <w:t>Agreement</w:t>
      </w:r>
      <w:r w:rsidRPr="006259CB">
        <w:rPr>
          <w:rFonts w:eastAsia="Arial MT"/>
        </w:rPr>
        <w:t xml:space="preserve"> will clearly outline the specific advisory services to be provided, along with the agreed-upon fee structure, ensuring transparency and mutual understanding of the terms.</w:t>
      </w:r>
    </w:p>
    <w:p w14:paraId="2714C534" w14:textId="77777777" w:rsidR="00B4260A" w:rsidRPr="006259CB" w:rsidRDefault="00B4260A" w:rsidP="00873720"/>
    <w:p w14:paraId="16704A74" w14:textId="57E54C47" w:rsidR="007C30AF" w:rsidRPr="006259CB" w:rsidRDefault="007C30AF" w:rsidP="00873720">
      <w:pPr>
        <w:pStyle w:val="Paragraph"/>
        <w:rPr>
          <w:noProof/>
          <w:lang w:bidi="en-US"/>
        </w:rPr>
      </w:pPr>
      <w:bookmarkStart w:id="26" w:name="_Toc193886382"/>
      <w:r w:rsidRPr="006259CB">
        <w:rPr>
          <w:noProof/>
          <w:lang w:bidi="en-US"/>
        </w:rPr>
        <w:t>Advisory Services</w:t>
      </w:r>
      <w:bookmarkEnd w:id="26"/>
    </w:p>
    <w:p w14:paraId="6CE4F79D" w14:textId="77777777" w:rsidR="007C30AF" w:rsidRPr="006259CB" w:rsidRDefault="007C30AF" w:rsidP="00873720">
      <w:pPr>
        <w:rPr>
          <w:rFonts w:eastAsia="Arial"/>
          <w:noProof/>
          <w:lang w:bidi="en-US"/>
        </w:rPr>
      </w:pPr>
      <w:r w:rsidRPr="006259CB">
        <w:rPr>
          <w:rFonts w:eastAsia="Arial"/>
          <w:noProof/>
          <w:lang w:bidi="en-US"/>
        </w:rPr>
        <w:t>Baker Street provides the following advisory services:</w:t>
      </w:r>
    </w:p>
    <w:p w14:paraId="26FC3A12" w14:textId="77777777" w:rsidR="007C30AF" w:rsidRPr="006259CB" w:rsidRDefault="007C30AF" w:rsidP="00873720">
      <w:pPr>
        <w:rPr>
          <w:rFonts w:eastAsia="Arial"/>
          <w:noProof/>
          <w:lang w:bidi="en-US"/>
        </w:rPr>
      </w:pPr>
    </w:p>
    <w:p w14:paraId="354C9E14" w14:textId="77777777" w:rsidR="007C30AF" w:rsidRPr="006259CB" w:rsidRDefault="007C30AF" w:rsidP="000717D7">
      <w:pPr>
        <w:pStyle w:val="ListParagraph"/>
        <w:numPr>
          <w:ilvl w:val="0"/>
          <w:numId w:val="35"/>
        </w:numPr>
        <w:ind w:right="360"/>
        <w:rPr>
          <w:rFonts w:eastAsia="Arial"/>
          <w:noProof/>
          <w:lang w:bidi="en-US"/>
        </w:rPr>
      </w:pPr>
      <w:r w:rsidRPr="006259CB">
        <w:rPr>
          <w:rFonts w:eastAsia="Arial"/>
          <w:noProof/>
          <w:lang w:bidi="en-US"/>
        </w:rPr>
        <w:t>Investment Supervisory Services</w:t>
      </w:r>
    </w:p>
    <w:p w14:paraId="5759416D" w14:textId="37058626" w:rsidR="007C30AF" w:rsidRPr="006259CB" w:rsidRDefault="00BC626F" w:rsidP="000717D7">
      <w:pPr>
        <w:pStyle w:val="ListParagraph"/>
        <w:numPr>
          <w:ilvl w:val="0"/>
          <w:numId w:val="35"/>
        </w:numPr>
        <w:ind w:right="360"/>
        <w:rPr>
          <w:rFonts w:eastAsia="Arial"/>
          <w:noProof/>
          <w:lang w:bidi="en-US"/>
        </w:rPr>
      </w:pPr>
      <w:r w:rsidRPr="006259CB">
        <w:rPr>
          <w:rFonts w:eastAsia="Arial"/>
          <w:noProof/>
          <w:lang w:bidi="en-US"/>
        </w:rPr>
        <w:t xml:space="preserve">Professional Services </w:t>
      </w:r>
      <w:r w:rsidR="00365877" w:rsidRPr="00AB6FDD">
        <w:t>(to include, but not limited to</w:t>
      </w:r>
      <w:r w:rsidR="00581545" w:rsidRPr="00AB6FDD">
        <w:t>,</w:t>
      </w:r>
      <w:r w:rsidR="00365877" w:rsidRPr="00AB6FDD">
        <w:t xml:space="preserve"> </w:t>
      </w:r>
      <w:r w:rsidR="00205D72">
        <w:t>Client Accounting Services</w:t>
      </w:r>
      <w:r w:rsidR="00365877" w:rsidRPr="00AB6FDD">
        <w:t>, Consulting and Financial Planning)</w:t>
      </w:r>
    </w:p>
    <w:p w14:paraId="162FDC79" w14:textId="77777777" w:rsidR="007C30AF" w:rsidRPr="006259CB" w:rsidRDefault="007C30AF" w:rsidP="00873720"/>
    <w:p w14:paraId="4529DAAF" w14:textId="77777777" w:rsidR="007C30AF" w:rsidRPr="006259CB" w:rsidRDefault="6AB41994" w:rsidP="00873720">
      <w:pPr>
        <w:pStyle w:val="Heading5"/>
      </w:pPr>
      <w:r>
        <w:t>Investment Supervisory Services</w:t>
      </w:r>
    </w:p>
    <w:p w14:paraId="71B74569" w14:textId="7C457FC7" w:rsidR="007C30AF" w:rsidRPr="006259CB" w:rsidRDefault="007C30AF" w:rsidP="00873720">
      <w:r w:rsidRPr="006259CB">
        <w:t xml:space="preserve">Baker Street provides </w:t>
      </w:r>
      <w:r w:rsidR="00C6176D" w:rsidRPr="006259CB">
        <w:rPr>
          <w:b/>
          <w:bCs/>
        </w:rPr>
        <w:t>investment supervisory services</w:t>
      </w:r>
      <w:r w:rsidR="00C6176D" w:rsidRPr="006259CB">
        <w:t xml:space="preserve"> </w:t>
      </w:r>
      <w:r w:rsidRPr="006259CB">
        <w:t xml:space="preserve">primarily on a </w:t>
      </w:r>
      <w:r w:rsidRPr="006259CB">
        <w:rPr>
          <w:u w:val="single"/>
        </w:rPr>
        <w:t>discretionary basis</w:t>
      </w:r>
      <w:r w:rsidRPr="006259CB">
        <w:t xml:space="preserve"> to a variety of Clients. Services are provided in accordance with the </w:t>
      </w:r>
      <w:r w:rsidR="00D61FF3" w:rsidRPr="006259CB">
        <w:t>Baker Street</w:t>
      </w:r>
      <w:r w:rsidRPr="006259CB">
        <w:t xml:space="preserve"> Advisory Agreement</w:t>
      </w:r>
      <w:r w:rsidR="000717D7" w:rsidRPr="006259CB">
        <w:t>,</w:t>
      </w:r>
      <w:r w:rsidR="00185A6F" w:rsidRPr="006259CB">
        <w:t xml:space="preserve"> with </w:t>
      </w:r>
      <w:r w:rsidRPr="006259CB">
        <w:t>account supervision guided by the Client's stated investment objectives</w:t>
      </w:r>
      <w:r w:rsidR="00294C04" w:rsidRPr="006259CB">
        <w:t xml:space="preserve">.  </w:t>
      </w:r>
      <w:r w:rsidRPr="006259CB">
        <w:t xml:space="preserve">  </w:t>
      </w:r>
    </w:p>
    <w:p w14:paraId="65129CDA" w14:textId="77777777" w:rsidR="00884E68" w:rsidRPr="006259CB" w:rsidRDefault="00884E68" w:rsidP="00873720"/>
    <w:p w14:paraId="10F8BA7D" w14:textId="43FAE505" w:rsidR="0094676D" w:rsidRPr="006259CB" w:rsidRDefault="00492A0C" w:rsidP="00873720">
      <w:pPr>
        <w:rPr>
          <w:color w:val="auto"/>
        </w:rPr>
      </w:pPr>
      <w:r w:rsidRPr="006259CB">
        <w:rPr>
          <w:color w:val="auto"/>
        </w:rPr>
        <w:t xml:space="preserve">We develop strategic plans for our </w:t>
      </w:r>
      <w:r w:rsidR="00781EFD" w:rsidRPr="006259CB">
        <w:rPr>
          <w:color w:val="auto"/>
        </w:rPr>
        <w:t>Client</w:t>
      </w:r>
      <w:r w:rsidRPr="006259CB">
        <w:rPr>
          <w:color w:val="auto"/>
        </w:rPr>
        <w:t xml:space="preserve">s by assessing their long-term and short-term financial needs, objectives, risk tolerance or aversion, and tax status. These plans are crafted using the information </w:t>
      </w:r>
      <w:r w:rsidR="00F40BC2" w:rsidRPr="006259CB">
        <w:rPr>
          <w:color w:val="auto"/>
        </w:rPr>
        <w:t>they provide</w:t>
      </w:r>
      <w:r w:rsidRPr="006259CB">
        <w:rPr>
          <w:color w:val="auto"/>
        </w:rPr>
        <w:t xml:space="preserve">, including financial records, responses to questionnaires, and insights gathered during personal interviews. Each investment portfolio is tailored to align with the </w:t>
      </w:r>
      <w:r w:rsidR="00781EFD" w:rsidRPr="006259CB">
        <w:rPr>
          <w:color w:val="auto"/>
        </w:rPr>
        <w:t>Client</w:t>
      </w:r>
      <w:r w:rsidRPr="006259CB">
        <w:rPr>
          <w:color w:val="auto"/>
        </w:rPr>
        <w:t>’s specific goals and objectives, following a comprehensive evaluation of their financial circumstances.</w:t>
      </w:r>
      <w:r w:rsidR="00F40BC2" w:rsidRPr="006259CB">
        <w:rPr>
          <w:color w:val="auto"/>
        </w:rPr>
        <w:t xml:space="preserve"> </w:t>
      </w:r>
      <w:r w:rsidRPr="006259CB">
        <w:rPr>
          <w:color w:val="auto"/>
        </w:rPr>
        <w:t xml:space="preserve">Subsequently, we create an </w:t>
      </w:r>
      <w:r w:rsidRPr="006259CB">
        <w:rPr>
          <w:color w:val="auto"/>
          <w:u w:val="single"/>
        </w:rPr>
        <w:t>Investment Policy Statement</w:t>
      </w:r>
      <w:r w:rsidRPr="006259CB">
        <w:rPr>
          <w:color w:val="auto"/>
        </w:rPr>
        <w:t xml:space="preserve"> (</w:t>
      </w:r>
      <w:r w:rsidR="00F40BC2" w:rsidRPr="006259CB">
        <w:rPr>
          <w:color w:val="auto"/>
        </w:rPr>
        <w:t>“</w:t>
      </w:r>
      <w:r w:rsidRPr="006259CB">
        <w:rPr>
          <w:color w:val="auto"/>
        </w:rPr>
        <w:t>IPS</w:t>
      </w:r>
      <w:r w:rsidR="00F40BC2" w:rsidRPr="006259CB">
        <w:rPr>
          <w:color w:val="auto"/>
        </w:rPr>
        <w:t>”</w:t>
      </w:r>
      <w:r w:rsidRPr="006259CB">
        <w:rPr>
          <w:color w:val="auto"/>
        </w:rPr>
        <w:t xml:space="preserve">) and an asset allocation plan for each </w:t>
      </w:r>
      <w:r w:rsidR="00781EFD" w:rsidRPr="006259CB">
        <w:rPr>
          <w:color w:val="auto"/>
        </w:rPr>
        <w:t>Client</w:t>
      </w:r>
      <w:r w:rsidRPr="006259CB">
        <w:rPr>
          <w:color w:val="auto"/>
        </w:rPr>
        <w:t xml:space="preserve"> based on a thorough analysis of their financial situation and investment objectives. The IPS typically outlines </w:t>
      </w:r>
      <w:r w:rsidR="004D37BF" w:rsidRPr="006259CB">
        <w:rPr>
          <w:color w:val="auto"/>
        </w:rPr>
        <w:t>the Client’s</w:t>
      </w:r>
      <w:r w:rsidR="00B305B0" w:rsidRPr="006259CB">
        <w:rPr>
          <w:color w:val="auto"/>
        </w:rPr>
        <w:t xml:space="preserve"> </w:t>
      </w:r>
      <w:r w:rsidRPr="006259CB">
        <w:rPr>
          <w:color w:val="auto"/>
        </w:rPr>
        <w:t xml:space="preserve">investment goals, restrictions, regulatory requirements, risk tolerances, and other pertinent factors. </w:t>
      </w:r>
    </w:p>
    <w:p w14:paraId="5C97DE78" w14:textId="77777777" w:rsidR="0094676D" w:rsidRPr="006259CB" w:rsidRDefault="0094676D" w:rsidP="00873720">
      <w:pPr>
        <w:rPr>
          <w:color w:val="auto"/>
        </w:rPr>
      </w:pPr>
    </w:p>
    <w:p w14:paraId="49FFBCCD" w14:textId="31170E99" w:rsidR="00492A0C" w:rsidRPr="006259CB" w:rsidRDefault="00492A0C" w:rsidP="00873720">
      <w:pPr>
        <w:rPr>
          <w:color w:val="auto"/>
        </w:rPr>
      </w:pPr>
      <w:r w:rsidRPr="006259CB">
        <w:rPr>
          <w:color w:val="auto"/>
        </w:rPr>
        <w:t xml:space="preserve">Upon receiving the </w:t>
      </w:r>
      <w:r w:rsidR="00781EFD" w:rsidRPr="006259CB">
        <w:rPr>
          <w:color w:val="auto"/>
        </w:rPr>
        <w:t>Client</w:t>
      </w:r>
      <w:r w:rsidRPr="006259CB">
        <w:rPr>
          <w:color w:val="auto"/>
        </w:rPr>
        <w:t xml:space="preserve">’s approval, </w:t>
      </w:r>
      <w:r w:rsidR="00B305B0" w:rsidRPr="006259CB">
        <w:rPr>
          <w:color w:val="auto"/>
        </w:rPr>
        <w:t xml:space="preserve">we will </w:t>
      </w:r>
      <w:r w:rsidRPr="006259CB">
        <w:rPr>
          <w:color w:val="auto"/>
        </w:rPr>
        <w:t xml:space="preserve">proceed to implement the </w:t>
      </w:r>
      <w:r w:rsidR="00B305B0" w:rsidRPr="006259CB">
        <w:rPr>
          <w:color w:val="auto"/>
        </w:rPr>
        <w:t xml:space="preserve">IPS </w:t>
      </w:r>
      <w:r w:rsidRPr="006259CB">
        <w:rPr>
          <w:color w:val="auto"/>
        </w:rPr>
        <w:t>strategy as appropriate.</w:t>
      </w:r>
    </w:p>
    <w:p w14:paraId="2BE9668B" w14:textId="77777777" w:rsidR="00587F8A" w:rsidRPr="006259CB" w:rsidRDefault="00587F8A" w:rsidP="00873720"/>
    <w:p w14:paraId="030A2680" w14:textId="76C9D782" w:rsidR="00C43FFA" w:rsidRPr="006259CB" w:rsidRDefault="48E5C150" w:rsidP="00873720">
      <w:pPr>
        <w:pStyle w:val="Heading2"/>
      </w:pPr>
      <w:bookmarkStart w:id="27" w:name="_Toc225322716"/>
      <w:r>
        <w:t>Professional</w:t>
      </w:r>
      <w:r w:rsidR="28C99619">
        <w:t xml:space="preserve"> Services</w:t>
      </w:r>
      <w:bookmarkEnd w:id="27"/>
    </w:p>
    <w:p w14:paraId="71C70A01" w14:textId="650B23B9" w:rsidR="00C6176D" w:rsidRPr="006259CB" w:rsidRDefault="00F9413F" w:rsidP="00873720">
      <w:pPr>
        <w:rPr>
          <w:i/>
          <w:iCs/>
          <w:color w:val="595959" w:themeColor="text1" w:themeTint="A6"/>
        </w:rPr>
      </w:pPr>
      <w:r w:rsidRPr="006259CB">
        <w:rPr>
          <w:b/>
          <w:bCs/>
        </w:rPr>
        <w:t xml:space="preserve">Professional </w:t>
      </w:r>
      <w:r w:rsidR="00945BAE" w:rsidRPr="006259CB">
        <w:rPr>
          <w:b/>
          <w:bCs/>
        </w:rPr>
        <w:t>s</w:t>
      </w:r>
      <w:r w:rsidRPr="006259CB">
        <w:rPr>
          <w:b/>
          <w:bCs/>
        </w:rPr>
        <w:t>ervices</w:t>
      </w:r>
      <w:r w:rsidR="00B43058" w:rsidRPr="006259CB">
        <w:rPr>
          <w:b/>
          <w:bCs/>
        </w:rPr>
        <w:t xml:space="preserve"> </w:t>
      </w:r>
      <w:r w:rsidR="00E43BCD" w:rsidRPr="006259CB">
        <w:t xml:space="preserve">may include </w:t>
      </w:r>
      <w:r w:rsidR="00F968B6">
        <w:t>client accounting services</w:t>
      </w:r>
      <w:r w:rsidR="003D66E7" w:rsidRPr="006259CB">
        <w:t xml:space="preserve">, consulting, </w:t>
      </w:r>
      <w:r w:rsidR="00F55AD3" w:rsidRPr="006259CB">
        <w:t xml:space="preserve">financial planning, </w:t>
      </w:r>
      <w:r w:rsidR="00E43BCD" w:rsidRPr="006259CB">
        <w:t>estate and trust services, risk management and insurance services</w:t>
      </w:r>
      <w:r w:rsidR="00F55AD3" w:rsidRPr="006259CB">
        <w:t xml:space="preserve"> and </w:t>
      </w:r>
      <w:r w:rsidR="00E43BCD" w:rsidRPr="006259CB">
        <w:t>philanthropy services</w:t>
      </w:r>
      <w:r w:rsidR="000F0301" w:rsidRPr="006259CB">
        <w:t>, among others</w:t>
      </w:r>
      <w:r w:rsidR="00E43BCD" w:rsidRPr="006259CB">
        <w:t>.</w:t>
      </w:r>
      <w:r w:rsidR="00462E0B" w:rsidRPr="006259CB">
        <w:t xml:space="preserve"> </w:t>
      </w:r>
      <w:r w:rsidR="00C21432" w:rsidRPr="006259CB">
        <w:rPr>
          <w:i/>
          <w:iCs/>
          <w:color w:val="595959" w:themeColor="text1" w:themeTint="A6"/>
        </w:rPr>
        <w:t xml:space="preserve">(Note:  </w:t>
      </w:r>
      <w:r w:rsidR="00462E0B" w:rsidRPr="006259CB">
        <w:rPr>
          <w:i/>
          <w:iCs/>
          <w:color w:val="595959" w:themeColor="text1" w:themeTint="A6"/>
        </w:rPr>
        <w:t>E</w:t>
      </w:r>
      <w:r w:rsidR="00E43BCD" w:rsidRPr="006259CB">
        <w:rPr>
          <w:i/>
          <w:iCs/>
          <w:color w:val="595959" w:themeColor="text1" w:themeTint="A6"/>
        </w:rPr>
        <w:t xml:space="preserve">state and trust services may require the </w:t>
      </w:r>
      <w:r w:rsidR="00A23520" w:rsidRPr="006259CB">
        <w:rPr>
          <w:i/>
          <w:iCs/>
          <w:color w:val="595959" w:themeColor="text1" w:themeTint="A6"/>
        </w:rPr>
        <w:t>Client</w:t>
      </w:r>
      <w:r w:rsidR="00E43BCD" w:rsidRPr="006259CB">
        <w:rPr>
          <w:i/>
          <w:iCs/>
          <w:color w:val="595959" w:themeColor="text1" w:themeTint="A6"/>
        </w:rPr>
        <w:t xml:space="preserve"> </w:t>
      </w:r>
      <w:r w:rsidR="009F457F" w:rsidRPr="006259CB">
        <w:rPr>
          <w:i/>
          <w:iCs/>
          <w:color w:val="595959" w:themeColor="text1" w:themeTint="A6"/>
        </w:rPr>
        <w:t>to engage</w:t>
      </w:r>
      <w:r w:rsidR="00E43BCD" w:rsidRPr="006259CB">
        <w:rPr>
          <w:i/>
          <w:iCs/>
          <w:color w:val="595959" w:themeColor="text1" w:themeTint="A6"/>
        </w:rPr>
        <w:t xml:space="preserve"> independent legal counsel.</w:t>
      </w:r>
      <w:r w:rsidR="002A6624" w:rsidRPr="006259CB">
        <w:rPr>
          <w:i/>
          <w:iCs/>
          <w:color w:val="595959" w:themeColor="text1" w:themeTint="A6"/>
        </w:rPr>
        <w:t xml:space="preserve"> </w:t>
      </w:r>
      <w:r w:rsidR="00462E0B" w:rsidRPr="006259CB">
        <w:rPr>
          <w:i/>
          <w:iCs/>
          <w:color w:val="595959" w:themeColor="text1" w:themeTint="A6"/>
        </w:rPr>
        <w:t xml:space="preserve"> </w:t>
      </w:r>
      <w:r w:rsidR="00A01F37" w:rsidRPr="006259CB">
        <w:rPr>
          <w:i/>
          <w:iCs/>
          <w:color w:val="595959" w:themeColor="text1" w:themeTint="A6"/>
        </w:rPr>
        <w:t>Baker Street</w:t>
      </w:r>
      <w:r w:rsidR="00E43BCD" w:rsidRPr="006259CB">
        <w:rPr>
          <w:i/>
          <w:iCs/>
          <w:color w:val="595959" w:themeColor="text1" w:themeTint="A6"/>
        </w:rPr>
        <w:t xml:space="preserve"> does not provide legal advice or draft legal documents.</w:t>
      </w:r>
      <w:r w:rsidR="00C21432" w:rsidRPr="006259CB">
        <w:rPr>
          <w:i/>
          <w:iCs/>
          <w:color w:val="595959" w:themeColor="text1" w:themeTint="A6"/>
        </w:rPr>
        <w:t>)</w:t>
      </w:r>
    </w:p>
    <w:p w14:paraId="567E8913" w14:textId="77777777" w:rsidR="0011783D" w:rsidRPr="006259CB" w:rsidRDefault="0011783D" w:rsidP="00873720"/>
    <w:p w14:paraId="5083169B" w14:textId="63F8D640" w:rsidR="0011783D" w:rsidRPr="006259CB" w:rsidRDefault="0011783D" w:rsidP="00873720">
      <w:r w:rsidRPr="006259CB">
        <w:t xml:space="preserve">To engage </w:t>
      </w:r>
      <w:r w:rsidR="00945BAE" w:rsidRPr="006259CB">
        <w:t>in any of these services, c</w:t>
      </w:r>
      <w:r w:rsidR="00781EFD" w:rsidRPr="006259CB">
        <w:t>lient</w:t>
      </w:r>
      <w:r w:rsidRPr="006259CB">
        <w:t xml:space="preserve">s will execute a </w:t>
      </w:r>
      <w:r w:rsidR="00476FC6" w:rsidRPr="006259CB">
        <w:rPr>
          <w:u w:val="single"/>
        </w:rPr>
        <w:t xml:space="preserve">Professional </w:t>
      </w:r>
      <w:r w:rsidRPr="006259CB">
        <w:rPr>
          <w:u w:val="single"/>
        </w:rPr>
        <w:t>Services Agreement</w:t>
      </w:r>
      <w:r w:rsidRPr="006259CB">
        <w:t xml:space="preserve">, which will define the scope of services to be provided and the agreed-upon fees, </w:t>
      </w:r>
      <w:r w:rsidR="003948EE" w:rsidRPr="006259CB">
        <w:t>which will be determined</w:t>
      </w:r>
      <w:r w:rsidRPr="006259CB">
        <w:t xml:space="preserve"> depending on the complexity and scope of the planning process. The duration and cost will be specified in the executed services Agreement.  </w:t>
      </w:r>
    </w:p>
    <w:p w14:paraId="62ADFB68" w14:textId="77777777" w:rsidR="00DA68F8" w:rsidRPr="006259CB" w:rsidRDefault="00DA68F8" w:rsidP="00873720"/>
    <w:p w14:paraId="01FC07E6" w14:textId="57B8C671" w:rsidR="00AE390B" w:rsidRPr="006259CB" w:rsidRDefault="0011783D" w:rsidP="00873720">
      <w:pPr>
        <w:rPr>
          <w:color w:val="auto"/>
        </w:rPr>
      </w:pPr>
      <w:r w:rsidRPr="006259CB">
        <w:rPr>
          <w:color w:val="auto"/>
        </w:rPr>
        <w:lastRenderedPageBreak/>
        <w:t xml:space="preserve">Financial plans and recommendations are based on the </w:t>
      </w:r>
      <w:r w:rsidR="00781EFD" w:rsidRPr="006259CB">
        <w:rPr>
          <w:color w:val="auto"/>
        </w:rPr>
        <w:t>Client</w:t>
      </w:r>
      <w:r w:rsidRPr="006259CB">
        <w:rPr>
          <w:color w:val="auto"/>
        </w:rPr>
        <w:t xml:space="preserve">'s financial situation as disclosed at the time of </w:t>
      </w:r>
      <w:r w:rsidR="00DA68F8" w:rsidRPr="006259CB">
        <w:rPr>
          <w:color w:val="auto"/>
        </w:rPr>
        <w:t>Agreement execution</w:t>
      </w:r>
      <w:r w:rsidRPr="006259CB">
        <w:rPr>
          <w:color w:val="auto"/>
        </w:rPr>
        <w:t xml:space="preserve">. The timeline for completing an initial financial plan may vary depending on the </w:t>
      </w:r>
      <w:r w:rsidR="00781EFD" w:rsidRPr="006259CB">
        <w:rPr>
          <w:color w:val="auto"/>
        </w:rPr>
        <w:t>Client</w:t>
      </w:r>
      <w:r w:rsidRPr="006259CB">
        <w:rPr>
          <w:color w:val="auto"/>
        </w:rPr>
        <w:t xml:space="preserve">’s responsiveness and the timely submission of all required information and supporting documents. </w:t>
      </w:r>
    </w:p>
    <w:p w14:paraId="54A7C231" w14:textId="77777777" w:rsidR="00AE390B" w:rsidRPr="006259CB" w:rsidRDefault="00AE390B" w:rsidP="00873720">
      <w:pPr>
        <w:rPr>
          <w:color w:val="auto"/>
        </w:rPr>
      </w:pPr>
    </w:p>
    <w:p w14:paraId="60DE10BA" w14:textId="08CA46AA" w:rsidR="0011783D" w:rsidRPr="006259CB" w:rsidRDefault="0011783D" w:rsidP="00873720">
      <w:r w:rsidRPr="006259CB">
        <w:t xml:space="preserve">If the </w:t>
      </w:r>
      <w:r w:rsidR="00781EFD" w:rsidRPr="006259CB">
        <w:t>Client</w:t>
      </w:r>
      <w:r w:rsidRPr="006259CB">
        <w:t xml:space="preserve"> receives a written financial plan, the plan will not include information or analysis concerning liability risks, tax planning, or tax preparation services. If such services are necessary, it shall be the </w:t>
      </w:r>
      <w:r w:rsidR="00781EFD" w:rsidRPr="006259CB">
        <w:t>Client</w:t>
      </w:r>
      <w:r w:rsidRPr="006259CB">
        <w:t>'s responsibility to obtain them from one or more third parties.</w:t>
      </w:r>
    </w:p>
    <w:p w14:paraId="76D5E225" w14:textId="77777777" w:rsidR="00294C04" w:rsidRPr="006259CB" w:rsidRDefault="00294C04" w:rsidP="00873720"/>
    <w:p w14:paraId="7892A9B7" w14:textId="10AC6FB6" w:rsidR="00B3287D" w:rsidRPr="006259CB" w:rsidRDefault="0011783D" w:rsidP="00873720">
      <w:r w:rsidRPr="006259CB">
        <w:t xml:space="preserve">As financial planning is inherently a discovery process, where new information may surface throughout the course of analysis, should discrepancies arise during this process and the </w:t>
      </w:r>
      <w:r w:rsidR="00781EFD" w:rsidRPr="006259CB">
        <w:t>Client</w:t>
      </w:r>
      <w:r w:rsidRPr="006259CB">
        <w:t xml:space="preserve">’s circumstances differ significantly from the initial disclosures, the </w:t>
      </w:r>
      <w:r w:rsidR="00781EFD" w:rsidRPr="006259CB">
        <w:t>Client</w:t>
      </w:r>
      <w:r w:rsidRPr="006259CB">
        <w:t xml:space="preserve"> can be subject to a revised fee. In such cases, </w:t>
      </w:r>
      <w:r w:rsidR="00781EFD" w:rsidRPr="006259CB">
        <w:t>Client</w:t>
      </w:r>
      <w:r w:rsidRPr="006259CB">
        <w:t xml:space="preserve">s will be notified promptly of any necessary changes to the engagement's scope, and no additional work will be undertaken until they approve the revised fee structure.  </w:t>
      </w:r>
    </w:p>
    <w:p w14:paraId="7F79D2F5" w14:textId="77777777" w:rsidR="00B3287D" w:rsidRPr="006259CB" w:rsidRDefault="00B3287D" w:rsidP="00873720"/>
    <w:p w14:paraId="76FC53FA" w14:textId="2D85C240" w:rsidR="0011783D" w:rsidRPr="006259CB" w:rsidRDefault="0011783D" w:rsidP="00873720">
      <w:pPr>
        <w:rPr>
          <w:i/>
          <w:iCs/>
          <w:color w:val="595959" w:themeColor="text1" w:themeTint="A6"/>
        </w:rPr>
      </w:pPr>
      <w:r w:rsidRPr="006259CB">
        <w:t xml:space="preserve">Clients may request updates or additional reviews, which may incur additional fees at the firm’s current hourly rate. </w:t>
      </w:r>
      <w:r w:rsidRPr="006259CB">
        <w:rPr>
          <w:i/>
          <w:iCs/>
          <w:color w:val="595959" w:themeColor="text1" w:themeTint="A6"/>
        </w:rPr>
        <w:t>(See Item 5:  Fees &amp; Compensation for further information.)</w:t>
      </w:r>
    </w:p>
    <w:p w14:paraId="76D9FDCA" w14:textId="77777777" w:rsidR="00290987" w:rsidRPr="006259CB" w:rsidRDefault="00290987" w:rsidP="00873720"/>
    <w:p w14:paraId="73D76EF2" w14:textId="77777777" w:rsidR="002F7F48" w:rsidRPr="006259CB" w:rsidRDefault="002F7F48" w:rsidP="00873720">
      <w:pPr>
        <w:pStyle w:val="Paragraph"/>
        <w:rPr>
          <w:noProof/>
          <w:lang w:bidi="en-US"/>
        </w:rPr>
      </w:pPr>
      <w:bookmarkStart w:id="28" w:name="_Toc193886396"/>
      <w:r w:rsidRPr="006259CB">
        <w:rPr>
          <w:noProof/>
          <w:lang w:bidi="en-US"/>
        </w:rPr>
        <w:t>Types of Investments</w:t>
      </w:r>
      <w:bookmarkEnd w:id="28"/>
    </w:p>
    <w:p w14:paraId="0655D715" w14:textId="77C76E8D" w:rsidR="007D6DDA" w:rsidRPr="006259CB" w:rsidRDefault="007D6DDA" w:rsidP="00873720">
      <w:r w:rsidRPr="006259CB">
        <w:t>Our investment recommendations primarily involve independent third-party investment advisers, mutual funds, exchange-traded funds (</w:t>
      </w:r>
      <w:r w:rsidR="00202B9C" w:rsidRPr="006259CB">
        <w:t>"</w:t>
      </w:r>
      <w:r w:rsidRPr="006259CB">
        <w:t>ETFs</w:t>
      </w:r>
      <w:r w:rsidR="00202B9C" w:rsidRPr="006259CB">
        <w:t>"</w:t>
      </w:r>
      <w:r w:rsidRPr="006259CB">
        <w:t xml:space="preserve">), and private investments. We do not offer proprietary investments. All investments </w:t>
      </w:r>
      <w:r w:rsidR="00EC028F" w:rsidRPr="006259CB">
        <w:t>we recommend</w:t>
      </w:r>
      <w:r w:rsidRPr="006259CB">
        <w:t xml:space="preserve"> have undergone a rigorous due diligence process and are continuously monitored by our Investment Strategy Group.</w:t>
      </w:r>
    </w:p>
    <w:p w14:paraId="51FAB5AD" w14:textId="77777777" w:rsidR="004E0785" w:rsidRPr="006259CB" w:rsidRDefault="004E0785" w:rsidP="00873720"/>
    <w:p w14:paraId="0DC30C99" w14:textId="21AEBF67" w:rsidR="00530893" w:rsidRPr="006259CB" w:rsidRDefault="00530893" w:rsidP="00873720">
      <w:pPr>
        <w:rPr>
          <w:color w:val="auto"/>
        </w:rPr>
      </w:pPr>
      <w:r w:rsidRPr="006259CB">
        <w:rPr>
          <w:color w:val="auto"/>
        </w:rPr>
        <w:t xml:space="preserve">The investment advice provided to </w:t>
      </w:r>
      <w:r w:rsidR="00781EFD" w:rsidRPr="006259CB">
        <w:rPr>
          <w:color w:val="auto"/>
        </w:rPr>
        <w:t>Client</w:t>
      </w:r>
      <w:r w:rsidRPr="006259CB">
        <w:rPr>
          <w:color w:val="auto"/>
        </w:rPr>
        <w:t xml:space="preserve">s is not limited to specific products or asset classes. However, we generally refrain from recommending the direct purchase or sale of individual, non-pooled securities. Instead, we offer comprehensive investment and portfolio management advice across a broad spectrum of asset classes, ensuring that our recommendations are tailored to each </w:t>
      </w:r>
      <w:r w:rsidR="00781EFD" w:rsidRPr="006259CB">
        <w:rPr>
          <w:color w:val="auto"/>
        </w:rPr>
        <w:t>Client</w:t>
      </w:r>
      <w:r w:rsidRPr="006259CB">
        <w:rPr>
          <w:color w:val="auto"/>
        </w:rPr>
        <w:t xml:space="preserve">’s unique goals and needs. </w:t>
      </w:r>
      <w:r w:rsidR="00B3287D" w:rsidRPr="006259CB">
        <w:rPr>
          <w:color w:val="auto"/>
        </w:rPr>
        <w:t xml:space="preserve">We may also guide on </w:t>
      </w:r>
      <w:r w:rsidRPr="006259CB">
        <w:rPr>
          <w:color w:val="auto"/>
        </w:rPr>
        <w:t xml:space="preserve">existing holdings and suggest strategies for portfolio diversification when appropriate. While we do not engage in market timing, we may recommend increasing cash holdings when it aligns with the </w:t>
      </w:r>
      <w:r w:rsidR="00781EFD" w:rsidRPr="006259CB">
        <w:rPr>
          <w:color w:val="auto"/>
        </w:rPr>
        <w:t>Client</w:t>
      </w:r>
      <w:r w:rsidRPr="006259CB">
        <w:rPr>
          <w:color w:val="auto"/>
        </w:rPr>
        <w:t>'s overall portfolio strategy.</w:t>
      </w:r>
    </w:p>
    <w:p w14:paraId="44968F03" w14:textId="77777777" w:rsidR="00A73FB4" w:rsidRPr="006259CB" w:rsidRDefault="00A73FB4" w:rsidP="00873720">
      <w:pPr>
        <w:rPr>
          <w:rFonts w:eastAsia="Arial MT"/>
          <w:noProof/>
          <w:color w:val="010101"/>
          <w:lang w:bidi="en-US"/>
        </w:rPr>
      </w:pPr>
    </w:p>
    <w:p w14:paraId="38AA51E6" w14:textId="77777777" w:rsidR="002F7F48" w:rsidRPr="006259CB" w:rsidRDefault="002F7F48" w:rsidP="00873720">
      <w:pPr>
        <w:pStyle w:val="Paragraph"/>
        <w:rPr>
          <w:noProof/>
        </w:rPr>
      </w:pPr>
      <w:bookmarkStart w:id="29" w:name="_Toc193886397"/>
      <w:r w:rsidRPr="006259CB">
        <w:rPr>
          <w:noProof/>
        </w:rPr>
        <w:t>Tailored Advisory Services</w:t>
      </w:r>
      <w:bookmarkEnd w:id="29"/>
    </w:p>
    <w:p w14:paraId="7914A5F7" w14:textId="418A6B92" w:rsidR="002F7F48" w:rsidRPr="006259CB" w:rsidRDefault="007C30AF" w:rsidP="00873720">
      <w:pPr>
        <w:rPr>
          <w:rFonts w:eastAsia="Arial MT"/>
          <w:i/>
          <w:iCs/>
          <w:noProof/>
          <w:color w:val="595959" w:themeColor="text1" w:themeTint="A6"/>
        </w:rPr>
      </w:pPr>
      <w:r w:rsidRPr="006259CB">
        <w:rPr>
          <w:rFonts w:eastAsia="Arial MT"/>
          <w:noProof/>
        </w:rPr>
        <w:t>Baker Street</w:t>
      </w:r>
      <w:r w:rsidR="002F7F48" w:rsidRPr="006259CB">
        <w:rPr>
          <w:rFonts w:eastAsia="Arial MT"/>
          <w:noProof/>
        </w:rPr>
        <w:t xml:space="preserve"> offers a comprehensive suite of services to all </w:t>
      </w:r>
      <w:r w:rsidR="00781EFD" w:rsidRPr="006259CB">
        <w:rPr>
          <w:rFonts w:eastAsia="Arial MT"/>
          <w:noProof/>
        </w:rPr>
        <w:t>Client</w:t>
      </w:r>
      <w:r w:rsidR="002F7F48" w:rsidRPr="006259CB">
        <w:rPr>
          <w:rFonts w:eastAsia="Arial MT"/>
          <w:noProof/>
        </w:rPr>
        <w:t xml:space="preserve">s, though some may require only limited services based on the nature of their investments. In such cases, limited services are offered at our discretion, as outlined in the </w:t>
      </w:r>
      <w:r w:rsidR="00781EFD" w:rsidRPr="006259CB">
        <w:rPr>
          <w:rFonts w:eastAsia="Arial MT"/>
          <w:noProof/>
        </w:rPr>
        <w:t>Client</w:t>
      </w:r>
      <w:r w:rsidR="002F7F48" w:rsidRPr="006259CB">
        <w:rPr>
          <w:rFonts w:eastAsia="Arial MT"/>
          <w:noProof/>
        </w:rPr>
        <w:t xml:space="preserve">'s written </w:t>
      </w:r>
      <w:r w:rsidR="00394A1B" w:rsidRPr="006259CB">
        <w:rPr>
          <w:rFonts w:eastAsia="Arial MT"/>
          <w:noProof/>
        </w:rPr>
        <w:t>Agreement</w:t>
      </w:r>
      <w:r w:rsidR="002F7F48" w:rsidRPr="006259CB">
        <w:rPr>
          <w:rFonts w:eastAsia="Arial MT"/>
          <w:noProof/>
        </w:rPr>
        <w:t xml:space="preserve">, which will contain applicable terms and </w:t>
      </w:r>
      <w:r w:rsidR="00FC39C1" w:rsidRPr="006259CB">
        <w:rPr>
          <w:rFonts w:eastAsia="Arial MT"/>
          <w:noProof/>
        </w:rPr>
        <w:t>f</w:t>
      </w:r>
      <w:r w:rsidR="002F7F48" w:rsidRPr="006259CB">
        <w:rPr>
          <w:rFonts w:eastAsia="Arial MT"/>
          <w:noProof/>
        </w:rPr>
        <w:t xml:space="preserve">ee </w:t>
      </w:r>
      <w:r w:rsidR="00FC39C1" w:rsidRPr="006259CB">
        <w:rPr>
          <w:rFonts w:eastAsia="Arial MT"/>
          <w:noProof/>
        </w:rPr>
        <w:t>s</w:t>
      </w:r>
      <w:r w:rsidR="002F7F48" w:rsidRPr="006259CB">
        <w:rPr>
          <w:rFonts w:eastAsia="Arial MT"/>
          <w:noProof/>
        </w:rPr>
        <w:t xml:space="preserve">chedules. </w:t>
      </w:r>
      <w:r w:rsidRPr="006259CB">
        <w:rPr>
          <w:rFonts w:eastAsia="Arial MT"/>
          <w:noProof/>
        </w:rPr>
        <w:t>Baker Street</w:t>
      </w:r>
      <w:r w:rsidR="002F7F48" w:rsidRPr="006259CB">
        <w:rPr>
          <w:rFonts w:eastAsia="Arial MT"/>
          <w:noProof/>
        </w:rPr>
        <w:t xml:space="preserve"> reserves the right to advise on any investment product deemed suitable for a </w:t>
      </w:r>
      <w:r w:rsidR="00781EFD" w:rsidRPr="006259CB">
        <w:rPr>
          <w:rFonts w:eastAsia="Arial MT"/>
          <w:noProof/>
        </w:rPr>
        <w:t>Client</w:t>
      </w:r>
      <w:r w:rsidR="0085176C" w:rsidRPr="006259CB">
        <w:rPr>
          <w:rFonts w:eastAsia="Arial MT"/>
          <w:noProof/>
        </w:rPr>
        <w:t>'</w:t>
      </w:r>
      <w:r w:rsidR="002F7F48" w:rsidRPr="006259CB">
        <w:rPr>
          <w:rFonts w:eastAsia="Arial MT"/>
          <w:noProof/>
        </w:rPr>
        <w:t xml:space="preserve">s circumstances, needs, and objectives, which may include advising on those already held in a </w:t>
      </w:r>
      <w:r w:rsidR="00781EFD" w:rsidRPr="006259CB">
        <w:rPr>
          <w:rFonts w:eastAsia="Arial MT"/>
          <w:noProof/>
        </w:rPr>
        <w:t>Client</w:t>
      </w:r>
      <w:r w:rsidR="0085176C" w:rsidRPr="006259CB">
        <w:rPr>
          <w:rFonts w:eastAsia="Arial MT"/>
          <w:noProof/>
        </w:rPr>
        <w:t>'</w:t>
      </w:r>
      <w:r w:rsidR="002F7F48" w:rsidRPr="006259CB">
        <w:rPr>
          <w:rFonts w:eastAsia="Arial MT"/>
          <w:noProof/>
        </w:rPr>
        <w:t xml:space="preserve">s portfolio at the outset of the advisory relationship. Additionally, when appropriate, we may recommend other securities to help diversify a portfolio. </w:t>
      </w:r>
      <w:r w:rsidR="002F7F48" w:rsidRPr="006259CB">
        <w:rPr>
          <w:rFonts w:eastAsia="Arial MT"/>
          <w:i/>
          <w:iCs/>
          <w:noProof/>
          <w:color w:val="595959" w:themeColor="text1" w:themeTint="A6"/>
        </w:rPr>
        <w:t>(For further information, see Item 5: Fees &amp; Compensation and Item 8:  Methods of Analysis, Investment Strategies &amp; Risk of Loss.)</w:t>
      </w:r>
    </w:p>
    <w:p w14:paraId="24F69050" w14:textId="77777777" w:rsidR="00071A83" w:rsidRPr="006259CB" w:rsidRDefault="00071A83" w:rsidP="00873720">
      <w:pPr>
        <w:rPr>
          <w:rFonts w:eastAsia="Arial MT"/>
          <w:i/>
          <w:iCs/>
          <w:noProof/>
          <w:color w:val="595959" w:themeColor="text1" w:themeTint="A6"/>
        </w:rPr>
      </w:pPr>
    </w:p>
    <w:p w14:paraId="505EC2D1" w14:textId="77777777" w:rsidR="002F7F48" w:rsidRPr="006259CB" w:rsidRDefault="002F7F48" w:rsidP="00873720">
      <w:pPr>
        <w:pStyle w:val="Paragraph"/>
        <w:rPr>
          <w:noProof/>
          <w:lang w:bidi="en-US"/>
        </w:rPr>
      </w:pPr>
      <w:bookmarkStart w:id="30" w:name="_Toc193886398"/>
      <w:r w:rsidRPr="006259CB">
        <w:rPr>
          <w:noProof/>
          <w:lang w:bidi="en-US"/>
        </w:rPr>
        <w:t>Client Imposed Restrictions</w:t>
      </w:r>
      <w:bookmarkEnd w:id="30"/>
    </w:p>
    <w:p w14:paraId="5E64B978" w14:textId="5E331D39" w:rsidR="002F7F48" w:rsidRPr="006259CB" w:rsidRDefault="002F7F48" w:rsidP="00873720">
      <w:pPr>
        <w:rPr>
          <w:rFonts w:eastAsia="Arial MT"/>
          <w:noProof/>
          <w:lang w:bidi="en-US"/>
        </w:rPr>
      </w:pPr>
      <w:r w:rsidRPr="006259CB">
        <w:rPr>
          <w:rFonts w:eastAsia="Arial MT"/>
          <w:noProof/>
        </w:rPr>
        <w:t xml:space="preserve">Clients have the right to impose restrictions on the types of securities or specific securities in which they wish to invest based on personal preferences, values, or beliefs. Such restrictions must be provided to the Adviser in writing and accepted prior to implementation. </w:t>
      </w:r>
      <w:r w:rsidRPr="006259CB">
        <w:rPr>
          <w:rFonts w:eastAsia="Arial MT"/>
          <w:noProof/>
          <w:lang w:bidi="en-US"/>
        </w:rPr>
        <w:t xml:space="preserve">Clients may modify or amend these restrictions by submitting updated written instructions. Restrictions will only take effect once formally accepted. </w:t>
      </w:r>
    </w:p>
    <w:p w14:paraId="592C1FDC" w14:textId="77777777" w:rsidR="002F7F48" w:rsidRPr="006259CB" w:rsidRDefault="002F7F48" w:rsidP="00873720">
      <w:pPr>
        <w:rPr>
          <w:rFonts w:eastAsia="Arial MT"/>
          <w:noProof/>
          <w:lang w:bidi="en-US"/>
        </w:rPr>
      </w:pPr>
    </w:p>
    <w:p w14:paraId="0CCF3103" w14:textId="3DF93B10" w:rsidR="002F7F48" w:rsidRPr="006259CB" w:rsidRDefault="007C30AF" w:rsidP="00873720">
      <w:pPr>
        <w:rPr>
          <w:rFonts w:eastAsia="Arial MT"/>
          <w:noProof/>
        </w:rPr>
      </w:pPr>
      <w:r w:rsidRPr="006259CB">
        <w:rPr>
          <w:rFonts w:eastAsia="Arial MT"/>
          <w:noProof/>
          <w:lang w:bidi="en-US"/>
        </w:rPr>
        <w:t>Baker Street</w:t>
      </w:r>
      <w:r w:rsidR="002F7F48" w:rsidRPr="006259CB">
        <w:rPr>
          <w:rFonts w:eastAsia="Arial MT"/>
          <w:noProof/>
        </w:rPr>
        <w:t xml:space="preserve"> will make reasonable efforts to adhere to </w:t>
      </w:r>
      <w:r w:rsidR="00781EFD" w:rsidRPr="006259CB">
        <w:rPr>
          <w:rFonts w:eastAsia="Arial MT"/>
          <w:noProof/>
        </w:rPr>
        <w:t>Client</w:t>
      </w:r>
      <w:r w:rsidR="002F7F48" w:rsidRPr="006259CB">
        <w:rPr>
          <w:rFonts w:eastAsia="Arial MT"/>
          <w:noProof/>
        </w:rPr>
        <w:t xml:space="preserve">-imposed investment guidelines, including any reasonable limitations consistent with standard industry practices. However, </w:t>
      </w:r>
      <w:r w:rsidR="00781EFD" w:rsidRPr="006259CB">
        <w:rPr>
          <w:rFonts w:eastAsia="Arial MT"/>
          <w:noProof/>
        </w:rPr>
        <w:t>Client</w:t>
      </w:r>
      <w:r w:rsidR="002F7F48" w:rsidRPr="006259CB">
        <w:rPr>
          <w:rFonts w:eastAsia="Arial MT"/>
          <w:noProof/>
        </w:rPr>
        <w:t xml:space="preserve">s should be aware that such restrictions may influence the performance of their accounts, potentially resulting in performance variations - both positive and negative - compared to similar accounts without such limitations. Additionally, these restrictions could hinder the achievement of a </w:t>
      </w:r>
      <w:r w:rsidR="00781EFD" w:rsidRPr="006259CB">
        <w:rPr>
          <w:rFonts w:eastAsia="Arial MT"/>
          <w:noProof/>
        </w:rPr>
        <w:t>Client</w:t>
      </w:r>
      <w:r w:rsidR="002F7F48" w:rsidRPr="006259CB">
        <w:rPr>
          <w:rFonts w:eastAsia="Arial MT"/>
          <w:noProof/>
        </w:rPr>
        <w:t xml:space="preserve">'s specific financial objectives. Upon receipt of written restrictions, </w:t>
      </w:r>
      <w:r w:rsidRPr="006259CB">
        <w:rPr>
          <w:rFonts w:eastAsia="Arial MT"/>
          <w:noProof/>
        </w:rPr>
        <w:t>Baker Street</w:t>
      </w:r>
      <w:r w:rsidR="002F7F48" w:rsidRPr="006259CB">
        <w:rPr>
          <w:rFonts w:eastAsia="Arial MT"/>
          <w:noProof/>
        </w:rPr>
        <w:t xml:space="preserve"> will assess the feasibility of the request, ensure that the </w:t>
      </w:r>
      <w:r w:rsidR="00781EFD" w:rsidRPr="006259CB">
        <w:rPr>
          <w:rFonts w:eastAsia="Arial MT"/>
          <w:noProof/>
        </w:rPr>
        <w:t>Client</w:t>
      </w:r>
      <w:r w:rsidR="0085176C" w:rsidRPr="006259CB">
        <w:rPr>
          <w:rFonts w:eastAsia="Arial MT"/>
          <w:noProof/>
        </w:rPr>
        <w:t>'</w:t>
      </w:r>
      <w:r w:rsidR="002F7F48" w:rsidRPr="006259CB">
        <w:rPr>
          <w:rFonts w:eastAsia="Arial MT"/>
          <w:noProof/>
        </w:rPr>
        <w:t xml:space="preserve">s expectations are appropriately managed, and confirm that the </w:t>
      </w:r>
      <w:r w:rsidR="00781EFD" w:rsidRPr="006259CB">
        <w:rPr>
          <w:rFonts w:eastAsia="Arial MT"/>
          <w:noProof/>
        </w:rPr>
        <w:t>Client</w:t>
      </w:r>
      <w:r w:rsidR="002F7F48" w:rsidRPr="006259CB">
        <w:rPr>
          <w:rFonts w:eastAsia="Arial MT"/>
          <w:noProof/>
        </w:rPr>
        <w:t xml:space="preserve"> understands the potential consequences of the imposed restrictions. </w:t>
      </w:r>
    </w:p>
    <w:p w14:paraId="0397FDC3" w14:textId="77777777" w:rsidR="002F7F48" w:rsidRPr="006259CB" w:rsidRDefault="002F7F48" w:rsidP="00873720">
      <w:pPr>
        <w:rPr>
          <w:rFonts w:eastAsia="Arial MT"/>
          <w:noProof/>
        </w:rPr>
      </w:pPr>
    </w:p>
    <w:p w14:paraId="6B7BE115" w14:textId="074D667E" w:rsidR="002F7F48" w:rsidRPr="006259CB" w:rsidRDefault="007C30AF" w:rsidP="00873720">
      <w:pPr>
        <w:rPr>
          <w:rFonts w:eastAsia="Arial MT"/>
          <w:noProof/>
        </w:rPr>
      </w:pPr>
      <w:r w:rsidRPr="006259CB">
        <w:rPr>
          <w:rFonts w:eastAsia="Arial MT"/>
          <w:noProof/>
        </w:rPr>
        <w:t>Baker Street</w:t>
      </w:r>
      <w:r w:rsidR="002F7F48" w:rsidRPr="006259CB">
        <w:rPr>
          <w:rFonts w:eastAsia="Arial MT"/>
          <w:noProof/>
        </w:rPr>
        <w:t xml:space="preserve"> reserves the right to reject specific restrictions or terminate the advisory relationship if such restrictions cannot be reasonably accommodated. </w:t>
      </w:r>
      <w:r w:rsidR="009C5DA6" w:rsidRPr="006259CB">
        <w:rPr>
          <w:rFonts w:eastAsia="Arial MT"/>
          <w:noProof/>
        </w:rPr>
        <w:t xml:space="preserve"> </w:t>
      </w:r>
      <w:r w:rsidR="002F7F48" w:rsidRPr="006259CB">
        <w:rPr>
          <w:rFonts w:eastAsia="Arial MT"/>
          <w:noProof/>
        </w:rPr>
        <w:t xml:space="preserve">In no event, irrespective of the advisory service provided, shall </w:t>
      </w:r>
      <w:r w:rsidRPr="006259CB">
        <w:rPr>
          <w:rFonts w:eastAsia="Arial MT"/>
          <w:noProof/>
        </w:rPr>
        <w:t>Baker Street</w:t>
      </w:r>
      <w:r w:rsidR="002F7F48" w:rsidRPr="006259CB">
        <w:rPr>
          <w:rFonts w:eastAsia="Arial MT"/>
          <w:noProof/>
        </w:rPr>
        <w:t xml:space="preserve"> be obligated to make any investment or engage in any transaction that, in its reasonable and good faith judgment, would violate any applicable federal or state law or regulation.</w:t>
      </w:r>
    </w:p>
    <w:p w14:paraId="0A76C936" w14:textId="77777777" w:rsidR="002F7F48" w:rsidRPr="006259CB" w:rsidRDefault="002F7F48" w:rsidP="00873720">
      <w:pPr>
        <w:rPr>
          <w:rFonts w:eastAsia="Arial MT"/>
          <w:noProof/>
        </w:rPr>
      </w:pPr>
    </w:p>
    <w:p w14:paraId="0A11C35C" w14:textId="77777777" w:rsidR="002F7F48" w:rsidRPr="006259CB" w:rsidRDefault="002F7F48" w:rsidP="00873720">
      <w:pPr>
        <w:pStyle w:val="Paragraph"/>
        <w:rPr>
          <w:i/>
          <w:noProof/>
          <w:lang w:bidi="en-US"/>
        </w:rPr>
      </w:pPr>
      <w:bookmarkStart w:id="31" w:name="_Toc193886399"/>
      <w:r w:rsidRPr="006259CB">
        <w:rPr>
          <w:noProof/>
          <w:lang w:bidi="en-US"/>
        </w:rPr>
        <w:t>Wrap Fee Programs</w:t>
      </w:r>
      <w:bookmarkEnd w:id="31"/>
    </w:p>
    <w:p w14:paraId="66805060" w14:textId="74EACE40" w:rsidR="002F7F48" w:rsidRPr="006259CB" w:rsidRDefault="002F7F48" w:rsidP="00873720">
      <w:pPr>
        <w:rPr>
          <w:rFonts w:eastAsia="Arial MT"/>
          <w:noProof/>
          <w:lang w:bidi="en-US"/>
        </w:rPr>
      </w:pPr>
      <w:r w:rsidRPr="006259CB">
        <w:rPr>
          <w:rFonts w:eastAsia="Arial MT"/>
          <w:noProof/>
          <w:szCs w:val="21"/>
          <w:lang w:bidi="en-US"/>
        </w:rPr>
        <w:t xml:space="preserve">A </w:t>
      </w:r>
      <w:r w:rsidRPr="006259CB">
        <w:rPr>
          <w:rFonts w:eastAsia="Arial MT"/>
          <w:noProof/>
          <w:szCs w:val="21"/>
          <w:u w:val="single" w:color="000000" w:themeColor="text1"/>
          <w:lang w:bidi="en-US"/>
        </w:rPr>
        <w:t>wrap fee program</w:t>
      </w:r>
      <w:r w:rsidRPr="006259CB">
        <w:rPr>
          <w:rFonts w:eastAsia="Arial MT"/>
          <w:noProof/>
          <w:szCs w:val="21"/>
          <w:lang w:bidi="en-US"/>
        </w:rPr>
        <w:t xml:space="preserve"> is defined as any advisory program under which a specified fee or fees not based directly upon transactions in a </w:t>
      </w:r>
      <w:r w:rsidR="00781EFD" w:rsidRPr="006259CB">
        <w:rPr>
          <w:rFonts w:eastAsia="Arial MT"/>
          <w:noProof/>
          <w:szCs w:val="21"/>
          <w:lang w:bidi="en-US"/>
        </w:rPr>
        <w:t>Client</w:t>
      </w:r>
      <w:r w:rsidRPr="006259CB">
        <w:rPr>
          <w:rFonts w:eastAsia="Arial MT"/>
          <w:noProof/>
          <w:szCs w:val="21"/>
          <w:lang w:bidi="en-US"/>
        </w:rPr>
        <w:t xml:space="preserve">'s Account are charged for investment supervisory services, which may include portfolio management or advice concerning the selection of other investment advisers and the execution of </w:t>
      </w:r>
      <w:r w:rsidR="00781EFD" w:rsidRPr="006259CB">
        <w:rPr>
          <w:rFonts w:eastAsia="Arial MT"/>
          <w:noProof/>
          <w:szCs w:val="21"/>
          <w:lang w:bidi="en-US"/>
        </w:rPr>
        <w:t>Client</w:t>
      </w:r>
      <w:r w:rsidRPr="006259CB">
        <w:rPr>
          <w:rFonts w:eastAsia="Arial MT"/>
          <w:noProof/>
          <w:szCs w:val="21"/>
          <w:lang w:bidi="en-US"/>
        </w:rPr>
        <w:t xml:space="preserve"> transactions. </w:t>
      </w:r>
      <w:r w:rsidR="007C30AF" w:rsidRPr="006259CB">
        <w:rPr>
          <w:rFonts w:eastAsia="Arial MT"/>
          <w:noProof/>
          <w:szCs w:val="21"/>
          <w:lang w:bidi="en-US"/>
        </w:rPr>
        <w:t>Baker Street</w:t>
      </w:r>
      <w:r w:rsidRPr="006259CB">
        <w:rPr>
          <w:rFonts w:eastAsia="Arial MT"/>
          <w:noProof/>
          <w:szCs w:val="21"/>
          <w:lang w:bidi="en-US"/>
        </w:rPr>
        <w:t xml:space="preserve"> </w:t>
      </w:r>
      <w:r w:rsidRPr="006259CB">
        <w:rPr>
          <w:rFonts w:eastAsia="Arial MT"/>
          <w:noProof/>
          <w:lang w:bidi="en-US"/>
        </w:rPr>
        <w:t>does not offer a wrap fee program as part of its advisory services.</w:t>
      </w:r>
    </w:p>
    <w:p w14:paraId="21381A9E" w14:textId="77777777" w:rsidR="00290987" w:rsidRPr="006259CB" w:rsidRDefault="00290987" w:rsidP="00873720">
      <w:pPr>
        <w:rPr>
          <w:rFonts w:eastAsia="Arial MT"/>
          <w:noProof/>
          <w:lang w:bidi="en-US"/>
        </w:rPr>
      </w:pPr>
    </w:p>
    <w:p w14:paraId="09394900" w14:textId="5A34D5C4" w:rsidR="00884E68" w:rsidRPr="000A3564" w:rsidRDefault="00884E68" w:rsidP="00873720">
      <w:pPr>
        <w:pStyle w:val="Paragraph"/>
      </w:pPr>
      <w:r w:rsidRPr="000A3564">
        <w:t>Assets Under Management</w:t>
      </w:r>
    </w:p>
    <w:p w14:paraId="0866A8F2" w14:textId="1BB146DB" w:rsidR="00081464" w:rsidRPr="000A3564" w:rsidRDefault="35B35630" w:rsidP="00873720">
      <w:r w:rsidRPr="21FD5452">
        <w:rPr>
          <w:rFonts w:eastAsia="Calibri"/>
          <w:noProof/>
        </w:rPr>
        <w:t xml:space="preserve">As of </w:t>
      </w:r>
      <w:r w:rsidR="58DCBA86" w:rsidRPr="21FD5452">
        <w:rPr>
          <w:rFonts w:eastAsia="Calibri"/>
          <w:noProof/>
        </w:rPr>
        <w:t>December 31, 2025</w:t>
      </w:r>
      <w:r w:rsidRPr="21FD5452">
        <w:rPr>
          <w:rFonts w:eastAsia="Calibri"/>
          <w:noProof/>
        </w:rPr>
        <w:t>, Baker Street's assets under continuous management total</w:t>
      </w:r>
      <w:r w:rsidR="464F1FE2" w:rsidRPr="21FD5452">
        <w:rPr>
          <w:rFonts w:eastAsia="Calibri"/>
          <w:noProof/>
        </w:rPr>
        <w:t>ed</w:t>
      </w:r>
      <w:r w:rsidRPr="21FD5452">
        <w:rPr>
          <w:rFonts w:eastAsia="Calibri"/>
          <w:noProof/>
        </w:rPr>
        <w:t xml:space="preserve"> $</w:t>
      </w:r>
      <w:r w:rsidR="7E7A2CCB">
        <w:t>20</w:t>
      </w:r>
      <w:r w:rsidR="03147200">
        <w:t>.</w:t>
      </w:r>
      <w:r w:rsidR="00696617">
        <w:t>77</w:t>
      </w:r>
      <w:r w:rsidR="03147200">
        <w:t xml:space="preserve"> billion on behalf of </w:t>
      </w:r>
      <w:r w:rsidR="464F1FE2">
        <w:t xml:space="preserve">approximately </w:t>
      </w:r>
      <w:r w:rsidR="03147200">
        <w:t>5</w:t>
      </w:r>
      <w:r w:rsidR="5FC1DA8B">
        <w:t>40</w:t>
      </w:r>
      <w:r w:rsidR="03147200">
        <w:t xml:space="preserve"> </w:t>
      </w:r>
      <w:r w:rsidR="4F90CF74">
        <w:t>Client</w:t>
      </w:r>
      <w:r w:rsidR="03147200">
        <w:t>s. T</w:t>
      </w:r>
      <w:r w:rsidRPr="21FD5452">
        <w:rPr>
          <w:rFonts w:eastAsia="Calibri"/>
          <w:noProof/>
        </w:rPr>
        <w:t xml:space="preserve">he following represents </w:t>
      </w:r>
      <w:r w:rsidR="4F90CF74" w:rsidRPr="21FD5452">
        <w:rPr>
          <w:rFonts w:eastAsia="Calibri"/>
          <w:noProof/>
        </w:rPr>
        <w:t>Client</w:t>
      </w:r>
      <w:r w:rsidRPr="21FD5452">
        <w:rPr>
          <w:rFonts w:eastAsia="Calibri"/>
          <w:noProof/>
        </w:rPr>
        <w:t xml:space="preserve"> assets under management by account type: </w:t>
      </w:r>
    </w:p>
    <w:p w14:paraId="656BF5A6" w14:textId="77777777" w:rsidR="00081464" w:rsidRPr="000A3564" w:rsidRDefault="00081464" w:rsidP="00873720">
      <w:pPr>
        <w:ind w:left="360" w:right="270"/>
        <w:rPr>
          <w:rFonts w:eastAsia="Calibri"/>
          <w:noProof/>
        </w:rPr>
      </w:pPr>
    </w:p>
    <w:tbl>
      <w:tblPr>
        <w:tblW w:w="5487" w:type="dxa"/>
        <w:jc w:val="center"/>
        <w:tblBorders>
          <w:top w:val="single" w:sz="2" w:space="0" w:color="6586A4"/>
          <w:left w:val="single" w:sz="2" w:space="0" w:color="6586A4"/>
          <w:bottom w:val="single" w:sz="2" w:space="0" w:color="6586A4"/>
          <w:right w:val="single" w:sz="2" w:space="0" w:color="6586A4"/>
          <w:insideH w:val="single" w:sz="2" w:space="0" w:color="6586A4"/>
          <w:insideV w:val="single" w:sz="2" w:space="0" w:color="6586A4"/>
        </w:tblBorders>
        <w:tblCellMar>
          <w:left w:w="0" w:type="dxa"/>
          <w:right w:w="0" w:type="dxa"/>
        </w:tblCellMar>
        <w:tblLook w:val="04A0" w:firstRow="1" w:lastRow="0" w:firstColumn="1" w:lastColumn="0" w:noHBand="0" w:noVBand="1"/>
      </w:tblPr>
      <w:tblGrid>
        <w:gridCol w:w="2580"/>
        <w:gridCol w:w="2907"/>
      </w:tblGrid>
      <w:tr w:rsidR="00081464" w:rsidRPr="000A3564" w14:paraId="337A9E45" w14:textId="77777777" w:rsidTr="00103505">
        <w:trPr>
          <w:trHeight w:val="360"/>
          <w:jc w:val="center"/>
        </w:trPr>
        <w:tc>
          <w:tcPr>
            <w:tcW w:w="2580" w:type="dxa"/>
            <w:shd w:val="clear" w:color="auto" w:fill="F2F2F2" w:themeFill="background1" w:themeFillShade="F2"/>
            <w:tcMar>
              <w:top w:w="0" w:type="dxa"/>
              <w:left w:w="108" w:type="dxa"/>
              <w:bottom w:w="0" w:type="dxa"/>
              <w:right w:w="108" w:type="dxa"/>
            </w:tcMar>
            <w:vAlign w:val="center"/>
            <w:hideMark/>
          </w:tcPr>
          <w:p w14:paraId="79BBC1CF" w14:textId="77777777" w:rsidR="00081464" w:rsidRPr="000A3564" w:rsidRDefault="00081464" w:rsidP="0094676D">
            <w:pPr>
              <w:ind w:left="360" w:right="270"/>
              <w:jc w:val="center"/>
              <w:rPr>
                <w:color w:val="6586A4"/>
              </w:rPr>
            </w:pPr>
            <w:r w:rsidRPr="000A3564">
              <w:rPr>
                <w:color w:val="6586A4"/>
              </w:rPr>
              <w:t>Account Type</w:t>
            </w:r>
          </w:p>
        </w:tc>
        <w:tc>
          <w:tcPr>
            <w:tcW w:w="2907" w:type="dxa"/>
            <w:shd w:val="clear" w:color="auto" w:fill="F2F2F2" w:themeFill="background1" w:themeFillShade="F2"/>
            <w:tcMar>
              <w:top w:w="0" w:type="dxa"/>
              <w:left w:w="108" w:type="dxa"/>
              <w:bottom w:w="0" w:type="dxa"/>
              <w:right w:w="108" w:type="dxa"/>
            </w:tcMar>
            <w:vAlign w:val="center"/>
            <w:hideMark/>
          </w:tcPr>
          <w:p w14:paraId="3307209B" w14:textId="77777777" w:rsidR="00081464" w:rsidRPr="000A3564" w:rsidRDefault="00081464" w:rsidP="0094676D">
            <w:pPr>
              <w:ind w:right="-102"/>
              <w:jc w:val="center"/>
              <w:rPr>
                <w:color w:val="6586A4"/>
              </w:rPr>
            </w:pPr>
            <w:r w:rsidRPr="000A3564">
              <w:rPr>
                <w:color w:val="6586A4"/>
              </w:rPr>
              <w:t>Assets Under Management</w:t>
            </w:r>
          </w:p>
        </w:tc>
      </w:tr>
      <w:tr w:rsidR="00081464" w:rsidRPr="000A3564" w14:paraId="3496F523" w14:textId="77777777" w:rsidTr="00103505">
        <w:trPr>
          <w:trHeight w:val="259"/>
          <w:jc w:val="center"/>
        </w:trPr>
        <w:tc>
          <w:tcPr>
            <w:tcW w:w="2580" w:type="dxa"/>
            <w:tcMar>
              <w:top w:w="0" w:type="dxa"/>
              <w:left w:w="108" w:type="dxa"/>
              <w:bottom w:w="0" w:type="dxa"/>
              <w:right w:w="108" w:type="dxa"/>
            </w:tcMar>
            <w:vAlign w:val="center"/>
            <w:hideMark/>
          </w:tcPr>
          <w:p w14:paraId="02168D3E" w14:textId="77777777" w:rsidR="00081464" w:rsidRPr="000A3564" w:rsidRDefault="00081464" w:rsidP="0094676D">
            <w:pPr>
              <w:ind w:left="360" w:right="270"/>
              <w:jc w:val="center"/>
            </w:pPr>
            <w:r w:rsidRPr="000A3564">
              <w:t>Discretionary</w:t>
            </w:r>
          </w:p>
        </w:tc>
        <w:tc>
          <w:tcPr>
            <w:tcW w:w="2907" w:type="dxa"/>
            <w:tcMar>
              <w:top w:w="0" w:type="dxa"/>
              <w:left w:w="108" w:type="dxa"/>
              <w:bottom w:w="0" w:type="dxa"/>
              <w:right w:w="108" w:type="dxa"/>
            </w:tcMar>
            <w:vAlign w:val="center"/>
            <w:hideMark/>
          </w:tcPr>
          <w:p w14:paraId="363544A3" w14:textId="3C995EB8" w:rsidR="00081464" w:rsidRPr="000A3564" w:rsidRDefault="00081464" w:rsidP="00873720">
            <w:pPr>
              <w:ind w:right="-12"/>
            </w:pPr>
            <w:r>
              <w:t xml:space="preserve">          $</w:t>
            </w:r>
            <w:r w:rsidR="6696D099">
              <w:t>20</w:t>
            </w:r>
            <w:r>
              <w:t>,</w:t>
            </w:r>
            <w:r w:rsidR="00696617">
              <w:t>77</w:t>
            </w:r>
            <w:r>
              <w:t>0,000,000</w:t>
            </w:r>
          </w:p>
        </w:tc>
      </w:tr>
      <w:tr w:rsidR="00081464" w:rsidRPr="000A3564" w14:paraId="1FB14F4A" w14:textId="77777777" w:rsidTr="00103505">
        <w:trPr>
          <w:trHeight w:val="259"/>
          <w:jc w:val="center"/>
        </w:trPr>
        <w:tc>
          <w:tcPr>
            <w:tcW w:w="2580" w:type="dxa"/>
            <w:tcMar>
              <w:top w:w="0" w:type="dxa"/>
              <w:left w:w="108" w:type="dxa"/>
              <w:bottom w:w="0" w:type="dxa"/>
              <w:right w:w="108" w:type="dxa"/>
            </w:tcMar>
            <w:vAlign w:val="center"/>
            <w:hideMark/>
          </w:tcPr>
          <w:p w14:paraId="1E471AFB" w14:textId="62D39634" w:rsidR="00081464" w:rsidRPr="000A3564" w:rsidRDefault="35B35630" w:rsidP="0094676D">
            <w:pPr>
              <w:ind w:left="360" w:right="270"/>
              <w:jc w:val="center"/>
            </w:pPr>
            <w:r>
              <w:t>Non</w:t>
            </w:r>
            <w:r w:rsidR="0402413E">
              <w:t>-</w:t>
            </w:r>
            <w:r>
              <w:t>Discretionary</w:t>
            </w:r>
          </w:p>
        </w:tc>
        <w:tc>
          <w:tcPr>
            <w:tcW w:w="2907" w:type="dxa"/>
            <w:tcMar>
              <w:top w:w="0" w:type="dxa"/>
              <w:left w:w="108" w:type="dxa"/>
              <w:bottom w:w="0" w:type="dxa"/>
              <w:right w:w="108" w:type="dxa"/>
            </w:tcMar>
            <w:vAlign w:val="center"/>
          </w:tcPr>
          <w:p w14:paraId="28E2CBCD" w14:textId="77777777" w:rsidR="00081464" w:rsidRPr="000A3564" w:rsidRDefault="00081464" w:rsidP="00873720">
            <w:pPr>
              <w:ind w:right="-12"/>
            </w:pPr>
            <w:r w:rsidRPr="000A3564">
              <w:t xml:space="preserve">          $           0</w:t>
            </w:r>
          </w:p>
        </w:tc>
      </w:tr>
      <w:tr w:rsidR="00081464" w:rsidRPr="006259CB" w14:paraId="680DDCD6" w14:textId="77777777" w:rsidTr="00103505">
        <w:trPr>
          <w:trHeight w:val="259"/>
          <w:jc w:val="center"/>
        </w:trPr>
        <w:tc>
          <w:tcPr>
            <w:tcW w:w="2580" w:type="dxa"/>
            <w:tcMar>
              <w:top w:w="0" w:type="dxa"/>
              <w:left w:w="108" w:type="dxa"/>
              <w:bottom w:w="0" w:type="dxa"/>
              <w:right w:w="108" w:type="dxa"/>
            </w:tcMar>
            <w:vAlign w:val="center"/>
            <w:hideMark/>
          </w:tcPr>
          <w:p w14:paraId="703B9F39" w14:textId="77777777" w:rsidR="00081464" w:rsidRPr="000A3564" w:rsidRDefault="00081464" w:rsidP="0094676D">
            <w:pPr>
              <w:ind w:left="360" w:right="270"/>
              <w:jc w:val="center"/>
            </w:pPr>
            <w:r w:rsidRPr="000A3564">
              <w:t>Total</w:t>
            </w:r>
          </w:p>
        </w:tc>
        <w:tc>
          <w:tcPr>
            <w:tcW w:w="2907" w:type="dxa"/>
            <w:tcMar>
              <w:top w:w="0" w:type="dxa"/>
              <w:left w:w="108" w:type="dxa"/>
              <w:bottom w:w="0" w:type="dxa"/>
              <w:right w:w="108" w:type="dxa"/>
            </w:tcMar>
            <w:vAlign w:val="center"/>
            <w:hideMark/>
          </w:tcPr>
          <w:p w14:paraId="3A5849A4" w14:textId="44278A8C" w:rsidR="00081464" w:rsidRPr="006259CB" w:rsidRDefault="00081464" w:rsidP="00873720">
            <w:pPr>
              <w:ind w:right="-12"/>
            </w:pPr>
            <w:r>
              <w:t xml:space="preserve">          $</w:t>
            </w:r>
            <w:r w:rsidR="6696D099">
              <w:t>20</w:t>
            </w:r>
            <w:r>
              <w:t>,</w:t>
            </w:r>
            <w:r w:rsidR="00696617">
              <w:t>77</w:t>
            </w:r>
            <w:r>
              <w:t>0,000,000</w:t>
            </w:r>
          </w:p>
        </w:tc>
      </w:tr>
    </w:tbl>
    <w:p w14:paraId="51198C43" w14:textId="77777777" w:rsidR="00D7795F" w:rsidRPr="006259CB" w:rsidRDefault="00D7795F" w:rsidP="00873720">
      <w:pPr>
        <w:pStyle w:val="Item"/>
      </w:pPr>
      <w:bookmarkStart w:id="32" w:name="_Toc270409647"/>
    </w:p>
    <w:p w14:paraId="34CA2FAB" w14:textId="0BC9A05B" w:rsidR="000E607A" w:rsidRPr="006259CB" w:rsidRDefault="3BC04BE2" w:rsidP="00873720">
      <w:pPr>
        <w:pStyle w:val="Item"/>
      </w:pPr>
      <w:bookmarkStart w:id="33" w:name="_Toc225322717"/>
      <w:r>
        <w:t>Item 5:  Fees &amp; Compensation</w:t>
      </w:r>
      <w:bookmarkEnd w:id="33"/>
    </w:p>
    <w:bookmarkEnd w:id="32"/>
    <w:p w14:paraId="00324E09" w14:textId="08B4CB36" w:rsidR="00961C2B" w:rsidRPr="006259CB" w:rsidRDefault="00961C2B" w:rsidP="0094676D">
      <w:pPr>
        <w:spacing w:after="60"/>
        <w:rPr>
          <w:b/>
          <w:color w:val="6586A4"/>
        </w:rPr>
      </w:pPr>
      <w:r w:rsidRPr="006259CB">
        <w:rPr>
          <w:color w:val="6586A4"/>
        </w:rPr>
        <w:t>________________________________________________________</w:t>
      </w:r>
      <w:r w:rsidR="003326E3" w:rsidRPr="006259CB">
        <w:rPr>
          <w:color w:val="6586A4"/>
        </w:rPr>
        <w:t>_____</w:t>
      </w:r>
      <w:r w:rsidRPr="006259CB">
        <w:rPr>
          <w:color w:val="6586A4"/>
        </w:rPr>
        <w:t>_____________________________</w:t>
      </w:r>
    </w:p>
    <w:p w14:paraId="2B215521" w14:textId="77777777" w:rsidR="00E43DB3" w:rsidRPr="006259CB" w:rsidRDefault="00E43DB3" w:rsidP="00873720">
      <w:pPr>
        <w:pStyle w:val="Paragraph"/>
        <w:rPr>
          <w:lang w:bidi="en-US"/>
        </w:rPr>
      </w:pPr>
      <w:bookmarkStart w:id="34" w:name="_Toc193886402"/>
      <w:r w:rsidRPr="006259CB">
        <w:t xml:space="preserve">Adviser Fee Structure &amp; Compensation </w:t>
      </w:r>
      <w:r w:rsidRPr="006259CB">
        <w:rPr>
          <w:lang w:bidi="en-US"/>
        </w:rPr>
        <w:t>Overview</w:t>
      </w:r>
      <w:bookmarkEnd w:id="34"/>
    </w:p>
    <w:p w14:paraId="0D4C53EE" w14:textId="27AB8D9F" w:rsidR="008E5946" w:rsidRPr="006259CB" w:rsidRDefault="00E43DB3" w:rsidP="00873720">
      <w:pPr>
        <w:rPr>
          <w:rFonts w:eastAsia="Arial MT"/>
          <w:color w:val="010101"/>
        </w:rPr>
      </w:pPr>
      <w:r w:rsidRPr="332DA7C8">
        <w:rPr>
          <w:rFonts w:eastAsia="Arial MT"/>
          <w:color w:val="010101"/>
        </w:rPr>
        <w:t xml:space="preserve">Advisory </w:t>
      </w:r>
      <w:r w:rsidR="00781EFD" w:rsidRPr="332DA7C8">
        <w:rPr>
          <w:rFonts w:eastAsia="Arial MT"/>
          <w:color w:val="010101"/>
        </w:rPr>
        <w:t>Client</w:t>
      </w:r>
      <w:r w:rsidRPr="332DA7C8">
        <w:rPr>
          <w:rFonts w:eastAsia="Arial MT"/>
          <w:color w:val="010101"/>
        </w:rPr>
        <w:t xml:space="preserve">s agree to pay either a recurring, </w:t>
      </w:r>
      <w:r w:rsidRPr="332DA7C8">
        <w:rPr>
          <w:rFonts w:eastAsia="Arial MT"/>
          <w:color w:val="010101"/>
          <w:u w:val="single"/>
        </w:rPr>
        <w:t>asset-based advisory fee</w:t>
      </w:r>
      <w:r w:rsidRPr="332DA7C8">
        <w:rPr>
          <w:rFonts w:eastAsia="Arial MT"/>
          <w:color w:val="010101"/>
        </w:rPr>
        <w:t xml:space="preserve"> based on assets under management (</w:t>
      </w:r>
      <w:r w:rsidR="00626529" w:rsidRPr="332DA7C8">
        <w:rPr>
          <w:rFonts w:eastAsia="Arial MT"/>
          <w:color w:val="010101"/>
        </w:rPr>
        <w:t>"</w:t>
      </w:r>
      <w:r w:rsidRPr="332DA7C8">
        <w:rPr>
          <w:rFonts w:eastAsia="Arial MT"/>
          <w:color w:val="010101"/>
        </w:rPr>
        <w:t>AUM</w:t>
      </w:r>
      <w:r w:rsidR="00626529" w:rsidRPr="332DA7C8">
        <w:rPr>
          <w:rFonts w:eastAsia="Arial MT"/>
          <w:color w:val="010101"/>
        </w:rPr>
        <w:t>"</w:t>
      </w:r>
      <w:r w:rsidRPr="332DA7C8">
        <w:rPr>
          <w:rFonts w:eastAsia="Arial MT"/>
          <w:color w:val="010101"/>
        </w:rPr>
        <w:t xml:space="preserve">) or a </w:t>
      </w:r>
      <w:r w:rsidRPr="332DA7C8">
        <w:rPr>
          <w:rFonts w:eastAsia="Arial MT"/>
          <w:color w:val="010101"/>
          <w:u w:val="single"/>
        </w:rPr>
        <w:t>flat fixed</w:t>
      </w:r>
      <w:r w:rsidRPr="332DA7C8">
        <w:rPr>
          <w:rFonts w:eastAsia="Arial MT"/>
          <w:color w:val="010101"/>
        </w:rPr>
        <w:t xml:space="preserve">, </w:t>
      </w:r>
      <w:r w:rsidRPr="332DA7C8">
        <w:rPr>
          <w:rFonts w:eastAsia="Arial MT"/>
          <w:color w:val="010101"/>
          <w:u w:val="single"/>
        </w:rPr>
        <w:t>one-time</w:t>
      </w:r>
      <w:r w:rsidRPr="332DA7C8">
        <w:rPr>
          <w:rFonts w:eastAsia="Arial MT"/>
          <w:color w:val="010101"/>
        </w:rPr>
        <w:t xml:space="preserve"> or </w:t>
      </w:r>
      <w:r w:rsidRPr="332DA7C8">
        <w:rPr>
          <w:rFonts w:eastAsia="Arial MT"/>
          <w:color w:val="010101"/>
          <w:u w:val="single"/>
        </w:rPr>
        <w:t>hourly fee</w:t>
      </w:r>
      <w:r w:rsidRPr="332DA7C8">
        <w:rPr>
          <w:rFonts w:eastAsia="Arial MT"/>
          <w:color w:val="010101"/>
        </w:rPr>
        <w:t xml:space="preserve"> arrangement depending on the advisory services selected, calculated and billed according to the </w:t>
      </w:r>
      <w:r w:rsidR="008E5946" w:rsidRPr="332DA7C8">
        <w:rPr>
          <w:rFonts w:eastAsia="Arial MT"/>
          <w:color w:val="010101"/>
        </w:rPr>
        <w:t>Fee Schedules</w:t>
      </w:r>
      <w:r w:rsidRPr="332DA7C8">
        <w:rPr>
          <w:rFonts w:eastAsia="Arial MT"/>
          <w:color w:val="010101"/>
        </w:rPr>
        <w:t xml:space="preserve"> reflected herein, with any applicable refunds addressed as specified in the </w:t>
      </w:r>
      <w:r w:rsidR="00781EFD" w:rsidRPr="332DA7C8">
        <w:rPr>
          <w:rFonts w:eastAsia="Arial MT"/>
          <w:color w:val="010101"/>
        </w:rPr>
        <w:t>Client</w:t>
      </w:r>
      <w:r w:rsidR="00626529" w:rsidRPr="332DA7C8">
        <w:rPr>
          <w:rFonts w:eastAsia="Arial MT"/>
          <w:color w:val="010101"/>
        </w:rPr>
        <w:t>'</w:t>
      </w:r>
      <w:r w:rsidRPr="332DA7C8">
        <w:rPr>
          <w:rFonts w:eastAsia="Arial MT"/>
          <w:color w:val="010101"/>
        </w:rPr>
        <w:t>s finalized written and executed Advisory Agreement.</w:t>
      </w:r>
    </w:p>
    <w:p w14:paraId="0EB72241" w14:textId="77777777" w:rsidR="00A30981" w:rsidRPr="006259CB" w:rsidRDefault="00A30981" w:rsidP="00873720">
      <w:pPr>
        <w:rPr>
          <w:rFonts w:eastAsia="Arial MT"/>
          <w:color w:val="010101"/>
        </w:rPr>
      </w:pPr>
    </w:p>
    <w:p w14:paraId="6945477B" w14:textId="16A17DC2" w:rsidR="00A30981" w:rsidRPr="006259CB" w:rsidRDefault="00A30981" w:rsidP="00873720">
      <w:pPr>
        <w:rPr>
          <w:rFonts w:eastAsia="Arial MT"/>
          <w:color w:val="010101"/>
        </w:rPr>
      </w:pPr>
      <w:r w:rsidRPr="000A3564">
        <w:rPr>
          <w:rFonts w:eastAsia="Arial MT"/>
          <w:color w:val="010101"/>
        </w:rPr>
        <w:t xml:space="preserve">All fees, billing methods, and refund policies are fully disclosed prior to entering into any </w:t>
      </w:r>
      <w:r w:rsidR="004D37BF" w:rsidRPr="000A3564">
        <w:rPr>
          <w:rFonts w:eastAsia="Arial MT"/>
          <w:color w:val="010101"/>
        </w:rPr>
        <w:t>Advisory Agreement</w:t>
      </w:r>
      <w:r w:rsidRPr="000A3564">
        <w:rPr>
          <w:rFonts w:eastAsia="Arial MT"/>
          <w:color w:val="010101"/>
        </w:rPr>
        <w:t>.</w:t>
      </w:r>
    </w:p>
    <w:p w14:paraId="7C7954FC" w14:textId="77777777" w:rsidR="00576595" w:rsidRPr="006259CB" w:rsidRDefault="00576595" w:rsidP="00873720">
      <w:pPr>
        <w:rPr>
          <w:rFonts w:eastAsia="Arial MT"/>
          <w:color w:val="010101"/>
        </w:rPr>
      </w:pPr>
    </w:p>
    <w:p w14:paraId="0D6301D8" w14:textId="77777777" w:rsidR="00576595" w:rsidRPr="006259CB" w:rsidRDefault="00576595" w:rsidP="00873720">
      <w:pPr>
        <w:pStyle w:val="Paragraph"/>
      </w:pPr>
      <w:bookmarkStart w:id="35" w:name="_Toc193886404"/>
      <w:r w:rsidRPr="006259CB">
        <w:t>Fee Negotiation Availability</w:t>
      </w:r>
      <w:bookmarkEnd w:id="35"/>
    </w:p>
    <w:p w14:paraId="0F5A5282" w14:textId="77777777" w:rsidR="00394A1B" w:rsidRPr="006259CB" w:rsidRDefault="005322B6" w:rsidP="00873720">
      <w:r w:rsidRPr="006259CB">
        <w:t xml:space="preserve">Advisory fees are negotiable up to the maximum annual rates specified in the </w:t>
      </w:r>
      <w:r w:rsidR="00781EFD" w:rsidRPr="006259CB">
        <w:t>Client</w:t>
      </w:r>
      <w:r w:rsidRPr="006259CB">
        <w:t xml:space="preserve">'s written </w:t>
      </w:r>
      <w:r w:rsidR="00424E89" w:rsidRPr="006259CB">
        <w:t>A</w:t>
      </w:r>
      <w:r w:rsidRPr="006259CB">
        <w:t xml:space="preserve">greement, subject to approval by Baker Street. The Adviser reserves the right to adjust fees based on factors such as the </w:t>
      </w:r>
      <w:r w:rsidR="00781EFD" w:rsidRPr="006259CB">
        <w:t>Client</w:t>
      </w:r>
      <w:r w:rsidRPr="006259CB">
        <w:t xml:space="preserve">'s relationship with us, assets under management, account composition, the complexity of their situation, and anticipated future earning capacity. </w:t>
      </w:r>
    </w:p>
    <w:p w14:paraId="26F8A4E0" w14:textId="77777777" w:rsidR="00394A1B" w:rsidRPr="006259CB" w:rsidRDefault="00394A1B" w:rsidP="00873720"/>
    <w:p w14:paraId="49D4691F" w14:textId="171BF7A8" w:rsidR="00394A1B" w:rsidRPr="006259CB" w:rsidRDefault="005322B6" w:rsidP="00873720">
      <w:r w:rsidRPr="006259CB">
        <w:t xml:space="preserve">Fees may also be negotiated for </w:t>
      </w:r>
      <w:r w:rsidR="00781EFD" w:rsidRPr="006259CB">
        <w:t>Client</w:t>
      </w:r>
      <w:r w:rsidRPr="006259CB">
        <w:t>s requiring specialized investment services or for family members of advis</w:t>
      </w:r>
      <w:r w:rsidR="00703439" w:rsidRPr="006259CB">
        <w:t>e</w:t>
      </w:r>
      <w:r w:rsidRPr="006259CB">
        <w:t xml:space="preserve">r employees. In some cases, accounts held by the </w:t>
      </w:r>
      <w:r w:rsidR="00781EFD" w:rsidRPr="006259CB">
        <w:t>Client</w:t>
      </w:r>
      <w:r w:rsidRPr="006259CB">
        <w:t>, family members, or related parties may be aggregated for fee calculation purposes.</w:t>
      </w:r>
      <w:r w:rsidR="009D69C1" w:rsidRPr="006259CB">
        <w:t xml:space="preserve"> </w:t>
      </w:r>
    </w:p>
    <w:p w14:paraId="2A99BF39" w14:textId="77777777" w:rsidR="00394A1B" w:rsidRPr="006259CB" w:rsidRDefault="00394A1B" w:rsidP="00873720"/>
    <w:p w14:paraId="23DE6E5C" w14:textId="74D1AAFE" w:rsidR="00071A83" w:rsidRPr="006259CB" w:rsidRDefault="007E6AF5" w:rsidP="00873720">
      <w:pPr>
        <w:rPr>
          <w:rFonts w:eastAsia="Arial Narrow"/>
        </w:rPr>
      </w:pPr>
      <w:r w:rsidRPr="006259CB">
        <w:rPr>
          <w:rFonts w:eastAsia="Arial Narrow"/>
        </w:rPr>
        <w:t xml:space="preserve">While we seek to facilitate advantageous </w:t>
      </w:r>
      <w:r w:rsidR="00394A1B" w:rsidRPr="006259CB">
        <w:rPr>
          <w:rFonts w:eastAsia="Arial Narrow"/>
        </w:rPr>
        <w:t>Agreement</w:t>
      </w:r>
      <w:r w:rsidRPr="006259CB">
        <w:rPr>
          <w:rFonts w:eastAsia="Arial Narrow"/>
        </w:rPr>
        <w:t xml:space="preserve">s for </w:t>
      </w:r>
      <w:r w:rsidR="00781EFD" w:rsidRPr="006259CB">
        <w:rPr>
          <w:rFonts w:eastAsia="Arial Narrow"/>
        </w:rPr>
        <w:t>Client</w:t>
      </w:r>
      <w:r w:rsidRPr="006259CB">
        <w:rPr>
          <w:rFonts w:eastAsia="Arial Narrow"/>
        </w:rPr>
        <w:t xml:space="preserve">s, to the extent fees are negotiable, some </w:t>
      </w:r>
      <w:r w:rsidR="00781EFD" w:rsidRPr="006259CB">
        <w:rPr>
          <w:rFonts w:eastAsia="Arial Narrow"/>
        </w:rPr>
        <w:t>Client</w:t>
      </w:r>
      <w:r w:rsidRPr="006259CB">
        <w:rPr>
          <w:rFonts w:eastAsia="Arial Narrow"/>
        </w:rPr>
        <w:t xml:space="preserve">s can pay higher (more) or lower (less) fees than other </w:t>
      </w:r>
      <w:r w:rsidR="00781EFD" w:rsidRPr="006259CB">
        <w:rPr>
          <w:rFonts w:eastAsia="Arial Narrow"/>
        </w:rPr>
        <w:t>Client</w:t>
      </w:r>
      <w:r w:rsidRPr="006259CB">
        <w:rPr>
          <w:rFonts w:eastAsia="Arial Narrow"/>
        </w:rPr>
        <w:t xml:space="preserve">s for services than if they had contracted directly with another provider. Lower fees for comparable services can sometimes be available from </w:t>
      </w:r>
      <w:r w:rsidR="00290987" w:rsidRPr="006259CB">
        <w:rPr>
          <w:rFonts w:eastAsia="Arial Narrow"/>
        </w:rPr>
        <w:t>different</w:t>
      </w:r>
      <w:r w:rsidRPr="006259CB">
        <w:rPr>
          <w:rFonts w:eastAsia="Arial Narrow"/>
        </w:rPr>
        <w:t xml:space="preserve"> sources. </w:t>
      </w:r>
    </w:p>
    <w:p w14:paraId="57669853" w14:textId="77777777" w:rsidR="00071A83" w:rsidRPr="006259CB" w:rsidRDefault="00071A83" w:rsidP="00873720">
      <w:pPr>
        <w:rPr>
          <w:rFonts w:eastAsia="Arial Narrow"/>
        </w:rPr>
      </w:pPr>
    </w:p>
    <w:p w14:paraId="5DBC8F52" w14:textId="273C827C" w:rsidR="005322B6" w:rsidRPr="006259CB" w:rsidRDefault="005322B6" w:rsidP="00873720">
      <w:r w:rsidRPr="006259CB">
        <w:t xml:space="preserve">Clients are responsible for any tax liabilities arising from transactions. </w:t>
      </w:r>
    </w:p>
    <w:p w14:paraId="1E2E32B7" w14:textId="77777777" w:rsidR="00576595" w:rsidRPr="006259CB" w:rsidRDefault="00576595" w:rsidP="00873720">
      <w:pPr>
        <w:rPr>
          <w:rFonts w:eastAsia="Arial Narrow"/>
          <w:color w:val="auto"/>
        </w:rPr>
      </w:pPr>
    </w:p>
    <w:p w14:paraId="6D5C66E0" w14:textId="00D1B4C9" w:rsidR="00576595" w:rsidRPr="006259CB" w:rsidRDefault="00576595" w:rsidP="00150E42">
      <w:pPr>
        <w:ind w:left="360" w:right="360"/>
        <w:jc w:val="center"/>
        <w:rPr>
          <w:rFonts w:eastAsia="Arial Narrow"/>
          <w:i/>
        </w:rPr>
      </w:pPr>
      <w:r w:rsidRPr="006259CB">
        <w:rPr>
          <w:rFonts w:eastAsia="Arial Narrow"/>
          <w:i/>
        </w:rPr>
        <w:t xml:space="preserve">Regardless of fee negotiation availability, under no circumstances will a </w:t>
      </w:r>
      <w:r w:rsidR="00781EFD" w:rsidRPr="006259CB">
        <w:rPr>
          <w:rFonts w:eastAsia="Arial Narrow"/>
          <w:i/>
        </w:rPr>
        <w:t>Client</w:t>
      </w:r>
      <w:r w:rsidRPr="006259CB">
        <w:rPr>
          <w:rFonts w:eastAsia="Arial Narrow"/>
          <w:i/>
        </w:rPr>
        <w:t xml:space="preserve"> be required to pre-pay </w:t>
      </w:r>
      <w:r w:rsidR="00626529" w:rsidRPr="006259CB">
        <w:rPr>
          <w:rFonts w:eastAsia="Arial Narrow"/>
          <w:i/>
        </w:rPr>
        <w:t xml:space="preserve">any </w:t>
      </w:r>
      <w:r w:rsidRPr="006259CB">
        <w:rPr>
          <w:rFonts w:eastAsia="Arial Narrow"/>
          <w:i/>
        </w:rPr>
        <w:t>advisory fee more than six months in advance in excess of $1,200.</w:t>
      </w:r>
    </w:p>
    <w:p w14:paraId="6762F240" w14:textId="77777777" w:rsidR="007D04AD" w:rsidRPr="006259CB" w:rsidRDefault="007D04AD" w:rsidP="00873720"/>
    <w:p w14:paraId="76B53F22" w14:textId="6C14F8C6" w:rsidR="00D93363" w:rsidRPr="006259CB" w:rsidRDefault="2555EFB2" w:rsidP="00873720">
      <w:pPr>
        <w:pStyle w:val="Heading2"/>
        <w:rPr>
          <w:b/>
          <w:bCs/>
        </w:rPr>
      </w:pPr>
      <w:bookmarkStart w:id="36" w:name="_Toc194300672"/>
      <w:bookmarkStart w:id="37" w:name="_Toc225322718"/>
      <w:r w:rsidRPr="21FD5452">
        <w:rPr>
          <w:b/>
          <w:bCs/>
        </w:rPr>
        <w:t>Investment Supervisory Services</w:t>
      </w:r>
      <w:r w:rsidR="2C297F51" w:rsidRPr="21FD5452">
        <w:rPr>
          <w:b/>
          <w:bCs/>
        </w:rPr>
        <w:t xml:space="preserve"> Fees</w:t>
      </w:r>
      <w:bookmarkEnd w:id="36"/>
      <w:bookmarkEnd w:id="37"/>
    </w:p>
    <w:p w14:paraId="412D0FC7" w14:textId="6A517ECB" w:rsidR="00D93363" w:rsidRDefault="00A73FB4" w:rsidP="00873720">
      <w:r w:rsidRPr="006259CB">
        <w:t xml:space="preserve">Compensation for </w:t>
      </w:r>
      <w:r w:rsidRPr="006259CB">
        <w:rPr>
          <w:b/>
          <w:bCs/>
        </w:rPr>
        <w:t>investment supervisory services</w:t>
      </w:r>
      <w:r w:rsidRPr="006259CB">
        <w:t xml:space="preserve"> is derived as fee income, calculated as a percentage of a Client's assets under management. The compensation structure is clearly explained and agreed upon with the Client prior to the commencement of any services. Our services - which include developing and implementing an investment policy and objectives, monitoring a Client's investment performance, selecting and overseeing </w:t>
      </w:r>
      <w:r w:rsidR="005F0115" w:rsidRPr="006259CB">
        <w:t>Investment Manager</w:t>
      </w:r>
      <w:r w:rsidRPr="006259CB">
        <w:t>s, and providing quarterly reports, are compensated as follows:</w:t>
      </w:r>
    </w:p>
    <w:p w14:paraId="7FB76324" w14:textId="77777777" w:rsidR="005317BA" w:rsidRDefault="005317BA" w:rsidP="00873720"/>
    <w:p w14:paraId="39413200" w14:textId="77777777" w:rsidR="005317BA" w:rsidRDefault="005317BA" w:rsidP="00873720"/>
    <w:p w14:paraId="7FFAB5E4" w14:textId="77777777" w:rsidR="005317BA" w:rsidRDefault="005317BA" w:rsidP="00873720"/>
    <w:p w14:paraId="7D4A8FE4" w14:textId="77777777" w:rsidR="005317BA" w:rsidRPr="006259CB" w:rsidRDefault="005317BA" w:rsidP="00873720"/>
    <w:p w14:paraId="7968911C" w14:textId="77777777" w:rsidR="00A73FB4" w:rsidRPr="006259CB" w:rsidRDefault="00A73FB4" w:rsidP="00873720"/>
    <w:p w14:paraId="1D2EEB5F" w14:textId="0B9B0DD4" w:rsidR="00D93363" w:rsidRPr="000A3564" w:rsidRDefault="00D93363" w:rsidP="000A3564">
      <w:pPr>
        <w:jc w:val="center"/>
        <w:rPr>
          <w:b/>
          <w:bCs/>
          <w:color w:val="6586A4"/>
        </w:rPr>
      </w:pPr>
      <w:r w:rsidRPr="000A3564">
        <w:rPr>
          <w:b/>
          <w:bCs/>
          <w:color w:val="6586A4"/>
        </w:rPr>
        <w:lastRenderedPageBreak/>
        <w:t>Fee Schedule</w:t>
      </w:r>
    </w:p>
    <w:p w14:paraId="5842BB50" w14:textId="77777777" w:rsidR="000E1DA9" w:rsidRPr="000A3564" w:rsidRDefault="000E1DA9" w:rsidP="000A3564">
      <w:pPr>
        <w:rPr>
          <w:b/>
          <w:bCs/>
          <w:color w:val="6586A4"/>
          <w:sz w:val="12"/>
          <w:szCs w:val="12"/>
        </w:rPr>
      </w:pPr>
    </w:p>
    <w:tbl>
      <w:tblPr>
        <w:tblW w:w="9461" w:type="dxa"/>
        <w:jc w:val="center"/>
        <w:tblBorders>
          <w:top w:val="single" w:sz="2" w:space="0" w:color="6586A4"/>
          <w:left w:val="single" w:sz="2" w:space="0" w:color="6586A4"/>
          <w:bottom w:val="single" w:sz="2" w:space="0" w:color="6586A4"/>
          <w:right w:val="single" w:sz="2" w:space="0" w:color="6586A4"/>
          <w:insideH w:val="single" w:sz="2" w:space="0" w:color="6586A4"/>
          <w:insideV w:val="single" w:sz="2" w:space="0" w:color="6586A4"/>
        </w:tblBorders>
        <w:tblLayout w:type="fixed"/>
        <w:tblLook w:val="04A0" w:firstRow="1" w:lastRow="0" w:firstColumn="1" w:lastColumn="0" w:noHBand="0" w:noVBand="1"/>
      </w:tblPr>
      <w:tblGrid>
        <w:gridCol w:w="1580"/>
        <w:gridCol w:w="1746"/>
        <w:gridCol w:w="810"/>
        <w:gridCol w:w="1364"/>
        <w:gridCol w:w="1609"/>
        <w:gridCol w:w="1078"/>
        <w:gridCol w:w="1274"/>
      </w:tblGrid>
      <w:tr w:rsidR="00DD3287" w:rsidRPr="000A3564" w14:paraId="6CB3E358" w14:textId="77777777" w:rsidTr="00103505">
        <w:trPr>
          <w:trHeight w:val="329"/>
          <w:jc w:val="center"/>
        </w:trPr>
        <w:tc>
          <w:tcPr>
            <w:tcW w:w="3327" w:type="dxa"/>
            <w:gridSpan w:val="2"/>
            <w:shd w:val="clear" w:color="auto" w:fill="F2F2F2" w:themeFill="background1" w:themeFillShade="F2"/>
            <w:vAlign w:val="center"/>
          </w:tcPr>
          <w:p w14:paraId="7121ED44" w14:textId="606FE9A1" w:rsidR="00DD3287" w:rsidRPr="000A3564" w:rsidRDefault="00DD3287" w:rsidP="000A3564">
            <w:pPr>
              <w:ind w:firstLineChars="9" w:firstLine="18"/>
              <w:jc w:val="center"/>
              <w:rPr>
                <w:b/>
                <w:bCs/>
                <w:color w:val="6586A4"/>
              </w:rPr>
            </w:pPr>
            <w:r w:rsidRPr="000A3564">
              <w:rPr>
                <w:b/>
                <w:bCs/>
                <w:color w:val="6586A4"/>
              </w:rPr>
              <w:t>Assets</w:t>
            </w:r>
          </w:p>
        </w:tc>
        <w:tc>
          <w:tcPr>
            <w:tcW w:w="2170" w:type="dxa"/>
            <w:gridSpan w:val="2"/>
            <w:shd w:val="clear" w:color="auto" w:fill="F2F2F2" w:themeFill="background1" w:themeFillShade="F2"/>
            <w:vAlign w:val="center"/>
          </w:tcPr>
          <w:p w14:paraId="170A5303" w14:textId="1A7411B0" w:rsidR="00DD3287" w:rsidRPr="000A3564" w:rsidRDefault="00DD3287" w:rsidP="000A3564">
            <w:pPr>
              <w:ind w:firstLineChars="100" w:firstLine="201"/>
              <w:jc w:val="center"/>
              <w:rPr>
                <w:b/>
                <w:bCs/>
                <w:color w:val="6586A4"/>
              </w:rPr>
            </w:pPr>
            <w:r w:rsidRPr="000A3564">
              <w:rPr>
                <w:b/>
                <w:bCs/>
                <w:color w:val="6586A4"/>
              </w:rPr>
              <w:t>Fee Tiers</w:t>
            </w:r>
          </w:p>
        </w:tc>
        <w:tc>
          <w:tcPr>
            <w:tcW w:w="3964" w:type="dxa"/>
            <w:gridSpan w:val="3"/>
            <w:shd w:val="clear" w:color="auto" w:fill="F2F2F2" w:themeFill="background1" w:themeFillShade="F2"/>
            <w:vAlign w:val="center"/>
          </w:tcPr>
          <w:p w14:paraId="3EA57630" w14:textId="7AB5CE34" w:rsidR="00DD3287" w:rsidRPr="000A3564" w:rsidRDefault="00DD3287" w:rsidP="000A3564">
            <w:pPr>
              <w:jc w:val="center"/>
              <w:rPr>
                <w:b/>
                <w:bCs/>
                <w:color w:val="6586A4"/>
              </w:rPr>
            </w:pPr>
            <w:r w:rsidRPr="000A3564">
              <w:rPr>
                <w:b/>
                <w:bCs/>
                <w:color w:val="6586A4"/>
              </w:rPr>
              <w:t>Total</w:t>
            </w:r>
          </w:p>
        </w:tc>
      </w:tr>
      <w:tr w:rsidR="00926437" w:rsidRPr="000A3564" w14:paraId="4081706E" w14:textId="77777777" w:rsidTr="00103505">
        <w:trPr>
          <w:trHeight w:val="329"/>
          <w:jc w:val="center"/>
        </w:trPr>
        <w:tc>
          <w:tcPr>
            <w:tcW w:w="1580" w:type="dxa"/>
            <w:shd w:val="clear" w:color="auto" w:fill="F2F2F2" w:themeFill="background1" w:themeFillShade="F2"/>
            <w:vAlign w:val="center"/>
            <w:hideMark/>
          </w:tcPr>
          <w:p w14:paraId="3822BC0B" w14:textId="77777777" w:rsidR="00926437" w:rsidRPr="000A3564" w:rsidRDefault="00926437" w:rsidP="000A3564">
            <w:pPr>
              <w:ind w:leftChars="-11" w:hangingChars="11" w:hanging="22"/>
              <w:jc w:val="center"/>
              <w:rPr>
                <w:b/>
                <w:bCs/>
                <w:color w:val="6586A4"/>
              </w:rPr>
            </w:pPr>
            <w:r w:rsidRPr="000A3564">
              <w:rPr>
                <w:b/>
                <w:bCs/>
                <w:color w:val="6586A4"/>
              </w:rPr>
              <w:t>From</w:t>
            </w:r>
          </w:p>
        </w:tc>
        <w:tc>
          <w:tcPr>
            <w:tcW w:w="1747" w:type="dxa"/>
            <w:shd w:val="clear" w:color="auto" w:fill="F2F2F2" w:themeFill="background1" w:themeFillShade="F2"/>
            <w:vAlign w:val="center"/>
            <w:hideMark/>
          </w:tcPr>
          <w:p w14:paraId="11542E51" w14:textId="77777777" w:rsidR="00926437" w:rsidRPr="000A3564" w:rsidRDefault="00926437" w:rsidP="000A3564">
            <w:pPr>
              <w:ind w:firstLineChars="9" w:firstLine="18"/>
              <w:jc w:val="center"/>
              <w:rPr>
                <w:b/>
                <w:bCs/>
                <w:color w:val="6586A4"/>
              </w:rPr>
            </w:pPr>
            <w:r w:rsidRPr="000A3564">
              <w:rPr>
                <w:b/>
                <w:bCs/>
                <w:color w:val="6586A4"/>
              </w:rPr>
              <w:t>To</w:t>
            </w:r>
          </w:p>
        </w:tc>
        <w:tc>
          <w:tcPr>
            <w:tcW w:w="810" w:type="dxa"/>
            <w:shd w:val="clear" w:color="auto" w:fill="F2F2F2" w:themeFill="background1" w:themeFillShade="F2"/>
            <w:vAlign w:val="center"/>
            <w:hideMark/>
          </w:tcPr>
          <w:p w14:paraId="658187F4" w14:textId="77777777" w:rsidR="00926437" w:rsidRPr="000A3564" w:rsidRDefault="00926437" w:rsidP="000A3564">
            <w:pPr>
              <w:jc w:val="center"/>
              <w:rPr>
                <w:b/>
                <w:bCs/>
                <w:color w:val="6586A4"/>
              </w:rPr>
            </w:pPr>
            <w:r w:rsidRPr="000A3564">
              <w:rPr>
                <w:b/>
                <w:bCs/>
                <w:color w:val="6586A4"/>
              </w:rPr>
              <w:t>%</w:t>
            </w:r>
          </w:p>
        </w:tc>
        <w:tc>
          <w:tcPr>
            <w:tcW w:w="1360" w:type="dxa"/>
            <w:shd w:val="clear" w:color="auto" w:fill="F2F2F2" w:themeFill="background1" w:themeFillShade="F2"/>
            <w:vAlign w:val="center"/>
            <w:hideMark/>
          </w:tcPr>
          <w:p w14:paraId="62C46C76" w14:textId="77777777" w:rsidR="00926437" w:rsidRPr="000A3564" w:rsidRDefault="00926437" w:rsidP="000A3564">
            <w:pPr>
              <w:jc w:val="center"/>
              <w:rPr>
                <w:b/>
                <w:bCs/>
                <w:color w:val="6586A4"/>
              </w:rPr>
            </w:pPr>
            <w:r w:rsidRPr="000A3564">
              <w:rPr>
                <w:b/>
                <w:bCs/>
                <w:color w:val="6586A4"/>
              </w:rPr>
              <w:t>$</w:t>
            </w:r>
          </w:p>
        </w:tc>
        <w:tc>
          <w:tcPr>
            <w:tcW w:w="1610" w:type="dxa"/>
            <w:shd w:val="clear" w:color="auto" w:fill="F2F2F2" w:themeFill="background1" w:themeFillShade="F2"/>
            <w:vAlign w:val="center"/>
            <w:hideMark/>
          </w:tcPr>
          <w:p w14:paraId="21B1C1F0" w14:textId="77777777" w:rsidR="00926437" w:rsidRPr="000A3564" w:rsidRDefault="00926437" w:rsidP="000A3564">
            <w:pPr>
              <w:ind w:firstLineChars="200" w:firstLine="402"/>
              <w:jc w:val="center"/>
              <w:rPr>
                <w:b/>
                <w:bCs/>
                <w:color w:val="6586A4"/>
              </w:rPr>
            </w:pPr>
            <w:r w:rsidRPr="000A3564">
              <w:rPr>
                <w:b/>
                <w:bCs/>
                <w:color w:val="6586A4"/>
              </w:rPr>
              <w:t>Assets</w:t>
            </w:r>
          </w:p>
        </w:tc>
        <w:tc>
          <w:tcPr>
            <w:tcW w:w="1079" w:type="dxa"/>
            <w:shd w:val="clear" w:color="auto" w:fill="F2F2F2" w:themeFill="background1" w:themeFillShade="F2"/>
            <w:vAlign w:val="center"/>
            <w:hideMark/>
          </w:tcPr>
          <w:p w14:paraId="3B69CB09" w14:textId="77777777" w:rsidR="00926437" w:rsidRPr="000A3564" w:rsidRDefault="00926437" w:rsidP="000A3564">
            <w:pPr>
              <w:jc w:val="center"/>
              <w:rPr>
                <w:b/>
                <w:bCs/>
                <w:color w:val="6586A4"/>
              </w:rPr>
            </w:pPr>
            <w:r w:rsidRPr="000A3564">
              <w:rPr>
                <w:b/>
                <w:bCs/>
                <w:color w:val="6586A4"/>
              </w:rPr>
              <w:t>Fee $</w:t>
            </w:r>
          </w:p>
        </w:tc>
        <w:tc>
          <w:tcPr>
            <w:tcW w:w="1275" w:type="dxa"/>
            <w:shd w:val="clear" w:color="auto" w:fill="F2F2F2" w:themeFill="background1" w:themeFillShade="F2"/>
            <w:vAlign w:val="center"/>
            <w:hideMark/>
          </w:tcPr>
          <w:p w14:paraId="649EF09C" w14:textId="77777777" w:rsidR="00926437" w:rsidRPr="000A3564" w:rsidRDefault="00926437" w:rsidP="000A3564">
            <w:pPr>
              <w:jc w:val="center"/>
              <w:rPr>
                <w:b/>
                <w:bCs/>
                <w:color w:val="6586A4"/>
              </w:rPr>
            </w:pPr>
            <w:r w:rsidRPr="000A3564">
              <w:rPr>
                <w:b/>
                <w:bCs/>
                <w:color w:val="6586A4"/>
              </w:rPr>
              <w:t>Fee %</w:t>
            </w:r>
          </w:p>
        </w:tc>
      </w:tr>
      <w:tr w:rsidR="00926437" w:rsidRPr="000A3564" w14:paraId="25788ACC" w14:textId="77777777" w:rsidTr="00103505">
        <w:trPr>
          <w:trHeight w:val="329"/>
          <w:jc w:val="center"/>
        </w:trPr>
        <w:tc>
          <w:tcPr>
            <w:tcW w:w="1580" w:type="dxa"/>
            <w:vAlign w:val="center"/>
            <w:hideMark/>
          </w:tcPr>
          <w:p w14:paraId="40C30B0C" w14:textId="7B64D297" w:rsidR="00926437" w:rsidRPr="000A3564" w:rsidRDefault="5417E031" w:rsidP="000A3564">
            <w:pPr>
              <w:pStyle w:val="ListParagraph"/>
              <w:ind w:left="517"/>
              <w:contextualSpacing w:val="0"/>
              <w:jc w:val="left"/>
              <w:rPr>
                <w:color w:val="auto"/>
              </w:rPr>
            </w:pPr>
            <w:r w:rsidRPr="21FD5452">
              <w:rPr>
                <w:color w:val="auto"/>
              </w:rPr>
              <w:t>$</w:t>
            </w:r>
            <w:r w:rsidR="6EA08E55" w:rsidRPr="21FD5452">
              <w:rPr>
                <w:color w:val="auto"/>
              </w:rPr>
              <w:t xml:space="preserve">0 </w:t>
            </w:r>
          </w:p>
        </w:tc>
        <w:tc>
          <w:tcPr>
            <w:tcW w:w="1747" w:type="dxa"/>
            <w:noWrap/>
            <w:vAlign w:val="center"/>
            <w:hideMark/>
          </w:tcPr>
          <w:p w14:paraId="2670682E" w14:textId="65EFF625" w:rsidR="00926437" w:rsidRPr="000A3564" w:rsidRDefault="0D35DE04" w:rsidP="000A3564">
            <w:pPr>
              <w:jc w:val="left"/>
              <w:rPr>
                <w:color w:val="000000"/>
              </w:rPr>
            </w:pPr>
            <w:r w:rsidRPr="21FD5452">
              <w:t xml:space="preserve">     $25,000,000</w:t>
            </w:r>
            <w:r w:rsidR="4B578E5A" w:rsidRPr="21FD5452">
              <w:t>*</w:t>
            </w:r>
          </w:p>
        </w:tc>
        <w:tc>
          <w:tcPr>
            <w:tcW w:w="805" w:type="dxa"/>
            <w:noWrap/>
            <w:vAlign w:val="center"/>
            <w:hideMark/>
          </w:tcPr>
          <w:p w14:paraId="41596ECC" w14:textId="20ADE845" w:rsidR="00926437" w:rsidRPr="000A3564" w:rsidRDefault="00926437" w:rsidP="000A3564">
            <w:pPr>
              <w:jc w:val="center"/>
              <w:rPr>
                <w:color w:val="000000"/>
              </w:rPr>
            </w:pPr>
            <w:r w:rsidRPr="000A3564">
              <w:rPr>
                <w:color w:val="000000"/>
              </w:rPr>
              <w:t>0.50%</w:t>
            </w:r>
          </w:p>
        </w:tc>
        <w:tc>
          <w:tcPr>
            <w:tcW w:w="1365" w:type="dxa"/>
            <w:noWrap/>
            <w:vAlign w:val="center"/>
            <w:hideMark/>
          </w:tcPr>
          <w:p w14:paraId="1EFC69E5" w14:textId="41C2DD0E" w:rsidR="00926437" w:rsidRPr="000A3564" w:rsidRDefault="0D35DE04" w:rsidP="000A3564">
            <w:pPr>
              <w:ind w:left="-20"/>
              <w:jc w:val="left"/>
              <w:rPr>
                <w:color w:val="000000"/>
              </w:rPr>
            </w:pPr>
            <w:r w:rsidRPr="21FD5452">
              <w:t>$125,000</w:t>
            </w:r>
          </w:p>
        </w:tc>
        <w:tc>
          <w:tcPr>
            <w:tcW w:w="1610" w:type="dxa"/>
            <w:noWrap/>
            <w:vAlign w:val="center"/>
            <w:hideMark/>
          </w:tcPr>
          <w:p w14:paraId="7AC2B413" w14:textId="6BA74656" w:rsidR="00926437" w:rsidRPr="000A3564" w:rsidRDefault="53380116" w:rsidP="21FD5452">
            <w:r w:rsidRPr="21FD5452">
              <w:t xml:space="preserve">     </w:t>
            </w:r>
            <w:r w:rsidR="0D35DE04" w:rsidRPr="21FD5452">
              <w:t>$25,000,000</w:t>
            </w:r>
          </w:p>
        </w:tc>
        <w:tc>
          <w:tcPr>
            <w:tcW w:w="1079" w:type="dxa"/>
            <w:noWrap/>
            <w:vAlign w:val="center"/>
            <w:hideMark/>
          </w:tcPr>
          <w:p w14:paraId="1A8332D8" w14:textId="0B4252CC" w:rsidR="00926437" w:rsidRPr="000A3564" w:rsidRDefault="0D35DE04" w:rsidP="000A3564">
            <w:pPr>
              <w:jc w:val="left"/>
              <w:rPr>
                <w:color w:val="000000"/>
              </w:rPr>
            </w:pPr>
            <w:r w:rsidRPr="21FD5452">
              <w:t>$125,000</w:t>
            </w:r>
          </w:p>
        </w:tc>
        <w:tc>
          <w:tcPr>
            <w:tcW w:w="1275" w:type="dxa"/>
            <w:noWrap/>
            <w:vAlign w:val="center"/>
            <w:hideMark/>
          </w:tcPr>
          <w:p w14:paraId="36423859" w14:textId="4108447C" w:rsidR="00926437" w:rsidRPr="000A3564" w:rsidRDefault="00926437" w:rsidP="000A3564">
            <w:pPr>
              <w:jc w:val="center"/>
              <w:rPr>
                <w:color w:val="000000"/>
              </w:rPr>
            </w:pPr>
            <w:r w:rsidRPr="000A3564">
              <w:rPr>
                <w:color w:val="000000"/>
              </w:rPr>
              <w:t>0.50%</w:t>
            </w:r>
          </w:p>
        </w:tc>
      </w:tr>
      <w:tr w:rsidR="00926437" w:rsidRPr="000A3564" w14:paraId="328B6420" w14:textId="77777777" w:rsidTr="00103505">
        <w:trPr>
          <w:trHeight w:val="329"/>
          <w:jc w:val="center"/>
        </w:trPr>
        <w:tc>
          <w:tcPr>
            <w:tcW w:w="1580" w:type="dxa"/>
            <w:noWrap/>
            <w:vAlign w:val="center"/>
            <w:hideMark/>
          </w:tcPr>
          <w:p w14:paraId="1C716D22" w14:textId="0A6F11D6" w:rsidR="00926437" w:rsidRPr="000A3564" w:rsidRDefault="0D35DE04" w:rsidP="000A3564">
            <w:pPr>
              <w:ind w:right="-53"/>
              <w:jc w:val="left"/>
              <w:rPr>
                <w:color w:val="000000"/>
              </w:rPr>
            </w:pPr>
            <w:r w:rsidRPr="21FD5452">
              <w:t xml:space="preserve">  $25,000,000</w:t>
            </w:r>
          </w:p>
        </w:tc>
        <w:tc>
          <w:tcPr>
            <w:tcW w:w="1747" w:type="dxa"/>
            <w:noWrap/>
            <w:vAlign w:val="center"/>
            <w:hideMark/>
          </w:tcPr>
          <w:p w14:paraId="7B9D3B8E" w14:textId="620BFB48" w:rsidR="00926437" w:rsidRPr="000A3564" w:rsidRDefault="0D35DE04" w:rsidP="000A3564">
            <w:pPr>
              <w:jc w:val="left"/>
              <w:rPr>
                <w:color w:val="000000"/>
              </w:rPr>
            </w:pPr>
            <w:r w:rsidRPr="21FD5452">
              <w:t xml:space="preserve">     $50,000,000</w:t>
            </w:r>
          </w:p>
        </w:tc>
        <w:tc>
          <w:tcPr>
            <w:tcW w:w="805" w:type="dxa"/>
            <w:noWrap/>
            <w:vAlign w:val="center"/>
            <w:hideMark/>
          </w:tcPr>
          <w:p w14:paraId="5A02A089" w14:textId="05DA6D20" w:rsidR="00926437" w:rsidRPr="000A3564" w:rsidRDefault="00926437" w:rsidP="000A3564">
            <w:pPr>
              <w:jc w:val="center"/>
              <w:rPr>
                <w:color w:val="000000"/>
              </w:rPr>
            </w:pPr>
            <w:r w:rsidRPr="000A3564">
              <w:rPr>
                <w:color w:val="000000"/>
              </w:rPr>
              <w:t>0.35%</w:t>
            </w:r>
          </w:p>
        </w:tc>
        <w:tc>
          <w:tcPr>
            <w:tcW w:w="1365" w:type="dxa"/>
            <w:vAlign w:val="center"/>
            <w:hideMark/>
          </w:tcPr>
          <w:p w14:paraId="65F419B0" w14:textId="00B3F05F" w:rsidR="00926437" w:rsidRPr="000A3564" w:rsidRDefault="0D35DE04" w:rsidP="000A3564">
            <w:pPr>
              <w:ind w:left="-20"/>
              <w:jc w:val="left"/>
              <w:rPr>
                <w:color w:val="000000"/>
              </w:rPr>
            </w:pPr>
            <w:r w:rsidRPr="21FD5452">
              <w:t xml:space="preserve">  $87,500</w:t>
            </w:r>
          </w:p>
        </w:tc>
        <w:tc>
          <w:tcPr>
            <w:tcW w:w="1610" w:type="dxa"/>
            <w:noWrap/>
            <w:vAlign w:val="center"/>
            <w:hideMark/>
          </w:tcPr>
          <w:p w14:paraId="3855936D" w14:textId="12191F9E" w:rsidR="00926437" w:rsidRPr="000A3564" w:rsidRDefault="53380116" w:rsidP="000A3564">
            <w:pPr>
              <w:jc w:val="left"/>
              <w:rPr>
                <w:color w:val="000000"/>
              </w:rPr>
            </w:pPr>
            <w:r w:rsidRPr="21FD5452">
              <w:t xml:space="preserve">     </w:t>
            </w:r>
            <w:r w:rsidR="0D35DE04" w:rsidRPr="21FD5452">
              <w:t>$50,000,000</w:t>
            </w:r>
          </w:p>
        </w:tc>
        <w:tc>
          <w:tcPr>
            <w:tcW w:w="1079" w:type="dxa"/>
            <w:noWrap/>
            <w:vAlign w:val="center"/>
            <w:hideMark/>
          </w:tcPr>
          <w:p w14:paraId="4605958A" w14:textId="68DE9F3A" w:rsidR="00926437" w:rsidRPr="000A3564" w:rsidRDefault="0D35DE04" w:rsidP="000A3564">
            <w:pPr>
              <w:jc w:val="left"/>
              <w:rPr>
                <w:color w:val="000000"/>
              </w:rPr>
            </w:pPr>
            <w:r w:rsidRPr="21FD5452">
              <w:t>$212,500</w:t>
            </w:r>
          </w:p>
        </w:tc>
        <w:tc>
          <w:tcPr>
            <w:tcW w:w="1275" w:type="dxa"/>
            <w:noWrap/>
            <w:vAlign w:val="center"/>
            <w:hideMark/>
          </w:tcPr>
          <w:p w14:paraId="5F4699E9" w14:textId="7538134C" w:rsidR="00926437" w:rsidRPr="000A3564" w:rsidRDefault="00926437" w:rsidP="000A3564">
            <w:pPr>
              <w:jc w:val="center"/>
              <w:rPr>
                <w:color w:val="000000"/>
              </w:rPr>
            </w:pPr>
            <w:r w:rsidRPr="000A3564">
              <w:rPr>
                <w:color w:val="000000"/>
              </w:rPr>
              <w:t>0.425%</w:t>
            </w:r>
          </w:p>
        </w:tc>
      </w:tr>
      <w:tr w:rsidR="00926437" w:rsidRPr="000A3564" w14:paraId="196D88A4" w14:textId="77777777" w:rsidTr="00103505">
        <w:trPr>
          <w:trHeight w:val="329"/>
          <w:jc w:val="center"/>
        </w:trPr>
        <w:tc>
          <w:tcPr>
            <w:tcW w:w="1580" w:type="dxa"/>
            <w:noWrap/>
            <w:vAlign w:val="center"/>
            <w:hideMark/>
          </w:tcPr>
          <w:p w14:paraId="288CE95B" w14:textId="3F8F6D91" w:rsidR="00926437" w:rsidRPr="000A3564" w:rsidRDefault="0D35DE04" w:rsidP="000A3564">
            <w:pPr>
              <w:ind w:right="-53"/>
              <w:jc w:val="left"/>
              <w:rPr>
                <w:color w:val="000000"/>
              </w:rPr>
            </w:pPr>
            <w:r w:rsidRPr="21FD5452">
              <w:t xml:space="preserve">  $50,000,000</w:t>
            </w:r>
          </w:p>
        </w:tc>
        <w:tc>
          <w:tcPr>
            <w:tcW w:w="1747" w:type="dxa"/>
            <w:noWrap/>
            <w:vAlign w:val="center"/>
            <w:hideMark/>
          </w:tcPr>
          <w:p w14:paraId="165757D1" w14:textId="7C6B2EA3" w:rsidR="00926437" w:rsidRPr="000A3564" w:rsidRDefault="0D35DE04" w:rsidP="000A3564">
            <w:pPr>
              <w:jc w:val="left"/>
              <w:rPr>
                <w:color w:val="000000"/>
              </w:rPr>
            </w:pPr>
            <w:r w:rsidRPr="21FD5452">
              <w:t xml:space="preserve">     $75,000,000</w:t>
            </w:r>
          </w:p>
        </w:tc>
        <w:tc>
          <w:tcPr>
            <w:tcW w:w="805" w:type="dxa"/>
            <w:noWrap/>
            <w:vAlign w:val="center"/>
            <w:hideMark/>
          </w:tcPr>
          <w:p w14:paraId="2FD0B755" w14:textId="36895744" w:rsidR="00926437" w:rsidRPr="000A3564" w:rsidRDefault="00926437" w:rsidP="000A3564">
            <w:pPr>
              <w:jc w:val="center"/>
              <w:rPr>
                <w:color w:val="000000"/>
              </w:rPr>
            </w:pPr>
            <w:r w:rsidRPr="000A3564">
              <w:rPr>
                <w:color w:val="000000"/>
              </w:rPr>
              <w:t>0.20%</w:t>
            </w:r>
          </w:p>
        </w:tc>
        <w:tc>
          <w:tcPr>
            <w:tcW w:w="1365" w:type="dxa"/>
            <w:vAlign w:val="center"/>
            <w:hideMark/>
          </w:tcPr>
          <w:p w14:paraId="67121B49" w14:textId="36E910B0" w:rsidR="00926437" w:rsidRPr="000A3564" w:rsidRDefault="0D35DE04" w:rsidP="000A3564">
            <w:pPr>
              <w:ind w:left="-20"/>
              <w:jc w:val="left"/>
              <w:rPr>
                <w:color w:val="000000"/>
              </w:rPr>
            </w:pPr>
            <w:r w:rsidRPr="21FD5452">
              <w:t xml:space="preserve">  $50,000</w:t>
            </w:r>
          </w:p>
        </w:tc>
        <w:tc>
          <w:tcPr>
            <w:tcW w:w="1610" w:type="dxa"/>
            <w:noWrap/>
            <w:vAlign w:val="center"/>
            <w:hideMark/>
          </w:tcPr>
          <w:p w14:paraId="6ED50292" w14:textId="2631F1F4" w:rsidR="00926437" w:rsidRPr="000A3564" w:rsidRDefault="53380116" w:rsidP="000A3564">
            <w:pPr>
              <w:jc w:val="left"/>
              <w:rPr>
                <w:color w:val="000000"/>
              </w:rPr>
            </w:pPr>
            <w:r w:rsidRPr="21FD5452">
              <w:t xml:space="preserve">     </w:t>
            </w:r>
            <w:r w:rsidR="0D35DE04" w:rsidRPr="21FD5452">
              <w:t>$75,000,000</w:t>
            </w:r>
          </w:p>
        </w:tc>
        <w:tc>
          <w:tcPr>
            <w:tcW w:w="1079" w:type="dxa"/>
            <w:noWrap/>
            <w:vAlign w:val="center"/>
            <w:hideMark/>
          </w:tcPr>
          <w:p w14:paraId="7CD07B9E" w14:textId="651BD217" w:rsidR="00926437" w:rsidRPr="000A3564" w:rsidRDefault="0D35DE04" w:rsidP="000A3564">
            <w:pPr>
              <w:jc w:val="left"/>
              <w:rPr>
                <w:color w:val="000000"/>
              </w:rPr>
            </w:pPr>
            <w:r w:rsidRPr="21FD5452">
              <w:t>$262,500</w:t>
            </w:r>
          </w:p>
        </w:tc>
        <w:tc>
          <w:tcPr>
            <w:tcW w:w="1275" w:type="dxa"/>
            <w:noWrap/>
            <w:vAlign w:val="center"/>
            <w:hideMark/>
          </w:tcPr>
          <w:p w14:paraId="652361D8" w14:textId="2DD07EFF" w:rsidR="00926437" w:rsidRPr="000A3564" w:rsidRDefault="00926437" w:rsidP="000A3564">
            <w:pPr>
              <w:jc w:val="center"/>
              <w:rPr>
                <w:color w:val="000000"/>
              </w:rPr>
            </w:pPr>
            <w:r w:rsidRPr="000A3564">
              <w:rPr>
                <w:color w:val="000000"/>
              </w:rPr>
              <w:t>0.35%</w:t>
            </w:r>
          </w:p>
        </w:tc>
      </w:tr>
      <w:tr w:rsidR="00926437" w:rsidRPr="000A3564" w14:paraId="16E728A0" w14:textId="77777777" w:rsidTr="00103505">
        <w:trPr>
          <w:trHeight w:val="328"/>
          <w:jc w:val="center"/>
        </w:trPr>
        <w:tc>
          <w:tcPr>
            <w:tcW w:w="1580" w:type="dxa"/>
            <w:noWrap/>
            <w:vAlign w:val="center"/>
            <w:hideMark/>
          </w:tcPr>
          <w:p w14:paraId="1A1FC802" w14:textId="77579BE3" w:rsidR="00926437" w:rsidRPr="000A3564" w:rsidRDefault="0D35DE04" w:rsidP="000A3564">
            <w:pPr>
              <w:ind w:right="-53"/>
              <w:jc w:val="left"/>
              <w:rPr>
                <w:color w:val="000000"/>
              </w:rPr>
            </w:pPr>
            <w:r w:rsidRPr="21FD5452">
              <w:t xml:space="preserve">  $75,000,000</w:t>
            </w:r>
          </w:p>
        </w:tc>
        <w:tc>
          <w:tcPr>
            <w:tcW w:w="1747" w:type="dxa"/>
            <w:noWrap/>
            <w:vAlign w:val="center"/>
            <w:hideMark/>
          </w:tcPr>
          <w:p w14:paraId="0FFC1276" w14:textId="77044401" w:rsidR="00926437" w:rsidRPr="000A3564" w:rsidRDefault="0D35DE04" w:rsidP="000A3564">
            <w:pPr>
              <w:jc w:val="left"/>
              <w:rPr>
                <w:color w:val="000000"/>
              </w:rPr>
            </w:pPr>
            <w:r w:rsidRPr="21FD5452">
              <w:t xml:space="preserve">   $100,000,000</w:t>
            </w:r>
          </w:p>
        </w:tc>
        <w:tc>
          <w:tcPr>
            <w:tcW w:w="805" w:type="dxa"/>
            <w:noWrap/>
            <w:vAlign w:val="center"/>
            <w:hideMark/>
          </w:tcPr>
          <w:p w14:paraId="545CEA65" w14:textId="7CA54755" w:rsidR="00926437" w:rsidRPr="000A3564" w:rsidRDefault="00926437" w:rsidP="000A3564">
            <w:pPr>
              <w:jc w:val="center"/>
              <w:rPr>
                <w:color w:val="000000"/>
              </w:rPr>
            </w:pPr>
            <w:r w:rsidRPr="000A3564">
              <w:rPr>
                <w:color w:val="000000"/>
              </w:rPr>
              <w:t>0.15%</w:t>
            </w:r>
          </w:p>
        </w:tc>
        <w:tc>
          <w:tcPr>
            <w:tcW w:w="1365" w:type="dxa"/>
            <w:vAlign w:val="center"/>
            <w:hideMark/>
          </w:tcPr>
          <w:p w14:paraId="07C854D0" w14:textId="79B1D3F8" w:rsidR="00926437" w:rsidRPr="000A3564" w:rsidRDefault="0D35DE04" w:rsidP="000A3564">
            <w:pPr>
              <w:ind w:left="-20"/>
              <w:jc w:val="left"/>
              <w:rPr>
                <w:color w:val="000000"/>
              </w:rPr>
            </w:pPr>
            <w:r w:rsidRPr="21FD5452">
              <w:t xml:space="preserve">  $37,500</w:t>
            </w:r>
          </w:p>
        </w:tc>
        <w:tc>
          <w:tcPr>
            <w:tcW w:w="1610" w:type="dxa"/>
            <w:noWrap/>
            <w:vAlign w:val="center"/>
            <w:hideMark/>
          </w:tcPr>
          <w:p w14:paraId="2DF2CAF3" w14:textId="361DC9CE" w:rsidR="00926437" w:rsidRPr="000A3564" w:rsidRDefault="53380116" w:rsidP="000A3564">
            <w:pPr>
              <w:jc w:val="left"/>
              <w:rPr>
                <w:color w:val="000000"/>
              </w:rPr>
            </w:pPr>
            <w:r w:rsidRPr="21FD5452">
              <w:t xml:space="preserve">   </w:t>
            </w:r>
            <w:r w:rsidR="0D35DE04" w:rsidRPr="21FD5452">
              <w:t>$100,000,000</w:t>
            </w:r>
          </w:p>
        </w:tc>
        <w:tc>
          <w:tcPr>
            <w:tcW w:w="1079" w:type="dxa"/>
            <w:noWrap/>
            <w:vAlign w:val="center"/>
            <w:hideMark/>
          </w:tcPr>
          <w:p w14:paraId="566096E8" w14:textId="2FD3AF4A" w:rsidR="00926437" w:rsidRPr="000A3564" w:rsidRDefault="0D35DE04" w:rsidP="000A3564">
            <w:pPr>
              <w:jc w:val="left"/>
              <w:rPr>
                <w:color w:val="000000"/>
              </w:rPr>
            </w:pPr>
            <w:r w:rsidRPr="21FD5452">
              <w:t>$300,000</w:t>
            </w:r>
          </w:p>
        </w:tc>
        <w:tc>
          <w:tcPr>
            <w:tcW w:w="1275" w:type="dxa"/>
            <w:noWrap/>
            <w:vAlign w:val="center"/>
            <w:hideMark/>
          </w:tcPr>
          <w:p w14:paraId="528A18D3" w14:textId="78F00D0D" w:rsidR="00926437" w:rsidRPr="000A3564" w:rsidRDefault="00926437" w:rsidP="000A3564">
            <w:pPr>
              <w:jc w:val="center"/>
              <w:rPr>
                <w:color w:val="000000"/>
              </w:rPr>
            </w:pPr>
            <w:r w:rsidRPr="000A3564">
              <w:rPr>
                <w:color w:val="000000"/>
              </w:rPr>
              <w:t>0.30%</w:t>
            </w:r>
          </w:p>
        </w:tc>
      </w:tr>
      <w:tr w:rsidR="00926437" w:rsidRPr="000A3564" w14:paraId="4F5B35B5" w14:textId="77777777" w:rsidTr="00103505">
        <w:trPr>
          <w:trHeight w:val="329"/>
          <w:jc w:val="center"/>
        </w:trPr>
        <w:tc>
          <w:tcPr>
            <w:tcW w:w="1580" w:type="dxa"/>
            <w:noWrap/>
            <w:vAlign w:val="center"/>
            <w:hideMark/>
          </w:tcPr>
          <w:p w14:paraId="3D0E5106" w14:textId="66F88059" w:rsidR="00926437" w:rsidRPr="000A3564" w:rsidRDefault="0D35DE04" w:rsidP="000A3564">
            <w:pPr>
              <w:ind w:right="-53"/>
              <w:jc w:val="left"/>
              <w:rPr>
                <w:color w:val="000000"/>
              </w:rPr>
            </w:pPr>
            <w:r w:rsidRPr="21FD5452">
              <w:t>$100,000,000</w:t>
            </w:r>
          </w:p>
        </w:tc>
        <w:tc>
          <w:tcPr>
            <w:tcW w:w="1747" w:type="dxa"/>
            <w:noWrap/>
            <w:vAlign w:val="center"/>
            <w:hideMark/>
          </w:tcPr>
          <w:p w14:paraId="6C20B8C5" w14:textId="6660C7B2" w:rsidR="00926437" w:rsidRPr="000A3564" w:rsidRDefault="0D35DE04" w:rsidP="000A3564">
            <w:pPr>
              <w:jc w:val="left"/>
              <w:rPr>
                <w:color w:val="000000"/>
              </w:rPr>
            </w:pPr>
            <w:r w:rsidRPr="21FD5452">
              <w:t xml:space="preserve">   $200,000,000</w:t>
            </w:r>
          </w:p>
        </w:tc>
        <w:tc>
          <w:tcPr>
            <w:tcW w:w="805" w:type="dxa"/>
            <w:noWrap/>
            <w:vAlign w:val="center"/>
            <w:hideMark/>
          </w:tcPr>
          <w:p w14:paraId="3E5D41D2" w14:textId="1E4BE5F9" w:rsidR="00926437" w:rsidRPr="000A3564" w:rsidRDefault="00926437" w:rsidP="000A3564">
            <w:pPr>
              <w:jc w:val="center"/>
              <w:rPr>
                <w:color w:val="000000"/>
              </w:rPr>
            </w:pPr>
            <w:r w:rsidRPr="000A3564">
              <w:rPr>
                <w:color w:val="000000"/>
              </w:rPr>
              <w:t>0.08%</w:t>
            </w:r>
          </w:p>
        </w:tc>
        <w:tc>
          <w:tcPr>
            <w:tcW w:w="1365" w:type="dxa"/>
            <w:vAlign w:val="center"/>
            <w:hideMark/>
          </w:tcPr>
          <w:p w14:paraId="5DC61412" w14:textId="29D9F10D" w:rsidR="00926437" w:rsidRPr="000A3564" w:rsidRDefault="0D35DE04" w:rsidP="000A3564">
            <w:pPr>
              <w:ind w:left="-20"/>
              <w:jc w:val="left"/>
              <w:rPr>
                <w:color w:val="000000"/>
              </w:rPr>
            </w:pPr>
            <w:r w:rsidRPr="21FD5452">
              <w:t xml:space="preserve">  $80,000</w:t>
            </w:r>
          </w:p>
        </w:tc>
        <w:tc>
          <w:tcPr>
            <w:tcW w:w="1610" w:type="dxa"/>
            <w:noWrap/>
            <w:vAlign w:val="center"/>
            <w:hideMark/>
          </w:tcPr>
          <w:p w14:paraId="0CA6F34E" w14:textId="29013D17" w:rsidR="00926437" w:rsidRPr="000A3564" w:rsidRDefault="53380116" w:rsidP="000A3564">
            <w:pPr>
              <w:jc w:val="left"/>
              <w:rPr>
                <w:color w:val="000000"/>
              </w:rPr>
            </w:pPr>
            <w:r w:rsidRPr="21FD5452">
              <w:t xml:space="preserve">   </w:t>
            </w:r>
            <w:r w:rsidR="0D35DE04" w:rsidRPr="21FD5452">
              <w:t>$200,000,000</w:t>
            </w:r>
          </w:p>
        </w:tc>
        <w:tc>
          <w:tcPr>
            <w:tcW w:w="1079" w:type="dxa"/>
            <w:noWrap/>
            <w:vAlign w:val="center"/>
            <w:hideMark/>
          </w:tcPr>
          <w:p w14:paraId="7BD0A304" w14:textId="2F916C21" w:rsidR="00926437" w:rsidRPr="000A3564" w:rsidRDefault="0D35DE04" w:rsidP="000A3564">
            <w:pPr>
              <w:jc w:val="left"/>
              <w:rPr>
                <w:color w:val="000000"/>
              </w:rPr>
            </w:pPr>
            <w:r w:rsidRPr="21FD5452">
              <w:t>$380,000</w:t>
            </w:r>
          </w:p>
        </w:tc>
        <w:tc>
          <w:tcPr>
            <w:tcW w:w="1275" w:type="dxa"/>
            <w:noWrap/>
            <w:vAlign w:val="center"/>
            <w:hideMark/>
          </w:tcPr>
          <w:p w14:paraId="0E0ACCB0" w14:textId="096C6B89" w:rsidR="00926437" w:rsidRPr="000A3564" w:rsidRDefault="00926437" w:rsidP="000A3564">
            <w:pPr>
              <w:jc w:val="center"/>
              <w:rPr>
                <w:color w:val="000000"/>
              </w:rPr>
            </w:pPr>
            <w:r w:rsidRPr="000A3564">
              <w:rPr>
                <w:color w:val="000000"/>
              </w:rPr>
              <w:t>0.19%</w:t>
            </w:r>
          </w:p>
        </w:tc>
      </w:tr>
      <w:tr w:rsidR="00926437" w:rsidRPr="000A3564" w14:paraId="0C6C7C8E" w14:textId="77777777" w:rsidTr="00103505">
        <w:trPr>
          <w:trHeight w:val="329"/>
          <w:jc w:val="center"/>
        </w:trPr>
        <w:tc>
          <w:tcPr>
            <w:tcW w:w="1580" w:type="dxa"/>
            <w:noWrap/>
            <w:vAlign w:val="center"/>
            <w:hideMark/>
          </w:tcPr>
          <w:p w14:paraId="79283C50" w14:textId="78EE007B" w:rsidR="00926437" w:rsidRPr="000A3564" w:rsidRDefault="0D35DE04" w:rsidP="000A3564">
            <w:pPr>
              <w:ind w:right="-53"/>
              <w:jc w:val="left"/>
              <w:rPr>
                <w:color w:val="000000"/>
              </w:rPr>
            </w:pPr>
            <w:r w:rsidRPr="21FD5452">
              <w:t>$200,000,000</w:t>
            </w:r>
          </w:p>
        </w:tc>
        <w:tc>
          <w:tcPr>
            <w:tcW w:w="1747" w:type="dxa"/>
            <w:noWrap/>
            <w:vAlign w:val="center"/>
            <w:hideMark/>
          </w:tcPr>
          <w:p w14:paraId="416849C7" w14:textId="5D956E5C" w:rsidR="00926437" w:rsidRPr="000A3564" w:rsidRDefault="0D35DE04" w:rsidP="000A3564">
            <w:pPr>
              <w:jc w:val="left"/>
              <w:rPr>
                <w:color w:val="000000"/>
              </w:rPr>
            </w:pPr>
            <w:r w:rsidRPr="21FD5452">
              <w:t xml:space="preserve">   $300,000,000</w:t>
            </w:r>
          </w:p>
        </w:tc>
        <w:tc>
          <w:tcPr>
            <w:tcW w:w="805" w:type="dxa"/>
            <w:noWrap/>
            <w:vAlign w:val="center"/>
            <w:hideMark/>
          </w:tcPr>
          <w:p w14:paraId="58E3351A" w14:textId="16167F42" w:rsidR="00926437" w:rsidRPr="000A3564" w:rsidRDefault="00926437" w:rsidP="000A3564">
            <w:pPr>
              <w:jc w:val="center"/>
              <w:rPr>
                <w:color w:val="000000"/>
              </w:rPr>
            </w:pPr>
            <w:r w:rsidRPr="000A3564">
              <w:rPr>
                <w:color w:val="000000"/>
              </w:rPr>
              <w:t>0.06%</w:t>
            </w:r>
          </w:p>
        </w:tc>
        <w:tc>
          <w:tcPr>
            <w:tcW w:w="1365" w:type="dxa"/>
            <w:vAlign w:val="center"/>
            <w:hideMark/>
          </w:tcPr>
          <w:p w14:paraId="026E26C7" w14:textId="48B7AD0B" w:rsidR="00926437" w:rsidRPr="000A3564" w:rsidRDefault="0D35DE04" w:rsidP="000A3564">
            <w:pPr>
              <w:ind w:left="-20"/>
              <w:jc w:val="left"/>
              <w:rPr>
                <w:color w:val="000000"/>
              </w:rPr>
            </w:pPr>
            <w:r w:rsidRPr="21FD5452">
              <w:t xml:space="preserve">  $60,000</w:t>
            </w:r>
          </w:p>
        </w:tc>
        <w:tc>
          <w:tcPr>
            <w:tcW w:w="1610" w:type="dxa"/>
            <w:noWrap/>
            <w:vAlign w:val="center"/>
            <w:hideMark/>
          </w:tcPr>
          <w:p w14:paraId="5F20B003" w14:textId="49764EDF" w:rsidR="00926437" w:rsidRPr="000A3564" w:rsidRDefault="53380116" w:rsidP="000A3564">
            <w:pPr>
              <w:jc w:val="left"/>
              <w:rPr>
                <w:color w:val="000000"/>
              </w:rPr>
            </w:pPr>
            <w:r w:rsidRPr="21FD5452">
              <w:t xml:space="preserve">   </w:t>
            </w:r>
            <w:r w:rsidR="0D35DE04" w:rsidRPr="21FD5452">
              <w:t>$300,000,000</w:t>
            </w:r>
          </w:p>
        </w:tc>
        <w:tc>
          <w:tcPr>
            <w:tcW w:w="1079" w:type="dxa"/>
            <w:noWrap/>
            <w:vAlign w:val="center"/>
            <w:hideMark/>
          </w:tcPr>
          <w:p w14:paraId="040D5A88" w14:textId="5ABC8C9D" w:rsidR="00926437" w:rsidRPr="000A3564" w:rsidRDefault="0D35DE04" w:rsidP="000A3564">
            <w:pPr>
              <w:jc w:val="left"/>
              <w:rPr>
                <w:color w:val="000000"/>
              </w:rPr>
            </w:pPr>
            <w:r w:rsidRPr="21FD5452">
              <w:t>$440,000</w:t>
            </w:r>
          </w:p>
        </w:tc>
        <w:tc>
          <w:tcPr>
            <w:tcW w:w="1275" w:type="dxa"/>
            <w:noWrap/>
            <w:vAlign w:val="center"/>
            <w:hideMark/>
          </w:tcPr>
          <w:p w14:paraId="0F56B50D" w14:textId="77777777" w:rsidR="00926437" w:rsidRPr="000A3564" w:rsidRDefault="00926437" w:rsidP="000A3564">
            <w:pPr>
              <w:jc w:val="center"/>
              <w:rPr>
                <w:color w:val="000000"/>
              </w:rPr>
            </w:pPr>
            <w:r w:rsidRPr="000A3564">
              <w:rPr>
                <w:color w:val="000000"/>
              </w:rPr>
              <w:t>0.1467%</w:t>
            </w:r>
          </w:p>
        </w:tc>
      </w:tr>
      <w:tr w:rsidR="00926437" w:rsidRPr="000A3564" w14:paraId="067C1E26" w14:textId="77777777" w:rsidTr="00103505">
        <w:trPr>
          <w:trHeight w:val="329"/>
          <w:jc w:val="center"/>
        </w:trPr>
        <w:tc>
          <w:tcPr>
            <w:tcW w:w="1580" w:type="dxa"/>
            <w:noWrap/>
            <w:vAlign w:val="center"/>
            <w:hideMark/>
          </w:tcPr>
          <w:p w14:paraId="38F31C58" w14:textId="0E6B4771" w:rsidR="00926437" w:rsidRPr="000A3564" w:rsidRDefault="0D35DE04" w:rsidP="000A3564">
            <w:pPr>
              <w:ind w:right="-53"/>
              <w:jc w:val="left"/>
              <w:rPr>
                <w:color w:val="000000"/>
              </w:rPr>
            </w:pPr>
            <w:r w:rsidRPr="21FD5452">
              <w:t>$300,000,000</w:t>
            </w:r>
          </w:p>
        </w:tc>
        <w:tc>
          <w:tcPr>
            <w:tcW w:w="1747" w:type="dxa"/>
            <w:noWrap/>
            <w:vAlign w:val="center"/>
            <w:hideMark/>
          </w:tcPr>
          <w:p w14:paraId="63E96162" w14:textId="44A07CD0" w:rsidR="00926437" w:rsidRPr="000A3564" w:rsidRDefault="0D35DE04" w:rsidP="000A3564">
            <w:pPr>
              <w:jc w:val="left"/>
              <w:rPr>
                <w:color w:val="000000"/>
              </w:rPr>
            </w:pPr>
            <w:r w:rsidRPr="21FD5452">
              <w:t xml:space="preserve">   $400,000,000</w:t>
            </w:r>
          </w:p>
        </w:tc>
        <w:tc>
          <w:tcPr>
            <w:tcW w:w="805" w:type="dxa"/>
            <w:noWrap/>
            <w:vAlign w:val="center"/>
            <w:hideMark/>
          </w:tcPr>
          <w:p w14:paraId="0B49D880" w14:textId="010187A1" w:rsidR="00926437" w:rsidRPr="000A3564" w:rsidRDefault="00926437" w:rsidP="000A3564">
            <w:pPr>
              <w:jc w:val="center"/>
              <w:rPr>
                <w:color w:val="000000"/>
              </w:rPr>
            </w:pPr>
            <w:r w:rsidRPr="000A3564">
              <w:rPr>
                <w:color w:val="000000"/>
              </w:rPr>
              <w:t>0.06%</w:t>
            </w:r>
          </w:p>
        </w:tc>
        <w:tc>
          <w:tcPr>
            <w:tcW w:w="1365" w:type="dxa"/>
            <w:vAlign w:val="center"/>
            <w:hideMark/>
          </w:tcPr>
          <w:p w14:paraId="3DDB783F" w14:textId="5BE10B55" w:rsidR="00926437" w:rsidRPr="000A3564" w:rsidRDefault="0D35DE04" w:rsidP="000A3564">
            <w:pPr>
              <w:ind w:left="-20"/>
              <w:jc w:val="left"/>
              <w:rPr>
                <w:color w:val="000000"/>
              </w:rPr>
            </w:pPr>
            <w:r w:rsidRPr="21FD5452">
              <w:t xml:space="preserve">  $60,000</w:t>
            </w:r>
          </w:p>
        </w:tc>
        <w:tc>
          <w:tcPr>
            <w:tcW w:w="1610" w:type="dxa"/>
            <w:noWrap/>
            <w:vAlign w:val="center"/>
            <w:hideMark/>
          </w:tcPr>
          <w:p w14:paraId="627187E1" w14:textId="637C9890" w:rsidR="00926437" w:rsidRPr="000A3564" w:rsidRDefault="53380116" w:rsidP="000A3564">
            <w:pPr>
              <w:jc w:val="left"/>
              <w:rPr>
                <w:color w:val="000000"/>
              </w:rPr>
            </w:pPr>
            <w:r w:rsidRPr="21FD5452">
              <w:t xml:space="preserve">   </w:t>
            </w:r>
            <w:r w:rsidR="0D35DE04" w:rsidRPr="21FD5452">
              <w:t>$400,000,000</w:t>
            </w:r>
          </w:p>
        </w:tc>
        <w:tc>
          <w:tcPr>
            <w:tcW w:w="1079" w:type="dxa"/>
            <w:noWrap/>
            <w:vAlign w:val="center"/>
            <w:hideMark/>
          </w:tcPr>
          <w:p w14:paraId="3876A412" w14:textId="3DF5C09A" w:rsidR="00926437" w:rsidRPr="000A3564" w:rsidRDefault="0D35DE04" w:rsidP="000A3564">
            <w:pPr>
              <w:jc w:val="left"/>
              <w:rPr>
                <w:color w:val="000000"/>
              </w:rPr>
            </w:pPr>
            <w:r w:rsidRPr="21FD5452">
              <w:t>$500,000</w:t>
            </w:r>
          </w:p>
        </w:tc>
        <w:tc>
          <w:tcPr>
            <w:tcW w:w="1275" w:type="dxa"/>
            <w:noWrap/>
            <w:vAlign w:val="center"/>
            <w:hideMark/>
          </w:tcPr>
          <w:p w14:paraId="3A811E81" w14:textId="642D3AA3" w:rsidR="00926437" w:rsidRPr="000A3564" w:rsidRDefault="00926437" w:rsidP="000A3564">
            <w:pPr>
              <w:jc w:val="center"/>
              <w:rPr>
                <w:color w:val="000000"/>
              </w:rPr>
            </w:pPr>
            <w:r w:rsidRPr="000A3564">
              <w:rPr>
                <w:color w:val="000000"/>
              </w:rPr>
              <w:t>0.125%</w:t>
            </w:r>
          </w:p>
        </w:tc>
      </w:tr>
      <w:tr w:rsidR="00926437" w:rsidRPr="000A3564" w14:paraId="35DD7358" w14:textId="77777777" w:rsidTr="00103505">
        <w:trPr>
          <w:trHeight w:val="329"/>
          <w:jc w:val="center"/>
        </w:trPr>
        <w:tc>
          <w:tcPr>
            <w:tcW w:w="1580" w:type="dxa"/>
            <w:noWrap/>
            <w:vAlign w:val="center"/>
            <w:hideMark/>
          </w:tcPr>
          <w:p w14:paraId="629D3EC4" w14:textId="17EAAA31" w:rsidR="00926437" w:rsidRPr="000A3564" w:rsidRDefault="0D35DE04" w:rsidP="000A3564">
            <w:pPr>
              <w:ind w:right="-53"/>
              <w:jc w:val="left"/>
              <w:rPr>
                <w:color w:val="000000"/>
              </w:rPr>
            </w:pPr>
            <w:r w:rsidRPr="21FD5452">
              <w:t>$400,000,000</w:t>
            </w:r>
          </w:p>
        </w:tc>
        <w:tc>
          <w:tcPr>
            <w:tcW w:w="1747" w:type="dxa"/>
            <w:noWrap/>
            <w:vAlign w:val="center"/>
            <w:hideMark/>
          </w:tcPr>
          <w:p w14:paraId="06B1BCAB" w14:textId="208FCFE7" w:rsidR="00926437" w:rsidRPr="000A3564" w:rsidRDefault="0D35DE04" w:rsidP="000A3564">
            <w:pPr>
              <w:jc w:val="left"/>
              <w:rPr>
                <w:color w:val="000000"/>
              </w:rPr>
            </w:pPr>
            <w:r w:rsidRPr="21FD5452">
              <w:t xml:space="preserve">   $500,000,000</w:t>
            </w:r>
          </w:p>
        </w:tc>
        <w:tc>
          <w:tcPr>
            <w:tcW w:w="805" w:type="dxa"/>
            <w:noWrap/>
            <w:vAlign w:val="center"/>
            <w:hideMark/>
          </w:tcPr>
          <w:p w14:paraId="6B9FA224" w14:textId="0FD71D08" w:rsidR="00926437" w:rsidRPr="000A3564" w:rsidRDefault="00926437" w:rsidP="000A3564">
            <w:pPr>
              <w:jc w:val="center"/>
              <w:rPr>
                <w:color w:val="000000"/>
              </w:rPr>
            </w:pPr>
            <w:r w:rsidRPr="000A3564">
              <w:rPr>
                <w:color w:val="000000"/>
              </w:rPr>
              <w:t>0.05%</w:t>
            </w:r>
          </w:p>
        </w:tc>
        <w:tc>
          <w:tcPr>
            <w:tcW w:w="1365" w:type="dxa"/>
            <w:vAlign w:val="center"/>
            <w:hideMark/>
          </w:tcPr>
          <w:p w14:paraId="647DE149" w14:textId="482789F0" w:rsidR="00926437" w:rsidRPr="000A3564" w:rsidRDefault="0D35DE04" w:rsidP="000A3564">
            <w:pPr>
              <w:ind w:left="-20"/>
              <w:jc w:val="left"/>
              <w:rPr>
                <w:color w:val="000000"/>
              </w:rPr>
            </w:pPr>
            <w:r w:rsidRPr="21FD5452">
              <w:t xml:space="preserve">  $50,000</w:t>
            </w:r>
          </w:p>
        </w:tc>
        <w:tc>
          <w:tcPr>
            <w:tcW w:w="1610" w:type="dxa"/>
            <w:noWrap/>
            <w:vAlign w:val="center"/>
            <w:hideMark/>
          </w:tcPr>
          <w:p w14:paraId="2FD8C428" w14:textId="2FE39ECB" w:rsidR="00926437" w:rsidRPr="000A3564" w:rsidRDefault="53380116" w:rsidP="000A3564">
            <w:pPr>
              <w:jc w:val="left"/>
              <w:rPr>
                <w:color w:val="000000"/>
              </w:rPr>
            </w:pPr>
            <w:r w:rsidRPr="21FD5452">
              <w:t xml:space="preserve">   </w:t>
            </w:r>
            <w:r w:rsidR="0D35DE04" w:rsidRPr="21FD5452">
              <w:t>$500,000,000</w:t>
            </w:r>
          </w:p>
        </w:tc>
        <w:tc>
          <w:tcPr>
            <w:tcW w:w="1079" w:type="dxa"/>
            <w:noWrap/>
            <w:vAlign w:val="center"/>
            <w:hideMark/>
          </w:tcPr>
          <w:p w14:paraId="29E9F478" w14:textId="4A4FAD15" w:rsidR="00926437" w:rsidRPr="000A3564" w:rsidRDefault="0D35DE04" w:rsidP="000A3564">
            <w:pPr>
              <w:jc w:val="left"/>
              <w:rPr>
                <w:color w:val="000000"/>
              </w:rPr>
            </w:pPr>
            <w:r w:rsidRPr="21FD5452">
              <w:t>$550,000</w:t>
            </w:r>
          </w:p>
        </w:tc>
        <w:tc>
          <w:tcPr>
            <w:tcW w:w="1275" w:type="dxa"/>
            <w:noWrap/>
            <w:vAlign w:val="center"/>
            <w:hideMark/>
          </w:tcPr>
          <w:p w14:paraId="0F547371" w14:textId="5E9DBB74" w:rsidR="00926437" w:rsidRPr="000A3564" w:rsidRDefault="00926437" w:rsidP="000A3564">
            <w:pPr>
              <w:jc w:val="center"/>
              <w:rPr>
                <w:color w:val="000000"/>
              </w:rPr>
            </w:pPr>
            <w:r w:rsidRPr="000A3564">
              <w:rPr>
                <w:color w:val="000000"/>
              </w:rPr>
              <w:t>0.11%</w:t>
            </w:r>
          </w:p>
        </w:tc>
      </w:tr>
      <w:tr w:rsidR="00926437" w:rsidRPr="000A3564" w14:paraId="580D4403" w14:textId="77777777" w:rsidTr="00103505">
        <w:trPr>
          <w:trHeight w:val="329"/>
          <w:jc w:val="center"/>
        </w:trPr>
        <w:tc>
          <w:tcPr>
            <w:tcW w:w="1580" w:type="dxa"/>
            <w:noWrap/>
            <w:vAlign w:val="center"/>
            <w:hideMark/>
          </w:tcPr>
          <w:p w14:paraId="0B9EC0C7" w14:textId="1021D087" w:rsidR="00926437" w:rsidRPr="000A3564" w:rsidRDefault="00926437" w:rsidP="000A3564">
            <w:pPr>
              <w:ind w:right="-53"/>
              <w:jc w:val="left"/>
              <w:rPr>
                <w:color w:val="000000"/>
              </w:rPr>
            </w:pPr>
            <w:r w:rsidRPr="000A3564">
              <w:rPr>
                <w:color w:val="000000"/>
              </w:rPr>
              <w:t>$ 500,000,000</w:t>
            </w:r>
          </w:p>
        </w:tc>
        <w:tc>
          <w:tcPr>
            <w:tcW w:w="1747" w:type="dxa"/>
            <w:noWrap/>
            <w:vAlign w:val="center"/>
            <w:hideMark/>
          </w:tcPr>
          <w:p w14:paraId="5C43CDCC" w14:textId="6DAFE893" w:rsidR="00926437" w:rsidRPr="000A3564" w:rsidRDefault="0D35DE04" w:rsidP="000A3564">
            <w:pPr>
              <w:jc w:val="left"/>
              <w:rPr>
                <w:color w:val="000000"/>
              </w:rPr>
            </w:pPr>
            <w:r w:rsidRPr="21FD5452">
              <w:t>$1,000,000,000</w:t>
            </w:r>
          </w:p>
        </w:tc>
        <w:tc>
          <w:tcPr>
            <w:tcW w:w="805" w:type="dxa"/>
            <w:noWrap/>
            <w:vAlign w:val="center"/>
            <w:hideMark/>
          </w:tcPr>
          <w:p w14:paraId="303AFC41" w14:textId="63DB55DA" w:rsidR="00926437" w:rsidRPr="000A3564" w:rsidRDefault="00926437" w:rsidP="000A3564">
            <w:pPr>
              <w:jc w:val="center"/>
              <w:rPr>
                <w:color w:val="000000"/>
              </w:rPr>
            </w:pPr>
            <w:r w:rsidRPr="000A3564">
              <w:rPr>
                <w:color w:val="000000"/>
              </w:rPr>
              <w:t>0.04%</w:t>
            </w:r>
          </w:p>
        </w:tc>
        <w:tc>
          <w:tcPr>
            <w:tcW w:w="1365" w:type="dxa"/>
            <w:noWrap/>
            <w:vAlign w:val="center"/>
            <w:hideMark/>
          </w:tcPr>
          <w:p w14:paraId="61EC07BA" w14:textId="107A4977" w:rsidR="00926437" w:rsidRPr="000A3564" w:rsidRDefault="0D35DE04" w:rsidP="000A3564">
            <w:pPr>
              <w:ind w:left="-20"/>
              <w:jc w:val="left"/>
              <w:rPr>
                <w:color w:val="000000"/>
              </w:rPr>
            </w:pPr>
            <w:r w:rsidRPr="21FD5452">
              <w:t>$200,000</w:t>
            </w:r>
          </w:p>
        </w:tc>
        <w:tc>
          <w:tcPr>
            <w:tcW w:w="1610" w:type="dxa"/>
            <w:noWrap/>
            <w:vAlign w:val="center"/>
            <w:hideMark/>
          </w:tcPr>
          <w:p w14:paraId="642FFB68" w14:textId="3E6109A9" w:rsidR="00926437" w:rsidRPr="000A3564" w:rsidRDefault="0D35DE04" w:rsidP="000A3564">
            <w:pPr>
              <w:jc w:val="left"/>
              <w:rPr>
                <w:color w:val="000000"/>
              </w:rPr>
            </w:pPr>
            <w:r w:rsidRPr="21FD5452">
              <w:t>$1,000,000,000</w:t>
            </w:r>
          </w:p>
        </w:tc>
        <w:tc>
          <w:tcPr>
            <w:tcW w:w="1079" w:type="dxa"/>
            <w:noWrap/>
            <w:vAlign w:val="center"/>
            <w:hideMark/>
          </w:tcPr>
          <w:p w14:paraId="1FCCA1D8" w14:textId="2BBC7169" w:rsidR="00926437" w:rsidRPr="000A3564" w:rsidRDefault="0D35DE04" w:rsidP="000A3564">
            <w:pPr>
              <w:jc w:val="left"/>
              <w:rPr>
                <w:color w:val="000000"/>
              </w:rPr>
            </w:pPr>
            <w:r w:rsidRPr="21FD5452">
              <w:t>$750,000</w:t>
            </w:r>
          </w:p>
        </w:tc>
        <w:tc>
          <w:tcPr>
            <w:tcW w:w="1275" w:type="dxa"/>
            <w:noWrap/>
            <w:vAlign w:val="center"/>
            <w:hideMark/>
          </w:tcPr>
          <w:p w14:paraId="0869A5E0" w14:textId="6F72A722" w:rsidR="00926437" w:rsidRPr="000A3564" w:rsidRDefault="00926437" w:rsidP="000A3564">
            <w:pPr>
              <w:jc w:val="center"/>
              <w:rPr>
                <w:color w:val="000000"/>
              </w:rPr>
            </w:pPr>
            <w:r w:rsidRPr="000A3564">
              <w:rPr>
                <w:color w:val="000000"/>
              </w:rPr>
              <w:t>0.075%</w:t>
            </w:r>
          </w:p>
        </w:tc>
      </w:tr>
    </w:tbl>
    <w:p w14:paraId="3833832D" w14:textId="77777777" w:rsidR="000E1DA9" w:rsidRPr="000A3564" w:rsidRDefault="000E1DA9" w:rsidP="000A3564">
      <w:pPr>
        <w:rPr>
          <w:b/>
          <w:bCs/>
          <w:color w:val="6586A4"/>
          <w:sz w:val="6"/>
          <w:szCs w:val="6"/>
        </w:rPr>
      </w:pPr>
    </w:p>
    <w:p w14:paraId="024D5C6B" w14:textId="2169D175" w:rsidR="009554AD" w:rsidRPr="000A3564" w:rsidRDefault="00495AF0" w:rsidP="000A3564">
      <w:pPr>
        <w:pStyle w:val="ListParagraph"/>
        <w:spacing w:before="120"/>
        <w:ind w:left="187" w:right="720" w:hanging="187"/>
        <w:contextualSpacing w:val="0"/>
        <w:rPr>
          <w:i/>
          <w:iCs/>
        </w:rPr>
      </w:pPr>
      <w:r w:rsidRPr="000A3564">
        <w:t xml:space="preserve">       * Note:  </w:t>
      </w:r>
      <w:r w:rsidRPr="000A3564">
        <w:rPr>
          <w:i/>
          <w:iCs/>
        </w:rPr>
        <w:t xml:space="preserve">For Clients with assets under management of </w:t>
      </w:r>
      <w:r w:rsidRPr="000A3564">
        <w:rPr>
          <w:i/>
          <w:iCs/>
          <w:u w:val="single" w:color="000000" w:themeColor="text1"/>
        </w:rPr>
        <w:t>under $4 million</w:t>
      </w:r>
      <w:r w:rsidRPr="000A3564">
        <w:rPr>
          <w:i/>
          <w:iCs/>
        </w:rPr>
        <w:t xml:space="preserve">, the fee will be </w:t>
      </w:r>
      <w:r w:rsidRPr="000A3564">
        <w:rPr>
          <w:b/>
          <w:bCs/>
          <w:i/>
          <w:iCs/>
        </w:rPr>
        <w:t>0.75%</w:t>
      </w:r>
      <w:r w:rsidRPr="000A3564">
        <w:rPr>
          <w:i/>
          <w:iCs/>
        </w:rPr>
        <w:t>,</w:t>
      </w:r>
      <w:r w:rsidR="009554AD" w:rsidRPr="000A3564">
        <w:rPr>
          <w:i/>
          <w:iCs/>
        </w:rPr>
        <w:t xml:space="preserve"> with a</w:t>
      </w:r>
    </w:p>
    <w:p w14:paraId="67C79EDD" w14:textId="73953A49" w:rsidR="009554AD" w:rsidRPr="000A3564" w:rsidRDefault="009554AD" w:rsidP="000A3564">
      <w:pPr>
        <w:pStyle w:val="ListParagraph"/>
        <w:ind w:left="187" w:right="274" w:hanging="187"/>
        <w:contextualSpacing w:val="0"/>
        <w:jc w:val="left"/>
        <w:rPr>
          <w:i/>
          <w:iCs/>
        </w:rPr>
      </w:pPr>
      <w:r w:rsidRPr="000A3564">
        <w:t xml:space="preserve">                    </w:t>
      </w:r>
      <w:r w:rsidR="00495AF0" w:rsidRPr="000A3564">
        <w:rPr>
          <w:i/>
          <w:iCs/>
          <w:u w:val="single" w:color="000000" w:themeColor="text1"/>
        </w:rPr>
        <w:t>minimum annual fee of $25,000</w:t>
      </w:r>
      <w:r w:rsidR="00495AF0" w:rsidRPr="000A3564">
        <w:rPr>
          <w:i/>
          <w:iCs/>
        </w:rPr>
        <w:t>. Clients with assets under management of over $4 million</w:t>
      </w:r>
    </w:p>
    <w:p w14:paraId="7CB7CF11" w14:textId="7C3E724B" w:rsidR="00495AF0" w:rsidRPr="006259CB" w:rsidRDefault="009554AD" w:rsidP="000A3564">
      <w:pPr>
        <w:pStyle w:val="ListParagraph"/>
        <w:ind w:left="187" w:right="274" w:hanging="187"/>
        <w:contextualSpacing w:val="0"/>
        <w:jc w:val="left"/>
      </w:pPr>
      <w:r w:rsidRPr="000A3564">
        <w:rPr>
          <w:i/>
          <w:iCs/>
        </w:rPr>
        <w:t xml:space="preserve">                    </w:t>
      </w:r>
      <w:r w:rsidR="00495AF0" w:rsidRPr="000A3564">
        <w:rPr>
          <w:i/>
          <w:iCs/>
        </w:rPr>
        <w:t xml:space="preserve">will incur an annual fee of </w:t>
      </w:r>
      <w:r w:rsidR="00495AF0" w:rsidRPr="000A3564">
        <w:rPr>
          <w:b/>
          <w:bCs/>
          <w:i/>
          <w:iCs/>
        </w:rPr>
        <w:t>0.50%</w:t>
      </w:r>
      <w:r w:rsidR="00495AF0" w:rsidRPr="000A3564">
        <w:rPr>
          <w:i/>
          <w:iCs/>
        </w:rPr>
        <w:t xml:space="preserve"> on the first </w:t>
      </w:r>
      <w:r w:rsidR="00495AF0" w:rsidRPr="000A3564">
        <w:rPr>
          <w:i/>
          <w:iCs/>
          <w:u w:val="single" w:color="000000" w:themeColor="text1"/>
        </w:rPr>
        <w:t>$15 million</w:t>
      </w:r>
      <w:r w:rsidR="00495AF0" w:rsidRPr="000A3564">
        <w:t>.</w:t>
      </w:r>
      <w:r w:rsidR="00495AF0" w:rsidRPr="006259CB">
        <w:t xml:space="preserve"> </w:t>
      </w:r>
    </w:p>
    <w:p w14:paraId="0CB33E9F" w14:textId="77777777" w:rsidR="00E21A2F" w:rsidRPr="006259CB" w:rsidRDefault="00E21A2F" w:rsidP="000A3564"/>
    <w:p w14:paraId="7FEC097C" w14:textId="3534D2A6" w:rsidR="007D04AD" w:rsidRPr="006259CB" w:rsidRDefault="76EA2B32" w:rsidP="00873720">
      <w:pPr>
        <w:pStyle w:val="Heading2"/>
        <w:rPr>
          <w:b/>
          <w:bCs/>
        </w:rPr>
      </w:pPr>
      <w:bookmarkStart w:id="38" w:name="_Toc194300674"/>
      <w:bookmarkStart w:id="39" w:name="_Toc225322719"/>
      <w:r w:rsidRPr="21FD5452">
        <w:rPr>
          <w:b/>
          <w:bCs/>
        </w:rPr>
        <w:t>Professional</w:t>
      </w:r>
      <w:r w:rsidR="2C297F51" w:rsidRPr="21FD5452">
        <w:rPr>
          <w:b/>
          <w:bCs/>
        </w:rPr>
        <w:t xml:space="preserve"> Services Fees</w:t>
      </w:r>
      <w:bookmarkEnd w:id="38"/>
      <w:bookmarkEnd w:id="39"/>
    </w:p>
    <w:p w14:paraId="2E2F5226" w14:textId="19440D1B" w:rsidR="009E7EB2" w:rsidRPr="006259CB" w:rsidRDefault="00D5708C" w:rsidP="00873720">
      <w:pPr>
        <w:rPr>
          <w:rFonts w:eastAsia="Calibri"/>
          <w:color w:val="auto"/>
        </w:rPr>
      </w:pPr>
      <w:r w:rsidRPr="006259CB">
        <w:t xml:space="preserve">Fees for </w:t>
      </w:r>
      <w:r w:rsidR="0048579A" w:rsidRPr="006259CB">
        <w:rPr>
          <w:b/>
          <w:bCs/>
        </w:rPr>
        <w:t>Professional Services</w:t>
      </w:r>
      <w:r w:rsidR="00593727" w:rsidRPr="006259CB">
        <w:t xml:space="preserve"> </w:t>
      </w:r>
      <w:r w:rsidRPr="006259CB">
        <w:t xml:space="preserve">are based on a </w:t>
      </w:r>
      <w:r w:rsidRPr="006259CB">
        <w:rPr>
          <w:u w:val="single"/>
        </w:rPr>
        <w:t>retainer</w:t>
      </w:r>
      <w:r w:rsidRPr="006259CB">
        <w:t>,</w:t>
      </w:r>
      <w:r w:rsidR="00593727" w:rsidRPr="006259CB">
        <w:t xml:space="preserve"> an </w:t>
      </w:r>
      <w:r w:rsidRPr="006259CB">
        <w:rPr>
          <w:u w:val="single"/>
        </w:rPr>
        <w:t>hourly rate</w:t>
      </w:r>
      <w:r w:rsidR="00593727" w:rsidRPr="006259CB">
        <w:rPr>
          <w:u w:val="single"/>
        </w:rPr>
        <w:t xml:space="preserve"> of </w:t>
      </w:r>
      <w:r w:rsidR="009E7EB2" w:rsidRPr="006259CB">
        <w:rPr>
          <w:u w:val="single"/>
        </w:rPr>
        <w:t>$</w:t>
      </w:r>
      <w:r w:rsidR="0048579A" w:rsidRPr="006259CB">
        <w:rPr>
          <w:u w:val="single"/>
        </w:rPr>
        <w:t>250</w:t>
      </w:r>
      <w:r w:rsidR="009E7EB2" w:rsidRPr="006259CB">
        <w:rPr>
          <w:u w:val="single"/>
        </w:rPr>
        <w:t xml:space="preserve"> to $</w:t>
      </w:r>
      <w:r w:rsidR="0048579A" w:rsidRPr="006259CB">
        <w:rPr>
          <w:u w:val="single"/>
        </w:rPr>
        <w:t>750</w:t>
      </w:r>
      <w:r w:rsidR="009E7EB2" w:rsidRPr="006259CB">
        <w:t xml:space="preserve"> </w:t>
      </w:r>
      <w:r w:rsidRPr="006259CB">
        <w:t xml:space="preserve">or </w:t>
      </w:r>
      <w:r w:rsidR="00593727" w:rsidRPr="006259CB">
        <w:t xml:space="preserve">an </w:t>
      </w:r>
      <w:r w:rsidRPr="006259CB">
        <w:rPr>
          <w:u w:val="single"/>
        </w:rPr>
        <w:t>annual fee</w:t>
      </w:r>
      <w:r w:rsidRPr="006259CB">
        <w:t xml:space="preserve"> as agreed upon between Baker Street and the Client. </w:t>
      </w:r>
      <w:r w:rsidR="009E7EB2" w:rsidRPr="006259CB">
        <w:rPr>
          <w:rFonts w:eastAsia="Calibri"/>
          <w:color w:val="auto"/>
        </w:rPr>
        <w:t>Hourly fees are negotiable based on the nature and complexity of the services to be provided and the overall relationship with us. We provide you with an estimate for total hours and overall costs for your review and approval prior to engaging us for these services.</w:t>
      </w:r>
    </w:p>
    <w:p w14:paraId="16F700EC" w14:textId="77777777" w:rsidR="00E75AA4" w:rsidRPr="006259CB" w:rsidRDefault="00E75AA4" w:rsidP="00873720"/>
    <w:p w14:paraId="023E8050" w14:textId="77777777" w:rsidR="007C73FA" w:rsidRPr="006259CB" w:rsidRDefault="007C73FA" w:rsidP="00873720">
      <w:pPr>
        <w:pStyle w:val="Paragraph"/>
      </w:pPr>
      <w:bookmarkStart w:id="40" w:name="_Toc193886405"/>
      <w:r w:rsidRPr="006259CB">
        <w:t>Advisory Fee Calculation, Billing &amp; Refunds</w:t>
      </w:r>
      <w:bookmarkEnd w:id="40"/>
    </w:p>
    <w:p w14:paraId="3ADC2BDD" w14:textId="7AB360C5" w:rsidR="00231762" w:rsidRPr="006259CB" w:rsidRDefault="00231762" w:rsidP="00873720">
      <w:r w:rsidRPr="006259CB">
        <w:t xml:space="preserve">Fees for Clients who </w:t>
      </w:r>
      <w:r w:rsidRPr="006259CB">
        <w:rPr>
          <w:i/>
          <w:iCs/>
        </w:rPr>
        <w:t>do not</w:t>
      </w:r>
      <w:r w:rsidRPr="006259CB">
        <w:t xml:space="preserve"> have accounts at SEI </w:t>
      </w:r>
      <w:r w:rsidR="00743BDA" w:rsidRPr="006259CB">
        <w:t xml:space="preserve">Investments Company (“SEI”) </w:t>
      </w:r>
      <w:r w:rsidRPr="006259CB">
        <w:t xml:space="preserve">are </w:t>
      </w:r>
      <w:r w:rsidRPr="006259CB">
        <w:rPr>
          <w:u w:val="single"/>
        </w:rPr>
        <w:t>billed quarterly in advance</w:t>
      </w:r>
      <w:r w:rsidRPr="006259CB">
        <w:t xml:space="preserve"> of one-fourth of the annual rate based on a percentage of the Client's assets under management at the end of the calendar quarter. Investment advisory services begin with the effective date of the Advisory Agreement, which is the date the Client signs the Agreement. For that calendar quarter, fees will be adjusted pro</w:t>
      </w:r>
      <w:r w:rsidR="003628D8" w:rsidRPr="006259CB">
        <w:t xml:space="preserve"> </w:t>
      </w:r>
      <w:r w:rsidRPr="006259CB">
        <w:t xml:space="preserve">rata based on the number of calendar days in the calendar quarter </w:t>
      </w:r>
      <w:r w:rsidR="00390FEC" w:rsidRPr="006259CB">
        <w:t>for which</w:t>
      </w:r>
      <w:r w:rsidRPr="006259CB">
        <w:t xml:space="preserve"> </w:t>
      </w:r>
      <w:r w:rsidR="00390FEC" w:rsidRPr="006259CB">
        <w:t xml:space="preserve">the </w:t>
      </w:r>
      <w:r w:rsidRPr="006259CB">
        <w:t xml:space="preserve">Agreement was effective. </w:t>
      </w:r>
    </w:p>
    <w:p w14:paraId="2B8BA37D" w14:textId="77777777" w:rsidR="00231762" w:rsidRPr="006259CB" w:rsidRDefault="00231762" w:rsidP="00873720"/>
    <w:p w14:paraId="270BC2F6" w14:textId="2B9B8490" w:rsidR="00231762" w:rsidRPr="006259CB" w:rsidRDefault="00231762" w:rsidP="00873720">
      <w:r w:rsidRPr="006259CB">
        <w:t>Fees for Clients who have accounts at SEI</w:t>
      </w:r>
      <w:r w:rsidR="00BA2FEF" w:rsidRPr="006259CB">
        <w:t xml:space="preserve"> </w:t>
      </w:r>
      <w:r w:rsidRPr="006259CB">
        <w:t xml:space="preserve">are </w:t>
      </w:r>
      <w:r w:rsidRPr="006259CB">
        <w:rPr>
          <w:u w:val="single"/>
        </w:rPr>
        <w:t>billed quarterly in arrears</w:t>
      </w:r>
      <w:r w:rsidRPr="006259CB">
        <w:t xml:space="preserve"> of one-fourth of the annual rate based on a percentage of the Client's assets under management at the end of the calendar quarter. Investment advisory services begin with the effective date of the</w:t>
      </w:r>
      <w:r w:rsidR="00982A6C" w:rsidRPr="006259CB">
        <w:t xml:space="preserve"> </w:t>
      </w:r>
      <w:r w:rsidRPr="006259CB">
        <w:t>Advisory Agreement, which is the date the Client signs the Agreement. For that calendar quarter, fees will be adjusted pro</w:t>
      </w:r>
      <w:r w:rsidR="003628D8" w:rsidRPr="006259CB">
        <w:t xml:space="preserve"> </w:t>
      </w:r>
      <w:r w:rsidRPr="006259CB">
        <w:t xml:space="preserve">rata based on the number of calendar days in the calendar quarter </w:t>
      </w:r>
      <w:r w:rsidR="00390FEC" w:rsidRPr="006259CB">
        <w:t>for which</w:t>
      </w:r>
      <w:r w:rsidRPr="006259CB">
        <w:t xml:space="preserve"> the Agreement was effective. </w:t>
      </w:r>
    </w:p>
    <w:p w14:paraId="094314F6" w14:textId="77777777" w:rsidR="00231762" w:rsidRPr="006259CB" w:rsidRDefault="00231762" w:rsidP="00873720"/>
    <w:p w14:paraId="6D87E0AE" w14:textId="1C7C4DD4" w:rsidR="00231762" w:rsidRPr="006259CB" w:rsidRDefault="00231762" w:rsidP="00873720">
      <w:r w:rsidRPr="006259CB">
        <w:t xml:space="preserve">Clients that have assets under management of </w:t>
      </w:r>
      <w:r w:rsidRPr="006259CB">
        <w:rPr>
          <w:u w:val="single"/>
        </w:rPr>
        <w:t>less than $4 million</w:t>
      </w:r>
      <w:r w:rsidRPr="006259CB">
        <w:t xml:space="preserve"> will be subject to an </w:t>
      </w:r>
      <w:r w:rsidRPr="006259CB">
        <w:rPr>
          <w:u w:val="single"/>
        </w:rPr>
        <w:t>annual fee of .75%</w:t>
      </w:r>
      <w:r w:rsidRPr="006259CB">
        <w:t xml:space="preserve">, with a </w:t>
      </w:r>
      <w:r w:rsidRPr="006259CB">
        <w:rPr>
          <w:u w:val="single"/>
        </w:rPr>
        <w:t>minimum annual fee of $25,000</w:t>
      </w:r>
      <w:r w:rsidRPr="006259CB">
        <w:t xml:space="preserve">, calculated as described </w:t>
      </w:r>
      <w:r w:rsidR="001B6AAC" w:rsidRPr="006259CB">
        <w:t>previously</w:t>
      </w:r>
      <w:r w:rsidRPr="006259CB">
        <w:t xml:space="preserve">. Clients that have assets under management of </w:t>
      </w:r>
      <w:r w:rsidRPr="006259CB">
        <w:rPr>
          <w:u w:val="single"/>
        </w:rPr>
        <w:t>over $4 million</w:t>
      </w:r>
      <w:r w:rsidRPr="006259CB">
        <w:t xml:space="preserve"> will be subject to an </w:t>
      </w:r>
      <w:r w:rsidRPr="006259CB">
        <w:rPr>
          <w:u w:val="single"/>
        </w:rPr>
        <w:t>annual fee of .50% on the first $15 million</w:t>
      </w:r>
      <w:r w:rsidRPr="006259CB">
        <w:t xml:space="preserve"> of assets under management.  </w:t>
      </w:r>
    </w:p>
    <w:p w14:paraId="10C35FB6" w14:textId="77777777" w:rsidR="00231762" w:rsidRPr="006259CB" w:rsidRDefault="00231762" w:rsidP="00873720"/>
    <w:p w14:paraId="16E09631" w14:textId="3297ACDC" w:rsidR="007849C8" w:rsidRPr="006259CB" w:rsidRDefault="00231762" w:rsidP="00873720">
      <w:r w:rsidRPr="006259CB">
        <w:t>The portfolio value upon which the percentage fee is based will include the current fair market value of all of the Client'</w:t>
      </w:r>
      <w:r w:rsidR="00390FEC" w:rsidRPr="006259CB">
        <w:t>s</w:t>
      </w:r>
      <w:r w:rsidRPr="006259CB">
        <w:t xml:space="preserve"> investments managed by Baker Street</w:t>
      </w:r>
      <w:r w:rsidR="006D3563" w:rsidRPr="006259CB">
        <w:t xml:space="preserve"> unless specificall</w:t>
      </w:r>
      <w:r w:rsidR="00A41129" w:rsidRPr="006259CB">
        <w:t>y excluded as mutually agreed upon by the Advisor and the Client</w:t>
      </w:r>
      <w:r w:rsidRPr="006259CB">
        <w:t>.</w:t>
      </w:r>
      <w:r w:rsidR="008451A3" w:rsidRPr="006259CB">
        <w:t xml:space="preserve">  Any exclusion</w:t>
      </w:r>
      <w:r w:rsidR="002066CB" w:rsidRPr="006259CB">
        <w:t>s</w:t>
      </w:r>
      <w:r w:rsidR="008451A3" w:rsidRPr="006259CB">
        <w:t xml:space="preserve"> will be documented in the</w:t>
      </w:r>
      <w:r w:rsidR="00771971" w:rsidRPr="006259CB">
        <w:t xml:space="preserve"> </w:t>
      </w:r>
      <w:r w:rsidR="008451A3" w:rsidRPr="006259CB">
        <w:t>Agreement.</w:t>
      </w:r>
      <w:r w:rsidRPr="006259CB">
        <w:t xml:space="preserve"> These investments may consist of mutual funds, exchange-traded funds, limited partnerships, fixed and variable annuity accounts, stocks, bonds, and other securities selected by the Investment Managers. While the Clients' custodians readily price the majority of holdings in Client portfolios, certain investments, such as private funds, may require Baker Street to obtain valuations from the fund Investment Managers, utilize the investment cost, or utilize fair valuation based on estimates received from the Investment Managers. As such, valuation utilized for the purpose of reporting and fee calculation may differ from that reflected on a Client's custodial statement. </w:t>
      </w:r>
    </w:p>
    <w:p w14:paraId="19F87BC3" w14:textId="77777777" w:rsidR="007849C8" w:rsidRPr="006259CB" w:rsidRDefault="007849C8" w:rsidP="00873720"/>
    <w:p w14:paraId="623BC9AC" w14:textId="61E75090" w:rsidR="005F4CE3" w:rsidRPr="006259CB" w:rsidRDefault="00231762" w:rsidP="00873720">
      <w:pPr>
        <w:rPr>
          <w:rStyle w:val="Strong"/>
          <w:b w:val="0"/>
          <w:bCs w:val="0"/>
        </w:rPr>
      </w:pPr>
      <w:r w:rsidRPr="006259CB">
        <w:t xml:space="preserve">Clients should be aware of their responsibility to verify the accuracy of the fee calculation submitted to their custodians by </w:t>
      </w:r>
      <w:r w:rsidR="008D490D" w:rsidRPr="006259CB">
        <w:t>t</w:t>
      </w:r>
      <w:r w:rsidRPr="006259CB">
        <w:t xml:space="preserve">he Adviser, as the custodian will not determine whether the fee has been properly calculated. </w:t>
      </w:r>
      <w:r w:rsidR="00157785" w:rsidRPr="000A3564">
        <w:t>C</w:t>
      </w:r>
      <w:r w:rsidR="005F4CE3" w:rsidRPr="000A3564">
        <w:rPr>
          <w:rStyle w:val="Strong"/>
          <w:b w:val="0"/>
          <w:bCs w:val="0"/>
        </w:rPr>
        <w:t xml:space="preserve">lients </w:t>
      </w:r>
      <w:r w:rsidR="005F4CE3" w:rsidRPr="000A3564">
        <w:rPr>
          <w:rStyle w:val="Strong"/>
          <w:b w:val="0"/>
          <w:bCs w:val="0"/>
        </w:rPr>
        <w:lastRenderedPageBreak/>
        <w:t>will receive account statements directly from their custodian at least quarterly, showing all amounts disbursed from their account, including advisory fees.</w:t>
      </w:r>
    </w:p>
    <w:p w14:paraId="445B0263" w14:textId="77777777" w:rsidR="0036173E" w:rsidRPr="006259CB" w:rsidRDefault="0036173E" w:rsidP="00873720">
      <w:pPr>
        <w:rPr>
          <w:b/>
          <w:bCs/>
        </w:rPr>
      </w:pPr>
    </w:p>
    <w:p w14:paraId="1F3B59DE" w14:textId="77777777" w:rsidR="00A43698" w:rsidRPr="006259CB" w:rsidRDefault="00A43698" w:rsidP="00873720">
      <w:pPr>
        <w:pStyle w:val="Paragraph"/>
      </w:pPr>
      <w:bookmarkStart w:id="41" w:name="_Toc193886412"/>
      <w:r w:rsidRPr="006259CB">
        <w:t>Method of Advisory Fee Payment</w:t>
      </w:r>
      <w:bookmarkEnd w:id="41"/>
    </w:p>
    <w:p w14:paraId="23EBE940" w14:textId="047D1828" w:rsidR="009843AA" w:rsidRPr="006259CB" w:rsidRDefault="009843AA" w:rsidP="00873720">
      <w:pPr>
        <w:widowControl w:val="0"/>
        <w:autoSpaceDE w:val="0"/>
        <w:autoSpaceDN w:val="0"/>
        <w:rPr>
          <w:rFonts w:eastAsia="Arial MT"/>
          <w:color w:val="010101"/>
        </w:rPr>
      </w:pPr>
      <w:r w:rsidRPr="006259CB">
        <w:rPr>
          <w:rFonts w:eastAsia="Arial MT"/>
          <w:color w:val="010101"/>
        </w:rPr>
        <w:t xml:space="preserve">Clients have several options to pay their Baker Street advisory fees and will indicate their preference on the Agreement they execute with us.  The </w:t>
      </w:r>
      <w:r w:rsidR="00781EFD" w:rsidRPr="006259CB">
        <w:rPr>
          <w:rFonts w:eastAsia="Arial MT"/>
          <w:color w:val="010101"/>
        </w:rPr>
        <w:t>Client</w:t>
      </w:r>
      <w:r w:rsidRPr="006259CB">
        <w:rPr>
          <w:rFonts w:eastAsia="Arial MT"/>
          <w:color w:val="010101"/>
        </w:rPr>
        <w:t xml:space="preserve"> may choose to have our advisory fees (1) </w:t>
      </w:r>
      <w:r w:rsidRPr="006259CB">
        <w:rPr>
          <w:rFonts w:eastAsia="Arial MT"/>
          <w:color w:val="010101"/>
          <w:u w:val="single"/>
        </w:rPr>
        <w:t>directly debited</w:t>
      </w:r>
      <w:r w:rsidRPr="006259CB">
        <w:rPr>
          <w:rFonts w:eastAsia="Arial MT"/>
          <w:color w:val="010101"/>
        </w:rPr>
        <w:t xml:space="preserve"> from their account assets held at their custodian or (2) </w:t>
      </w:r>
      <w:r w:rsidRPr="006259CB">
        <w:rPr>
          <w:rFonts w:eastAsia="Arial MT"/>
          <w:color w:val="010101"/>
          <w:u w:val="single"/>
        </w:rPr>
        <w:t>billed</w:t>
      </w:r>
      <w:r w:rsidRPr="006259CB">
        <w:rPr>
          <w:rFonts w:eastAsia="Arial MT"/>
          <w:color w:val="010101"/>
        </w:rPr>
        <w:t xml:space="preserve"> and be responsible for remitting their payment themselves.   </w:t>
      </w:r>
    </w:p>
    <w:p w14:paraId="2C60047B" w14:textId="77777777" w:rsidR="009843AA" w:rsidRPr="006259CB" w:rsidRDefault="009843AA" w:rsidP="00873720">
      <w:pPr>
        <w:widowControl w:val="0"/>
        <w:autoSpaceDE w:val="0"/>
        <w:autoSpaceDN w:val="0"/>
        <w:rPr>
          <w:rFonts w:eastAsia="Arial MT"/>
          <w:color w:val="010101"/>
        </w:rPr>
      </w:pPr>
    </w:p>
    <w:p w14:paraId="7A98C06A" w14:textId="77777777" w:rsidR="009843AA" w:rsidRPr="006259CB" w:rsidRDefault="009843AA" w:rsidP="00873720">
      <w:pPr>
        <w:widowControl w:val="0"/>
        <w:autoSpaceDE w:val="0"/>
        <w:autoSpaceDN w:val="0"/>
        <w:rPr>
          <w:rFonts w:eastAsia="Arial MT"/>
          <w:b/>
          <w:bCs/>
          <w:color w:val="010101"/>
        </w:rPr>
      </w:pPr>
      <w:r w:rsidRPr="006259CB">
        <w:rPr>
          <w:rFonts w:eastAsia="Arial MT"/>
          <w:b/>
          <w:bCs/>
          <w:color w:val="010101"/>
        </w:rPr>
        <w:t>The process for each payment option follows:</w:t>
      </w:r>
    </w:p>
    <w:p w14:paraId="511AABA0" w14:textId="77777777" w:rsidR="009843AA" w:rsidRPr="006259CB" w:rsidRDefault="009843AA" w:rsidP="00873720">
      <w:pPr>
        <w:widowControl w:val="0"/>
        <w:autoSpaceDE w:val="0"/>
        <w:autoSpaceDN w:val="0"/>
        <w:rPr>
          <w:rFonts w:eastAsia="Arial MT"/>
          <w:color w:val="010101"/>
        </w:rPr>
      </w:pPr>
    </w:p>
    <w:p w14:paraId="43D8B511" w14:textId="6C46B08B" w:rsidR="009843AA" w:rsidRPr="006259CB" w:rsidRDefault="009843AA" w:rsidP="00873720">
      <w:pPr>
        <w:widowControl w:val="0"/>
        <w:autoSpaceDE w:val="0"/>
        <w:autoSpaceDN w:val="0"/>
        <w:ind w:left="360" w:right="360"/>
        <w:rPr>
          <w:rFonts w:eastAsia="Arial MT"/>
          <w:lang w:bidi="en-US"/>
        </w:rPr>
      </w:pPr>
      <w:r w:rsidRPr="006259CB">
        <w:rPr>
          <w:rFonts w:eastAsia="Arial MT"/>
          <w:b/>
          <w:bCs/>
          <w:i/>
          <w:iCs/>
          <w:lang w:bidi="en-US"/>
        </w:rPr>
        <w:t>Directly Debited Fees</w:t>
      </w:r>
      <w:r w:rsidRPr="006259CB">
        <w:rPr>
          <w:rFonts w:eastAsia="Arial MT"/>
          <w:lang w:bidi="en-US"/>
        </w:rPr>
        <w:t xml:space="preserve"> - Clients who wish to have their fees directly debited will provide written limited authorization instructions to their custodian, directing them to allow Baker Street to withdraw any advisory fees due.  The limited authorization will authorize the Adviser to invoice the custodian directly for the </w:t>
      </w:r>
      <w:r w:rsidR="00781EFD" w:rsidRPr="006259CB">
        <w:rPr>
          <w:rFonts w:eastAsia="Arial MT"/>
          <w:lang w:bidi="en-US"/>
        </w:rPr>
        <w:t>Client</w:t>
      </w:r>
      <w:r w:rsidRPr="006259CB">
        <w:rPr>
          <w:rFonts w:eastAsia="Arial MT"/>
          <w:lang w:bidi="en-US"/>
        </w:rPr>
        <w:t xml:space="preserve">'s advisory fees and instruct the custodian to debit any fees from the </w:t>
      </w:r>
      <w:r w:rsidR="00781EFD" w:rsidRPr="006259CB">
        <w:rPr>
          <w:rFonts w:eastAsia="Arial MT"/>
          <w:lang w:bidi="en-US"/>
        </w:rPr>
        <w:t>Client</w:t>
      </w:r>
      <w:r w:rsidRPr="006259CB">
        <w:rPr>
          <w:rFonts w:eastAsia="Arial MT"/>
          <w:lang w:bidi="en-US"/>
        </w:rPr>
        <w:t xml:space="preserve">'s custodial account automatically.  After each advisory fee payment transfer, the written instructions will also request that the custodian provide a "transfer of funds" notice to the </w:t>
      </w:r>
      <w:r w:rsidR="00781EFD" w:rsidRPr="006259CB">
        <w:rPr>
          <w:rFonts w:eastAsia="Arial MT"/>
          <w:lang w:bidi="en-US"/>
        </w:rPr>
        <w:t>Client</w:t>
      </w:r>
      <w:r w:rsidRPr="006259CB">
        <w:rPr>
          <w:rFonts w:eastAsia="Arial MT"/>
          <w:lang w:bidi="en-US"/>
        </w:rPr>
        <w:t xml:space="preserve"> at their custodial address of record.  The </w:t>
      </w:r>
      <w:r w:rsidR="00781EFD" w:rsidRPr="006259CB">
        <w:rPr>
          <w:rFonts w:eastAsia="Arial MT"/>
          <w:lang w:bidi="en-US"/>
        </w:rPr>
        <w:t>Client</w:t>
      </w:r>
      <w:r w:rsidRPr="006259CB">
        <w:rPr>
          <w:rFonts w:eastAsia="Arial MT"/>
          <w:lang w:bidi="en-US"/>
        </w:rPr>
        <w:t xml:space="preserve"> may provide these instructions on the Qualified Custodian's form or separately.  The custodian will maintain actual custody of the </w:t>
      </w:r>
      <w:r w:rsidR="00781EFD" w:rsidRPr="006259CB">
        <w:rPr>
          <w:rFonts w:eastAsia="Arial MT"/>
          <w:lang w:bidi="en-US"/>
        </w:rPr>
        <w:t>Client</w:t>
      </w:r>
      <w:r w:rsidRPr="006259CB">
        <w:rPr>
          <w:rFonts w:eastAsia="Arial MT"/>
          <w:lang w:bidi="en-US"/>
        </w:rPr>
        <w:t xml:space="preserve">'s assets.  </w:t>
      </w:r>
    </w:p>
    <w:p w14:paraId="6BA71C99" w14:textId="77777777" w:rsidR="009843AA" w:rsidRPr="006259CB" w:rsidRDefault="009843AA" w:rsidP="00873720">
      <w:pPr>
        <w:widowControl w:val="0"/>
        <w:autoSpaceDE w:val="0"/>
        <w:autoSpaceDN w:val="0"/>
        <w:ind w:left="720" w:right="360"/>
        <w:rPr>
          <w:rFonts w:eastAsia="Arial MT"/>
          <w:sz w:val="12"/>
          <w:szCs w:val="12"/>
          <w:lang w:bidi="en-US"/>
        </w:rPr>
      </w:pPr>
    </w:p>
    <w:p w14:paraId="2AD808FD" w14:textId="77777777" w:rsidR="000A3564" w:rsidRDefault="009843AA" w:rsidP="00873720">
      <w:pPr>
        <w:widowControl w:val="0"/>
        <w:autoSpaceDE w:val="0"/>
        <w:autoSpaceDN w:val="0"/>
        <w:ind w:left="360" w:right="360"/>
        <w:rPr>
          <w:rFonts w:eastAsia="Arial Narrow"/>
        </w:rPr>
      </w:pPr>
      <w:r w:rsidRPr="006259CB">
        <w:rPr>
          <w:rFonts w:eastAsia="Arial MT"/>
          <w:lang w:bidi="en-US"/>
        </w:rPr>
        <w:t xml:space="preserve">Baker Street will calculate the advisory fees owed based on the terms specified in the </w:t>
      </w:r>
      <w:r w:rsidR="00781EFD" w:rsidRPr="006259CB">
        <w:rPr>
          <w:rFonts w:eastAsia="Arial MT"/>
          <w:lang w:bidi="en-US"/>
        </w:rPr>
        <w:t>Client</w:t>
      </w:r>
      <w:r w:rsidRPr="006259CB">
        <w:rPr>
          <w:rFonts w:eastAsia="Arial MT"/>
          <w:lang w:bidi="en-US"/>
        </w:rPr>
        <w:t>'s</w:t>
      </w:r>
      <w:r w:rsidR="00F102DF" w:rsidRPr="006259CB">
        <w:rPr>
          <w:rFonts w:eastAsia="Arial MT"/>
          <w:lang w:bidi="en-US"/>
        </w:rPr>
        <w:t xml:space="preserve"> </w:t>
      </w:r>
      <w:r w:rsidRPr="006259CB">
        <w:rPr>
          <w:rFonts w:eastAsia="Arial MT"/>
          <w:lang w:bidi="en-US"/>
        </w:rPr>
        <w:t xml:space="preserve">Agreement, and the custodian will remit payment to us as instructed. Upon receiving Baker Street’s instructions, the Qualified Custodian will automatically deduct and pay us from the </w:t>
      </w:r>
      <w:r w:rsidR="00781EFD" w:rsidRPr="006259CB">
        <w:rPr>
          <w:rFonts w:eastAsia="Arial MT"/>
          <w:lang w:bidi="en-US"/>
        </w:rPr>
        <w:t>Client</w:t>
      </w:r>
      <w:r w:rsidRPr="006259CB">
        <w:rPr>
          <w:rFonts w:eastAsia="Arial MT"/>
          <w:lang w:bidi="en-US"/>
        </w:rPr>
        <w:t xml:space="preserve">’s custodial account the fee amount due for the billing period. The account custodian does not verify the accuracy of our advisory fee calculation. Regardless of the market performance of the portfolio during the fee period, fees will be assessed as outlined in the Agreement. </w:t>
      </w:r>
      <w:r w:rsidRPr="006259CB">
        <w:rPr>
          <w:rFonts w:eastAsia="Arial Narrow"/>
        </w:rPr>
        <w:t>Baker Street’s account advisory fee will be payable first from free credit balances, money market funds, or cash equivalents</w:t>
      </w:r>
      <w:r w:rsidR="000A3564">
        <w:rPr>
          <w:rFonts w:eastAsia="Arial Narrow"/>
        </w:rPr>
        <w:t>,</w:t>
      </w:r>
      <w:r w:rsidRPr="006259CB">
        <w:rPr>
          <w:rFonts w:eastAsia="Arial Narrow"/>
        </w:rPr>
        <w:t xml:space="preserve"> if any, and second from liquidating a portion of the </w:t>
      </w:r>
      <w:r w:rsidR="00781EFD" w:rsidRPr="006259CB">
        <w:rPr>
          <w:rFonts w:eastAsia="Arial Narrow"/>
        </w:rPr>
        <w:t>Client</w:t>
      </w:r>
      <w:r w:rsidRPr="006259CB">
        <w:rPr>
          <w:rFonts w:eastAsia="Arial Narrow"/>
        </w:rPr>
        <w:t xml:space="preserve">’s securities holdings. </w:t>
      </w:r>
    </w:p>
    <w:p w14:paraId="1D18CD30" w14:textId="77777777" w:rsidR="000A3564" w:rsidRPr="00303346" w:rsidRDefault="000A3564" w:rsidP="00873720">
      <w:pPr>
        <w:widowControl w:val="0"/>
        <w:autoSpaceDE w:val="0"/>
        <w:autoSpaceDN w:val="0"/>
        <w:ind w:left="360" w:right="360"/>
        <w:rPr>
          <w:rFonts w:eastAsia="Arial Narrow"/>
          <w:sz w:val="12"/>
          <w:szCs w:val="12"/>
        </w:rPr>
      </w:pPr>
    </w:p>
    <w:p w14:paraId="14CB725E" w14:textId="3CDD9E90" w:rsidR="009843AA" w:rsidRPr="006259CB" w:rsidRDefault="009843AA" w:rsidP="00873720">
      <w:pPr>
        <w:widowControl w:val="0"/>
        <w:autoSpaceDE w:val="0"/>
        <w:autoSpaceDN w:val="0"/>
        <w:ind w:left="360" w:right="360"/>
        <w:rPr>
          <w:rFonts w:eastAsia="Arial MT"/>
          <w:lang w:bidi="en-US"/>
        </w:rPr>
      </w:pPr>
      <w:r w:rsidRPr="006259CB">
        <w:rPr>
          <w:rFonts w:eastAsia="Arial Narrow"/>
        </w:rPr>
        <w:t xml:space="preserve">Additionally, the custodian will send the </w:t>
      </w:r>
      <w:r w:rsidR="00781EFD" w:rsidRPr="006259CB">
        <w:rPr>
          <w:rFonts w:eastAsia="Arial Narrow"/>
        </w:rPr>
        <w:t>Client</w:t>
      </w:r>
      <w:r w:rsidRPr="006259CB">
        <w:rPr>
          <w:rFonts w:eastAsia="Arial Narrow"/>
        </w:rPr>
        <w:t xml:space="preserve"> a statement reflecting the fee amounts paid, which will be delivered to the </w:t>
      </w:r>
      <w:r w:rsidR="00781EFD" w:rsidRPr="006259CB">
        <w:rPr>
          <w:rFonts w:eastAsia="Arial Narrow"/>
        </w:rPr>
        <w:t>Client</w:t>
      </w:r>
      <w:r w:rsidRPr="006259CB">
        <w:rPr>
          <w:rFonts w:eastAsia="Arial Narrow"/>
        </w:rPr>
        <w:t xml:space="preserve">’s address of record or another authorized address designated in writing by the </w:t>
      </w:r>
      <w:r w:rsidR="00781EFD" w:rsidRPr="006259CB">
        <w:rPr>
          <w:rFonts w:eastAsia="Arial Narrow"/>
        </w:rPr>
        <w:t>Client</w:t>
      </w:r>
      <w:r w:rsidRPr="006259CB">
        <w:rPr>
          <w:rFonts w:eastAsia="Arial Narrow"/>
        </w:rPr>
        <w:t xml:space="preserve">.  </w:t>
      </w:r>
      <w:r w:rsidRPr="006259CB">
        <w:rPr>
          <w:rFonts w:eastAsia="Arial MT"/>
          <w:lang w:bidi="en-US"/>
        </w:rPr>
        <w:t xml:space="preserve">Baker Street may also charge an alternative payment method on file instead of deducting it from a </w:t>
      </w:r>
      <w:r w:rsidR="00781EFD" w:rsidRPr="006259CB">
        <w:rPr>
          <w:rFonts w:eastAsia="Arial MT"/>
          <w:lang w:bidi="en-US"/>
        </w:rPr>
        <w:t>Client</w:t>
      </w:r>
      <w:r w:rsidRPr="006259CB">
        <w:rPr>
          <w:rFonts w:eastAsia="Arial MT"/>
          <w:lang w:bidi="en-US"/>
        </w:rPr>
        <w:t>’s custodial account.</w:t>
      </w:r>
    </w:p>
    <w:p w14:paraId="5BEF3E90" w14:textId="77777777" w:rsidR="009843AA" w:rsidRPr="006259CB" w:rsidRDefault="009843AA" w:rsidP="00873720">
      <w:pPr>
        <w:widowControl w:val="0"/>
        <w:autoSpaceDE w:val="0"/>
        <w:autoSpaceDN w:val="0"/>
        <w:ind w:left="720" w:right="360"/>
        <w:rPr>
          <w:rFonts w:eastAsia="Arial MT"/>
          <w:sz w:val="12"/>
          <w:szCs w:val="12"/>
          <w:lang w:bidi="en-US"/>
        </w:rPr>
      </w:pPr>
    </w:p>
    <w:p w14:paraId="043FFFEB" w14:textId="77579AE3" w:rsidR="009843AA" w:rsidRPr="006259CB" w:rsidRDefault="009843AA" w:rsidP="332DA7C8">
      <w:pPr>
        <w:widowControl w:val="0"/>
        <w:pBdr>
          <w:top w:val="nil"/>
          <w:left w:val="nil"/>
          <w:bottom w:val="nil"/>
          <w:right w:val="nil"/>
          <w:between w:val="nil"/>
        </w:pBdr>
        <w:autoSpaceDE w:val="0"/>
        <w:autoSpaceDN w:val="0"/>
        <w:ind w:left="360" w:right="360"/>
        <w:rPr>
          <w:rFonts w:eastAsia="Arial MT"/>
          <w:i/>
          <w:iCs/>
          <w:color w:val="595959" w:themeColor="text1" w:themeTint="A6"/>
          <w:lang w:bidi="en-US"/>
        </w:rPr>
      </w:pPr>
      <w:r w:rsidRPr="332DA7C8">
        <w:rPr>
          <w:rFonts w:eastAsia="Arial MT"/>
          <w:b/>
          <w:bCs/>
          <w:i/>
          <w:iCs/>
          <w:lang w:bidi="en-US"/>
        </w:rPr>
        <w:t>Billed Fees</w:t>
      </w:r>
      <w:r w:rsidRPr="332DA7C8">
        <w:rPr>
          <w:rFonts w:eastAsia="Arial MT"/>
          <w:lang w:bidi="en-US"/>
        </w:rPr>
        <w:t xml:space="preserve"> - Clients who prefer to be directly billed must authorize this payment method in writing as part of their</w:t>
      </w:r>
      <w:r w:rsidR="00F102DF" w:rsidRPr="332DA7C8">
        <w:rPr>
          <w:rFonts w:eastAsia="Arial MT"/>
          <w:lang w:bidi="en-US"/>
        </w:rPr>
        <w:t xml:space="preserve"> </w:t>
      </w:r>
      <w:r w:rsidR="00322366" w:rsidRPr="332DA7C8">
        <w:rPr>
          <w:rFonts w:eastAsia="Arial MT"/>
          <w:lang w:bidi="en-US"/>
        </w:rPr>
        <w:t>A</w:t>
      </w:r>
      <w:r w:rsidRPr="332DA7C8">
        <w:rPr>
          <w:rFonts w:eastAsia="Arial MT"/>
          <w:lang w:bidi="en-US"/>
        </w:rPr>
        <w:t xml:space="preserve">greement. Under this arrangement, </w:t>
      </w:r>
      <w:r w:rsidR="00781EFD" w:rsidRPr="332DA7C8">
        <w:rPr>
          <w:rFonts w:eastAsia="Arial MT"/>
          <w:lang w:bidi="en-US"/>
        </w:rPr>
        <w:t>Client</w:t>
      </w:r>
      <w:r w:rsidRPr="332DA7C8">
        <w:rPr>
          <w:rFonts w:eastAsia="Arial MT"/>
          <w:lang w:bidi="en-US"/>
        </w:rPr>
        <w:t>s will receive advisory fee invoices from us for the advisory fees due, with payment due upon receipt</w:t>
      </w:r>
      <w:r w:rsidRPr="332DA7C8">
        <w:rPr>
          <w:rFonts w:eastAsia="Arial MT"/>
          <w:color w:val="010101"/>
          <w:lang w:bidi="en-US"/>
        </w:rPr>
        <w:t>. Clients will make their payments directly to Baker Street via check</w:t>
      </w:r>
      <w:r w:rsidR="002C7EF2" w:rsidRPr="332DA7C8">
        <w:rPr>
          <w:rFonts w:eastAsia="Arial MT"/>
          <w:color w:val="010101"/>
          <w:lang w:bidi="en-US"/>
        </w:rPr>
        <w:t>, ACH or</w:t>
      </w:r>
      <w:r w:rsidRPr="332DA7C8">
        <w:rPr>
          <w:rFonts w:eastAsia="Arial MT"/>
          <w:color w:val="010101"/>
          <w:lang w:bidi="en-US"/>
        </w:rPr>
        <w:t xml:space="preserve"> </w:t>
      </w:r>
      <w:r w:rsidR="002C7EF2" w:rsidRPr="332DA7C8">
        <w:rPr>
          <w:rFonts w:eastAsia="Arial MT"/>
          <w:color w:val="010101"/>
          <w:lang w:bidi="en-US"/>
        </w:rPr>
        <w:t>wire transfer</w:t>
      </w:r>
      <w:r w:rsidRPr="332DA7C8">
        <w:rPr>
          <w:rFonts w:eastAsia="Arial MT"/>
          <w:color w:val="010101"/>
          <w:lang w:bidi="en-US"/>
        </w:rPr>
        <w:t xml:space="preserve">. Under no circumstances will such advisory fees be deducted from a </w:t>
      </w:r>
      <w:r w:rsidR="00781EFD" w:rsidRPr="332DA7C8">
        <w:rPr>
          <w:rFonts w:eastAsia="Arial MT"/>
          <w:color w:val="010101"/>
          <w:lang w:bidi="en-US"/>
        </w:rPr>
        <w:t>Client</w:t>
      </w:r>
      <w:r w:rsidRPr="332DA7C8">
        <w:rPr>
          <w:rFonts w:eastAsia="Arial MT"/>
          <w:color w:val="010101"/>
          <w:lang w:bidi="en-US"/>
        </w:rPr>
        <w:t xml:space="preserve">’s custodial account(s) unless directed otherwise by the </w:t>
      </w:r>
      <w:r w:rsidR="00781EFD" w:rsidRPr="332DA7C8">
        <w:rPr>
          <w:rFonts w:eastAsia="Arial MT"/>
          <w:color w:val="010101"/>
          <w:lang w:bidi="en-US"/>
        </w:rPr>
        <w:t>Client</w:t>
      </w:r>
      <w:r w:rsidRPr="332DA7C8">
        <w:rPr>
          <w:rFonts w:eastAsia="Arial MT"/>
          <w:color w:val="010101"/>
          <w:lang w:bidi="en-US"/>
        </w:rPr>
        <w:t xml:space="preserve"> in writing. Payment for non-investment-related services may be made by </w:t>
      </w:r>
      <w:r w:rsidR="008F428D" w:rsidRPr="332DA7C8">
        <w:rPr>
          <w:rFonts w:eastAsia="Arial MT"/>
          <w:color w:val="010101"/>
          <w:lang w:bidi="en-US"/>
        </w:rPr>
        <w:t>check</w:t>
      </w:r>
      <w:r w:rsidR="00B0223C" w:rsidRPr="332DA7C8">
        <w:rPr>
          <w:rFonts w:eastAsia="Arial MT"/>
          <w:color w:val="010101"/>
          <w:lang w:bidi="en-US"/>
        </w:rPr>
        <w:t>, ACH or wire transfer.</w:t>
      </w:r>
      <w:r w:rsidRPr="332DA7C8">
        <w:rPr>
          <w:rFonts w:eastAsia="Arial MT"/>
          <w:color w:val="010101"/>
          <w:lang w:bidi="en-US"/>
        </w:rPr>
        <w:t xml:space="preserve"> </w:t>
      </w:r>
      <w:r w:rsidRPr="332DA7C8">
        <w:rPr>
          <w:rFonts w:eastAsia="Arial MT"/>
          <w:i/>
          <w:iCs/>
          <w:color w:val="595959" w:themeColor="text1" w:themeTint="A6"/>
          <w:lang w:bidi="en-US"/>
        </w:rPr>
        <w:t>(Note:  Checks should never be made out to any individual</w:t>
      </w:r>
      <w:r w:rsidR="687808A5" w:rsidRPr="332DA7C8">
        <w:rPr>
          <w:rFonts w:eastAsia="Arial MT"/>
          <w:i/>
          <w:iCs/>
          <w:color w:val="595959" w:themeColor="text1" w:themeTint="A6"/>
          <w:lang w:bidi="en-US"/>
        </w:rPr>
        <w:t>s</w:t>
      </w:r>
      <w:r w:rsidRPr="332DA7C8">
        <w:rPr>
          <w:rFonts w:eastAsia="Arial MT"/>
          <w:i/>
          <w:iCs/>
          <w:color w:val="595959" w:themeColor="text1" w:themeTint="A6"/>
          <w:lang w:bidi="en-US"/>
        </w:rPr>
        <w:t xml:space="preserve">  of the Adviser.)</w:t>
      </w:r>
    </w:p>
    <w:p w14:paraId="2649998A" w14:textId="77777777" w:rsidR="009843AA" w:rsidRPr="006259CB" w:rsidRDefault="009843AA" w:rsidP="00873720">
      <w:pPr>
        <w:widowControl w:val="0"/>
        <w:pBdr>
          <w:top w:val="nil"/>
          <w:left w:val="nil"/>
          <w:bottom w:val="nil"/>
          <w:right w:val="nil"/>
          <w:between w:val="nil"/>
        </w:pBdr>
        <w:ind w:right="360"/>
        <w:rPr>
          <w:rFonts w:eastAsia="Arial MT"/>
          <w:color w:val="010101"/>
          <w:lang w:bidi="en-US"/>
        </w:rPr>
      </w:pPr>
    </w:p>
    <w:p w14:paraId="7093FB54" w14:textId="0987C763" w:rsidR="009843AA" w:rsidRPr="006259CB" w:rsidRDefault="009843AA" w:rsidP="00873720">
      <w:pPr>
        <w:widowControl w:val="0"/>
        <w:pBdr>
          <w:top w:val="nil"/>
          <w:left w:val="nil"/>
          <w:bottom w:val="nil"/>
          <w:right w:val="nil"/>
          <w:between w:val="nil"/>
        </w:pBdr>
        <w:rPr>
          <w:rFonts w:eastAsia="Arial MT"/>
          <w:color w:val="010101"/>
          <w:lang w:bidi="en-US"/>
        </w:rPr>
      </w:pPr>
      <w:r w:rsidRPr="006259CB">
        <w:rPr>
          <w:rFonts w:eastAsia="Arial MT"/>
          <w:color w:val="010101"/>
          <w:lang w:bidi="en-US"/>
        </w:rPr>
        <w:t xml:space="preserve">Please also note that when authorized by the </w:t>
      </w:r>
      <w:r w:rsidR="00781EFD" w:rsidRPr="006259CB">
        <w:rPr>
          <w:rFonts w:eastAsia="Arial MT"/>
          <w:color w:val="010101"/>
          <w:lang w:bidi="en-US"/>
        </w:rPr>
        <w:t>Client</w:t>
      </w:r>
      <w:r w:rsidRPr="006259CB">
        <w:rPr>
          <w:rFonts w:eastAsia="Arial MT"/>
          <w:color w:val="010101"/>
          <w:lang w:bidi="en-US"/>
        </w:rPr>
        <w:t xml:space="preserve"> to debit advisory fees from </w:t>
      </w:r>
      <w:r w:rsidR="00781EFD" w:rsidRPr="006259CB">
        <w:rPr>
          <w:rFonts w:eastAsia="Arial MT"/>
          <w:color w:val="010101"/>
          <w:lang w:bidi="en-US"/>
        </w:rPr>
        <w:t>Client</w:t>
      </w:r>
      <w:r w:rsidRPr="006259CB">
        <w:rPr>
          <w:rFonts w:eastAsia="Arial MT"/>
          <w:color w:val="010101"/>
          <w:lang w:bidi="en-US"/>
        </w:rPr>
        <w:t xml:space="preserve"> accounts, under the SEC’s Custody Rule, Baker Street is deemed to have custody of </w:t>
      </w:r>
      <w:r w:rsidR="00781EFD" w:rsidRPr="006259CB">
        <w:rPr>
          <w:rFonts w:eastAsia="Arial MT"/>
          <w:color w:val="010101"/>
          <w:lang w:bidi="en-US"/>
        </w:rPr>
        <w:t>Client</w:t>
      </w:r>
      <w:r w:rsidRPr="006259CB">
        <w:rPr>
          <w:rFonts w:eastAsia="Arial MT"/>
          <w:color w:val="010101"/>
          <w:lang w:bidi="en-US"/>
        </w:rPr>
        <w:t xml:space="preserve"> assets to the extent that the adviser has the authority to instruct custodians to withdraw these fees directly from the </w:t>
      </w:r>
      <w:r w:rsidR="00781EFD" w:rsidRPr="006259CB">
        <w:rPr>
          <w:rFonts w:eastAsia="Arial MT"/>
          <w:color w:val="010101"/>
          <w:lang w:bidi="en-US"/>
        </w:rPr>
        <w:t>Client</w:t>
      </w:r>
      <w:r w:rsidRPr="006259CB">
        <w:rPr>
          <w:rFonts w:eastAsia="Arial MT"/>
          <w:color w:val="010101"/>
          <w:lang w:bidi="en-US"/>
        </w:rPr>
        <w:t xml:space="preserve">'s account.  As such, we are required to comply with all applicable requirements, including providing </w:t>
      </w:r>
      <w:r w:rsidR="00781EFD" w:rsidRPr="006259CB">
        <w:rPr>
          <w:rFonts w:eastAsia="Arial MT"/>
          <w:color w:val="010101"/>
          <w:lang w:bidi="en-US"/>
        </w:rPr>
        <w:t>Client</w:t>
      </w:r>
      <w:r w:rsidRPr="006259CB">
        <w:rPr>
          <w:rFonts w:eastAsia="Arial MT"/>
          <w:color w:val="010101"/>
          <w:lang w:bidi="en-US"/>
        </w:rPr>
        <w:t>s with account statements and ensuring proper safeguards are in place.</w:t>
      </w:r>
    </w:p>
    <w:p w14:paraId="781DA831" w14:textId="77777777" w:rsidR="009843AA" w:rsidRPr="006259CB" w:rsidRDefault="009843AA" w:rsidP="00873720">
      <w:pPr>
        <w:widowControl w:val="0"/>
        <w:pBdr>
          <w:top w:val="nil"/>
          <w:left w:val="nil"/>
          <w:bottom w:val="nil"/>
          <w:right w:val="nil"/>
          <w:between w:val="nil"/>
        </w:pBdr>
        <w:rPr>
          <w:rFonts w:eastAsia="Arial MT"/>
          <w:color w:val="010101"/>
          <w:lang w:bidi="en-US"/>
        </w:rPr>
      </w:pPr>
    </w:p>
    <w:p w14:paraId="24CA688C" w14:textId="3F59496F" w:rsidR="009843AA" w:rsidRPr="006259CB" w:rsidRDefault="009843AA" w:rsidP="006C2D8F">
      <w:pPr>
        <w:widowControl w:val="0"/>
        <w:autoSpaceDE w:val="0"/>
        <w:autoSpaceDN w:val="0"/>
        <w:ind w:left="360" w:right="360"/>
        <w:jc w:val="center"/>
        <w:rPr>
          <w:rFonts w:eastAsia="Arial MT"/>
          <w:color w:val="010101"/>
        </w:rPr>
      </w:pPr>
      <w:bookmarkStart w:id="42" w:name="_heading=h.1ci93xb" w:colFirst="0" w:colLast="0"/>
      <w:bookmarkEnd w:id="42"/>
      <w:r w:rsidRPr="006259CB">
        <w:rPr>
          <w:rFonts w:eastAsia="Arial MT"/>
          <w:i/>
          <w:iCs/>
          <w:color w:val="010101"/>
        </w:rPr>
        <w:t xml:space="preserve">Baker Street encourages </w:t>
      </w:r>
      <w:r w:rsidR="00781EFD" w:rsidRPr="006259CB">
        <w:rPr>
          <w:rFonts w:eastAsia="Arial MT"/>
          <w:i/>
          <w:iCs/>
          <w:color w:val="010101"/>
        </w:rPr>
        <w:t>Client</w:t>
      </w:r>
      <w:r w:rsidRPr="006259CB">
        <w:rPr>
          <w:rFonts w:eastAsia="Arial MT"/>
          <w:i/>
          <w:iCs/>
          <w:color w:val="010101"/>
        </w:rPr>
        <w:t>s to promptly review any statements received from their custodian(s) to ensure the accuracy of account transactions</w:t>
      </w:r>
      <w:r w:rsidRPr="006259CB">
        <w:rPr>
          <w:rFonts w:eastAsia="Arial MT"/>
          <w:color w:val="010101"/>
        </w:rPr>
        <w:t>.</w:t>
      </w:r>
    </w:p>
    <w:p w14:paraId="0419895F" w14:textId="77777777" w:rsidR="009843AA" w:rsidRPr="006259CB" w:rsidRDefault="009843AA" w:rsidP="00873720">
      <w:pPr>
        <w:widowControl w:val="0"/>
        <w:autoSpaceDE w:val="0"/>
        <w:autoSpaceDN w:val="0"/>
        <w:rPr>
          <w:rFonts w:eastAsia="Arial MT"/>
          <w:color w:val="010101"/>
        </w:rPr>
      </w:pPr>
    </w:p>
    <w:p w14:paraId="79066D0A" w14:textId="1A07BFEE" w:rsidR="00792C42" w:rsidRPr="006259CB" w:rsidRDefault="009843AA" w:rsidP="00873720">
      <w:pPr>
        <w:widowControl w:val="0"/>
        <w:autoSpaceDE w:val="0"/>
        <w:autoSpaceDN w:val="0"/>
        <w:rPr>
          <w:rFonts w:eastAsia="Arial MT"/>
          <w:color w:val="010101"/>
        </w:rPr>
      </w:pPr>
      <w:r w:rsidRPr="006259CB">
        <w:rPr>
          <w:rFonts w:eastAsia="Arial MT"/>
          <w:color w:val="010101"/>
        </w:rPr>
        <w:t xml:space="preserve">Clients are advised to compare their </w:t>
      </w:r>
      <w:r w:rsidR="000C481F" w:rsidRPr="006259CB">
        <w:rPr>
          <w:rFonts w:eastAsia="Arial MT"/>
          <w:color w:val="010101"/>
        </w:rPr>
        <w:t>accounts’</w:t>
      </w:r>
      <w:r w:rsidRPr="006259CB">
        <w:rPr>
          <w:rFonts w:eastAsia="Arial MT"/>
          <w:color w:val="010101"/>
        </w:rPr>
        <w:t xml:space="preserve"> investment performance with the relevant benchmark for the types of investments held, as well as any reports or information we provide. We strongly recommend that </w:t>
      </w:r>
      <w:r w:rsidR="00781EFD" w:rsidRPr="006259CB">
        <w:rPr>
          <w:rFonts w:eastAsia="Arial MT"/>
          <w:color w:val="010101"/>
        </w:rPr>
        <w:t>Client</w:t>
      </w:r>
      <w:r w:rsidRPr="006259CB">
        <w:rPr>
          <w:rFonts w:eastAsia="Arial MT"/>
          <w:color w:val="010101"/>
        </w:rPr>
        <w:t xml:space="preserve">s also compare their custodian account statements with any portfolio reports or data we supply upon receipt. Discrepancies may arise between our reports and custodian statements due to differences in accounting procedures, reporting dates, or valuation methodologies applied to specific securities.  </w:t>
      </w:r>
    </w:p>
    <w:p w14:paraId="2F3CAB24" w14:textId="77777777" w:rsidR="00792C42" w:rsidRPr="006259CB" w:rsidRDefault="00792C42" w:rsidP="00873720">
      <w:pPr>
        <w:widowControl w:val="0"/>
        <w:autoSpaceDE w:val="0"/>
        <w:autoSpaceDN w:val="0"/>
        <w:rPr>
          <w:rFonts w:eastAsia="Arial MT"/>
          <w:color w:val="010101"/>
        </w:rPr>
      </w:pPr>
    </w:p>
    <w:p w14:paraId="62B7B210" w14:textId="220F7CE9" w:rsidR="009843AA" w:rsidRDefault="009843AA" w:rsidP="00873720">
      <w:pPr>
        <w:widowControl w:val="0"/>
        <w:autoSpaceDE w:val="0"/>
        <w:autoSpaceDN w:val="0"/>
        <w:rPr>
          <w:rFonts w:eastAsia="Arial MT"/>
          <w:color w:val="010101"/>
        </w:rPr>
      </w:pPr>
      <w:r w:rsidRPr="006259CB">
        <w:rPr>
          <w:rFonts w:eastAsia="Arial MT"/>
          <w:color w:val="010101"/>
        </w:rPr>
        <w:t xml:space="preserve">Should a </w:t>
      </w:r>
      <w:r w:rsidR="00781EFD" w:rsidRPr="006259CB">
        <w:rPr>
          <w:rFonts w:eastAsia="Arial MT"/>
          <w:color w:val="010101"/>
        </w:rPr>
        <w:t>Client</w:t>
      </w:r>
      <w:r w:rsidRPr="006259CB">
        <w:rPr>
          <w:rFonts w:eastAsia="Arial MT"/>
          <w:color w:val="010101"/>
        </w:rPr>
        <w:t xml:space="preserve"> identify any discrepancies between our reports and custodian statements, they are encouraged to contact both us and their custodian directly. If a </w:t>
      </w:r>
      <w:r w:rsidR="00781EFD" w:rsidRPr="006259CB">
        <w:rPr>
          <w:rFonts w:eastAsia="Arial MT"/>
          <w:color w:val="010101"/>
        </w:rPr>
        <w:t>Client</w:t>
      </w:r>
      <w:r w:rsidRPr="006259CB">
        <w:rPr>
          <w:rFonts w:eastAsia="Arial MT"/>
          <w:color w:val="010101"/>
        </w:rPr>
        <w:t xml:space="preserve"> does not receive statements directly from the custodian, we recommend reaching out to the custodian in addition to notifying their </w:t>
      </w:r>
      <w:r w:rsidR="008B6E48" w:rsidRPr="006259CB">
        <w:rPr>
          <w:rFonts w:eastAsia="Arial MT"/>
          <w:color w:val="010101"/>
        </w:rPr>
        <w:t>Advisor</w:t>
      </w:r>
      <w:r w:rsidRPr="006259CB">
        <w:rPr>
          <w:rFonts w:eastAsia="Arial MT"/>
          <w:color w:val="010101"/>
        </w:rPr>
        <w:t xml:space="preserve">. In all instances, </w:t>
      </w:r>
      <w:r w:rsidR="00781EFD" w:rsidRPr="006259CB">
        <w:rPr>
          <w:rFonts w:eastAsia="Arial MT"/>
          <w:color w:val="010101"/>
        </w:rPr>
        <w:t>Client</w:t>
      </w:r>
      <w:r w:rsidRPr="006259CB">
        <w:rPr>
          <w:rFonts w:eastAsia="Arial MT"/>
          <w:color w:val="010101"/>
        </w:rPr>
        <w:t xml:space="preserve">s should </w:t>
      </w:r>
      <w:r w:rsidRPr="006259CB">
        <w:rPr>
          <w:rFonts w:eastAsia="Arial MT"/>
          <w:color w:val="010101"/>
        </w:rPr>
        <w:lastRenderedPageBreak/>
        <w:t>contact us promptly with any concerns regarding account activity before the next billing cycle and provide written follow-up.</w:t>
      </w:r>
    </w:p>
    <w:p w14:paraId="6ABB4BA0" w14:textId="77777777" w:rsidR="00157785" w:rsidRPr="006259CB" w:rsidRDefault="00157785" w:rsidP="00873720">
      <w:pPr>
        <w:widowControl w:val="0"/>
        <w:autoSpaceDE w:val="0"/>
        <w:autoSpaceDN w:val="0"/>
        <w:rPr>
          <w:rFonts w:eastAsia="Arial MT"/>
          <w:color w:val="010101"/>
        </w:rPr>
      </w:pPr>
    </w:p>
    <w:p w14:paraId="1298010A" w14:textId="77777777" w:rsidR="001856EA" w:rsidRPr="006259CB" w:rsidRDefault="001856EA" w:rsidP="00873720">
      <w:pPr>
        <w:pStyle w:val="Paragraph"/>
      </w:pPr>
      <w:bookmarkStart w:id="43" w:name="_Toc193886425"/>
      <w:r w:rsidRPr="006259CB">
        <w:t>Account Additions, Withdrawals &amp; Terminations</w:t>
      </w:r>
      <w:bookmarkEnd w:id="43"/>
      <w:r w:rsidRPr="006259CB">
        <w:t xml:space="preserve">  </w:t>
      </w:r>
    </w:p>
    <w:p w14:paraId="45BCC3A1" w14:textId="6B7B1853" w:rsidR="009B5C4F" w:rsidRPr="006259CB" w:rsidRDefault="009B5C4F" w:rsidP="00873720">
      <w:pPr>
        <w:rPr>
          <w:rFonts w:eastAsia="Arial Narrow"/>
          <w:color w:val="auto"/>
        </w:rPr>
      </w:pPr>
      <w:r w:rsidRPr="006259CB">
        <w:rPr>
          <w:rFonts w:eastAsia="Arial Narrow"/>
          <w:color w:val="auto"/>
        </w:rPr>
        <w:t xml:space="preserve">Clients can make </w:t>
      </w:r>
      <w:r w:rsidRPr="006259CB">
        <w:rPr>
          <w:rFonts w:eastAsia="Arial Narrow"/>
          <w:b/>
          <w:color w:val="auto"/>
        </w:rPr>
        <w:t xml:space="preserve">additions </w:t>
      </w:r>
      <w:r w:rsidRPr="006259CB">
        <w:rPr>
          <w:rFonts w:eastAsia="Arial Narrow"/>
          <w:color w:val="auto"/>
        </w:rPr>
        <w:t xml:space="preserve">to their </w:t>
      </w:r>
      <w:r w:rsidR="00581B24" w:rsidRPr="006259CB">
        <w:rPr>
          <w:rFonts w:eastAsia="Arial Narrow"/>
          <w:color w:val="auto"/>
        </w:rPr>
        <w:t>Baker Street</w:t>
      </w:r>
      <w:r w:rsidRPr="006259CB">
        <w:rPr>
          <w:rFonts w:eastAsia="Arial Narrow"/>
          <w:color w:val="auto"/>
        </w:rPr>
        <w:t xml:space="preserve"> accounts in cash or securities at any time. </w:t>
      </w:r>
      <w:r w:rsidR="00F90FCB" w:rsidRPr="006259CB">
        <w:rPr>
          <w:rFonts w:eastAsia="Arial Narrow"/>
          <w:color w:val="auto"/>
        </w:rPr>
        <w:t>The Adviser</w:t>
      </w:r>
      <w:r w:rsidRPr="006259CB">
        <w:rPr>
          <w:rFonts w:eastAsia="Arial Narrow"/>
          <w:color w:val="auto"/>
        </w:rPr>
        <w:t xml:space="preserve"> reserves the right to liquidate any transferred securities or decline to accept particular securities into the </w:t>
      </w:r>
      <w:r w:rsidR="00781EFD" w:rsidRPr="006259CB">
        <w:rPr>
          <w:rFonts w:eastAsia="Arial Narrow"/>
          <w:color w:val="auto"/>
        </w:rPr>
        <w:t>Client</w:t>
      </w:r>
      <w:r w:rsidRPr="006259CB">
        <w:rPr>
          <w:rFonts w:eastAsia="Arial Narrow"/>
          <w:color w:val="auto"/>
        </w:rPr>
        <w:t xml:space="preserve">'s account, according to the type of authority granted to </w:t>
      </w:r>
      <w:r w:rsidR="00F90FCB" w:rsidRPr="006259CB">
        <w:rPr>
          <w:rFonts w:eastAsia="Arial Narrow"/>
          <w:color w:val="auto"/>
        </w:rPr>
        <w:t>us</w:t>
      </w:r>
      <w:r w:rsidRPr="006259CB">
        <w:rPr>
          <w:rFonts w:eastAsia="Arial Narrow"/>
          <w:color w:val="auto"/>
        </w:rPr>
        <w:t xml:space="preserve">. If </w:t>
      </w:r>
      <w:r w:rsidR="00F90FCB" w:rsidRPr="006259CB">
        <w:rPr>
          <w:rFonts w:eastAsia="Arial Narrow"/>
          <w:color w:val="auto"/>
        </w:rPr>
        <w:t>the Adviser</w:t>
      </w:r>
      <w:r w:rsidRPr="006259CB">
        <w:rPr>
          <w:rFonts w:eastAsia="Arial Narrow"/>
          <w:color w:val="auto"/>
        </w:rPr>
        <w:t xml:space="preserve"> liquidates transferred securities, </w:t>
      </w:r>
      <w:r w:rsidR="00781EFD" w:rsidRPr="006259CB">
        <w:rPr>
          <w:rFonts w:eastAsia="Arial Narrow"/>
          <w:color w:val="auto"/>
        </w:rPr>
        <w:t>Client</w:t>
      </w:r>
      <w:r w:rsidRPr="006259CB">
        <w:rPr>
          <w:rFonts w:eastAsia="Arial Narrow"/>
          <w:color w:val="auto"/>
        </w:rPr>
        <w:t>s can be subject to additional fees such as transaction fees, other fees assessed at the mutual fund level</w:t>
      </w:r>
      <w:r w:rsidR="00BF3D0F" w:rsidRPr="006259CB">
        <w:rPr>
          <w:rFonts w:eastAsia="Arial Narrow"/>
          <w:color w:val="auto"/>
        </w:rPr>
        <w:t>,</w:t>
      </w:r>
      <w:r w:rsidRPr="006259CB">
        <w:rPr>
          <w:rFonts w:eastAsia="Arial Narrow"/>
          <w:color w:val="auto"/>
        </w:rPr>
        <w:t xml:space="preserve"> such as contingent deferred sales charges, and tax ramifications.  </w:t>
      </w:r>
    </w:p>
    <w:p w14:paraId="75A9DDD6" w14:textId="77777777" w:rsidR="009B5C4F" w:rsidRPr="006259CB" w:rsidRDefault="009B5C4F" w:rsidP="00873720">
      <w:pPr>
        <w:rPr>
          <w:rFonts w:eastAsia="Arial Narrow"/>
          <w:color w:val="auto"/>
        </w:rPr>
      </w:pPr>
    </w:p>
    <w:p w14:paraId="10B05F98" w14:textId="0E1F2A79" w:rsidR="009B5C4F" w:rsidRPr="006259CB" w:rsidRDefault="009B5C4F" w:rsidP="00873720">
      <w:pPr>
        <w:pBdr>
          <w:top w:val="nil"/>
          <w:left w:val="nil"/>
          <w:bottom w:val="nil"/>
          <w:right w:val="nil"/>
          <w:between w:val="nil"/>
        </w:pBdr>
        <w:rPr>
          <w:rFonts w:eastAsia="Arial Narrow"/>
          <w:color w:val="auto"/>
        </w:rPr>
      </w:pPr>
      <w:r w:rsidRPr="006259CB">
        <w:rPr>
          <w:rFonts w:eastAsia="Arial Narrow"/>
          <w:color w:val="000000"/>
        </w:rPr>
        <w:t xml:space="preserve">Clients </w:t>
      </w:r>
      <w:r w:rsidRPr="006259CB">
        <w:rPr>
          <w:rFonts w:eastAsia="Arial Narrow"/>
          <w:color w:val="auto"/>
        </w:rPr>
        <w:t xml:space="preserve">can </w:t>
      </w:r>
      <w:r w:rsidRPr="006259CB">
        <w:rPr>
          <w:rFonts w:eastAsia="Arial Narrow"/>
          <w:color w:val="000000"/>
        </w:rPr>
        <w:t xml:space="preserve">make </w:t>
      </w:r>
      <w:r w:rsidRPr="006259CB">
        <w:rPr>
          <w:rFonts w:eastAsia="Arial Narrow"/>
          <w:b/>
          <w:color w:val="000000"/>
        </w:rPr>
        <w:t>withdrawals</w:t>
      </w:r>
      <w:r w:rsidRPr="006259CB">
        <w:rPr>
          <w:rFonts w:eastAsia="Arial Narrow"/>
          <w:color w:val="000000"/>
        </w:rPr>
        <w:t xml:space="preserve"> from their </w:t>
      </w:r>
      <w:r w:rsidR="00581B24" w:rsidRPr="006259CB">
        <w:rPr>
          <w:rFonts w:eastAsia="Arial Narrow"/>
          <w:color w:val="000000"/>
        </w:rPr>
        <w:t>Baker Street</w:t>
      </w:r>
      <w:r w:rsidRPr="006259CB">
        <w:rPr>
          <w:rFonts w:eastAsia="Arial Narrow"/>
          <w:color w:val="000000"/>
        </w:rPr>
        <w:t xml:space="preserve"> accounts at any time in cash or securities. Withdrawals are subject to the usual and customary securities settlement procedures and costs. Additionally, if the </w:t>
      </w:r>
      <w:r w:rsidR="00781EFD" w:rsidRPr="006259CB">
        <w:rPr>
          <w:rFonts w:eastAsia="Arial Narrow"/>
          <w:color w:val="000000"/>
        </w:rPr>
        <w:t>Client</w:t>
      </w:r>
      <w:r w:rsidRPr="006259CB">
        <w:rPr>
          <w:rFonts w:eastAsia="Arial Narrow"/>
          <w:color w:val="000000"/>
        </w:rPr>
        <w:t xml:space="preserve"> transfers their account to another firm, they </w:t>
      </w:r>
      <w:r w:rsidR="00ED49F5" w:rsidRPr="006259CB">
        <w:rPr>
          <w:rFonts w:eastAsia="Arial Narrow"/>
          <w:color w:val="auto"/>
        </w:rPr>
        <w:t>may</w:t>
      </w:r>
      <w:r w:rsidRPr="006259CB">
        <w:rPr>
          <w:rFonts w:eastAsia="Arial Narrow"/>
          <w:color w:val="auto"/>
        </w:rPr>
        <w:t xml:space="preserve"> </w:t>
      </w:r>
      <w:r w:rsidRPr="006259CB">
        <w:rPr>
          <w:rFonts w:eastAsia="Arial Narrow"/>
          <w:color w:val="000000"/>
        </w:rPr>
        <w:t xml:space="preserve">pay an outgoing account transfer fee to the Custodian.  </w:t>
      </w:r>
    </w:p>
    <w:p w14:paraId="594FFFA4" w14:textId="77777777" w:rsidR="009B5C4F" w:rsidRPr="006259CB" w:rsidRDefault="009B5C4F" w:rsidP="00873720">
      <w:pPr>
        <w:pBdr>
          <w:top w:val="nil"/>
          <w:left w:val="nil"/>
          <w:bottom w:val="nil"/>
          <w:right w:val="nil"/>
          <w:between w:val="nil"/>
        </w:pBdr>
        <w:rPr>
          <w:rFonts w:eastAsia="Arial Narrow"/>
          <w:i/>
          <w:color w:val="000000"/>
        </w:rPr>
      </w:pPr>
    </w:p>
    <w:p w14:paraId="6D0F23F9" w14:textId="75E98C84" w:rsidR="009B5C4F" w:rsidRPr="006259CB" w:rsidRDefault="009B5C4F" w:rsidP="00873720">
      <w:pPr>
        <w:rPr>
          <w:i/>
          <w:iCs/>
          <w:color w:val="595959" w:themeColor="text1" w:themeTint="A6"/>
        </w:rPr>
      </w:pPr>
      <w:bookmarkStart w:id="44" w:name="_heading=h.3whwml4" w:colFirst="0" w:colLast="0"/>
      <w:bookmarkEnd w:id="44"/>
      <w:r w:rsidRPr="006259CB">
        <w:t xml:space="preserve">Generally, </w:t>
      </w:r>
      <w:r w:rsidRPr="006259CB">
        <w:rPr>
          <w:b/>
          <w:bCs/>
        </w:rPr>
        <w:t>terminations</w:t>
      </w:r>
      <w:r w:rsidRPr="006259CB">
        <w:t xml:space="preserve"> of advisory services may be made without penalty by providing written notice within five (5) business days of the Agreement</w:t>
      </w:r>
      <w:r w:rsidR="00A73FB4" w:rsidRPr="006259CB">
        <w:t>'</w:t>
      </w:r>
      <w:r w:rsidRPr="006259CB">
        <w:t xml:space="preserve">s execution date. Thereafter, </w:t>
      </w:r>
      <w:r w:rsidRPr="006259CB">
        <w:rPr>
          <w:rFonts w:eastAsia="Arial Narrow"/>
          <w:color w:val="auto"/>
        </w:rPr>
        <w:t>the</w:t>
      </w:r>
      <w:r w:rsidR="001566DC" w:rsidRPr="006259CB">
        <w:rPr>
          <w:rFonts w:eastAsia="Arial Narrow"/>
          <w:color w:val="auto"/>
        </w:rPr>
        <w:t xml:space="preserve"> </w:t>
      </w:r>
      <w:r w:rsidRPr="006259CB">
        <w:rPr>
          <w:rFonts w:eastAsia="Arial Narrow"/>
          <w:color w:val="auto"/>
        </w:rPr>
        <w:t>Agreement will continue in effect until either party terminates following the terms of the Agreement</w:t>
      </w:r>
      <w:r w:rsidRPr="006259CB">
        <w:t xml:space="preserve"> through similarly provided written notice. Termination shall become effective on the business day the written notice is received by the other party. </w:t>
      </w:r>
      <w:r w:rsidRPr="006259CB">
        <w:rPr>
          <w:i/>
          <w:iCs/>
          <w:color w:val="595959" w:themeColor="text1" w:themeTint="A6"/>
        </w:rPr>
        <w:t>(Note: A "business day" is defined as any day when the New York Stock Exchange is open for trading.)</w:t>
      </w:r>
    </w:p>
    <w:p w14:paraId="5A8C75C4" w14:textId="77777777" w:rsidR="00FC11CC" w:rsidRPr="006259CB" w:rsidRDefault="00FC11CC" w:rsidP="00873720">
      <w:pPr>
        <w:rPr>
          <w:i/>
          <w:iCs/>
          <w:color w:val="595959" w:themeColor="text1" w:themeTint="A6"/>
        </w:rPr>
      </w:pPr>
    </w:p>
    <w:p w14:paraId="57BEA5EF" w14:textId="03D5DB6F" w:rsidR="00FC11CC" w:rsidRPr="00303346" w:rsidRDefault="00FC11CC" w:rsidP="00873720">
      <w:pPr>
        <w:rPr>
          <w:i/>
          <w:iCs/>
          <w:color w:val="595959" w:themeColor="text1" w:themeTint="A6"/>
        </w:rPr>
      </w:pPr>
      <w:r w:rsidRPr="00303346">
        <w:t>If you terminate your advisory agreement, any prepaid but unearned fees will be promptly refunded.</w:t>
      </w:r>
    </w:p>
    <w:p w14:paraId="78E3E8C9" w14:textId="77777777" w:rsidR="009B5C4F" w:rsidRPr="00303346" w:rsidRDefault="009B5C4F" w:rsidP="00873720">
      <w:pPr>
        <w:rPr>
          <w:rFonts w:eastAsia="Arial Narrow"/>
          <w:color w:val="auto"/>
        </w:rPr>
      </w:pPr>
    </w:p>
    <w:p w14:paraId="0001B238" w14:textId="7AFC6E6F" w:rsidR="006D6084" w:rsidRPr="006259CB" w:rsidRDefault="006D6084" w:rsidP="00873720">
      <w:r w:rsidRPr="00303346">
        <w:t>Should</w:t>
      </w:r>
      <w:r w:rsidRPr="006259CB">
        <w:t xml:space="preserve"> the Client be invested in a private fund, separate account manager or other vehicle, Baker Street will provide contact information for that Investment Manager so that the Client can determine with the Investment Manager if the Client's funds will be/could be redeemed or if the Client will continue to work with that Investment Manager or remain invested in the particular investment vehicle.   </w:t>
      </w:r>
    </w:p>
    <w:p w14:paraId="126F2A7E" w14:textId="77777777" w:rsidR="006D6084" w:rsidRPr="006259CB" w:rsidRDefault="006D6084" w:rsidP="00873720"/>
    <w:p w14:paraId="5A66656C" w14:textId="1BC0AA61" w:rsidR="009B5C4F" w:rsidRPr="006259CB" w:rsidRDefault="009B5C4F" w:rsidP="00873720">
      <w:r w:rsidRPr="006259CB">
        <w:t xml:space="preserve">Termination of the </w:t>
      </w:r>
      <w:r w:rsidR="00394A1B" w:rsidRPr="006259CB">
        <w:t>Agreement</w:t>
      </w:r>
      <w:r w:rsidRPr="006259CB">
        <w:t xml:space="preserve"> will become effective upon receipt of notice from the </w:t>
      </w:r>
      <w:r w:rsidR="00781EFD" w:rsidRPr="006259CB">
        <w:t>Client</w:t>
      </w:r>
      <w:r w:rsidRPr="006259CB">
        <w:t xml:space="preserve"> and will not affect the following:</w:t>
      </w:r>
    </w:p>
    <w:p w14:paraId="5A3BEFC0" w14:textId="77777777" w:rsidR="00436E98" w:rsidRPr="006259CB" w:rsidRDefault="00436E98" w:rsidP="00873720"/>
    <w:p w14:paraId="3460A020" w14:textId="4954F99E" w:rsidR="009B5C4F" w:rsidRPr="006259CB" w:rsidRDefault="009B5C4F" w:rsidP="00873720">
      <w:pPr>
        <w:pStyle w:val="Bullet"/>
        <w:rPr>
          <w:rFonts w:ascii="Arial" w:hAnsi="Arial" w:cs="Arial"/>
          <w:sz w:val="20"/>
          <w:szCs w:val="20"/>
          <w:lang w:bidi="ar-SA"/>
        </w:rPr>
      </w:pPr>
      <w:r w:rsidRPr="006259CB">
        <w:rPr>
          <w:rFonts w:ascii="Arial" w:hAnsi="Arial" w:cs="Arial"/>
          <w:sz w:val="20"/>
          <w:szCs w:val="20"/>
          <w:lang w:bidi="ar-SA"/>
        </w:rPr>
        <w:t>the validity of any actions previously taken by the Adviser under the Agreement,</w:t>
      </w:r>
    </w:p>
    <w:p w14:paraId="79EBACBC" w14:textId="77777777" w:rsidR="009B5C4F" w:rsidRPr="006259CB" w:rsidRDefault="009B5C4F" w:rsidP="00873720">
      <w:pPr>
        <w:pStyle w:val="Bullet"/>
        <w:rPr>
          <w:rFonts w:ascii="Arial" w:hAnsi="Arial" w:cs="Arial"/>
          <w:sz w:val="20"/>
          <w:szCs w:val="20"/>
          <w:lang w:bidi="ar-SA"/>
        </w:rPr>
      </w:pPr>
      <w:r w:rsidRPr="006259CB">
        <w:rPr>
          <w:rFonts w:ascii="Arial" w:hAnsi="Arial" w:cs="Arial"/>
          <w:sz w:val="20"/>
          <w:szCs w:val="20"/>
          <w:lang w:bidi="ar-SA"/>
        </w:rPr>
        <w:t>the liabilities or obligations of the parties arising from transactions initiated prior to the termination, and</w:t>
      </w:r>
    </w:p>
    <w:p w14:paraId="614EA294" w14:textId="3D992343" w:rsidR="009B5C4F" w:rsidRPr="006259CB" w:rsidRDefault="009B5C4F" w:rsidP="00873720">
      <w:pPr>
        <w:pStyle w:val="Bullet"/>
        <w:rPr>
          <w:rFonts w:ascii="Arial" w:hAnsi="Arial" w:cs="Arial"/>
          <w:sz w:val="20"/>
          <w:szCs w:val="20"/>
          <w:lang w:bidi="ar-SA"/>
        </w:rPr>
      </w:pPr>
      <w:r w:rsidRPr="006259CB">
        <w:rPr>
          <w:rFonts w:ascii="Arial" w:hAnsi="Arial" w:cs="Arial"/>
          <w:sz w:val="20"/>
          <w:szCs w:val="20"/>
          <w:lang w:bidi="ar-SA"/>
        </w:rPr>
        <w:t xml:space="preserve">the </w:t>
      </w:r>
      <w:r w:rsidR="00781EFD" w:rsidRPr="006259CB">
        <w:rPr>
          <w:rFonts w:ascii="Arial" w:hAnsi="Arial" w:cs="Arial"/>
          <w:sz w:val="20"/>
          <w:szCs w:val="20"/>
          <w:lang w:bidi="ar-SA"/>
        </w:rPr>
        <w:t>Client</w:t>
      </w:r>
      <w:r w:rsidR="00A73FB4" w:rsidRPr="006259CB">
        <w:rPr>
          <w:rFonts w:ascii="Arial" w:hAnsi="Arial" w:cs="Arial"/>
          <w:sz w:val="20"/>
          <w:szCs w:val="20"/>
          <w:lang w:bidi="ar-SA"/>
        </w:rPr>
        <w:t>'</w:t>
      </w:r>
      <w:r w:rsidRPr="006259CB">
        <w:rPr>
          <w:rFonts w:ascii="Arial" w:hAnsi="Arial" w:cs="Arial"/>
          <w:sz w:val="20"/>
          <w:szCs w:val="20"/>
          <w:lang w:bidi="ar-SA"/>
        </w:rPr>
        <w:t>s obligation to pay any management fees or other fees due, pro</w:t>
      </w:r>
      <w:r w:rsidR="00436E98" w:rsidRPr="006259CB">
        <w:rPr>
          <w:rFonts w:ascii="Arial" w:hAnsi="Arial" w:cs="Arial"/>
          <w:sz w:val="20"/>
          <w:szCs w:val="20"/>
          <w:lang w:bidi="ar-SA"/>
        </w:rPr>
        <w:t>-</w:t>
      </w:r>
      <w:r w:rsidRPr="006259CB">
        <w:rPr>
          <w:rFonts w:ascii="Arial" w:hAnsi="Arial" w:cs="Arial"/>
          <w:sz w:val="20"/>
          <w:szCs w:val="20"/>
          <w:lang w:bidi="ar-SA"/>
        </w:rPr>
        <w:t>rated through the termination date.</w:t>
      </w:r>
    </w:p>
    <w:p w14:paraId="20BFF264" w14:textId="77777777" w:rsidR="009B5C4F" w:rsidRPr="006259CB" w:rsidRDefault="009B5C4F" w:rsidP="00873720">
      <w:pPr>
        <w:pStyle w:val="Bullet"/>
        <w:numPr>
          <w:ilvl w:val="0"/>
          <w:numId w:val="0"/>
        </w:numPr>
        <w:ind w:left="720"/>
        <w:rPr>
          <w:rFonts w:ascii="Arial" w:hAnsi="Arial" w:cs="Arial"/>
          <w:sz w:val="20"/>
          <w:szCs w:val="20"/>
          <w:lang w:bidi="ar-SA"/>
        </w:rPr>
      </w:pPr>
    </w:p>
    <w:p w14:paraId="7EC2AC02" w14:textId="60D2FAF8" w:rsidR="009B5C4F" w:rsidRPr="006259CB" w:rsidRDefault="009B5C4F" w:rsidP="00873720">
      <w:r w:rsidRPr="006259CB">
        <w:t xml:space="preserve">The termination of investment-related services will not affect any investments in securities or insurance products made by the </w:t>
      </w:r>
      <w:r w:rsidR="00781EFD" w:rsidRPr="006259CB">
        <w:t>Client</w:t>
      </w:r>
      <w:r w:rsidRPr="006259CB">
        <w:t xml:space="preserve"> based on the Adviser</w:t>
      </w:r>
      <w:r w:rsidR="00A73FB4" w:rsidRPr="006259CB">
        <w:t>'</w:t>
      </w:r>
      <w:r w:rsidRPr="006259CB">
        <w:t>s recommendations. These investments will remain subject to the terms of their respective offering memoranda or contracts.</w:t>
      </w:r>
    </w:p>
    <w:p w14:paraId="0D4DC616" w14:textId="77777777" w:rsidR="009B5C4F" w:rsidRPr="006259CB" w:rsidRDefault="009B5C4F" w:rsidP="00873720"/>
    <w:p w14:paraId="50E924E8" w14:textId="52320CDB" w:rsidR="00A43698" w:rsidRPr="006259CB" w:rsidRDefault="009B5C4F" w:rsidP="00873720">
      <w:r w:rsidRPr="006259CB">
        <w:t>Upon receipt of a termination notice,</w:t>
      </w:r>
      <w:r w:rsidR="00211AEF" w:rsidRPr="006259CB">
        <w:t xml:space="preserve"> </w:t>
      </w:r>
      <w:r w:rsidR="009C08C3" w:rsidRPr="006259CB">
        <w:t>any prepaid but unearned fees will be prorated and promptly refunded</w:t>
      </w:r>
      <w:r w:rsidR="00211AEF" w:rsidRPr="006259CB">
        <w:t>. T</w:t>
      </w:r>
      <w:r w:rsidRPr="006259CB">
        <w:t xml:space="preserve">he Adviser will initiate the process of delivering cash and/or securities according to the </w:t>
      </w:r>
      <w:r w:rsidR="00781EFD" w:rsidRPr="006259CB">
        <w:t>Client</w:t>
      </w:r>
      <w:r w:rsidR="00A73FB4" w:rsidRPr="006259CB">
        <w:t>'</w:t>
      </w:r>
      <w:r w:rsidRPr="006259CB">
        <w:t xml:space="preserve">s instructions. If securities are liquidated, the </w:t>
      </w:r>
      <w:r w:rsidR="00781EFD" w:rsidRPr="006259CB">
        <w:t>Client</w:t>
      </w:r>
      <w:r w:rsidRPr="006259CB">
        <w:t xml:space="preserve"> may incur liquidation fees or contingent deferred sales charges. Market conditions at the time of liquidation may result in a loss, and additional fees may be imposed by the custodian or broker-dealer involved in the liquidation process. If the </w:t>
      </w:r>
      <w:r w:rsidR="00781EFD" w:rsidRPr="006259CB">
        <w:t>Client</w:t>
      </w:r>
      <w:r w:rsidRPr="006259CB">
        <w:t xml:space="preserve"> holds alternative investments or illiquid securities, they may be subject to specific redemption schedules, which could delay the process. Upon termination of investment-related services, the </w:t>
      </w:r>
      <w:r w:rsidR="00781EFD" w:rsidRPr="006259CB">
        <w:t>Client</w:t>
      </w:r>
      <w:r w:rsidR="00A73FB4" w:rsidRPr="006259CB">
        <w:t>'</w:t>
      </w:r>
      <w:r w:rsidRPr="006259CB">
        <w:t>s funds will remain in their positions as of the termination date. The Adviser will have no further responsibilities regarding the account(s) or positions held within those accounts. Clients may not be able to liquidate or redeem illiquid investments immediately, and some illiquid investments may not be transferable to other advisory firms.</w:t>
      </w:r>
    </w:p>
    <w:p w14:paraId="41CC1F97" w14:textId="77777777" w:rsidR="005D0A13" w:rsidRPr="006259CB" w:rsidRDefault="005D0A13" w:rsidP="00873720"/>
    <w:p w14:paraId="0BB42E0E" w14:textId="77777777" w:rsidR="00581B24" w:rsidRPr="006259CB" w:rsidRDefault="00581B24" w:rsidP="00873720">
      <w:pPr>
        <w:pStyle w:val="Paragraph"/>
      </w:pPr>
      <w:bookmarkStart w:id="45" w:name="_Toc193886427"/>
      <w:r w:rsidRPr="006259CB">
        <w:t>Other Fees &amp; Expenses</w:t>
      </w:r>
      <w:bookmarkEnd w:id="45"/>
    </w:p>
    <w:p w14:paraId="1A577933" w14:textId="669AF9B3" w:rsidR="00581B24" w:rsidRPr="006259CB" w:rsidRDefault="00933A89" w:rsidP="00873720">
      <w:r w:rsidRPr="006259CB">
        <w:t>Baker Street's a</w:t>
      </w:r>
      <w:r w:rsidR="00581B24" w:rsidRPr="006259CB">
        <w:t xml:space="preserve">dvisory fees are separate and distinct from other costs and expenses </w:t>
      </w:r>
      <w:r w:rsidR="00BF3D0F" w:rsidRPr="006259CB">
        <w:t xml:space="preserve">that </w:t>
      </w:r>
      <w:r w:rsidR="00781EFD" w:rsidRPr="006259CB">
        <w:t>Client</w:t>
      </w:r>
      <w:r w:rsidR="00581B24" w:rsidRPr="006259CB">
        <w:t xml:space="preserve">s may incur in connection with their accounts.  A list of some of these additional fees and </w:t>
      </w:r>
      <w:r w:rsidRPr="006259CB">
        <w:t>cost</w:t>
      </w:r>
      <w:r w:rsidR="00581B24" w:rsidRPr="006259CB">
        <w:t>s includes, but is not limited to, the following:</w:t>
      </w:r>
    </w:p>
    <w:p w14:paraId="28D15027" w14:textId="77777777" w:rsidR="00581B24" w:rsidRPr="006259CB" w:rsidRDefault="00581B24" w:rsidP="00873720"/>
    <w:p w14:paraId="00FCAB9C" w14:textId="77777777" w:rsidR="00581B24" w:rsidRPr="006259CB" w:rsidRDefault="3D8A05BD" w:rsidP="00873720">
      <w:pPr>
        <w:pStyle w:val="Heading2"/>
      </w:pPr>
      <w:bookmarkStart w:id="46" w:name="_heading=h.qsh70q"/>
      <w:bookmarkStart w:id="47" w:name="_Toc193886428"/>
      <w:bookmarkStart w:id="48" w:name="_Toc194300675"/>
      <w:bookmarkStart w:id="49" w:name="_Toc225322720"/>
      <w:bookmarkEnd w:id="46"/>
      <w:r>
        <w:lastRenderedPageBreak/>
        <w:t>Mutual Funds, ETFs &amp; Pooled Investment Vehicle Fees</w:t>
      </w:r>
      <w:bookmarkEnd w:id="47"/>
      <w:bookmarkEnd w:id="48"/>
      <w:bookmarkEnd w:id="49"/>
      <w:r>
        <w:t xml:space="preserve"> </w:t>
      </w:r>
    </w:p>
    <w:p w14:paraId="7832F48C" w14:textId="5A69CCD3" w:rsidR="00581B24" w:rsidRPr="006259CB" w:rsidRDefault="00581B24" w:rsidP="00873720">
      <w:pPr>
        <w:pBdr>
          <w:top w:val="nil"/>
          <w:left w:val="nil"/>
          <w:bottom w:val="nil"/>
          <w:right w:val="nil"/>
          <w:between w:val="nil"/>
        </w:pBdr>
        <w:shd w:val="clear" w:color="auto" w:fill="FFFFFF"/>
        <w:rPr>
          <w:rFonts w:eastAsia="Arial Narrow"/>
          <w:color w:val="auto"/>
        </w:rPr>
      </w:pPr>
      <w:r w:rsidRPr="006259CB">
        <w:rPr>
          <w:rFonts w:eastAsia="Arial Narrow"/>
          <w:color w:val="auto"/>
        </w:rPr>
        <w:t xml:space="preserve">Mutual funds generally offer multiple share classes available for investment based on specific eligibility and/or purchase requirements. If such investments are selected for a </w:t>
      </w:r>
      <w:r w:rsidR="00781EFD" w:rsidRPr="006259CB">
        <w:rPr>
          <w:rFonts w:eastAsia="Arial Narrow"/>
          <w:color w:val="auto"/>
        </w:rPr>
        <w:t>Client</w:t>
      </w:r>
      <w:r w:rsidRPr="006259CB">
        <w:rPr>
          <w:rFonts w:eastAsia="Arial Narrow"/>
          <w:color w:val="auto"/>
        </w:rPr>
        <w:t xml:space="preserve">'s account, the </w:t>
      </w:r>
      <w:r w:rsidR="00781EFD" w:rsidRPr="006259CB">
        <w:rPr>
          <w:rFonts w:eastAsia="Arial Narrow"/>
          <w:color w:val="auto"/>
        </w:rPr>
        <w:t>Client</w:t>
      </w:r>
      <w:r w:rsidRPr="006259CB">
        <w:rPr>
          <w:rFonts w:eastAsia="Arial Narrow"/>
          <w:color w:val="auto"/>
        </w:rPr>
        <w:t xml:space="preserve"> and all other shareholders will pay an advisory fee to the funds' investment advisers. In addition to those underlying advisory fees, the </w:t>
      </w:r>
      <w:r w:rsidR="00781EFD" w:rsidRPr="006259CB">
        <w:rPr>
          <w:rFonts w:eastAsia="Arial Narrow"/>
          <w:color w:val="auto"/>
        </w:rPr>
        <w:t>Client</w:t>
      </w:r>
      <w:r w:rsidRPr="006259CB">
        <w:rPr>
          <w:rFonts w:eastAsia="Arial Narrow"/>
          <w:color w:val="auto"/>
        </w:rPr>
        <w:t xml:space="preserve"> will bear a proportionate share of the fund's expenses, including 12b-1 fees and shareholder sub-accounting and distribution costs.</w:t>
      </w:r>
      <w:r w:rsidRPr="006259CB">
        <w:rPr>
          <w:rFonts w:eastAsia="Arial Narrow"/>
          <w:color w:val="000000"/>
        </w:rPr>
        <w:t xml:space="preserve"> </w:t>
      </w:r>
      <w:r w:rsidRPr="006259CB">
        <w:rPr>
          <w:rFonts w:eastAsia="Arial Narrow"/>
          <w:color w:val="auto"/>
        </w:rPr>
        <w:t>Each offering prospectus will describe the offering</w:t>
      </w:r>
      <w:r w:rsidR="00A73FB4" w:rsidRPr="006259CB">
        <w:rPr>
          <w:rFonts w:eastAsia="Arial Narrow"/>
          <w:color w:val="auto"/>
        </w:rPr>
        <w:t>'</w:t>
      </w:r>
      <w:r w:rsidRPr="006259CB">
        <w:rPr>
          <w:rFonts w:eastAsia="Arial Narrow"/>
          <w:color w:val="auto"/>
        </w:rPr>
        <w:t xml:space="preserve">s complete fees and expenses, which can vary depending on the share class. </w:t>
      </w:r>
      <w:r w:rsidRPr="006259CB">
        <w:rPr>
          <w:rFonts w:eastAsia="Arial Narrow"/>
          <w:color w:val="000000"/>
        </w:rPr>
        <w:t xml:space="preserve">Fee and internal expenses can be higher or lower depending on the selected share class. Certain funds do not charge a transaction fee but have higher internal expenses. Choosing funds with higher fees and costs </w:t>
      </w:r>
      <w:r w:rsidRPr="006259CB">
        <w:rPr>
          <w:rFonts w:eastAsia="Arial Narrow"/>
          <w:color w:val="auto"/>
        </w:rPr>
        <w:t xml:space="preserve">can </w:t>
      </w:r>
      <w:r w:rsidRPr="006259CB">
        <w:rPr>
          <w:rFonts w:eastAsia="Arial Narrow"/>
          <w:color w:val="000000"/>
        </w:rPr>
        <w:t xml:space="preserve">adversely impact an account's long-term performance. </w:t>
      </w:r>
      <w:r w:rsidRPr="006259CB">
        <w:rPr>
          <w:rFonts w:eastAsia="Arial Narrow"/>
          <w:color w:val="auto"/>
        </w:rPr>
        <w:t xml:space="preserve">The appropriateness of a particular fund share class selection depends upon several considerations.   Further, not all funds and share classes offered to the public are available through </w:t>
      </w:r>
      <w:r w:rsidR="003A2B54" w:rsidRPr="006259CB">
        <w:rPr>
          <w:rFonts w:eastAsia="Arial Narrow"/>
          <w:color w:val="auto"/>
        </w:rPr>
        <w:t>us</w:t>
      </w:r>
      <w:r w:rsidRPr="006259CB">
        <w:rPr>
          <w:rFonts w:eastAsia="Arial Narrow"/>
          <w:color w:val="auto"/>
        </w:rPr>
        <w:t xml:space="preserve">, which a </w:t>
      </w:r>
      <w:r w:rsidR="00781EFD" w:rsidRPr="006259CB">
        <w:rPr>
          <w:rFonts w:eastAsia="Arial Narrow"/>
          <w:color w:val="auto"/>
        </w:rPr>
        <w:t>Client</w:t>
      </w:r>
      <w:r w:rsidRPr="006259CB">
        <w:rPr>
          <w:rFonts w:eastAsia="Arial Narrow"/>
          <w:color w:val="auto"/>
        </w:rPr>
        <w:t xml:space="preserve"> might otherwise be eligible to purchase. Clients should consider these and our investment fees to fully understand the total amount paid when evaluating the advisory services provided. </w:t>
      </w:r>
    </w:p>
    <w:p w14:paraId="55DCA115" w14:textId="77777777" w:rsidR="00581B24" w:rsidRPr="006259CB" w:rsidRDefault="00581B24" w:rsidP="00873720">
      <w:pPr>
        <w:rPr>
          <w:rFonts w:eastAsia="Arial Narrow"/>
          <w:color w:val="auto"/>
        </w:rPr>
      </w:pPr>
    </w:p>
    <w:p w14:paraId="0C1C9725" w14:textId="4FB4A41D" w:rsidR="00581B24" w:rsidRPr="006259CB" w:rsidRDefault="00581B24" w:rsidP="00873720">
      <w:pPr>
        <w:pBdr>
          <w:top w:val="nil"/>
          <w:left w:val="nil"/>
          <w:bottom w:val="nil"/>
          <w:right w:val="nil"/>
          <w:between w:val="nil"/>
        </w:pBdr>
        <w:shd w:val="clear" w:color="auto" w:fill="FFFFFF"/>
        <w:rPr>
          <w:rFonts w:eastAsia="Arial Narrow"/>
          <w:i/>
          <w:iCs/>
          <w:color w:val="595959" w:themeColor="text1" w:themeTint="A6"/>
        </w:rPr>
      </w:pPr>
      <w:r w:rsidRPr="006259CB">
        <w:rPr>
          <w:rFonts w:eastAsia="Arial Narrow"/>
          <w:color w:val="000000"/>
        </w:rPr>
        <w:t xml:space="preserve">Before recommending this type of purchase, an analysis will occur to determine whether the recommended fund share class is in the </w:t>
      </w:r>
      <w:r w:rsidR="00781EFD" w:rsidRPr="006259CB">
        <w:rPr>
          <w:rFonts w:eastAsia="Arial Narrow"/>
          <w:color w:val="000000"/>
        </w:rPr>
        <w:t>Client</w:t>
      </w:r>
      <w:r w:rsidRPr="006259CB">
        <w:rPr>
          <w:rFonts w:eastAsia="Arial Narrow"/>
          <w:color w:val="000000"/>
        </w:rPr>
        <w:t xml:space="preserve">'s best interest. </w:t>
      </w:r>
      <w:r w:rsidRPr="006259CB">
        <w:rPr>
          <w:rFonts w:eastAsia="Arial Narrow"/>
          <w:color w:val="auto"/>
        </w:rPr>
        <w:t xml:space="preserve">When recommending these investments, it is our policy to consider all available share classes and select and recommend, whenever possible, </w:t>
      </w:r>
      <w:r w:rsidRPr="006259CB">
        <w:rPr>
          <w:rFonts w:eastAsia="Arial Narrow"/>
          <w:color w:val="000000"/>
        </w:rPr>
        <w:t xml:space="preserve">that </w:t>
      </w:r>
      <w:r w:rsidR="00781EFD" w:rsidRPr="006259CB">
        <w:rPr>
          <w:rFonts w:eastAsia="Arial Narrow"/>
          <w:color w:val="000000"/>
        </w:rPr>
        <w:t>Client</w:t>
      </w:r>
      <w:r w:rsidRPr="006259CB">
        <w:rPr>
          <w:rFonts w:eastAsia="Arial Narrow"/>
          <w:color w:val="000000"/>
        </w:rPr>
        <w:t xml:space="preserve">s invest in the lowest cost share class available based on the </w:t>
      </w:r>
      <w:r w:rsidR="00781EFD" w:rsidRPr="006259CB">
        <w:rPr>
          <w:rFonts w:eastAsia="Arial Narrow"/>
          <w:color w:val="000000"/>
        </w:rPr>
        <w:t>Client</w:t>
      </w:r>
      <w:r w:rsidR="00A73FB4" w:rsidRPr="006259CB">
        <w:rPr>
          <w:rFonts w:eastAsia="Arial Narrow"/>
          <w:color w:val="000000"/>
        </w:rPr>
        <w:t>'</w:t>
      </w:r>
      <w:r w:rsidRPr="006259CB">
        <w:rPr>
          <w:rFonts w:eastAsia="Arial Narrow"/>
          <w:color w:val="000000"/>
        </w:rPr>
        <w:t xml:space="preserve">s needs and </w:t>
      </w:r>
      <w:r w:rsidRPr="006259CB">
        <w:rPr>
          <w:rFonts w:eastAsia="Arial Narrow"/>
          <w:color w:val="auto"/>
        </w:rPr>
        <w:t xml:space="preserve">various other factors, including but not limited to minimum investment requirements, trading restrictions, internal expense structure, transaction charges and availability, among others. </w:t>
      </w:r>
      <w:r w:rsidRPr="006259CB">
        <w:rPr>
          <w:rFonts w:eastAsia="Arial Narrow"/>
          <w:i/>
          <w:iCs/>
          <w:color w:val="595959" w:themeColor="text1" w:themeTint="A6"/>
        </w:rPr>
        <w:t>(For example, in addition to retail share classes - typically Class A, B, or C shares, mutual fund companies may offer institutional or other share classes specifically designed for purchase by investors who meet particular eligibility criteria. Institutional share class mutual funds typically cost less than other share classes. Generally, they do not have an associated 12b-1 fee, leading to a lower overall expense ratio than other class shares of the same mutual fund.)</w:t>
      </w:r>
    </w:p>
    <w:p w14:paraId="3FDF2B3A" w14:textId="77777777" w:rsidR="00581B24" w:rsidRPr="006259CB" w:rsidRDefault="00581B24" w:rsidP="00873720">
      <w:pPr>
        <w:pBdr>
          <w:top w:val="nil"/>
          <w:left w:val="nil"/>
          <w:bottom w:val="nil"/>
          <w:right w:val="nil"/>
          <w:between w:val="nil"/>
        </w:pBdr>
        <w:shd w:val="clear" w:color="auto" w:fill="FFFFFF"/>
        <w:rPr>
          <w:rFonts w:eastAsia="Arial Narrow"/>
          <w:color w:val="auto"/>
        </w:rPr>
      </w:pPr>
    </w:p>
    <w:p w14:paraId="6F8A202B" w14:textId="1C3228FE" w:rsidR="00581B24" w:rsidRPr="006259CB" w:rsidRDefault="00581B24" w:rsidP="00873720">
      <w:pPr>
        <w:pBdr>
          <w:top w:val="nil"/>
          <w:left w:val="nil"/>
          <w:bottom w:val="nil"/>
          <w:right w:val="nil"/>
          <w:between w:val="nil"/>
        </w:pBdr>
        <w:shd w:val="clear" w:color="auto" w:fill="FFFFFF"/>
        <w:rPr>
          <w:rFonts w:eastAsia="Arial Narrow"/>
          <w:color w:val="000000"/>
        </w:rPr>
      </w:pPr>
      <w:r w:rsidRPr="006259CB">
        <w:rPr>
          <w:rFonts w:eastAsia="Arial Narrow"/>
          <w:color w:val="auto"/>
        </w:rPr>
        <w:t>Therefore, in most cases, recommendations will be for</w:t>
      </w:r>
      <w:r w:rsidRPr="006259CB">
        <w:rPr>
          <w:rFonts w:eastAsia="Arial Narrow"/>
          <w:color w:val="000000"/>
        </w:rPr>
        <w:t xml:space="preserve"> institutional / advisers share classes with the lowest expense ratios. These are less expensive than other share classes and are usually available to investors in qualified fee-based adviser programs or accounts meeting specific minimum investment requirements. When deemed appropriate for an investor's specific situation, recommendations may also include selecting or holding a mutual fund share class that charges higher internal expenses than other available share classes for the same family.  </w:t>
      </w:r>
    </w:p>
    <w:p w14:paraId="2100F222" w14:textId="77777777" w:rsidR="00581B24" w:rsidRPr="006259CB" w:rsidRDefault="00581B24" w:rsidP="00873720">
      <w:pPr>
        <w:pBdr>
          <w:top w:val="nil"/>
          <w:left w:val="nil"/>
          <w:bottom w:val="nil"/>
          <w:right w:val="nil"/>
          <w:between w:val="nil"/>
        </w:pBdr>
        <w:shd w:val="clear" w:color="auto" w:fill="FFFFFF"/>
        <w:rPr>
          <w:rFonts w:eastAsia="Arial Narrow"/>
          <w:color w:val="000000"/>
        </w:rPr>
      </w:pPr>
    </w:p>
    <w:p w14:paraId="3C55B408" w14:textId="11347F56" w:rsidR="00581B24" w:rsidRPr="006259CB" w:rsidRDefault="00581B24" w:rsidP="00873720">
      <w:pPr>
        <w:pBdr>
          <w:top w:val="nil"/>
          <w:left w:val="nil"/>
          <w:bottom w:val="nil"/>
          <w:right w:val="nil"/>
          <w:between w:val="nil"/>
        </w:pBdr>
        <w:shd w:val="clear" w:color="auto" w:fill="FFFFFF"/>
        <w:rPr>
          <w:rFonts w:eastAsia="Arial Narrow"/>
          <w:color w:val="auto"/>
        </w:rPr>
      </w:pPr>
      <w:r w:rsidRPr="006259CB">
        <w:rPr>
          <w:rFonts w:eastAsia="Arial Narrow"/>
          <w:color w:val="000000"/>
        </w:rPr>
        <w:t xml:space="preserve">For share classes transferred in from other institutions, as soon as practicable upon receipt, an evaluation will occur on whether more appropriate share classes may be available for the </w:t>
      </w:r>
      <w:r w:rsidR="00781EFD" w:rsidRPr="006259CB">
        <w:rPr>
          <w:rFonts w:eastAsia="Arial Narrow"/>
          <w:color w:val="000000"/>
        </w:rPr>
        <w:t>Client</w:t>
      </w:r>
      <w:r w:rsidRPr="006259CB">
        <w:rPr>
          <w:rFonts w:eastAsia="Arial Narrow"/>
          <w:color w:val="000000"/>
        </w:rPr>
        <w:t xml:space="preserve"> to exchange at no cost and recommend that the </w:t>
      </w:r>
      <w:r w:rsidR="00781EFD" w:rsidRPr="006259CB">
        <w:rPr>
          <w:rFonts w:eastAsia="Arial Narrow"/>
          <w:color w:val="000000"/>
        </w:rPr>
        <w:t>Client</w:t>
      </w:r>
      <w:r w:rsidRPr="006259CB">
        <w:rPr>
          <w:rFonts w:eastAsia="Arial Narrow"/>
          <w:color w:val="000000"/>
        </w:rPr>
        <w:t xml:space="preserve"> switches to a lower-cost share class or recommend liquidating the existing holdings, which could result in the </w:t>
      </w:r>
      <w:r w:rsidR="00781EFD" w:rsidRPr="006259CB">
        <w:rPr>
          <w:rFonts w:eastAsia="Arial Narrow"/>
          <w:color w:val="000000"/>
        </w:rPr>
        <w:t>Client</w:t>
      </w:r>
      <w:r w:rsidRPr="006259CB">
        <w:rPr>
          <w:rFonts w:eastAsia="Arial Narrow"/>
          <w:color w:val="000000"/>
        </w:rPr>
        <w:t xml:space="preserve"> having to pay contingent deferred sales charges, or other redemption fees and tax implications. </w:t>
      </w:r>
      <w:r w:rsidRPr="006259CB">
        <w:rPr>
          <w:rFonts w:eastAsia="Arial Narrow"/>
          <w:color w:val="auto"/>
        </w:rPr>
        <w:t xml:space="preserve">Despite such considerations, </w:t>
      </w:r>
      <w:r w:rsidR="00781EFD" w:rsidRPr="006259CB">
        <w:rPr>
          <w:rFonts w:eastAsia="Arial Narrow"/>
          <w:color w:val="auto"/>
        </w:rPr>
        <w:t>Client</w:t>
      </w:r>
      <w:r w:rsidRPr="006259CB">
        <w:rPr>
          <w:rFonts w:eastAsia="Arial Narrow"/>
          <w:color w:val="auto"/>
        </w:rPr>
        <w:t xml:space="preserve">s should not assume they will be invested in the share class with the lowest possible expense ratio. </w:t>
      </w:r>
    </w:p>
    <w:p w14:paraId="2258498E" w14:textId="77777777" w:rsidR="00DD1E6F" w:rsidRPr="006259CB" w:rsidRDefault="00DD1E6F" w:rsidP="00873720">
      <w:pPr>
        <w:rPr>
          <w:rFonts w:eastAsia="Arial Narrow"/>
        </w:rPr>
      </w:pPr>
    </w:p>
    <w:p w14:paraId="17F4C166" w14:textId="69295673" w:rsidR="00F7089B" w:rsidRPr="006259CB" w:rsidRDefault="0478EF32" w:rsidP="00873720">
      <w:pPr>
        <w:pStyle w:val="Heading2"/>
      </w:pPr>
      <w:bookmarkStart w:id="50" w:name="_Toc194300676"/>
      <w:bookmarkStart w:id="51" w:name="_Toc225322721"/>
      <w:r>
        <w:t>Expenses for Private Fund Investments</w:t>
      </w:r>
      <w:bookmarkEnd w:id="50"/>
      <w:bookmarkEnd w:id="51"/>
    </w:p>
    <w:p w14:paraId="23AC2CF0" w14:textId="77777777" w:rsidR="00F7089B" w:rsidRPr="006259CB" w:rsidRDefault="00F7089B" w:rsidP="00873720">
      <w:r w:rsidRPr="006259CB">
        <w:t>Clients investing in private funds, including hedge funds, private equity funds, and funds of funds, may incur expenses related to the pooled investment vehicle. These may include audit, legal, custodial, and other associated fees. Clients should refer to the private placement memorandum or limited partnership agreement for a detailed description of any additional expenses incurred.</w:t>
      </w:r>
    </w:p>
    <w:p w14:paraId="3EE85ACB" w14:textId="77777777" w:rsidR="00581B24" w:rsidRPr="006259CB" w:rsidRDefault="00581B24" w:rsidP="00873720">
      <w:pPr>
        <w:rPr>
          <w:rFonts w:eastAsia="Arial Narrow"/>
          <w:color w:val="000000"/>
        </w:rPr>
      </w:pPr>
    </w:p>
    <w:p w14:paraId="72EFE6F3" w14:textId="77777777" w:rsidR="00581B24" w:rsidRPr="006259CB" w:rsidRDefault="3D8A05BD" w:rsidP="00873720">
      <w:pPr>
        <w:pStyle w:val="Heading2"/>
      </w:pPr>
      <w:bookmarkStart w:id="52" w:name="_Toc193886429"/>
      <w:bookmarkStart w:id="53" w:name="_Toc194300677"/>
      <w:bookmarkStart w:id="54" w:name="_Toc225322722"/>
      <w:r>
        <w:t>Fees Charged by Custodians &amp; Other Financial Institutions</w:t>
      </w:r>
      <w:bookmarkEnd w:id="52"/>
      <w:bookmarkEnd w:id="53"/>
      <w:bookmarkEnd w:id="54"/>
    </w:p>
    <w:p w14:paraId="787BE3DF" w14:textId="5E2D6D43" w:rsidR="00581B24" w:rsidRPr="006259CB" w:rsidRDefault="00581B24" w:rsidP="00873720">
      <w:r w:rsidRPr="006259CB">
        <w:rPr>
          <w:rFonts w:eastAsia="Arial Narrow"/>
          <w:color w:val="auto"/>
        </w:rPr>
        <w:t xml:space="preserve">In addition to the above, </w:t>
      </w:r>
      <w:r w:rsidR="00781EFD" w:rsidRPr="006259CB">
        <w:rPr>
          <w:rFonts w:eastAsia="Arial Narrow"/>
          <w:color w:val="auto"/>
        </w:rPr>
        <w:t>Client</w:t>
      </w:r>
      <w:r w:rsidRPr="006259CB">
        <w:rPr>
          <w:rFonts w:eastAsia="Arial Narrow"/>
          <w:color w:val="auto"/>
        </w:rPr>
        <w:t xml:space="preserve">s should also be aware that our advisory fees are exclusive of bank, custodial or brokerage fees, commissions, trading and transactional costs, liquidation/transfer/termination fees, costs associated with certificate delivery or dealer profits, taxes, duties, and other governmental charges on brokerage accounts and securities transactions, wire and other transfer fees, mark-ups, mark-downs, regulatory fees, and other costs and expenses for the trades conducted in their custodial accounts. </w:t>
      </w:r>
      <w:r w:rsidRPr="006259CB">
        <w:t xml:space="preserve">Clients must pay the price of the services provided by their custodian for arranging for the receipt and delivery of securities that are purchased, sold, borrowed or loaned for their account; making and receiving payments concerning account transactions and securities; maintaining custody of account securities and cash, receiving dividends, and processing exchanges, distributions, and rights accruing to the </w:t>
      </w:r>
      <w:r w:rsidR="00781EFD" w:rsidRPr="006259CB">
        <w:t>Client</w:t>
      </w:r>
      <w:r w:rsidRPr="006259CB">
        <w:t xml:space="preserve">'s account, among others. The custodian may be compensated through commissions or other transaction-based fees for securities transactions executed through the custodian (or its affiliates), asset-based fees for investments settled into the custodian's accounts, or both. </w:t>
      </w:r>
    </w:p>
    <w:p w14:paraId="43E1DBEC" w14:textId="77777777" w:rsidR="00581B24" w:rsidRPr="006259CB" w:rsidRDefault="00581B24" w:rsidP="00873720"/>
    <w:p w14:paraId="4ABEB497" w14:textId="7968690B" w:rsidR="00581B24" w:rsidRPr="006259CB" w:rsidRDefault="00581B24" w:rsidP="00873720">
      <w:pPr>
        <w:rPr>
          <w:rFonts w:eastAsia="Arial Narrow"/>
          <w:color w:val="auto"/>
        </w:rPr>
      </w:pPr>
      <w:r w:rsidRPr="006259CB">
        <w:rPr>
          <w:rFonts w:eastAsia="Arial Narrow"/>
          <w:color w:val="auto"/>
        </w:rPr>
        <w:lastRenderedPageBreak/>
        <w:t xml:space="preserve">Client custodial costs </w:t>
      </w:r>
      <w:r w:rsidRPr="006259CB">
        <w:rPr>
          <w:rFonts w:eastAsia="Arial Narrow"/>
          <w:color w:val="000000"/>
        </w:rPr>
        <w:t xml:space="preserve">can also include transactions in foreign securities and execution on foreign stock exchanges, resulting in </w:t>
      </w:r>
      <w:r w:rsidRPr="006259CB">
        <w:rPr>
          <w:rFonts w:eastAsia="Arial Narrow"/>
          <w:color w:val="auto"/>
        </w:rPr>
        <w:t xml:space="preserve">foreign or </w:t>
      </w:r>
      <w:r w:rsidRPr="006259CB">
        <w:rPr>
          <w:rFonts w:eastAsia="Arial Narrow"/>
          <w:color w:val="000000"/>
        </w:rPr>
        <w:t>other transaction expenses and c</w:t>
      </w:r>
      <w:r w:rsidRPr="006259CB">
        <w:rPr>
          <w:rFonts w:eastAsia="Arial Narrow"/>
          <w:color w:val="auto"/>
        </w:rPr>
        <w:t xml:space="preserve">osts associated with international exchange transactions. Additional securities charges can be incurred and will vary considerably based on individual portfolio construction.  </w:t>
      </w:r>
    </w:p>
    <w:p w14:paraId="1122E61E" w14:textId="77777777" w:rsidR="00581B24" w:rsidRPr="006259CB" w:rsidRDefault="00581B24" w:rsidP="00873720">
      <w:pPr>
        <w:rPr>
          <w:rFonts w:eastAsia="Arial Narrow"/>
          <w:color w:val="auto"/>
        </w:rPr>
      </w:pPr>
    </w:p>
    <w:p w14:paraId="02E2B789" w14:textId="01B51427" w:rsidR="00581B24" w:rsidRPr="006259CB" w:rsidRDefault="00581B24" w:rsidP="00873720">
      <w:pPr>
        <w:rPr>
          <w:rFonts w:eastAsia="Arial Narrow"/>
          <w:color w:val="auto"/>
        </w:rPr>
      </w:pPr>
      <w:r w:rsidRPr="006259CB">
        <w:rPr>
          <w:rFonts w:eastAsia="Arial Narrow"/>
          <w:color w:val="auto"/>
        </w:rPr>
        <w:t xml:space="preserve">Some other customary fees and expenses </w:t>
      </w:r>
      <w:r w:rsidR="002C74C5" w:rsidRPr="006259CB">
        <w:rPr>
          <w:rFonts w:eastAsia="Arial Narrow"/>
          <w:color w:val="auto"/>
        </w:rPr>
        <w:t xml:space="preserve">that </w:t>
      </w:r>
      <w:r w:rsidR="00781EFD" w:rsidRPr="006259CB">
        <w:rPr>
          <w:rFonts w:eastAsia="Arial Narrow"/>
          <w:color w:val="auto"/>
        </w:rPr>
        <w:t>Client</w:t>
      </w:r>
      <w:r w:rsidRPr="006259CB">
        <w:rPr>
          <w:rFonts w:eastAsia="Arial Narrow"/>
          <w:color w:val="auto"/>
        </w:rPr>
        <w:t>s can pay to other parties in connection with their accounts can include</w:t>
      </w:r>
      <w:r w:rsidR="002C74C5" w:rsidRPr="006259CB">
        <w:rPr>
          <w:rFonts w:eastAsia="Arial Narrow"/>
          <w:color w:val="auto"/>
        </w:rPr>
        <w:t>,</w:t>
      </w:r>
      <w:r w:rsidRPr="006259CB">
        <w:rPr>
          <w:rFonts w:eastAsia="Arial Narrow"/>
          <w:color w:val="auto"/>
        </w:rPr>
        <w:t xml:space="preserve"> but are not limited to:</w:t>
      </w:r>
    </w:p>
    <w:p w14:paraId="4EA7C3CF" w14:textId="77777777" w:rsidR="00581B24" w:rsidRPr="006259CB" w:rsidRDefault="00581B24" w:rsidP="00873720">
      <w:pPr>
        <w:pBdr>
          <w:top w:val="nil"/>
          <w:left w:val="nil"/>
          <w:bottom w:val="nil"/>
          <w:right w:val="nil"/>
          <w:between w:val="nil"/>
        </w:pBdr>
        <w:rPr>
          <w:rFonts w:eastAsia="Arial Narrow"/>
          <w:color w:val="000000"/>
        </w:rPr>
      </w:pPr>
    </w:p>
    <w:p w14:paraId="150FA928" w14:textId="1AD2C575" w:rsidR="00581B24" w:rsidRPr="006259CB" w:rsidRDefault="00581B24" w:rsidP="00873720">
      <w:pPr>
        <w:pBdr>
          <w:top w:val="nil"/>
          <w:left w:val="nil"/>
          <w:bottom w:val="nil"/>
          <w:right w:val="nil"/>
          <w:between w:val="nil"/>
        </w:pBdr>
        <w:ind w:left="360" w:right="360"/>
        <w:rPr>
          <w:rFonts w:eastAsia="Arial Narrow"/>
          <w:color w:val="000000"/>
        </w:rPr>
      </w:pPr>
      <w:r w:rsidRPr="006259CB">
        <w:rPr>
          <w:i/>
          <w:iCs/>
          <w:color w:val="6586A4"/>
        </w:rPr>
        <w:t>Margin Interest</w:t>
      </w:r>
      <w:r w:rsidRPr="006259CB">
        <w:rPr>
          <w:rFonts w:eastAsia="Arial Narrow"/>
          <w:color w:val="6586A4"/>
        </w:rPr>
        <w:t xml:space="preserve"> </w:t>
      </w:r>
      <w:r w:rsidRPr="006259CB">
        <w:rPr>
          <w:rFonts w:eastAsia="Arial Narrow"/>
          <w:color w:val="000000"/>
        </w:rPr>
        <w:t xml:space="preserve">- the interest the </w:t>
      </w:r>
      <w:r w:rsidR="00781EFD" w:rsidRPr="006259CB">
        <w:rPr>
          <w:rFonts w:eastAsia="Arial Narrow"/>
          <w:color w:val="000000"/>
        </w:rPr>
        <w:t>Client</w:t>
      </w:r>
      <w:r w:rsidRPr="006259CB">
        <w:rPr>
          <w:rFonts w:eastAsia="Arial Narrow"/>
          <w:color w:val="000000"/>
        </w:rPr>
        <w:t xml:space="preserve"> pays to a custodian/broker-dealer on loans to finance the purchase or sale of securities or securities in their investment account. The interest rate charged and other information about the loan, including how interest is calculated and other disclosures of risk and liability, will be described to the </w:t>
      </w:r>
      <w:r w:rsidR="00781EFD" w:rsidRPr="006259CB">
        <w:rPr>
          <w:rFonts w:eastAsia="Arial Narrow"/>
          <w:color w:val="000000"/>
        </w:rPr>
        <w:t>Client</w:t>
      </w:r>
      <w:r w:rsidRPr="006259CB">
        <w:rPr>
          <w:rFonts w:eastAsia="Arial Narrow"/>
          <w:color w:val="000000"/>
        </w:rPr>
        <w:t xml:space="preserve"> in the separate margin account agreement the </w:t>
      </w:r>
      <w:r w:rsidR="00781EFD" w:rsidRPr="006259CB">
        <w:rPr>
          <w:rFonts w:eastAsia="Arial Narrow"/>
          <w:color w:val="000000"/>
        </w:rPr>
        <w:t>Client</w:t>
      </w:r>
      <w:r w:rsidRPr="006259CB">
        <w:rPr>
          <w:rFonts w:eastAsia="Arial Narrow"/>
          <w:color w:val="000000"/>
        </w:rPr>
        <w:t xml:space="preserve"> executes with their custodian/broker-dealer. Fees for advice and execution on these securities are based on the total asset value of the account, which includes the value of the securities purchased on margin. While a negative amount may be shown on a </w:t>
      </w:r>
      <w:r w:rsidR="00781EFD" w:rsidRPr="006259CB">
        <w:rPr>
          <w:rFonts w:eastAsia="Arial Narrow"/>
          <w:color w:val="000000"/>
        </w:rPr>
        <w:t>Client</w:t>
      </w:r>
      <w:r w:rsidRPr="006259CB">
        <w:rPr>
          <w:rFonts w:eastAsia="Arial Narrow"/>
          <w:color w:val="000000"/>
        </w:rPr>
        <w:t xml:space="preserve">'s statement for the margined security due to a lower net market value, the fee amount charged by the Adviser for our advisory services is based on the </w:t>
      </w:r>
      <w:r w:rsidRPr="006259CB">
        <w:rPr>
          <w:rFonts w:eastAsia="Arial Narrow"/>
          <w:i/>
          <w:color w:val="000000"/>
        </w:rPr>
        <w:t>absolute market value</w:t>
      </w:r>
      <w:r w:rsidRPr="006259CB">
        <w:rPr>
          <w:rFonts w:eastAsia="Arial Narrow"/>
          <w:color w:val="000000"/>
        </w:rPr>
        <w:t xml:space="preserve"> of the </w:t>
      </w:r>
      <w:r w:rsidR="00781EFD" w:rsidRPr="006259CB">
        <w:rPr>
          <w:rFonts w:eastAsia="Arial Narrow"/>
          <w:color w:val="000000"/>
        </w:rPr>
        <w:t>Client</w:t>
      </w:r>
      <w:r w:rsidR="00A73FB4" w:rsidRPr="006259CB">
        <w:rPr>
          <w:rFonts w:eastAsia="Arial Narrow"/>
          <w:color w:val="000000"/>
        </w:rPr>
        <w:t>'</w:t>
      </w:r>
      <w:r w:rsidRPr="006259CB">
        <w:rPr>
          <w:rFonts w:eastAsia="Arial Narrow"/>
          <w:color w:val="000000"/>
        </w:rPr>
        <w:t xml:space="preserve">s account. </w:t>
      </w:r>
      <w:r w:rsidRPr="006259CB">
        <w:rPr>
          <w:rFonts w:eastAsia="Arial Narrow"/>
          <w:color w:val="auto"/>
        </w:rPr>
        <w:t>To calculate an account</w:t>
      </w:r>
      <w:r w:rsidR="00A73FB4" w:rsidRPr="006259CB">
        <w:rPr>
          <w:rFonts w:eastAsia="Arial Narrow"/>
          <w:color w:val="auto"/>
        </w:rPr>
        <w:t>'</w:t>
      </w:r>
      <w:r w:rsidRPr="006259CB">
        <w:rPr>
          <w:rFonts w:eastAsia="Arial Narrow"/>
          <w:color w:val="auto"/>
        </w:rPr>
        <w:t>s net asset balance, we deduct the amount of any outstanding margin balances from the account</w:t>
      </w:r>
      <w:r w:rsidR="00A73FB4" w:rsidRPr="006259CB">
        <w:rPr>
          <w:rFonts w:eastAsia="Arial Narrow"/>
          <w:color w:val="auto"/>
        </w:rPr>
        <w:t>'</w:t>
      </w:r>
      <w:r w:rsidRPr="006259CB">
        <w:rPr>
          <w:rFonts w:eastAsia="Arial Narrow"/>
          <w:color w:val="auto"/>
        </w:rPr>
        <w:t>s total gross asset balance</w:t>
      </w:r>
      <w:r w:rsidR="002C74C5" w:rsidRPr="006259CB">
        <w:rPr>
          <w:rFonts w:eastAsia="Arial Narrow"/>
          <w:color w:val="auto"/>
        </w:rPr>
        <w:t>,</w:t>
      </w:r>
      <w:r w:rsidRPr="006259CB">
        <w:rPr>
          <w:rFonts w:eastAsia="Arial Narrow"/>
          <w:color w:val="auto"/>
        </w:rPr>
        <w:t xml:space="preserve"> but do not deduct the amount of any outstanding non-purpose loan balances. </w:t>
      </w:r>
      <w:r w:rsidRPr="006259CB">
        <w:rPr>
          <w:rFonts w:eastAsia="Arial Narrow"/>
          <w:color w:val="000000"/>
        </w:rPr>
        <w:t xml:space="preserve">This means if a </w:t>
      </w:r>
      <w:r w:rsidR="00781EFD" w:rsidRPr="006259CB">
        <w:rPr>
          <w:rFonts w:eastAsia="Arial Narrow"/>
          <w:color w:val="000000"/>
        </w:rPr>
        <w:t>Client</w:t>
      </w:r>
      <w:r w:rsidRPr="006259CB">
        <w:rPr>
          <w:rFonts w:eastAsia="Arial Narrow"/>
          <w:color w:val="000000"/>
        </w:rPr>
        <w:t xml:space="preserve"> chooses to loan their securities, </w:t>
      </w:r>
      <w:r w:rsidRPr="006259CB">
        <w:rPr>
          <w:rFonts w:eastAsia="Arial Narrow"/>
          <w:color w:val="auto"/>
        </w:rPr>
        <w:t xml:space="preserve">we will only charge the fee on the net value of the account (i.e., we will discount the net margin balance). </w:t>
      </w:r>
      <w:r w:rsidRPr="006259CB">
        <w:rPr>
          <w:rFonts w:eastAsia="Arial Narrow"/>
          <w:color w:val="000000"/>
        </w:rPr>
        <w:t xml:space="preserve">Using margin </w:t>
      </w:r>
      <w:r w:rsidRPr="006259CB">
        <w:rPr>
          <w:rFonts w:eastAsia="Arial Narrow"/>
          <w:color w:val="auto"/>
        </w:rPr>
        <w:t xml:space="preserve">can </w:t>
      </w:r>
      <w:r w:rsidRPr="006259CB">
        <w:rPr>
          <w:rFonts w:eastAsia="Arial Narrow"/>
          <w:color w:val="000000"/>
        </w:rPr>
        <w:t>also result in interest charges and all other fees and expenses associated with the security involved, and</w:t>
      </w:r>
    </w:p>
    <w:p w14:paraId="14D91C8E" w14:textId="77777777" w:rsidR="00581B24" w:rsidRPr="006259CB" w:rsidRDefault="00581B24" w:rsidP="00873720">
      <w:pPr>
        <w:pBdr>
          <w:top w:val="nil"/>
          <w:left w:val="nil"/>
          <w:bottom w:val="nil"/>
          <w:right w:val="nil"/>
          <w:between w:val="nil"/>
        </w:pBdr>
        <w:ind w:left="360" w:right="360"/>
        <w:rPr>
          <w:rFonts w:eastAsia="Arial Narrow"/>
          <w:color w:val="000000"/>
          <w:sz w:val="12"/>
          <w:szCs w:val="12"/>
        </w:rPr>
      </w:pPr>
    </w:p>
    <w:p w14:paraId="68292FD3" w14:textId="76DDFD2F" w:rsidR="00581B24" w:rsidRPr="006259CB" w:rsidRDefault="00581B24" w:rsidP="332DA7C8">
      <w:pPr>
        <w:pBdr>
          <w:top w:val="nil"/>
          <w:left w:val="nil"/>
          <w:bottom w:val="nil"/>
          <w:right w:val="nil"/>
          <w:between w:val="nil"/>
        </w:pBdr>
        <w:ind w:left="360" w:right="360"/>
        <w:rPr>
          <w:i/>
          <w:iCs/>
          <w:color w:val="595959" w:themeColor="text1" w:themeTint="A6"/>
        </w:rPr>
      </w:pPr>
      <w:r w:rsidRPr="332DA7C8">
        <w:rPr>
          <w:i/>
          <w:iCs/>
          <w:color w:val="6586A4"/>
        </w:rPr>
        <w:t>Securities Execution Transaction Fees</w:t>
      </w:r>
      <w:r w:rsidRPr="332DA7C8">
        <w:rPr>
          <w:rFonts w:eastAsia="Arial Narrow"/>
          <w:color w:val="6586A4"/>
        </w:rPr>
        <w:t xml:space="preserve"> </w:t>
      </w:r>
      <w:r w:rsidRPr="332DA7C8">
        <w:rPr>
          <w:rFonts w:eastAsia="Arial Narrow"/>
        </w:rPr>
        <w:t xml:space="preserve">- as noted previously, these are the fees charged by a clearing broker-dealer to an introducing broker-dealer and passed through to the </w:t>
      </w:r>
      <w:r w:rsidR="00781EFD" w:rsidRPr="332DA7C8">
        <w:rPr>
          <w:rFonts w:eastAsia="Arial Narrow"/>
        </w:rPr>
        <w:t>Client</w:t>
      </w:r>
      <w:r w:rsidRPr="332DA7C8">
        <w:rPr>
          <w:rFonts w:eastAsia="Arial Narrow"/>
        </w:rPr>
        <w:t xml:space="preserve"> for payment relating to the purchase and sale of securities in their investment account. A schedule of charges relating to the purchase and sales by type of security is provided to the </w:t>
      </w:r>
      <w:r w:rsidR="00781EFD" w:rsidRPr="332DA7C8">
        <w:rPr>
          <w:rFonts w:eastAsia="Arial Narrow"/>
        </w:rPr>
        <w:t>Client</w:t>
      </w:r>
      <w:r w:rsidRPr="332DA7C8">
        <w:rPr>
          <w:rFonts w:eastAsia="Arial Narrow"/>
        </w:rPr>
        <w:t xml:space="preserve"> by each account</w:t>
      </w:r>
      <w:r w:rsidR="00A73FB4" w:rsidRPr="332DA7C8">
        <w:rPr>
          <w:rFonts w:eastAsia="Arial Narrow"/>
        </w:rPr>
        <w:t>'</w:t>
      </w:r>
      <w:r w:rsidRPr="332DA7C8">
        <w:rPr>
          <w:rFonts w:eastAsia="Arial Narrow"/>
        </w:rPr>
        <w:t xml:space="preserve">s custodian/broker-dealer of record, as well as any changes or updates to such fee schedules. </w:t>
      </w:r>
      <w:r>
        <w:t xml:space="preserve">The exact fees and terms of each custodian's services are described in the </w:t>
      </w:r>
      <w:r w:rsidR="00394A1B">
        <w:t>Agreement</w:t>
      </w:r>
      <w:r>
        <w:t xml:space="preserve"> </w:t>
      </w:r>
      <w:r w:rsidR="002C74C5">
        <w:t xml:space="preserve">that </w:t>
      </w:r>
      <w:r>
        <w:t xml:space="preserve">the </w:t>
      </w:r>
      <w:r w:rsidR="00781EFD">
        <w:t>Client</w:t>
      </w:r>
      <w:r>
        <w:t xml:space="preserve"> will execute with their account custodian. </w:t>
      </w:r>
      <w:r w:rsidRPr="332DA7C8">
        <w:rPr>
          <w:i/>
          <w:iCs/>
          <w:color w:val="595959" w:themeColor="text1" w:themeTint="A6"/>
        </w:rPr>
        <w:t>(Refer to Item 12: Brokerage for additional information.)</w:t>
      </w:r>
    </w:p>
    <w:p w14:paraId="0F1CB35B" w14:textId="77777777" w:rsidR="00581B24" w:rsidRPr="006259CB" w:rsidRDefault="00581B24" w:rsidP="00873720">
      <w:pPr>
        <w:pBdr>
          <w:top w:val="nil"/>
          <w:left w:val="nil"/>
          <w:bottom w:val="nil"/>
          <w:right w:val="nil"/>
          <w:between w:val="nil"/>
        </w:pBdr>
        <w:ind w:left="360" w:right="360"/>
        <w:rPr>
          <w:i/>
          <w:iCs/>
          <w:color w:val="595959" w:themeColor="text1" w:themeTint="A6"/>
        </w:rPr>
      </w:pPr>
    </w:p>
    <w:p w14:paraId="5B196DA5" w14:textId="2DE23D6C" w:rsidR="00581B24" w:rsidRPr="006259CB" w:rsidRDefault="00581B24" w:rsidP="00873720">
      <w:r w:rsidRPr="006259CB">
        <w:t xml:space="preserve">The </w:t>
      </w:r>
      <w:r w:rsidR="00781EFD" w:rsidRPr="006259CB">
        <w:t>Client</w:t>
      </w:r>
      <w:r w:rsidRPr="006259CB">
        <w:t xml:space="preserve"> should understand that all fees paid for our advisory services are separate and distinct from the asset-based management fees charged by the managers of mutual funds, ETFs, and pooled investment vehicles in which the </w:t>
      </w:r>
      <w:r w:rsidR="00781EFD" w:rsidRPr="006259CB">
        <w:t>Client</w:t>
      </w:r>
      <w:r w:rsidRPr="006259CB">
        <w:t xml:space="preserve"> invests, as well as any additional fees discussed herein. Baker Street does not receive any portion of these fees, commissions, costs, or expenses; these fees are in addition to and exclusive of our advisory service fees. Furthermore, we do not reduce or offset our advisory fees by any 12b-1 fees or sales-related compensation received from custodians, brokers, mutual fund companies, or insurance companies, whether resulting from a </w:t>
      </w:r>
      <w:r w:rsidR="00781EFD" w:rsidRPr="006259CB">
        <w:t>Client</w:t>
      </w:r>
      <w:r w:rsidRPr="006259CB">
        <w:t xml:space="preserve">'s purchase or sale of securities, insurance, or other investment products, or the value of the </w:t>
      </w:r>
      <w:r w:rsidR="00781EFD" w:rsidRPr="006259CB">
        <w:t>Client</w:t>
      </w:r>
      <w:r w:rsidRPr="006259CB">
        <w:t xml:space="preserve">'s account, free credit balance, margin account balance, or retirement account balances. </w:t>
      </w:r>
    </w:p>
    <w:p w14:paraId="799026A2" w14:textId="77777777" w:rsidR="00581B24" w:rsidRPr="006259CB" w:rsidRDefault="00581B24" w:rsidP="00873720"/>
    <w:p w14:paraId="2A2710EF" w14:textId="444F2131" w:rsidR="00581B24" w:rsidRPr="006259CB" w:rsidRDefault="00581B24" w:rsidP="00873720">
      <w:r w:rsidRPr="006259CB">
        <w:t>Unless otherwise specified in the</w:t>
      </w:r>
      <w:r w:rsidR="00C6306D" w:rsidRPr="006259CB">
        <w:t xml:space="preserve"> </w:t>
      </w:r>
      <w:r w:rsidRPr="006259CB">
        <w:t xml:space="preserve">Agreement, </w:t>
      </w:r>
      <w:r w:rsidR="00781EFD" w:rsidRPr="006259CB">
        <w:t>Client</w:t>
      </w:r>
      <w:r w:rsidRPr="006259CB">
        <w:t>s will be subject to our advisory fees in addition to the fees and expenses outlined above, based on the type of advisory service selected and the portfolio investments held, and are responsible for paying all applicable third-party fees.</w:t>
      </w:r>
    </w:p>
    <w:p w14:paraId="37C172DF" w14:textId="77777777" w:rsidR="00581B24" w:rsidRPr="006259CB" w:rsidRDefault="00581B24" w:rsidP="00873720"/>
    <w:p w14:paraId="1360AAE2" w14:textId="77777777" w:rsidR="00581B24" w:rsidRPr="006259CB" w:rsidRDefault="3D8A05BD" w:rsidP="00873720">
      <w:pPr>
        <w:pStyle w:val="Heading3"/>
        <w:rPr>
          <w:rFonts w:eastAsia="Arial Narrow"/>
          <w:color w:val="auto"/>
          <w:sz w:val="20"/>
          <w:szCs w:val="20"/>
        </w:rPr>
      </w:pPr>
      <w:bookmarkStart w:id="55" w:name="_Toc193886430"/>
      <w:bookmarkStart w:id="56" w:name="_Toc194300678"/>
      <w:bookmarkStart w:id="57" w:name="_Toc225322723"/>
      <w:r w:rsidRPr="21FD5452">
        <w:rPr>
          <w:sz w:val="20"/>
          <w:szCs w:val="20"/>
        </w:rPr>
        <w:t>Fees &amp; Compensation Evaluation</w:t>
      </w:r>
      <w:bookmarkEnd w:id="55"/>
      <w:bookmarkEnd w:id="56"/>
      <w:bookmarkEnd w:id="57"/>
    </w:p>
    <w:p w14:paraId="7E8859B8" w14:textId="2AB91B29" w:rsidR="00581B24" w:rsidRPr="006259CB" w:rsidRDefault="00581B24" w:rsidP="00873720">
      <w:r w:rsidRPr="006259CB">
        <w:t xml:space="preserve">To fully understand the total costs associated with their account, </w:t>
      </w:r>
      <w:r w:rsidR="00781EFD" w:rsidRPr="006259CB">
        <w:t>Client</w:t>
      </w:r>
      <w:r w:rsidRPr="006259CB">
        <w:t xml:space="preserve">s are responsible for reviewing and comprehending not only this document and their Agreement with Baker Street but also any offering documents, prospectuses, disclosures, and other legal materials provided by their custodian or relevant securities products. These documents outline the fees, costs, expenses, commissions, and other pertinent information regarding securities transactions in the </w:t>
      </w:r>
      <w:r w:rsidR="00781EFD" w:rsidRPr="006259CB">
        <w:t>Client</w:t>
      </w:r>
      <w:r w:rsidR="00A73FB4" w:rsidRPr="006259CB">
        <w:t>'</w:t>
      </w:r>
      <w:r w:rsidRPr="006259CB">
        <w:t>s investment account, as well as all fees charged by Baker Street, the custodian, the broker-dealer, and other applicable parties based on the type of account established.</w:t>
      </w:r>
    </w:p>
    <w:p w14:paraId="4FE6DBD5" w14:textId="77777777" w:rsidR="00581B24" w:rsidRPr="006259CB" w:rsidRDefault="00581B24" w:rsidP="00873720"/>
    <w:p w14:paraId="7F17D17D" w14:textId="77777777" w:rsidR="00877FB5" w:rsidRPr="006259CB" w:rsidRDefault="00581B24" w:rsidP="00873720">
      <w:r w:rsidRPr="006259CB">
        <w:t xml:space="preserve">When evaluating the overall costs and benefits of our advisory services, </w:t>
      </w:r>
      <w:r w:rsidR="00781EFD" w:rsidRPr="006259CB">
        <w:t>Client</w:t>
      </w:r>
      <w:r w:rsidRPr="006259CB">
        <w:t xml:space="preserve">s should consider not only our advisory fees but also both direct and indirect costs to fully understand the total expenses and assess the value of our services and the recommended investment products. </w:t>
      </w:r>
    </w:p>
    <w:p w14:paraId="76E69DF4" w14:textId="77777777" w:rsidR="00877FB5" w:rsidRPr="006259CB" w:rsidRDefault="00877FB5" w:rsidP="00873720"/>
    <w:p w14:paraId="14C884FA" w14:textId="77777777" w:rsidR="00877FB5" w:rsidRPr="006259CB" w:rsidRDefault="00581B24" w:rsidP="00873720">
      <w:r w:rsidRPr="006259CB">
        <w:t xml:space="preserve">We do not represent that our products or services are provided at the lowest cost. Our advisory fees and associated service expenses may be higher than those charged by other advisers or financial services firms for similar services. </w:t>
      </w:r>
      <w:r w:rsidRPr="006259CB">
        <w:lastRenderedPageBreak/>
        <w:t xml:space="preserve">Clients have the option to obtain the same or similar products or services at a lower cost from different providers and may choose whether to act on our recommendations. </w:t>
      </w:r>
    </w:p>
    <w:p w14:paraId="494B0EEC" w14:textId="77777777" w:rsidR="00877FB5" w:rsidRPr="006259CB" w:rsidRDefault="00877FB5" w:rsidP="00873720"/>
    <w:p w14:paraId="668C5B1C" w14:textId="6BA237FE" w:rsidR="00581B24" w:rsidRPr="006259CB" w:rsidRDefault="00581B24" w:rsidP="00873720">
      <w:pPr>
        <w:rPr>
          <w:rFonts w:eastAsia="Arial Narrow"/>
          <w:i/>
          <w:iCs/>
          <w:color w:val="595959" w:themeColor="text1" w:themeTint="A6"/>
        </w:rPr>
      </w:pPr>
      <w:r w:rsidRPr="006259CB">
        <w:t xml:space="preserve">Clients may purchase recommended investment products through any broker or agent, including those not affiliated with Baker Street. </w:t>
      </w:r>
      <w:r w:rsidRPr="006259CB">
        <w:rPr>
          <w:rFonts w:eastAsia="Arial Narrow"/>
          <w:i/>
          <w:iCs/>
          <w:color w:val="595959" w:themeColor="text1" w:themeTint="A6"/>
        </w:rPr>
        <w:t>(See Item 8: Methods of Analysis, Investment Strategies &amp; Risk of Loss, Item 10, Financial Industry Activities and Affiliations, and Item 12:  Brokerage Practices for additional information about the fees associated with our advisory service offerings.)</w:t>
      </w:r>
    </w:p>
    <w:p w14:paraId="5FC538DC" w14:textId="77777777" w:rsidR="0048793F" w:rsidRPr="006259CB" w:rsidRDefault="0048793F" w:rsidP="00873720">
      <w:bookmarkStart w:id="58" w:name="_Toc270409648"/>
    </w:p>
    <w:p w14:paraId="1092D92A" w14:textId="5DE5A91E" w:rsidR="002B07B2" w:rsidRPr="006259CB" w:rsidRDefault="3BC04BE2" w:rsidP="00873720">
      <w:pPr>
        <w:pStyle w:val="Item"/>
      </w:pPr>
      <w:bookmarkStart w:id="59" w:name="_Toc225322724"/>
      <w:r>
        <w:t xml:space="preserve">Item 6:  </w:t>
      </w:r>
      <w:r w:rsidR="2DC658AD">
        <w:t>Performance-</w:t>
      </w:r>
      <w:r w:rsidR="38356AD4">
        <w:t xml:space="preserve">Based Fees </w:t>
      </w:r>
      <w:r>
        <w:t>&amp;</w:t>
      </w:r>
      <w:r w:rsidR="38356AD4">
        <w:t xml:space="preserve"> Side-by-Side Management</w:t>
      </w:r>
      <w:bookmarkEnd w:id="58"/>
      <w:bookmarkEnd w:id="59"/>
    </w:p>
    <w:p w14:paraId="5D8FA682" w14:textId="12C13C06" w:rsidR="00961C2B" w:rsidRPr="006259CB" w:rsidRDefault="00961C2B" w:rsidP="0094676D">
      <w:pPr>
        <w:spacing w:after="60"/>
        <w:rPr>
          <w:b/>
        </w:rPr>
      </w:pPr>
      <w:r w:rsidRPr="006259CB">
        <w:rPr>
          <w:color w:val="6586A4"/>
        </w:rPr>
        <w:t>___</w:t>
      </w:r>
      <w:r w:rsidR="00513FEE" w:rsidRPr="006259CB">
        <w:rPr>
          <w:color w:val="6586A4"/>
        </w:rPr>
        <w:t>___</w:t>
      </w:r>
      <w:r w:rsidRPr="006259CB">
        <w:rPr>
          <w:color w:val="6586A4"/>
        </w:rPr>
        <w:t>____________________________________________________________________________________</w:t>
      </w:r>
    </w:p>
    <w:p w14:paraId="022BF375" w14:textId="77777777" w:rsidR="0048793F" w:rsidRPr="006259CB" w:rsidRDefault="00E30FB6" w:rsidP="00873720">
      <w:pPr>
        <w:rPr>
          <w:rFonts w:eastAsia="Arial MT"/>
          <w:lang w:bidi="en-US"/>
        </w:rPr>
      </w:pPr>
      <w:r w:rsidRPr="006259CB">
        <w:rPr>
          <w:rFonts w:eastAsia="Arial MT"/>
          <w:u w:val="single"/>
          <w:lang w:bidi="en-US"/>
        </w:rPr>
        <w:t>Performance-based fees</w:t>
      </w:r>
      <w:r w:rsidRPr="006259CB">
        <w:rPr>
          <w:rFonts w:eastAsia="Arial MT"/>
          <w:lang w:bidi="en-US"/>
        </w:rPr>
        <w:t xml:space="preserve"> are calculated based on a percentage of the capital gains or capital appreciation of a </w:t>
      </w:r>
      <w:r w:rsidR="00781EFD" w:rsidRPr="006259CB">
        <w:rPr>
          <w:rFonts w:eastAsia="Arial MT"/>
          <w:lang w:bidi="en-US"/>
        </w:rPr>
        <w:t>Client</w:t>
      </w:r>
      <w:r w:rsidRPr="006259CB">
        <w:rPr>
          <w:rFonts w:eastAsia="Arial MT"/>
          <w:lang w:bidi="en-US"/>
        </w:rPr>
        <w:t xml:space="preserve">’s account. This fee structure is contingent upon the performance of the account, aligning the advisor's compensation with the success of the investment strategy.  </w:t>
      </w:r>
    </w:p>
    <w:p w14:paraId="6485781E" w14:textId="77777777" w:rsidR="0048793F" w:rsidRPr="006259CB" w:rsidRDefault="0048793F" w:rsidP="00873720">
      <w:pPr>
        <w:rPr>
          <w:rFonts w:eastAsia="Arial MT"/>
          <w:lang w:bidi="en-US"/>
        </w:rPr>
      </w:pPr>
    </w:p>
    <w:p w14:paraId="679B4B3E" w14:textId="6B277A23" w:rsidR="00E30FB6" w:rsidRPr="006259CB" w:rsidRDefault="00E30FB6" w:rsidP="00873720">
      <w:pPr>
        <w:rPr>
          <w:rFonts w:eastAsia="Arial MT"/>
          <w:lang w:bidi="en-US"/>
        </w:rPr>
      </w:pPr>
      <w:r w:rsidRPr="006259CB">
        <w:rPr>
          <w:rFonts w:eastAsia="Arial MT"/>
          <w:u w:val="single"/>
          <w:lang w:bidi="en-US"/>
        </w:rPr>
        <w:t>Side-by-</w:t>
      </w:r>
      <w:r w:rsidR="00C35CD5" w:rsidRPr="006259CB">
        <w:rPr>
          <w:rFonts w:eastAsia="Arial MT"/>
          <w:u w:val="single"/>
          <w:lang w:bidi="en-US"/>
        </w:rPr>
        <w:t>side m</w:t>
      </w:r>
      <w:r w:rsidRPr="006259CB">
        <w:rPr>
          <w:rFonts w:eastAsia="Arial MT"/>
          <w:u w:val="single"/>
          <w:lang w:bidi="en-US"/>
        </w:rPr>
        <w:t>anagement</w:t>
      </w:r>
      <w:r w:rsidRPr="006259CB">
        <w:rPr>
          <w:rFonts w:eastAsia="Arial MT"/>
          <w:lang w:bidi="en-US"/>
        </w:rPr>
        <w:t xml:space="preserve"> refers to the practice of simultaneously managing accounts that are subject to performance-based fees alongside accounts that do not incur such fees. This approach requires careful consideration to ensure that the interests of all </w:t>
      </w:r>
      <w:r w:rsidR="00781EFD" w:rsidRPr="006259CB">
        <w:rPr>
          <w:rFonts w:eastAsia="Arial MT"/>
          <w:lang w:bidi="en-US"/>
        </w:rPr>
        <w:t>Client</w:t>
      </w:r>
      <w:r w:rsidRPr="006259CB">
        <w:rPr>
          <w:rFonts w:eastAsia="Arial MT"/>
          <w:lang w:bidi="en-US"/>
        </w:rPr>
        <w:t>s are managed fairly and in accordance with applicable regulatory requirements.</w:t>
      </w:r>
    </w:p>
    <w:p w14:paraId="4BA26ED3" w14:textId="77777777" w:rsidR="00E30FB6" w:rsidRPr="006259CB" w:rsidRDefault="00E30FB6" w:rsidP="00873720">
      <w:pPr>
        <w:rPr>
          <w:rFonts w:eastAsia="Arial MT"/>
          <w:lang w:bidi="en-US"/>
        </w:rPr>
      </w:pPr>
    </w:p>
    <w:p w14:paraId="72274FAD" w14:textId="2570E58C" w:rsidR="00C35CD5" w:rsidRPr="006259CB" w:rsidRDefault="00E30FB6" w:rsidP="00873720">
      <w:r w:rsidRPr="006259CB">
        <w:rPr>
          <w:rFonts w:eastAsia="Arial MT"/>
          <w:color w:val="000000"/>
          <w:lang w:bidi="en-US"/>
        </w:rPr>
        <w:t xml:space="preserve">Baker Street does not accept performance-based fees or participate in side-by-side management. </w:t>
      </w:r>
      <w:r w:rsidRPr="006259CB">
        <w:rPr>
          <w:rFonts w:eastAsia="Arial MT"/>
          <w:color w:val="7F7F7F"/>
          <w:lang w:bidi="en-US"/>
        </w:rPr>
        <w:t xml:space="preserve"> </w:t>
      </w:r>
      <w:r w:rsidR="00C35CD5" w:rsidRPr="006259CB">
        <w:t xml:space="preserve">However, some Investment Managers or funds we recommend may charge performance fees. </w:t>
      </w:r>
    </w:p>
    <w:p w14:paraId="318284AC" w14:textId="69288B25" w:rsidR="00E30FB6" w:rsidRPr="006259CB" w:rsidRDefault="00E30FB6" w:rsidP="00873720">
      <w:pPr>
        <w:rPr>
          <w:rFonts w:eastAsia="Arial MT"/>
          <w:color w:val="7F7F7F"/>
          <w:lang w:bidi="en-US"/>
        </w:rPr>
      </w:pPr>
    </w:p>
    <w:p w14:paraId="19B748C7" w14:textId="56A82E34" w:rsidR="008E39FA" w:rsidRPr="006259CB" w:rsidRDefault="3BC04BE2" w:rsidP="00873720">
      <w:pPr>
        <w:pStyle w:val="Item"/>
      </w:pPr>
      <w:bookmarkStart w:id="60" w:name="_Toc270409649"/>
      <w:bookmarkStart w:id="61" w:name="_Toc225322725"/>
      <w:r>
        <w:t xml:space="preserve">Item 7:  </w:t>
      </w:r>
      <w:r w:rsidR="3C14E57C">
        <w:t xml:space="preserve">Types of </w:t>
      </w:r>
      <w:r w:rsidR="00F46568">
        <w:t>Client</w:t>
      </w:r>
      <w:r w:rsidR="3C14E57C">
        <w:t>s</w:t>
      </w:r>
      <w:bookmarkEnd w:id="60"/>
      <w:bookmarkEnd w:id="61"/>
    </w:p>
    <w:p w14:paraId="3FC11E79" w14:textId="17983AD5" w:rsidR="00961C2B" w:rsidRPr="006259CB" w:rsidRDefault="00961C2B" w:rsidP="0094676D">
      <w:pPr>
        <w:spacing w:after="60"/>
        <w:rPr>
          <w:b/>
          <w:color w:val="6586A4"/>
        </w:rPr>
      </w:pPr>
      <w:r w:rsidRPr="006259CB">
        <w:rPr>
          <w:color w:val="6586A4"/>
        </w:rPr>
        <w:t>____________________________________________________________</w:t>
      </w:r>
      <w:r w:rsidR="00513FEE" w:rsidRPr="006259CB">
        <w:rPr>
          <w:color w:val="6586A4"/>
        </w:rPr>
        <w:t>___</w:t>
      </w:r>
      <w:r w:rsidRPr="006259CB">
        <w:rPr>
          <w:color w:val="6586A4"/>
        </w:rPr>
        <w:t>___________________________</w:t>
      </w:r>
    </w:p>
    <w:p w14:paraId="56897D94" w14:textId="77777777" w:rsidR="001C53F0" w:rsidRPr="006259CB" w:rsidRDefault="001C53F0" w:rsidP="00873720">
      <w:pPr>
        <w:pStyle w:val="Paragraph"/>
      </w:pPr>
      <w:r w:rsidRPr="006259CB">
        <w:t>Types of Clients</w:t>
      </w:r>
    </w:p>
    <w:p w14:paraId="276FC3A6" w14:textId="50EEB15B" w:rsidR="0060230C" w:rsidRPr="006259CB" w:rsidRDefault="0061095C" w:rsidP="00873720">
      <w:r w:rsidRPr="006259CB">
        <w:t>Baker Street</w:t>
      </w:r>
      <w:r w:rsidR="008B674A" w:rsidRPr="006259CB">
        <w:t xml:space="preserve"> primarily provides investment </w:t>
      </w:r>
      <w:r w:rsidR="0060230C" w:rsidRPr="006259CB">
        <w:t xml:space="preserve">supervisory </w:t>
      </w:r>
      <w:r w:rsidR="008B674A" w:rsidRPr="006259CB">
        <w:t xml:space="preserve">services to high-net-worth individuals and associated trusts, estates, </w:t>
      </w:r>
      <w:r w:rsidR="00B5196E" w:rsidRPr="006259CB">
        <w:t xml:space="preserve">charitable organizations, </w:t>
      </w:r>
      <w:r w:rsidR="008B674A" w:rsidRPr="006259CB">
        <w:t>pension and profit</w:t>
      </w:r>
      <w:r w:rsidR="00E37B85" w:rsidRPr="006259CB">
        <w:t>-</w:t>
      </w:r>
      <w:r w:rsidR="008B674A" w:rsidRPr="006259CB">
        <w:t>sharing plans, and other legal entities.</w:t>
      </w:r>
      <w:r w:rsidR="002A6624" w:rsidRPr="006259CB">
        <w:t xml:space="preserve"> </w:t>
      </w:r>
    </w:p>
    <w:p w14:paraId="05B18A7B" w14:textId="77777777" w:rsidR="0060230C" w:rsidRPr="006259CB" w:rsidRDefault="0060230C" w:rsidP="00873720"/>
    <w:p w14:paraId="6E6B3929" w14:textId="77777777" w:rsidR="001C53F0" w:rsidRPr="006259CB" w:rsidRDefault="001C53F0" w:rsidP="00873720">
      <w:pPr>
        <w:pStyle w:val="Paragraph"/>
      </w:pPr>
      <w:r w:rsidRPr="006259CB">
        <w:t>Account Minimums</w:t>
      </w:r>
    </w:p>
    <w:p w14:paraId="071A35A1" w14:textId="45F9A06A" w:rsidR="0060230C" w:rsidRPr="006259CB" w:rsidRDefault="00F362B8" w:rsidP="00873720">
      <w:r w:rsidRPr="006259CB">
        <w:t xml:space="preserve">Baker Street </w:t>
      </w:r>
      <w:r w:rsidR="0060230C" w:rsidRPr="006259CB">
        <w:t xml:space="preserve">requires a </w:t>
      </w:r>
      <w:r w:rsidR="0060230C" w:rsidRPr="006259CB">
        <w:rPr>
          <w:u w:val="single" w:color="000000" w:themeColor="text1"/>
        </w:rPr>
        <w:t xml:space="preserve">minimum account </w:t>
      </w:r>
      <w:r w:rsidR="0060230C" w:rsidRPr="006259CB">
        <w:rPr>
          <w:u w:val="single"/>
        </w:rPr>
        <w:t>size</w:t>
      </w:r>
      <w:r w:rsidR="0060230C" w:rsidRPr="006259CB">
        <w:t xml:space="preserve"> of </w:t>
      </w:r>
      <w:r w:rsidR="0060230C" w:rsidRPr="006259CB">
        <w:rPr>
          <w:b/>
          <w:bCs/>
        </w:rPr>
        <w:t>$5,000,000</w:t>
      </w:r>
      <w:r w:rsidR="0060230C" w:rsidRPr="006259CB">
        <w:t xml:space="preserve">; however, </w:t>
      </w:r>
      <w:r w:rsidR="0061095C" w:rsidRPr="006259CB">
        <w:t>t</w:t>
      </w:r>
      <w:r w:rsidR="005C2FFC" w:rsidRPr="006259CB">
        <w:t>he Adviser</w:t>
      </w:r>
      <w:r w:rsidR="0060230C" w:rsidRPr="006259CB">
        <w:t xml:space="preserve"> has </w:t>
      </w:r>
      <w:r w:rsidR="00E37B85" w:rsidRPr="006259CB">
        <w:t xml:space="preserve">the </w:t>
      </w:r>
      <w:r w:rsidR="0060230C" w:rsidRPr="006259CB">
        <w:t>discretion to waive the account minimum.</w:t>
      </w:r>
      <w:r w:rsidR="002A6624" w:rsidRPr="006259CB">
        <w:t xml:space="preserve"> </w:t>
      </w:r>
      <w:r w:rsidR="0060230C" w:rsidRPr="006259CB">
        <w:t xml:space="preserve"> </w:t>
      </w:r>
    </w:p>
    <w:p w14:paraId="56EB598D" w14:textId="77777777" w:rsidR="008D78AF" w:rsidRPr="006259CB" w:rsidRDefault="008D78AF" w:rsidP="00873720"/>
    <w:p w14:paraId="047E52FB" w14:textId="77777777" w:rsidR="008D78AF" w:rsidRPr="006259CB" w:rsidRDefault="008D78AF" w:rsidP="00873720">
      <w:r w:rsidRPr="006259CB">
        <w:t>Clients should note that certain investment products may have their own minimum fees or asset requirements, which are separate from our account minimums. These requirements are determined by the product's characteristics, not by our policies. Clients are advised to review relevant disclosure materials and consult with their Financial Intermediary to understand the applicable minimum requirements before and during the investment process.</w:t>
      </w:r>
    </w:p>
    <w:p w14:paraId="1EDFBBB2" w14:textId="77777777" w:rsidR="00FB3669" w:rsidRPr="006259CB" w:rsidRDefault="00FB3669" w:rsidP="00873720">
      <w:pPr>
        <w:pStyle w:val="Paragraph"/>
      </w:pPr>
    </w:p>
    <w:p w14:paraId="2BEC75E8" w14:textId="25A830E6" w:rsidR="000E607A" w:rsidRPr="006259CB" w:rsidRDefault="3BC04BE2" w:rsidP="00873720">
      <w:pPr>
        <w:pStyle w:val="Item"/>
      </w:pPr>
      <w:bookmarkStart w:id="62" w:name="_Toc270409650"/>
      <w:bookmarkStart w:id="63" w:name="_Toc225322726"/>
      <w:r>
        <w:t xml:space="preserve">Item 8:  </w:t>
      </w:r>
      <w:r w:rsidR="3C14E57C">
        <w:t xml:space="preserve">Methods of Analysis, Investment Strategies </w:t>
      </w:r>
      <w:r>
        <w:t xml:space="preserve">&amp; </w:t>
      </w:r>
      <w:r w:rsidR="3C14E57C">
        <w:t>Risk of Loss</w:t>
      </w:r>
      <w:bookmarkEnd w:id="62"/>
      <w:bookmarkEnd w:id="63"/>
    </w:p>
    <w:p w14:paraId="76C53A00" w14:textId="1B4D2DC9" w:rsidR="00961C2B" w:rsidRPr="006259CB" w:rsidRDefault="00961C2B" w:rsidP="0094676D">
      <w:pPr>
        <w:spacing w:after="60"/>
        <w:rPr>
          <w:b/>
          <w:color w:val="6586A4"/>
        </w:rPr>
      </w:pPr>
      <w:r w:rsidRPr="006259CB">
        <w:rPr>
          <w:color w:val="6586A4"/>
        </w:rPr>
        <w:t>_______________________________________________</w:t>
      </w:r>
      <w:r w:rsidR="00513FEE" w:rsidRPr="006259CB">
        <w:rPr>
          <w:color w:val="6586A4"/>
        </w:rPr>
        <w:t>___</w:t>
      </w:r>
      <w:r w:rsidRPr="006259CB">
        <w:rPr>
          <w:color w:val="6586A4"/>
        </w:rPr>
        <w:t>________________________________________</w:t>
      </w:r>
    </w:p>
    <w:p w14:paraId="260A6F9E" w14:textId="3878E185" w:rsidR="00FD4A91" w:rsidRPr="006259CB" w:rsidRDefault="00FD4A91" w:rsidP="00AA4358">
      <w:pPr>
        <w:pStyle w:val="Paragraph"/>
      </w:pPr>
      <w:bookmarkStart w:id="64" w:name="_Toc67664842"/>
      <w:bookmarkStart w:id="65" w:name="_Toc99544223"/>
      <w:bookmarkStart w:id="66" w:name="_Toc193886437"/>
      <w:r w:rsidRPr="006259CB">
        <w:t>Methods of Analysis</w:t>
      </w:r>
      <w:bookmarkEnd w:id="64"/>
      <w:bookmarkEnd w:id="65"/>
      <w:bookmarkEnd w:id="66"/>
      <w:r w:rsidR="00990007" w:rsidRPr="006259CB">
        <w:t xml:space="preserve"> &amp; Investment Strategies   </w:t>
      </w:r>
    </w:p>
    <w:p w14:paraId="3D1DA51D" w14:textId="77777777" w:rsidR="00392E79" w:rsidRPr="006259CB" w:rsidRDefault="002F327A" w:rsidP="00873720">
      <w:r w:rsidRPr="006259CB">
        <w:rPr>
          <w:rFonts w:eastAsiaTheme="minorHAnsi"/>
        </w:rPr>
        <w:t xml:space="preserve">Baker Street allocates (and/or </w:t>
      </w:r>
      <w:r w:rsidR="00A86E82" w:rsidRPr="006259CB">
        <w:rPr>
          <w:rFonts w:eastAsiaTheme="minorHAnsi"/>
        </w:rPr>
        <w:t xml:space="preserve">recommends that the </w:t>
      </w:r>
      <w:r w:rsidR="00A23520" w:rsidRPr="006259CB">
        <w:rPr>
          <w:rFonts w:eastAsiaTheme="minorHAnsi"/>
        </w:rPr>
        <w:t>Client</w:t>
      </w:r>
      <w:r w:rsidRPr="006259CB">
        <w:rPr>
          <w:rFonts w:eastAsiaTheme="minorHAnsi"/>
        </w:rPr>
        <w:t xml:space="preserve"> allocate) the</w:t>
      </w:r>
      <w:r w:rsidR="00A86E82" w:rsidRPr="006259CB">
        <w:rPr>
          <w:rFonts w:eastAsiaTheme="minorHAnsi"/>
        </w:rPr>
        <w:t xml:space="preserve"> </w:t>
      </w:r>
      <w:r w:rsidR="00A23520" w:rsidRPr="006259CB">
        <w:rPr>
          <w:rFonts w:eastAsiaTheme="minorHAnsi"/>
        </w:rPr>
        <w:t>Client</w:t>
      </w:r>
      <w:r w:rsidR="00CE22C0" w:rsidRPr="006259CB">
        <w:rPr>
          <w:rFonts w:eastAsiaTheme="minorHAnsi"/>
        </w:rPr>
        <w:t>'</w:t>
      </w:r>
      <w:r w:rsidRPr="006259CB">
        <w:rPr>
          <w:rFonts w:eastAsiaTheme="minorHAnsi"/>
        </w:rPr>
        <w:t xml:space="preserve">s investment assets among </w:t>
      </w:r>
      <w:r w:rsidR="005F0115" w:rsidRPr="006259CB">
        <w:rPr>
          <w:rFonts w:eastAsiaTheme="minorHAnsi"/>
        </w:rPr>
        <w:t>Investment Manager</w:t>
      </w:r>
      <w:r w:rsidR="00A86E82" w:rsidRPr="006259CB">
        <w:rPr>
          <w:rFonts w:eastAsiaTheme="minorHAnsi"/>
        </w:rPr>
        <w:t xml:space="preserve">s </w:t>
      </w:r>
      <w:r w:rsidR="00A15CF0" w:rsidRPr="006259CB">
        <w:rPr>
          <w:rFonts w:eastAsiaTheme="minorHAnsi"/>
        </w:rPr>
        <w:t xml:space="preserve">and funds </w:t>
      </w:r>
      <w:r w:rsidR="00A86E82" w:rsidRPr="006259CB">
        <w:rPr>
          <w:rFonts w:eastAsiaTheme="minorHAnsi"/>
        </w:rPr>
        <w:t xml:space="preserve">in accordance with the </w:t>
      </w:r>
      <w:r w:rsidR="00A23520" w:rsidRPr="006259CB">
        <w:rPr>
          <w:rFonts w:eastAsiaTheme="minorHAnsi"/>
        </w:rPr>
        <w:t>Client</w:t>
      </w:r>
      <w:r w:rsidR="00CE22C0" w:rsidRPr="006259CB">
        <w:rPr>
          <w:rFonts w:eastAsiaTheme="minorHAnsi"/>
        </w:rPr>
        <w:t>'</w:t>
      </w:r>
      <w:r w:rsidRPr="006259CB">
        <w:rPr>
          <w:rFonts w:eastAsiaTheme="minorHAnsi"/>
        </w:rPr>
        <w:t>s designated investment objectives.</w:t>
      </w:r>
      <w:r w:rsidR="00A15CF0" w:rsidRPr="006259CB">
        <w:rPr>
          <w:rFonts w:eastAsiaTheme="minorHAnsi"/>
        </w:rPr>
        <w:t xml:space="preserve"> </w:t>
      </w:r>
      <w:r w:rsidRPr="006259CB">
        <w:rPr>
          <w:rFonts w:eastAsiaTheme="minorHAnsi"/>
        </w:rPr>
        <w:t xml:space="preserve">In such situations, the </w:t>
      </w:r>
      <w:r w:rsidR="005F0115" w:rsidRPr="006259CB">
        <w:rPr>
          <w:rFonts w:eastAsiaTheme="minorHAnsi"/>
          <w:iCs/>
        </w:rPr>
        <w:t>Investment Manager</w:t>
      </w:r>
      <w:r w:rsidRPr="006259CB">
        <w:rPr>
          <w:rFonts w:eastAsiaTheme="minorHAnsi"/>
          <w:iCs/>
        </w:rPr>
        <w:t>s</w:t>
      </w:r>
      <w:r w:rsidRPr="006259CB">
        <w:rPr>
          <w:rFonts w:eastAsiaTheme="minorHAnsi"/>
          <w:i/>
          <w:iCs/>
        </w:rPr>
        <w:t xml:space="preserve"> </w:t>
      </w:r>
      <w:r w:rsidR="00A15CF0" w:rsidRPr="006259CB">
        <w:rPr>
          <w:rFonts w:eastAsiaTheme="minorHAnsi"/>
          <w:iCs/>
        </w:rPr>
        <w:t xml:space="preserve">(or, in the case of funds, the fund </w:t>
      </w:r>
      <w:r w:rsidR="005F0115" w:rsidRPr="006259CB">
        <w:rPr>
          <w:rFonts w:eastAsiaTheme="minorHAnsi"/>
          <w:iCs/>
        </w:rPr>
        <w:t>Investment Manager</w:t>
      </w:r>
      <w:r w:rsidR="00A15CF0" w:rsidRPr="006259CB">
        <w:rPr>
          <w:rFonts w:eastAsiaTheme="minorHAnsi"/>
          <w:iCs/>
        </w:rPr>
        <w:t>s)</w:t>
      </w:r>
      <w:r w:rsidR="00A15CF0" w:rsidRPr="006259CB">
        <w:rPr>
          <w:rFonts w:eastAsiaTheme="minorHAnsi"/>
          <w:i/>
          <w:iCs/>
        </w:rPr>
        <w:t xml:space="preserve"> </w:t>
      </w:r>
      <w:r w:rsidRPr="006259CB">
        <w:rPr>
          <w:rFonts w:eastAsiaTheme="minorHAnsi"/>
        </w:rPr>
        <w:t xml:space="preserve">shall have day-to-day responsibility for the active discretionary management of the allocated assets. </w:t>
      </w:r>
      <w:r w:rsidR="005C2FFC" w:rsidRPr="006259CB">
        <w:t>The Adviser</w:t>
      </w:r>
      <w:r w:rsidR="00B028B4" w:rsidRPr="006259CB">
        <w:t xml:space="preserve"> will provide the names of</w:t>
      </w:r>
      <w:r w:rsidR="00C11EB2" w:rsidRPr="006259CB">
        <w:t xml:space="preserve"> the</w:t>
      </w:r>
      <w:r w:rsidR="00B028B4" w:rsidRPr="006259CB">
        <w:t xml:space="preserve"> </w:t>
      </w:r>
      <w:r w:rsidR="005F0115" w:rsidRPr="006259CB">
        <w:t>Investment Manager</w:t>
      </w:r>
      <w:r w:rsidR="00B028B4" w:rsidRPr="006259CB">
        <w:t xml:space="preserve">s selected from the </w:t>
      </w:r>
      <w:r w:rsidR="005F0115" w:rsidRPr="006259CB">
        <w:t>Investment Manager</w:t>
      </w:r>
      <w:r w:rsidR="00B028B4" w:rsidRPr="006259CB">
        <w:t xml:space="preserve"> search lists after considering the compatibility of the </w:t>
      </w:r>
      <w:r w:rsidR="005F0115" w:rsidRPr="006259CB">
        <w:t>Investment Manager</w:t>
      </w:r>
      <w:r w:rsidR="00B028B4" w:rsidRPr="006259CB">
        <w:t>s</w:t>
      </w:r>
      <w:r w:rsidR="00CE22C0" w:rsidRPr="006259CB">
        <w:t>'</w:t>
      </w:r>
      <w:r w:rsidR="00B028B4" w:rsidRPr="006259CB">
        <w:t xml:space="preserve"> investment philosophy, minimum investment requirements and oth</w:t>
      </w:r>
      <w:r w:rsidR="00A86E82" w:rsidRPr="006259CB">
        <w:t xml:space="preserve">er factors with the </w:t>
      </w:r>
      <w:r w:rsidR="00A23520" w:rsidRPr="006259CB">
        <w:t>Client</w:t>
      </w:r>
      <w:r w:rsidR="00CE22C0" w:rsidRPr="006259CB">
        <w:t>'</w:t>
      </w:r>
      <w:r w:rsidR="00B028B4" w:rsidRPr="006259CB">
        <w:t>s investment objecti</w:t>
      </w:r>
      <w:r w:rsidR="00A86E82" w:rsidRPr="006259CB">
        <w:t xml:space="preserve">ves, risk tolerances and other </w:t>
      </w:r>
      <w:r w:rsidR="00A23520" w:rsidRPr="006259CB">
        <w:t>Client</w:t>
      </w:r>
      <w:r w:rsidR="00B028B4" w:rsidRPr="006259CB">
        <w:t xml:space="preserve"> criteria.</w:t>
      </w:r>
      <w:r w:rsidR="002A6624" w:rsidRPr="006259CB">
        <w:t xml:space="preserve"> </w:t>
      </w:r>
    </w:p>
    <w:p w14:paraId="778D6F2A" w14:textId="77777777" w:rsidR="00392E79" w:rsidRPr="006259CB" w:rsidRDefault="00392E79" w:rsidP="00873720"/>
    <w:p w14:paraId="64011746" w14:textId="35542147" w:rsidR="003167E4" w:rsidRPr="006259CB" w:rsidRDefault="00B028B4" w:rsidP="00873720">
      <w:pPr>
        <w:rPr>
          <w:rFonts w:eastAsiaTheme="minorHAnsi"/>
        </w:rPr>
      </w:pPr>
      <w:r w:rsidRPr="006259CB">
        <w:t xml:space="preserve">As a general matter, </w:t>
      </w:r>
      <w:r w:rsidR="00873720" w:rsidRPr="006259CB">
        <w:t xml:space="preserve">Baker Street </w:t>
      </w:r>
      <w:r w:rsidRPr="006259CB">
        <w:t xml:space="preserve">expects that the factors that will be used to determine the names of </w:t>
      </w:r>
      <w:r w:rsidR="005F0115" w:rsidRPr="006259CB">
        <w:t>Investment Manager</w:t>
      </w:r>
      <w:r w:rsidRPr="006259CB">
        <w:t xml:space="preserve">s </w:t>
      </w:r>
      <w:r w:rsidR="00A15CF0" w:rsidRPr="006259CB">
        <w:t xml:space="preserve">and funds </w:t>
      </w:r>
      <w:r w:rsidRPr="006259CB">
        <w:t xml:space="preserve">to be included on the </w:t>
      </w:r>
      <w:r w:rsidR="005F0115" w:rsidRPr="006259CB">
        <w:t>Investment Manager</w:t>
      </w:r>
      <w:r w:rsidRPr="006259CB">
        <w:t xml:space="preserve"> </w:t>
      </w:r>
      <w:r w:rsidR="00A15CF0" w:rsidRPr="006259CB">
        <w:t xml:space="preserve">and fund </w:t>
      </w:r>
      <w:r w:rsidRPr="006259CB">
        <w:t xml:space="preserve">search lists will </w:t>
      </w:r>
      <w:r w:rsidR="00873720" w:rsidRPr="006259CB">
        <w:t>consist of</w:t>
      </w:r>
      <w:r w:rsidR="00E949AC" w:rsidRPr="006259CB">
        <w:t>,</w:t>
      </w:r>
      <w:r w:rsidRPr="006259CB">
        <w:t xml:space="preserve"> but will not necessarily be limited to</w:t>
      </w:r>
      <w:r w:rsidR="00E949AC" w:rsidRPr="006259CB">
        <w:t>,</w:t>
      </w:r>
      <w:r w:rsidR="00A15CF0" w:rsidRPr="006259CB">
        <w:t xml:space="preserve"> </w:t>
      </w:r>
      <w:r w:rsidRPr="006259CB">
        <w:t xml:space="preserve">reputation, management strength, performance record, philosophy, the continuity of management, service to </w:t>
      </w:r>
      <w:r w:rsidR="00A23520" w:rsidRPr="006259CB">
        <w:t>Client</w:t>
      </w:r>
      <w:r w:rsidRPr="006259CB">
        <w:t>s, minimum dollar investment requirement</w:t>
      </w:r>
      <w:r w:rsidR="00A15CF0" w:rsidRPr="006259CB">
        <w:t>,</w:t>
      </w:r>
      <w:r w:rsidRPr="006259CB">
        <w:t xml:space="preserve"> and fees.</w:t>
      </w:r>
      <w:r w:rsidR="002A6624" w:rsidRPr="006259CB">
        <w:t xml:space="preserve"> </w:t>
      </w:r>
      <w:r w:rsidR="003167E4" w:rsidRPr="006259CB">
        <w:rPr>
          <w:rFonts w:eastAsiaTheme="minorHAnsi"/>
        </w:rPr>
        <w:t xml:space="preserve">This </w:t>
      </w:r>
      <w:r w:rsidR="00A15CF0" w:rsidRPr="006259CB">
        <w:rPr>
          <w:rFonts w:eastAsiaTheme="minorHAnsi"/>
        </w:rPr>
        <w:t xml:space="preserve">determination </w:t>
      </w:r>
      <w:r w:rsidR="003167E4" w:rsidRPr="006259CB">
        <w:rPr>
          <w:rFonts w:eastAsiaTheme="minorHAnsi"/>
        </w:rPr>
        <w:t xml:space="preserve">is </w:t>
      </w:r>
      <w:r w:rsidR="00A15CF0" w:rsidRPr="006259CB">
        <w:rPr>
          <w:rFonts w:eastAsiaTheme="minorHAnsi"/>
        </w:rPr>
        <w:t>facilitated</w:t>
      </w:r>
      <w:r w:rsidR="003167E4" w:rsidRPr="006259CB">
        <w:rPr>
          <w:rFonts w:eastAsiaTheme="minorHAnsi"/>
        </w:rPr>
        <w:t xml:space="preserve"> through a proprietary quantitative analysis</w:t>
      </w:r>
      <w:r w:rsidR="00A15CF0" w:rsidRPr="006259CB">
        <w:rPr>
          <w:rFonts w:eastAsiaTheme="minorHAnsi"/>
        </w:rPr>
        <w:t>,</w:t>
      </w:r>
      <w:r w:rsidR="003167E4" w:rsidRPr="006259CB">
        <w:rPr>
          <w:rFonts w:eastAsiaTheme="minorHAnsi"/>
        </w:rPr>
        <w:t xml:space="preserve"> in-person meetings, and statistical screening prior to the engagement of any</w:t>
      </w:r>
      <w:r w:rsidR="00C11EB2" w:rsidRPr="006259CB">
        <w:rPr>
          <w:rFonts w:eastAsiaTheme="minorHAnsi"/>
        </w:rPr>
        <w:t xml:space="preserve"> </w:t>
      </w:r>
      <w:r w:rsidR="005F0115" w:rsidRPr="006259CB">
        <w:rPr>
          <w:rFonts w:eastAsiaTheme="minorHAnsi"/>
        </w:rPr>
        <w:t>Investment Manager</w:t>
      </w:r>
      <w:r w:rsidR="00A15CF0" w:rsidRPr="006259CB">
        <w:rPr>
          <w:rFonts w:eastAsiaTheme="minorHAnsi"/>
        </w:rPr>
        <w:t xml:space="preserve"> or the selection of any fund</w:t>
      </w:r>
      <w:r w:rsidR="003167E4" w:rsidRPr="006259CB">
        <w:rPr>
          <w:rFonts w:eastAsiaTheme="minorHAnsi"/>
        </w:rPr>
        <w:t>.</w:t>
      </w:r>
      <w:r w:rsidR="00A15CF0" w:rsidRPr="006259CB">
        <w:rPr>
          <w:rFonts w:eastAsiaTheme="minorHAnsi"/>
        </w:rPr>
        <w:t xml:space="preserve"> </w:t>
      </w:r>
      <w:r w:rsidR="003167E4" w:rsidRPr="006259CB">
        <w:rPr>
          <w:rFonts w:eastAsiaTheme="minorHAnsi"/>
        </w:rPr>
        <w:t xml:space="preserve">In addition, periodic performance and logistical updates </w:t>
      </w:r>
      <w:r w:rsidR="003167E4" w:rsidRPr="006259CB">
        <w:rPr>
          <w:rFonts w:eastAsiaTheme="minorHAnsi"/>
        </w:rPr>
        <w:lastRenderedPageBreak/>
        <w:t xml:space="preserve">are conducted in order to confirm that the </w:t>
      </w:r>
      <w:r w:rsidR="005F0115" w:rsidRPr="006259CB">
        <w:rPr>
          <w:rFonts w:eastAsiaTheme="minorHAnsi"/>
        </w:rPr>
        <w:t>Investment Manager</w:t>
      </w:r>
      <w:r w:rsidR="00A15CF0" w:rsidRPr="006259CB">
        <w:rPr>
          <w:rFonts w:eastAsiaTheme="minorHAnsi"/>
        </w:rPr>
        <w:t xml:space="preserve"> or fund</w:t>
      </w:r>
      <w:r w:rsidR="003167E4" w:rsidRPr="006259CB">
        <w:rPr>
          <w:rFonts w:eastAsiaTheme="minorHAnsi"/>
        </w:rPr>
        <w:t xml:space="preserve"> continues to fulfi</w:t>
      </w:r>
      <w:r w:rsidR="00D84571" w:rsidRPr="006259CB">
        <w:rPr>
          <w:rFonts w:eastAsiaTheme="minorHAnsi"/>
        </w:rPr>
        <w:t xml:space="preserve">ll a </w:t>
      </w:r>
      <w:r w:rsidR="00A23520" w:rsidRPr="006259CB">
        <w:rPr>
          <w:rFonts w:eastAsiaTheme="minorHAnsi"/>
        </w:rPr>
        <w:t>Client</w:t>
      </w:r>
      <w:r w:rsidR="00CE22C0" w:rsidRPr="006259CB">
        <w:rPr>
          <w:rFonts w:eastAsiaTheme="minorHAnsi"/>
        </w:rPr>
        <w:t>'</w:t>
      </w:r>
      <w:r w:rsidR="003167E4" w:rsidRPr="006259CB">
        <w:rPr>
          <w:rFonts w:eastAsiaTheme="minorHAnsi"/>
        </w:rPr>
        <w:t xml:space="preserve">s mandate and goals. </w:t>
      </w:r>
    </w:p>
    <w:p w14:paraId="18E6D111" w14:textId="77777777" w:rsidR="003167E4" w:rsidRPr="006259CB" w:rsidRDefault="003167E4" w:rsidP="00873720">
      <w:pPr>
        <w:rPr>
          <w:rFonts w:eastAsiaTheme="minorHAnsi"/>
        </w:rPr>
      </w:pPr>
    </w:p>
    <w:p w14:paraId="69EF3D95" w14:textId="52DF5370" w:rsidR="002F327A" w:rsidRPr="006259CB" w:rsidRDefault="00A15CF0" w:rsidP="00873720">
      <w:pPr>
        <w:rPr>
          <w:rFonts w:eastAsiaTheme="minorHAnsi"/>
        </w:rPr>
      </w:pPr>
      <w:r w:rsidRPr="006259CB">
        <w:rPr>
          <w:rFonts w:eastAsiaTheme="minorHAnsi"/>
        </w:rPr>
        <w:t>Although t</w:t>
      </w:r>
      <w:r w:rsidR="002F327A" w:rsidRPr="006259CB">
        <w:rPr>
          <w:rFonts w:eastAsiaTheme="minorHAnsi"/>
        </w:rPr>
        <w:t xml:space="preserve">he </w:t>
      </w:r>
      <w:r w:rsidR="005F0115" w:rsidRPr="006259CB">
        <w:rPr>
          <w:rFonts w:eastAsiaTheme="minorHAnsi"/>
          <w:iCs/>
        </w:rPr>
        <w:t>Investment Manager</w:t>
      </w:r>
      <w:r w:rsidR="002F327A" w:rsidRPr="006259CB">
        <w:rPr>
          <w:rFonts w:eastAsiaTheme="minorHAnsi"/>
          <w:iCs/>
        </w:rPr>
        <w:t>s</w:t>
      </w:r>
      <w:r w:rsidR="002F327A" w:rsidRPr="006259CB">
        <w:rPr>
          <w:rFonts w:eastAsiaTheme="minorHAnsi"/>
          <w:i/>
          <w:iCs/>
        </w:rPr>
        <w:t xml:space="preserve"> </w:t>
      </w:r>
      <w:r w:rsidRPr="006259CB">
        <w:rPr>
          <w:rFonts w:eastAsiaTheme="minorHAnsi"/>
          <w:iCs/>
        </w:rPr>
        <w:t xml:space="preserve">and/or fund </w:t>
      </w:r>
      <w:r w:rsidR="005F0115" w:rsidRPr="006259CB">
        <w:rPr>
          <w:rFonts w:eastAsiaTheme="minorHAnsi"/>
          <w:iCs/>
        </w:rPr>
        <w:t>Investment Manager</w:t>
      </w:r>
      <w:r w:rsidRPr="006259CB">
        <w:rPr>
          <w:rFonts w:eastAsiaTheme="minorHAnsi"/>
          <w:iCs/>
        </w:rPr>
        <w:t xml:space="preserve">s </w:t>
      </w:r>
      <w:r w:rsidR="002F327A" w:rsidRPr="006259CB">
        <w:rPr>
          <w:rFonts w:eastAsiaTheme="minorHAnsi"/>
        </w:rPr>
        <w:t xml:space="preserve">shall have day-to-day responsibility for the active discretionary management of </w:t>
      </w:r>
      <w:r w:rsidRPr="006259CB">
        <w:rPr>
          <w:rFonts w:eastAsiaTheme="minorHAnsi"/>
        </w:rPr>
        <w:t>our Clients</w:t>
      </w:r>
      <w:r w:rsidR="00CE22C0" w:rsidRPr="006259CB">
        <w:rPr>
          <w:rFonts w:eastAsiaTheme="minorHAnsi"/>
        </w:rPr>
        <w:t>'</w:t>
      </w:r>
      <w:r w:rsidR="002F327A" w:rsidRPr="006259CB">
        <w:rPr>
          <w:rFonts w:eastAsiaTheme="minorHAnsi"/>
        </w:rPr>
        <w:t xml:space="preserve"> allocated assets</w:t>
      </w:r>
      <w:r w:rsidRPr="006259CB">
        <w:rPr>
          <w:rFonts w:eastAsiaTheme="minorHAnsi"/>
        </w:rPr>
        <w:t>,</w:t>
      </w:r>
      <w:r w:rsidR="002F327A" w:rsidRPr="006259CB">
        <w:rPr>
          <w:rFonts w:eastAsiaTheme="minorHAnsi"/>
        </w:rPr>
        <w:t xml:space="preserve"> Baker Street shall continue to render inves</w:t>
      </w:r>
      <w:r w:rsidR="00D84571" w:rsidRPr="006259CB">
        <w:rPr>
          <w:rFonts w:eastAsiaTheme="minorHAnsi"/>
        </w:rPr>
        <w:t xml:space="preserve">tment advisory services to </w:t>
      </w:r>
      <w:r w:rsidRPr="006259CB">
        <w:rPr>
          <w:rFonts w:eastAsiaTheme="minorHAnsi"/>
        </w:rPr>
        <w:t>each</w:t>
      </w:r>
      <w:r w:rsidR="00D84571" w:rsidRPr="006259CB">
        <w:rPr>
          <w:rFonts w:eastAsiaTheme="minorHAnsi"/>
        </w:rPr>
        <w:t xml:space="preserve"> </w:t>
      </w:r>
      <w:r w:rsidR="00A23520" w:rsidRPr="006259CB">
        <w:rPr>
          <w:rFonts w:eastAsiaTheme="minorHAnsi"/>
        </w:rPr>
        <w:t>Client</w:t>
      </w:r>
      <w:r w:rsidR="002F327A" w:rsidRPr="006259CB">
        <w:rPr>
          <w:rFonts w:eastAsiaTheme="minorHAnsi"/>
        </w:rPr>
        <w:t xml:space="preserve"> relative to the ongoing monitoring and review of account per</w:t>
      </w:r>
      <w:r w:rsidR="00D84571" w:rsidRPr="006259CB">
        <w:rPr>
          <w:rFonts w:eastAsiaTheme="minorHAnsi"/>
        </w:rPr>
        <w:t xml:space="preserve">formance, asset allocation and </w:t>
      </w:r>
      <w:r w:rsidR="00A23520" w:rsidRPr="006259CB">
        <w:rPr>
          <w:rFonts w:eastAsiaTheme="minorHAnsi"/>
        </w:rPr>
        <w:t>Client</w:t>
      </w:r>
      <w:r w:rsidR="002F327A" w:rsidRPr="006259CB">
        <w:rPr>
          <w:rFonts w:eastAsiaTheme="minorHAnsi"/>
        </w:rPr>
        <w:t xml:space="preserve"> investment objectives. </w:t>
      </w:r>
    </w:p>
    <w:p w14:paraId="002CD6CC" w14:textId="77777777" w:rsidR="0002314F" w:rsidRPr="006259CB" w:rsidRDefault="0002314F" w:rsidP="00873720">
      <w:pPr>
        <w:rPr>
          <w:rFonts w:eastAsiaTheme="minorHAnsi"/>
        </w:rPr>
      </w:pPr>
    </w:p>
    <w:p w14:paraId="500CBFFA" w14:textId="77777777" w:rsidR="0002314F" w:rsidRPr="00303346" w:rsidRDefault="0002314F" w:rsidP="00AA4358">
      <w:pPr>
        <w:pStyle w:val="Paragraph"/>
      </w:pPr>
      <w:r w:rsidRPr="00303346">
        <w:t>Tax Considerations</w:t>
      </w:r>
    </w:p>
    <w:p w14:paraId="7EC483F4" w14:textId="77777777" w:rsidR="00AA4358" w:rsidRPr="00303346" w:rsidRDefault="00AA4358" w:rsidP="00AA4358">
      <w:pPr>
        <w:rPr>
          <w:rFonts w:eastAsiaTheme="minorHAnsi"/>
        </w:rPr>
      </w:pPr>
      <w:r w:rsidRPr="00303346">
        <w:rPr>
          <w:rFonts w:eastAsiaTheme="minorHAnsi"/>
        </w:rPr>
        <w:t>Our investment strategies may have tax implications that vary depending on the client’s individual circumstances. While we consider general tax efficiency in portfolio construction, tax optimization is not a primary objective unless explicitly agreed upon in writing. We strongly encourage clients to consult with a qualified tax professional to understand the potential tax consequences of their investments.</w:t>
      </w:r>
    </w:p>
    <w:p w14:paraId="6677EA33" w14:textId="77777777" w:rsidR="00AA4358" w:rsidRPr="00303346" w:rsidRDefault="00AA4358" w:rsidP="00AA4358">
      <w:pPr>
        <w:rPr>
          <w:rFonts w:eastAsiaTheme="minorHAnsi"/>
        </w:rPr>
      </w:pPr>
    </w:p>
    <w:p w14:paraId="5407243F" w14:textId="77777777" w:rsidR="00AA4358" w:rsidRPr="00303346" w:rsidRDefault="00AA4358" w:rsidP="00AA4358">
      <w:pPr>
        <w:rPr>
          <w:rFonts w:eastAsiaTheme="minorHAnsi"/>
        </w:rPr>
      </w:pPr>
      <w:r w:rsidRPr="00303346">
        <w:rPr>
          <w:rFonts w:eastAsiaTheme="minorHAnsi"/>
        </w:rPr>
        <w:t>Clients should be aware that custodians are required to report the cost basis of securities acquired in client accounts, typically using the First-In-First-Out (“FIFO”) method unless another method is selected. It is the client’s responsibility to determine, in consultation with their tax advisor, whether this default method is appropriate for their situation.</w:t>
      </w:r>
    </w:p>
    <w:p w14:paraId="13848A23" w14:textId="77777777" w:rsidR="00AA4358" w:rsidRPr="00303346" w:rsidRDefault="00AA4358" w:rsidP="00AA4358">
      <w:pPr>
        <w:rPr>
          <w:rFonts w:eastAsiaTheme="minorHAnsi"/>
        </w:rPr>
      </w:pPr>
    </w:p>
    <w:p w14:paraId="3106616D" w14:textId="77777777" w:rsidR="00AA4358" w:rsidRPr="00303346" w:rsidRDefault="00AA4358" w:rsidP="00AA4358">
      <w:pPr>
        <w:rPr>
          <w:rFonts w:eastAsiaTheme="minorHAnsi"/>
        </w:rPr>
      </w:pPr>
      <w:r w:rsidRPr="00303346">
        <w:rPr>
          <w:rFonts w:eastAsiaTheme="minorHAnsi"/>
        </w:rPr>
        <w:t>If a client prefers an alternative cost-basis method (e.g., Specific Identification, Average Cost), they must notify the custodian prior to trade settlement, as changes to the cost-basis method cannot be made retroactively once a trade has settled.</w:t>
      </w:r>
    </w:p>
    <w:p w14:paraId="3C049E28" w14:textId="77777777" w:rsidR="00AA4358" w:rsidRPr="00303346" w:rsidRDefault="00AA4358" w:rsidP="00AA4358">
      <w:pPr>
        <w:rPr>
          <w:rFonts w:eastAsiaTheme="minorHAnsi"/>
        </w:rPr>
      </w:pPr>
    </w:p>
    <w:p w14:paraId="4EDAF130" w14:textId="5CD45296" w:rsidR="0002314F" w:rsidRPr="006259CB" w:rsidRDefault="00AA4358" w:rsidP="00AA4358">
      <w:pPr>
        <w:rPr>
          <w:rFonts w:eastAsiaTheme="minorHAnsi"/>
        </w:rPr>
      </w:pPr>
      <w:r w:rsidRPr="00303346">
        <w:rPr>
          <w:rFonts w:eastAsiaTheme="minorHAnsi"/>
        </w:rPr>
        <w:t>We do not provide tax advice or preparation services. Any tax-related discussions are intended for informational purposes only and should not be construed as personalized tax advice.</w:t>
      </w:r>
      <w:r w:rsidRPr="006259CB">
        <w:rPr>
          <w:rFonts w:eastAsiaTheme="minorHAnsi"/>
        </w:rPr>
        <w:t xml:space="preserve"> </w:t>
      </w:r>
    </w:p>
    <w:p w14:paraId="6F6DF29B" w14:textId="77777777" w:rsidR="0048793F" w:rsidRPr="006259CB" w:rsidRDefault="0048793F" w:rsidP="00873720">
      <w:pPr>
        <w:rPr>
          <w:rFonts w:eastAsiaTheme="minorHAnsi"/>
        </w:rPr>
      </w:pPr>
    </w:p>
    <w:p w14:paraId="15BD6168" w14:textId="77777777" w:rsidR="00990007" w:rsidRPr="006259CB" w:rsidRDefault="00990007" w:rsidP="00873720">
      <w:pPr>
        <w:pStyle w:val="Paragraph"/>
      </w:pPr>
      <w:bookmarkStart w:id="67" w:name="_Toc35946962"/>
      <w:bookmarkStart w:id="68" w:name="_Toc193886440"/>
      <w:r w:rsidRPr="006259CB">
        <w:t>Risks of Loss &amp; Other Types of Risk</w:t>
      </w:r>
      <w:bookmarkEnd w:id="67"/>
      <w:bookmarkEnd w:id="68"/>
    </w:p>
    <w:p w14:paraId="683C26DF" w14:textId="77777777" w:rsidR="00392E79" w:rsidRPr="006259CB" w:rsidRDefault="00990007" w:rsidP="00873720">
      <w:r w:rsidRPr="006259CB">
        <w:t xml:space="preserve">Clients should be aware that investing in securities involves the risk of loss, which they must be prepared to bear. Past performance is not indicative of future results, and the value of assets may fluctuate, potentially being worth more or less than the initial investment. The degree of risk varies depending on the type of investment. </w:t>
      </w:r>
    </w:p>
    <w:p w14:paraId="6D5F1C29" w14:textId="77777777" w:rsidR="0048793F" w:rsidRPr="006259CB" w:rsidRDefault="0048793F" w:rsidP="00873720"/>
    <w:p w14:paraId="0FC50A4E" w14:textId="0730CB61" w:rsidR="00990007" w:rsidRPr="006259CB" w:rsidRDefault="00990007" w:rsidP="00873720">
      <w:r w:rsidRPr="006259CB">
        <w:t xml:space="preserve">Baker Street does not guarantee that a </w:t>
      </w:r>
      <w:r w:rsidR="00781EFD" w:rsidRPr="006259CB">
        <w:t>Client</w:t>
      </w:r>
      <w:r w:rsidRPr="006259CB">
        <w:t xml:space="preserve">'s financial goals and objectives will be achieved, as the perception of financial loss may differ among </w:t>
      </w:r>
      <w:r w:rsidR="00781EFD" w:rsidRPr="006259CB">
        <w:t>Client</w:t>
      </w:r>
      <w:r w:rsidRPr="006259CB">
        <w:t>s and is influenced by various risks, each of which impacts the probability and magnitude of potential losses.</w:t>
      </w:r>
      <w:r w:rsidR="00392E79" w:rsidRPr="006259CB">
        <w:t xml:space="preserve">  </w:t>
      </w:r>
      <w:r w:rsidRPr="006259CB">
        <w:t xml:space="preserve">There is no guarantee that any services or analytical methods provided will predict future outcomes, accurately identify market trends, or protect against losses during market corrections or declines, that any investment strategy or asset allocation will meet </w:t>
      </w:r>
      <w:r w:rsidR="00781EFD" w:rsidRPr="006259CB">
        <w:t>Client</w:t>
      </w:r>
      <w:r w:rsidRPr="006259CB">
        <w:t xml:space="preserve"> expectations, or that past performance is indicative of future results. Investments are subject to numerous risks, and no strategy can guarantee profitability. Furthermore, no service or strategy provided by Baker Street can ensure specific tax or legal outcomes. </w:t>
      </w:r>
    </w:p>
    <w:p w14:paraId="15291433" w14:textId="77777777" w:rsidR="00990007" w:rsidRPr="006259CB" w:rsidRDefault="00990007" w:rsidP="00873720"/>
    <w:p w14:paraId="154B0AAF" w14:textId="27CA0802" w:rsidR="007731BD" w:rsidRPr="006259CB" w:rsidRDefault="007731BD" w:rsidP="00873720">
      <w:r w:rsidRPr="006259CB">
        <w:t>The following list of general risks, although not exhaustive, provides a</w:t>
      </w:r>
      <w:r w:rsidR="002D3FB2" w:rsidRPr="006259CB">
        <w:t xml:space="preserve">n </w:t>
      </w:r>
      <w:r w:rsidRPr="006259CB">
        <w:t xml:space="preserve">overview of common risks that prospective </w:t>
      </w:r>
      <w:r w:rsidR="00781EFD" w:rsidRPr="006259CB">
        <w:t>Client</w:t>
      </w:r>
      <w:r w:rsidRPr="006259CB">
        <w:t>s should carefully consider before engaging our services. Clients are also advised to thoroughly review all relevant disclosure brochures, legal documents, and offering materials, including those pertaining to the investment vehicles or strategies being recommended.</w:t>
      </w:r>
    </w:p>
    <w:p w14:paraId="346B2B43" w14:textId="77777777" w:rsidR="003B436F" w:rsidRPr="006259CB" w:rsidRDefault="003B436F" w:rsidP="00873720">
      <w:pPr>
        <w:rPr>
          <w:rFonts w:eastAsia="Calibri"/>
          <w:bCs/>
          <w:i/>
          <w:iCs/>
        </w:rPr>
      </w:pPr>
    </w:p>
    <w:p w14:paraId="627BA4B8" w14:textId="48BDCCEB" w:rsidR="003B436F" w:rsidRPr="006259CB" w:rsidRDefault="003B436F" w:rsidP="0094676D">
      <w:pPr>
        <w:jc w:val="center"/>
        <w:rPr>
          <w:rFonts w:eastAsia="Calibri"/>
          <w:bCs/>
          <w:i/>
          <w:iCs/>
        </w:rPr>
      </w:pPr>
      <w:r w:rsidRPr="006259CB">
        <w:rPr>
          <w:rFonts w:eastAsia="Calibri"/>
          <w:bCs/>
          <w:i/>
          <w:iCs/>
        </w:rPr>
        <w:t>Note:  Items are presented alphabetically for ease of reading, not in order of importance</w:t>
      </w:r>
    </w:p>
    <w:p w14:paraId="40A994CE" w14:textId="77777777" w:rsidR="00D00281" w:rsidRPr="006259CB" w:rsidRDefault="00D00281" w:rsidP="00F17194">
      <w:pPr>
        <w:rPr>
          <w:rFonts w:eastAsia="Calibri"/>
          <w:bCs/>
          <w:i/>
          <w:iCs/>
        </w:rPr>
      </w:pPr>
    </w:p>
    <w:p w14:paraId="7581CC6C" w14:textId="77777777" w:rsidR="00D00281" w:rsidRPr="00303346" w:rsidRDefault="22A8EB8D" w:rsidP="21FD5452">
      <w:pPr>
        <w:pStyle w:val="NormalWeb"/>
        <w:spacing w:before="0" w:beforeAutospacing="0" w:after="0" w:afterAutospacing="0"/>
        <w:ind w:left="360" w:right="360"/>
        <w:jc w:val="both"/>
        <w:rPr>
          <w:rFonts w:ascii="Arial" w:hAnsi="Arial" w:cs="Arial"/>
          <w:sz w:val="20"/>
          <w:szCs w:val="20"/>
        </w:rPr>
      </w:pPr>
      <w:r w:rsidRPr="21FD5452">
        <w:rPr>
          <w:rStyle w:val="Heading4Char"/>
          <w:rFonts w:cs="Arial"/>
          <w:i/>
          <w:iCs/>
          <w:sz w:val="20"/>
          <w:szCs w:val="20"/>
        </w:rPr>
        <w:t>Adviser's Investment Activities Risk</w:t>
      </w:r>
      <w:r w:rsidRPr="21FD5452">
        <w:rPr>
          <w:rFonts w:ascii="Arial" w:hAnsi="Arial" w:cs="Arial"/>
          <w:sz w:val="20"/>
          <w:szCs w:val="20"/>
        </w:rPr>
        <w:t xml:space="preserve"> – Our investment activities may involve a significant degree of risk. The performance of any investment is subject to numerous factors that are neither within the control of nor predictable by the Adviser. Investment decisions made for client accounts are subject to market, currency, competitive, economic, political, technological, and business risks, as well as broader systemic conditions—including pandemics, terrorism, or war—that may affect investments generally or specific industries or issuers. Securities markets may be volatile, and market conditions may move unpredictably or behave outside the range of expectations, adversely affecting a client's ability to realize profits or resulting in material loss. Neither client nor Adviser investment decisions are guaranteed to be profitable.</w:t>
      </w:r>
    </w:p>
    <w:p w14:paraId="0F8C49A4" w14:textId="77777777" w:rsidR="00D00281" w:rsidRPr="00303346" w:rsidRDefault="22A8EB8D" w:rsidP="21FD5452">
      <w:pPr>
        <w:pStyle w:val="NormalWeb"/>
        <w:spacing w:before="120" w:beforeAutospacing="0" w:after="0" w:afterAutospacing="0"/>
        <w:ind w:left="360" w:right="360"/>
        <w:jc w:val="both"/>
        <w:rPr>
          <w:rFonts w:ascii="Arial" w:hAnsi="Arial" w:cs="Arial"/>
          <w:sz w:val="20"/>
          <w:szCs w:val="20"/>
        </w:rPr>
      </w:pPr>
      <w:r w:rsidRPr="21FD5452">
        <w:rPr>
          <w:rStyle w:val="Heading4Char"/>
          <w:rFonts w:cs="Arial"/>
          <w:i/>
          <w:iCs/>
          <w:sz w:val="20"/>
          <w:szCs w:val="20"/>
        </w:rPr>
        <w:t>Artificial Intelligence Risks</w:t>
      </w:r>
      <w:r w:rsidRPr="21FD5452">
        <w:rPr>
          <w:rFonts w:ascii="Arial" w:hAnsi="Arial" w:cs="Arial"/>
          <w:sz w:val="20"/>
          <w:szCs w:val="20"/>
        </w:rPr>
        <w:t xml:space="preserve"> – We may leverage artificial intelligence ("AI") to enhance operational efficiency and improve client services. AI is not used in our investment selection process or in formulating specific investment advice. Instead, our AI applications focus on automating administrative and client service-</w:t>
      </w:r>
      <w:r w:rsidRPr="21FD5452">
        <w:rPr>
          <w:rFonts w:ascii="Arial" w:hAnsi="Arial" w:cs="Arial"/>
          <w:sz w:val="20"/>
          <w:szCs w:val="20"/>
        </w:rPr>
        <w:lastRenderedPageBreak/>
        <w:t>related tasks. AI models may produce outputs that are incomplete, inaccurate, or biased. AI usage may also pose risks to the confidentiality of client or proprietary information, including potential exposure of sensitive data to unauthorized parties. The regulatory framework governing AI is evolving rapidly, and future developments may require adjustments to our AI adoption strategy. We have implemented data protection measures and partner with vendors who adhere to best practices in data security and compliance.</w:t>
      </w:r>
    </w:p>
    <w:p w14:paraId="13F1DC8B" w14:textId="77777777" w:rsidR="00D00281" w:rsidRPr="00303346" w:rsidRDefault="22A8EB8D" w:rsidP="21FD5452">
      <w:pPr>
        <w:pStyle w:val="NormalWeb"/>
        <w:spacing w:before="120" w:beforeAutospacing="0" w:after="0" w:afterAutospacing="0"/>
        <w:ind w:left="360" w:right="360"/>
        <w:jc w:val="both"/>
        <w:rPr>
          <w:rFonts w:ascii="Arial" w:hAnsi="Arial" w:cs="Arial"/>
          <w:sz w:val="20"/>
          <w:szCs w:val="20"/>
        </w:rPr>
      </w:pPr>
      <w:r w:rsidRPr="21FD5452">
        <w:rPr>
          <w:rStyle w:val="Heading4Char"/>
          <w:rFonts w:cs="Arial"/>
          <w:i/>
          <w:iCs/>
          <w:sz w:val="20"/>
          <w:szCs w:val="20"/>
        </w:rPr>
        <w:t>Bond Fund Risks</w:t>
      </w:r>
      <w:r w:rsidRPr="21FD5452">
        <w:rPr>
          <w:rFonts w:ascii="Arial" w:hAnsi="Arial" w:cs="Arial"/>
          <w:sz w:val="20"/>
          <w:szCs w:val="20"/>
        </w:rPr>
        <w:t xml:space="preserve"> – Bond funds generally carry higher risks than money market funds, primarily because they pursue strategies to produce higher yields. Unlike money market funds, bond funds are not restricted to high-quality or short-term investments. Risks associated with bond funds include credit risk (the possibility that a bond issuer may default), interest rate risk (the possibility that rising rates will reduce bond values), and prepayment risk (the possibility that bonds may be paid off early, reducing returns).</w:t>
      </w:r>
    </w:p>
    <w:p w14:paraId="40A66A4E" w14:textId="77777777" w:rsidR="00D00281" w:rsidRPr="00303346" w:rsidRDefault="22A8EB8D" w:rsidP="00662C5B">
      <w:pPr>
        <w:spacing w:before="120"/>
        <w:ind w:left="360" w:right="360"/>
      </w:pPr>
      <w:r w:rsidRPr="21FD5452">
        <w:rPr>
          <w:rStyle w:val="Heading4Char"/>
          <w:i/>
          <w:iCs/>
        </w:rPr>
        <w:t>Bond Risks</w:t>
      </w:r>
      <w:r>
        <w:t xml:space="preserve"> – Corporate debt securities (or "bonds") are typically considered safer investments than equity securities. However, their risk can vary widely based on the financial health of the issuer, the risk of default at maturity, and whether the bond can be "called" before maturity. When a bond is called, it may be impossible to replace it with a bond of equal character, paying the same rate of return. Bondholders may also be exposed to interest rate risk, credit risk, and reinvestment risk.</w:t>
      </w:r>
    </w:p>
    <w:p w14:paraId="4B4919D0" w14:textId="77777777" w:rsidR="00D00281" w:rsidRPr="00303346" w:rsidRDefault="22A8EB8D" w:rsidP="21FD5452">
      <w:pPr>
        <w:pStyle w:val="NormalWeb"/>
        <w:spacing w:before="120" w:beforeAutospacing="0" w:after="0" w:afterAutospacing="0"/>
        <w:ind w:left="360" w:right="360"/>
        <w:jc w:val="both"/>
        <w:rPr>
          <w:rFonts w:ascii="Arial" w:hAnsi="Arial" w:cs="Arial"/>
          <w:sz w:val="20"/>
          <w:szCs w:val="20"/>
        </w:rPr>
      </w:pPr>
      <w:r w:rsidRPr="21FD5452">
        <w:rPr>
          <w:rStyle w:val="Heading4Char"/>
          <w:rFonts w:cs="Arial"/>
          <w:i/>
          <w:iCs/>
          <w:sz w:val="20"/>
          <w:szCs w:val="20"/>
        </w:rPr>
        <w:t>Certificates of Deposit Risk</w:t>
      </w:r>
      <w:r w:rsidRPr="21FD5452">
        <w:rPr>
          <w:rFonts w:ascii="Arial" w:hAnsi="Arial" w:cs="Arial"/>
          <w:sz w:val="20"/>
          <w:szCs w:val="20"/>
        </w:rPr>
        <w:t xml:space="preserve"> – Certificates of Deposit (“CDs”) are generally considered safe investments due to FDIC insurance. However, returns are usually low, and inflation may outpace the CD’s return. Certain CDs are traded in the marketplace and not purchased directly from a banking institution. Market-traded CDs may carry trading risk, and FDIC insurance does not cover price fluctuations when CDs are purchased at a premium.</w:t>
      </w:r>
    </w:p>
    <w:p w14:paraId="4E70147B" w14:textId="77777777" w:rsidR="00D00281" w:rsidRPr="00303346" w:rsidRDefault="22A8EB8D" w:rsidP="21FD5452">
      <w:pPr>
        <w:pStyle w:val="NormalWeb"/>
        <w:spacing w:before="120" w:beforeAutospacing="0" w:after="0" w:afterAutospacing="0"/>
        <w:ind w:left="360" w:right="360"/>
        <w:jc w:val="both"/>
        <w:rPr>
          <w:rFonts w:ascii="Arial" w:hAnsi="Arial" w:cs="Arial"/>
          <w:sz w:val="20"/>
          <w:szCs w:val="20"/>
        </w:rPr>
      </w:pPr>
      <w:r w:rsidRPr="21FD5452">
        <w:rPr>
          <w:rStyle w:val="Heading4Char"/>
          <w:rFonts w:cs="Arial"/>
          <w:i/>
          <w:iCs/>
          <w:sz w:val="20"/>
          <w:szCs w:val="20"/>
        </w:rPr>
        <w:t>Credit Risk</w:t>
      </w:r>
      <w:r w:rsidRPr="21FD5452">
        <w:rPr>
          <w:rStyle w:val="Heading4Char"/>
          <w:rFonts w:cs="Arial"/>
          <w:sz w:val="20"/>
          <w:szCs w:val="20"/>
        </w:rPr>
        <w:t xml:space="preserve"> </w:t>
      </w:r>
      <w:r w:rsidRPr="21FD5452">
        <w:rPr>
          <w:rFonts w:ascii="Arial" w:hAnsi="Arial" w:cs="Arial"/>
          <w:sz w:val="20"/>
          <w:szCs w:val="20"/>
        </w:rPr>
        <w:t>– Credit risk applies to debt investments such as corporate, municipal, and sovereign bonds. A bond issuer may experience a credit event that could impair or eliminate the value of its securities held in client accounts. Credit risk is influenced by the issuer’s financial condition, credit rating, and market conditions.</w:t>
      </w:r>
    </w:p>
    <w:p w14:paraId="3CCE9D4F" w14:textId="77777777" w:rsidR="00D00281" w:rsidRPr="00303346" w:rsidRDefault="22A8EB8D" w:rsidP="21FD5452">
      <w:pPr>
        <w:pStyle w:val="NormalWeb"/>
        <w:spacing w:before="120" w:beforeAutospacing="0" w:after="0" w:afterAutospacing="0"/>
        <w:ind w:left="360" w:right="360"/>
        <w:jc w:val="both"/>
        <w:rPr>
          <w:rFonts w:ascii="Arial" w:hAnsi="Arial" w:cs="Arial"/>
          <w:sz w:val="20"/>
          <w:szCs w:val="20"/>
        </w:rPr>
      </w:pPr>
      <w:r w:rsidRPr="21FD5452">
        <w:rPr>
          <w:rStyle w:val="Heading4Char"/>
          <w:rFonts w:cs="Arial"/>
          <w:sz w:val="20"/>
          <w:szCs w:val="20"/>
        </w:rPr>
        <w:t xml:space="preserve">Currency Exchange Risk </w:t>
      </w:r>
      <w:r w:rsidRPr="21FD5452">
        <w:rPr>
          <w:rFonts w:ascii="Arial" w:hAnsi="Arial" w:cs="Arial"/>
          <w:sz w:val="20"/>
          <w:szCs w:val="20"/>
        </w:rPr>
        <w:t>– Investments in foreign securities or funds may be subject to fluctuations in the value of the U.S. dollar against foreign currencies. Changes in exchange rates may affect the value of dividends, interest earned, and gains or losses realized on foreign investments. Currency markets may be volatile and influenced by political or economic events.</w:t>
      </w:r>
    </w:p>
    <w:p w14:paraId="7BF8A644" w14:textId="334ED9A6" w:rsidR="00D00281" w:rsidRPr="006259CB" w:rsidRDefault="00D00281" w:rsidP="00662C5B">
      <w:pPr>
        <w:spacing w:before="120"/>
        <w:ind w:left="360" w:right="360"/>
      </w:pPr>
      <w:r w:rsidRPr="00303346">
        <w:rPr>
          <w:rFonts w:eastAsiaTheme="minorHAnsi"/>
          <w:i/>
          <w:color w:val="6586A4"/>
        </w:rPr>
        <w:t>Cybersecurity Risk</w:t>
      </w:r>
      <w:r w:rsidRPr="00303346">
        <w:rPr>
          <w:rFonts w:eastAsiaTheme="minorHAnsi"/>
          <w:i/>
        </w:rPr>
        <w:t xml:space="preserve"> - </w:t>
      </w:r>
      <w:r w:rsidRPr="00303346">
        <w:t xml:space="preserve">With the increased use of technologies to conduct business, Baker Street is susceptible to operational, information security and related risks. </w:t>
      </w:r>
      <w:r w:rsidR="002C4EA1" w:rsidRPr="00303346">
        <w:t xml:space="preserve">Cyber incidents may result from deliberate attacks or unintentional events. These include unauthorized access to digital systems, misappropriation of assets or sensitive information, data corruption, or operational disruption. Cyber incidents may result in business interruptions, financial losses, violations of privacy laws, regulatory fines, penalties, or reputational damage. Baker Street has implemented a Business Continuity Plan and risk management systems, </w:t>
      </w:r>
      <w:r w:rsidR="00A026D8" w:rsidRPr="00303346">
        <w:t xml:space="preserve">intended to identify and mitigate the risks associated with cyber-attacks, there are inherent limitations in such plans and systems, including the possibility that certain risks have not been identified.  </w:t>
      </w:r>
      <w:r w:rsidRPr="00303346">
        <w:t>Furthermore, Baker Street cannot control the c</w:t>
      </w:r>
      <w:r w:rsidRPr="006259CB">
        <w:t>ybersecurity plans and systems put in place by third-party service providers, including recommended Investment Managers and issuers in which Client portfolios invest. Clients could be negatively impacted as a result.</w:t>
      </w:r>
    </w:p>
    <w:p w14:paraId="05567799" w14:textId="54958DD9" w:rsidR="00D00281" w:rsidRPr="00303346" w:rsidRDefault="22A8EB8D" w:rsidP="21FD5452">
      <w:pPr>
        <w:pStyle w:val="NormalWeb"/>
        <w:spacing w:before="120" w:beforeAutospacing="0" w:after="0" w:afterAutospacing="0"/>
        <w:ind w:left="360" w:right="360"/>
        <w:jc w:val="both"/>
        <w:rPr>
          <w:rFonts w:ascii="Arial" w:hAnsi="Arial" w:cs="Arial"/>
          <w:sz w:val="20"/>
          <w:szCs w:val="20"/>
        </w:rPr>
      </w:pPr>
      <w:r w:rsidRPr="21FD5452">
        <w:rPr>
          <w:rStyle w:val="Heading4Char"/>
          <w:rFonts w:cs="Arial"/>
          <w:i/>
          <w:iCs/>
          <w:sz w:val="20"/>
          <w:szCs w:val="20"/>
        </w:rPr>
        <w:t>Diversification Risk</w:t>
      </w:r>
      <w:r w:rsidRPr="21FD5452">
        <w:rPr>
          <w:rFonts w:ascii="Arial" w:hAnsi="Arial" w:cs="Arial"/>
          <w:sz w:val="20"/>
          <w:szCs w:val="20"/>
        </w:rPr>
        <w:t xml:space="preserve"> – A portfolio may not be widely diversified among sectors, industries, geographic areas, or security types. Concentrated portfolios may be subject to more rapid changes in value than broadly diversified ones. Lack of diversification may increase exposure to specific market events or issuer risks.</w:t>
      </w:r>
    </w:p>
    <w:p w14:paraId="6136D7A3" w14:textId="77777777" w:rsidR="00D00281" w:rsidRPr="00303346" w:rsidRDefault="00D00281" w:rsidP="00662C5B">
      <w:pPr>
        <w:pStyle w:val="NormalWeb"/>
        <w:spacing w:before="120" w:beforeAutospacing="0" w:after="0" w:afterAutospacing="0"/>
        <w:ind w:left="360" w:right="360"/>
        <w:jc w:val="both"/>
        <w:rPr>
          <w:rFonts w:ascii="Arial" w:hAnsi="Arial" w:cs="Arial"/>
          <w:sz w:val="20"/>
          <w:szCs w:val="20"/>
        </w:rPr>
      </w:pPr>
      <w:r w:rsidRPr="00303346">
        <w:rPr>
          <w:rStyle w:val="Heading4Char"/>
          <w:rFonts w:cs="Arial"/>
          <w:i/>
          <w:iCs/>
          <w:sz w:val="20"/>
          <w:szCs w:val="20"/>
        </w:rPr>
        <w:t>Equity Investment Risk</w:t>
      </w:r>
      <w:r w:rsidRPr="00303346">
        <w:rPr>
          <w:rFonts w:ascii="Arial" w:hAnsi="Arial" w:cs="Arial"/>
          <w:sz w:val="20"/>
          <w:szCs w:val="20"/>
        </w:rPr>
        <w:t xml:space="preserve"> – Equity investments involve buying shares of stock with the expectation of receiving dividends and capital gains. Stock values may decrease, resulting in a loss. Equity investments are inherently volatile and may not perform as expected. Factors such as company performance, market sentiment, and economic conditions can affect stock prices.</w:t>
      </w:r>
    </w:p>
    <w:p w14:paraId="0FFB64C1" w14:textId="77777777" w:rsidR="00D00281" w:rsidRPr="00303346" w:rsidRDefault="22A8EB8D" w:rsidP="21FD5452">
      <w:pPr>
        <w:pStyle w:val="NormalWeb"/>
        <w:spacing w:before="120" w:beforeAutospacing="0" w:after="0" w:afterAutospacing="0"/>
        <w:ind w:left="360" w:right="360"/>
        <w:jc w:val="both"/>
        <w:rPr>
          <w:rFonts w:ascii="Arial" w:hAnsi="Arial" w:cs="Arial"/>
          <w:sz w:val="20"/>
          <w:szCs w:val="20"/>
        </w:rPr>
      </w:pPr>
      <w:r w:rsidRPr="21FD5452">
        <w:rPr>
          <w:rStyle w:val="Heading4Char"/>
          <w:rFonts w:cs="Arial"/>
          <w:i/>
          <w:iCs/>
          <w:sz w:val="20"/>
          <w:szCs w:val="20"/>
        </w:rPr>
        <w:t>Inflation &amp; Interest Rate Risk</w:t>
      </w:r>
      <w:r w:rsidRPr="21FD5452">
        <w:rPr>
          <w:rFonts w:ascii="Arial" w:hAnsi="Arial" w:cs="Arial"/>
          <w:sz w:val="20"/>
          <w:szCs w:val="20"/>
        </w:rPr>
        <w:t xml:space="preserve"> – Security prices and portfolio returns may vary in response to inflation and interest rate changes. Inflation reduces the purchasing power of future interest payments and principal. Rising interest rates may cause the value of fixed-income investments to decline. Inflation may also lead to higher interest rates, which can negatively impact bond prices and borrowing costs.</w:t>
      </w:r>
    </w:p>
    <w:p w14:paraId="10CCBDB7" w14:textId="489F412D" w:rsidR="007731BD" w:rsidRPr="006259CB" w:rsidRDefault="007731BD" w:rsidP="00662C5B">
      <w:pPr>
        <w:spacing w:before="120"/>
        <w:ind w:left="360" w:right="360"/>
      </w:pPr>
      <w:r w:rsidRPr="00303346">
        <w:rPr>
          <w:i/>
          <w:iCs/>
          <w:color w:val="6586A4"/>
        </w:rPr>
        <w:t>Independent Investment of Each Portfolio Fund</w:t>
      </w:r>
      <w:r w:rsidRPr="00303346">
        <w:t xml:space="preserve"> - Each Investment Manager and fund will generally invest</w:t>
      </w:r>
      <w:r w:rsidRPr="006259CB">
        <w:t xml:space="preserve"> completely independently of one another and may, at times, hold economically offsetting positions. To the </w:t>
      </w:r>
      <w:r w:rsidRPr="006259CB">
        <w:lastRenderedPageBreak/>
        <w:t xml:space="preserve">extent that Investment Managers and funds hold such positions, Client accounts may not achieve any gain or loss despite incurring fees and expenses in connection with such positions.  </w:t>
      </w:r>
    </w:p>
    <w:p w14:paraId="63B49117" w14:textId="6DD6D907" w:rsidR="007731BD" w:rsidRPr="006259CB" w:rsidRDefault="007731BD" w:rsidP="00662C5B">
      <w:pPr>
        <w:spacing w:before="120"/>
        <w:ind w:left="360" w:right="360"/>
      </w:pPr>
      <w:r w:rsidRPr="006259CB">
        <w:rPr>
          <w:i/>
          <w:iCs/>
          <w:color w:val="6586A4"/>
        </w:rPr>
        <w:t>Intrinsic Risks of Investing in Securities</w:t>
      </w:r>
      <w:r w:rsidRPr="006259CB">
        <w:rPr>
          <w:color w:val="6586A4"/>
        </w:rPr>
        <w:t xml:space="preserve"> </w:t>
      </w:r>
      <w:r w:rsidRPr="006259CB">
        <w:t xml:space="preserve">- An investment in individual securities or a portfolio of securities could cause a loss of money. The individual investments </w:t>
      </w:r>
      <w:r w:rsidR="00516080" w:rsidRPr="006259CB">
        <w:t xml:space="preserve">we select </w:t>
      </w:r>
      <w:r w:rsidRPr="006259CB">
        <w:t>and the Investment Managers should be deemed speculative investments and are not intended as a complete investment program. The Adviser cannot give any guarantee that any Client will achieve the Client's investment objectives or that any Client will receive a return of the Client's investment.</w:t>
      </w:r>
    </w:p>
    <w:p w14:paraId="0458624A" w14:textId="5FF701B8" w:rsidR="00A01F37" w:rsidRPr="006259CB" w:rsidRDefault="00200FB0" w:rsidP="00662C5B">
      <w:pPr>
        <w:spacing w:before="120"/>
        <w:ind w:left="360" w:right="360"/>
        <w:rPr>
          <w:rFonts w:eastAsiaTheme="minorHAnsi"/>
        </w:rPr>
      </w:pPr>
      <w:r w:rsidRPr="006259CB">
        <w:rPr>
          <w:i/>
          <w:color w:val="6586A4"/>
        </w:rPr>
        <w:t>Investment Manager Risk</w:t>
      </w:r>
      <w:r w:rsidR="00C36D48" w:rsidRPr="006259CB">
        <w:rPr>
          <w:i/>
        </w:rPr>
        <w:t xml:space="preserve"> - </w:t>
      </w:r>
      <w:r w:rsidR="00734652" w:rsidRPr="006259CB">
        <w:t>All investing involves risk of loss</w:t>
      </w:r>
      <w:r w:rsidR="005D2D87" w:rsidRPr="006259CB">
        <w:t>,</w:t>
      </w:r>
      <w:r w:rsidR="00734652" w:rsidRPr="006259CB">
        <w:t xml:space="preserve"> and the investment strategy </w:t>
      </w:r>
      <w:r w:rsidR="00516080" w:rsidRPr="006259CB">
        <w:t xml:space="preserve">we offer </w:t>
      </w:r>
      <w:r w:rsidR="00734652" w:rsidRPr="006259CB">
        <w:t xml:space="preserve">could lose money over short or even long periods. Additionally, </w:t>
      </w:r>
      <w:r w:rsidR="00516080" w:rsidRPr="006259CB">
        <w:t>we rely</w:t>
      </w:r>
      <w:r w:rsidR="00734652" w:rsidRPr="006259CB">
        <w:t xml:space="preserve"> on the investment expertise </w:t>
      </w:r>
      <w:r w:rsidR="002F327A" w:rsidRPr="006259CB">
        <w:t xml:space="preserve">and day-to-day management of investments to </w:t>
      </w:r>
      <w:r w:rsidRPr="006259CB">
        <w:t xml:space="preserve">selected </w:t>
      </w:r>
      <w:r w:rsidR="005F0115" w:rsidRPr="006259CB">
        <w:t>Investment Manager</w:t>
      </w:r>
      <w:r w:rsidR="002F327A" w:rsidRPr="006259CB">
        <w:t xml:space="preserve">s, </w:t>
      </w:r>
      <w:r w:rsidR="00D84571" w:rsidRPr="006259CB">
        <w:t xml:space="preserve">subjecting </w:t>
      </w:r>
      <w:r w:rsidR="00A23520" w:rsidRPr="006259CB">
        <w:t>Client</w:t>
      </w:r>
      <w:r w:rsidR="00734652" w:rsidRPr="006259CB">
        <w:t xml:space="preserve">s to manager risk. </w:t>
      </w:r>
      <w:r w:rsidR="00A01F37" w:rsidRPr="006259CB">
        <w:rPr>
          <w:rFonts w:eastAsiaTheme="minorHAnsi"/>
        </w:rPr>
        <w:t xml:space="preserve">The investment performance of </w:t>
      </w:r>
      <w:r w:rsidR="00D84571" w:rsidRPr="006259CB">
        <w:rPr>
          <w:rFonts w:eastAsiaTheme="minorHAnsi"/>
        </w:rPr>
        <w:t xml:space="preserve">each </w:t>
      </w:r>
      <w:r w:rsidR="00A23520" w:rsidRPr="006259CB">
        <w:rPr>
          <w:rFonts w:eastAsiaTheme="minorHAnsi"/>
        </w:rPr>
        <w:t>Client</w:t>
      </w:r>
      <w:r w:rsidR="00CE22C0" w:rsidRPr="006259CB">
        <w:rPr>
          <w:rFonts w:eastAsiaTheme="minorHAnsi"/>
        </w:rPr>
        <w:t>'</w:t>
      </w:r>
      <w:r w:rsidR="002F327A" w:rsidRPr="006259CB">
        <w:rPr>
          <w:rFonts w:eastAsiaTheme="minorHAnsi"/>
        </w:rPr>
        <w:t>s</w:t>
      </w:r>
      <w:r w:rsidR="00A01F37" w:rsidRPr="006259CB">
        <w:rPr>
          <w:rFonts w:eastAsiaTheme="minorHAnsi"/>
        </w:rPr>
        <w:t xml:space="preserve"> portfolio is affected by the investment performance of the underlying securities in which the portfolio invests</w:t>
      </w:r>
      <w:r w:rsidR="002F327A" w:rsidRPr="006259CB">
        <w:rPr>
          <w:rFonts w:eastAsiaTheme="minorHAnsi"/>
        </w:rPr>
        <w:t xml:space="preserve">, as selected by the </w:t>
      </w:r>
      <w:r w:rsidR="005F0115" w:rsidRPr="006259CB">
        <w:rPr>
          <w:rFonts w:eastAsiaTheme="minorHAnsi"/>
        </w:rPr>
        <w:t>Investment Manager</w:t>
      </w:r>
      <w:r w:rsidR="002F327A" w:rsidRPr="006259CB">
        <w:rPr>
          <w:rFonts w:eastAsiaTheme="minorHAnsi"/>
        </w:rPr>
        <w:t>s</w:t>
      </w:r>
      <w:r w:rsidR="00A01F37" w:rsidRPr="006259CB">
        <w:rPr>
          <w:rFonts w:eastAsiaTheme="minorHAnsi"/>
        </w:rPr>
        <w:t>.</w:t>
      </w:r>
      <w:r w:rsidR="00A15CF0" w:rsidRPr="006259CB">
        <w:rPr>
          <w:rFonts w:eastAsiaTheme="minorHAnsi"/>
        </w:rPr>
        <w:t xml:space="preserve"> </w:t>
      </w:r>
      <w:r w:rsidR="00A01F37" w:rsidRPr="006259CB">
        <w:rPr>
          <w:rFonts w:eastAsiaTheme="minorHAnsi"/>
        </w:rPr>
        <w:t>The ability of the portfolio to achieve its investment objective depends on the ability of the underlying securities to meet the</w:t>
      </w:r>
      <w:r w:rsidR="00A15CF0" w:rsidRPr="006259CB">
        <w:rPr>
          <w:rFonts w:eastAsiaTheme="minorHAnsi"/>
        </w:rPr>
        <w:t xml:space="preserve"> Client</w:t>
      </w:r>
      <w:r w:rsidR="00CE22C0" w:rsidRPr="006259CB">
        <w:rPr>
          <w:rFonts w:eastAsiaTheme="minorHAnsi"/>
        </w:rPr>
        <w:t>'</w:t>
      </w:r>
      <w:r w:rsidR="00A15CF0" w:rsidRPr="006259CB">
        <w:rPr>
          <w:rFonts w:eastAsiaTheme="minorHAnsi"/>
        </w:rPr>
        <w:t>s</w:t>
      </w:r>
      <w:r w:rsidR="00A01F37" w:rsidRPr="006259CB">
        <w:rPr>
          <w:rFonts w:eastAsiaTheme="minorHAnsi"/>
        </w:rPr>
        <w:t xml:space="preserve"> investment objectives and the allocation of the portfolio</w:t>
      </w:r>
      <w:r w:rsidR="00CE22C0" w:rsidRPr="006259CB">
        <w:rPr>
          <w:rFonts w:eastAsiaTheme="minorHAnsi"/>
        </w:rPr>
        <w:t>'</w:t>
      </w:r>
      <w:r w:rsidR="00A01F37" w:rsidRPr="006259CB">
        <w:rPr>
          <w:rFonts w:eastAsiaTheme="minorHAnsi"/>
        </w:rPr>
        <w:t>s assets among the underlying securities.</w:t>
      </w:r>
      <w:r w:rsidR="00A15CF0" w:rsidRPr="006259CB">
        <w:rPr>
          <w:rFonts w:eastAsiaTheme="minorHAnsi"/>
        </w:rPr>
        <w:t xml:space="preserve"> </w:t>
      </w:r>
      <w:r w:rsidR="00A01F37" w:rsidRPr="006259CB">
        <w:rPr>
          <w:rFonts w:eastAsiaTheme="minorHAnsi"/>
        </w:rPr>
        <w:t xml:space="preserve">There can be no assurance that the investment objective </w:t>
      </w:r>
      <w:r w:rsidR="00D84571" w:rsidRPr="006259CB">
        <w:rPr>
          <w:rFonts w:eastAsiaTheme="minorHAnsi"/>
        </w:rPr>
        <w:t xml:space="preserve">of each </w:t>
      </w:r>
      <w:r w:rsidR="00A23520" w:rsidRPr="006259CB">
        <w:rPr>
          <w:rFonts w:eastAsiaTheme="minorHAnsi"/>
        </w:rPr>
        <w:t>Client</w:t>
      </w:r>
      <w:r w:rsidR="002F327A" w:rsidRPr="006259CB">
        <w:rPr>
          <w:rFonts w:eastAsiaTheme="minorHAnsi"/>
        </w:rPr>
        <w:t xml:space="preserve"> account</w:t>
      </w:r>
      <w:r w:rsidR="00A01F37" w:rsidRPr="006259CB">
        <w:rPr>
          <w:rFonts w:eastAsiaTheme="minorHAnsi"/>
        </w:rPr>
        <w:t xml:space="preserve"> or any underlying securities will be achieved.</w:t>
      </w:r>
      <w:r w:rsidR="00A15CF0" w:rsidRPr="006259CB">
        <w:rPr>
          <w:rFonts w:eastAsiaTheme="minorHAnsi"/>
        </w:rPr>
        <w:t xml:space="preserve"> </w:t>
      </w:r>
      <w:r w:rsidR="00A01F37" w:rsidRPr="006259CB">
        <w:rPr>
          <w:rFonts w:eastAsiaTheme="minorHAnsi"/>
        </w:rPr>
        <w:t>Through its investments in underlying securities</w:t>
      </w:r>
      <w:r w:rsidR="002F327A" w:rsidRPr="006259CB">
        <w:rPr>
          <w:rFonts w:eastAsiaTheme="minorHAnsi"/>
        </w:rPr>
        <w:t xml:space="preserve">, as selected by </w:t>
      </w:r>
      <w:r w:rsidR="005F0115" w:rsidRPr="006259CB">
        <w:rPr>
          <w:rFonts w:eastAsiaTheme="minorHAnsi"/>
        </w:rPr>
        <w:t>Investment Manager</w:t>
      </w:r>
      <w:r w:rsidR="002F327A" w:rsidRPr="006259CB">
        <w:rPr>
          <w:rFonts w:eastAsiaTheme="minorHAnsi"/>
        </w:rPr>
        <w:t>s</w:t>
      </w:r>
      <w:r w:rsidR="00A01F37" w:rsidRPr="006259CB">
        <w:rPr>
          <w:rFonts w:eastAsiaTheme="minorHAnsi"/>
        </w:rPr>
        <w:t xml:space="preserve">, </w:t>
      </w:r>
      <w:r w:rsidR="002F327A" w:rsidRPr="006259CB">
        <w:rPr>
          <w:rFonts w:eastAsiaTheme="minorHAnsi"/>
        </w:rPr>
        <w:t xml:space="preserve">each </w:t>
      </w:r>
      <w:r w:rsidR="00A23520" w:rsidRPr="006259CB">
        <w:rPr>
          <w:rFonts w:eastAsiaTheme="minorHAnsi"/>
        </w:rPr>
        <w:t>Client</w:t>
      </w:r>
      <w:r w:rsidR="00CE22C0" w:rsidRPr="006259CB">
        <w:rPr>
          <w:rFonts w:eastAsiaTheme="minorHAnsi"/>
        </w:rPr>
        <w:t>'</w:t>
      </w:r>
      <w:r w:rsidR="00D84571" w:rsidRPr="006259CB">
        <w:rPr>
          <w:rFonts w:eastAsiaTheme="minorHAnsi"/>
        </w:rPr>
        <w:t>s account</w:t>
      </w:r>
      <w:r w:rsidR="00A01F37" w:rsidRPr="006259CB">
        <w:rPr>
          <w:rFonts w:eastAsiaTheme="minorHAnsi"/>
        </w:rPr>
        <w:t xml:space="preserve"> is subject to the risks of the underlying</w:t>
      </w:r>
      <w:r w:rsidR="00A940D3" w:rsidRPr="006259CB">
        <w:rPr>
          <w:rFonts w:eastAsiaTheme="minorHAnsi"/>
        </w:rPr>
        <w:t xml:space="preserve"> securities</w:t>
      </w:r>
      <w:r w:rsidR="00CE22C0" w:rsidRPr="006259CB">
        <w:rPr>
          <w:rFonts w:eastAsiaTheme="minorHAnsi"/>
        </w:rPr>
        <w:t>'</w:t>
      </w:r>
      <w:r w:rsidR="00A940D3" w:rsidRPr="006259CB">
        <w:rPr>
          <w:rFonts w:eastAsiaTheme="minorHAnsi"/>
        </w:rPr>
        <w:t xml:space="preserve"> investments and</w:t>
      </w:r>
      <w:r w:rsidR="00A01F37" w:rsidRPr="006259CB">
        <w:rPr>
          <w:rFonts w:eastAsiaTheme="minorHAnsi"/>
        </w:rPr>
        <w:t xml:space="preserve"> can experience losses. Certain risks of the underlying securities</w:t>
      </w:r>
      <w:r w:rsidR="00CE22C0" w:rsidRPr="006259CB">
        <w:rPr>
          <w:rFonts w:eastAsiaTheme="minorHAnsi"/>
        </w:rPr>
        <w:t>'</w:t>
      </w:r>
      <w:r w:rsidR="00A01F37" w:rsidRPr="006259CB">
        <w:rPr>
          <w:rFonts w:eastAsiaTheme="minorHAnsi"/>
        </w:rPr>
        <w:t xml:space="preserve"> investments are described below.</w:t>
      </w:r>
    </w:p>
    <w:p w14:paraId="4D47B8E5" w14:textId="6085B808" w:rsidR="0021498D" w:rsidRPr="006259CB" w:rsidRDefault="5525D400" w:rsidP="21FD5452">
      <w:pPr>
        <w:spacing w:before="120"/>
        <w:ind w:left="360" w:right="360"/>
        <w:rPr>
          <w:rFonts w:eastAsiaTheme="minorEastAsia"/>
        </w:rPr>
      </w:pPr>
      <w:r w:rsidRPr="21FD5452">
        <w:rPr>
          <w:rStyle w:val="Heading4Char"/>
          <w:i/>
          <w:iCs/>
        </w:rPr>
        <w:t>Margin Risk</w:t>
      </w:r>
      <w:r w:rsidRPr="21FD5452">
        <w:rPr>
          <w:rFonts w:eastAsiaTheme="minorEastAsia"/>
        </w:rPr>
        <w:t xml:space="preserve"> – Securities purchased on margin are used as collateral for a client’s loan. If the value of the securities declines, the firm may issue a margin call or liquidate assets to maintain required equity. Margin trading involves risks</w:t>
      </w:r>
      <w:r w:rsidR="5997F394" w:rsidRPr="21FD5452">
        <w:rPr>
          <w:rFonts w:eastAsiaTheme="minorEastAsia"/>
        </w:rPr>
        <w:t>,</w:t>
      </w:r>
      <w:r w:rsidRPr="21FD5452">
        <w:rPr>
          <w:rFonts w:eastAsiaTheme="minorEastAsia"/>
        </w:rPr>
        <w:t xml:space="preserve"> including losing more than the deposited funds, forced liquidation without notice, and </w:t>
      </w:r>
      <w:r w:rsidR="55D96E94" w:rsidRPr="21FD5452">
        <w:rPr>
          <w:rFonts w:eastAsiaTheme="minorEastAsia"/>
        </w:rPr>
        <w:t xml:space="preserve">a </w:t>
      </w:r>
      <w:r w:rsidRPr="21FD5452">
        <w:rPr>
          <w:rFonts w:eastAsiaTheme="minorEastAsia"/>
        </w:rPr>
        <w:t>lack of control over which assets are sold. Additionally, margin requirements may change without advance notice, and clients may not be entitled to extensions of time to meet margin calls.</w:t>
      </w:r>
    </w:p>
    <w:p w14:paraId="502891C0" w14:textId="77777777" w:rsidR="001F2A4C" w:rsidRPr="00303346" w:rsidRDefault="001F2A4C" w:rsidP="00662C5B">
      <w:pPr>
        <w:spacing w:before="120"/>
        <w:ind w:left="360" w:right="360"/>
        <w:rPr>
          <w:rFonts w:eastAsiaTheme="minorHAnsi"/>
        </w:rPr>
      </w:pPr>
      <w:r w:rsidRPr="006259CB">
        <w:rPr>
          <w:rFonts w:eastAsiaTheme="minorHAnsi"/>
          <w:i/>
          <w:iCs/>
          <w:color w:val="6586A4"/>
        </w:rPr>
        <w:t xml:space="preserve">Market Risk </w:t>
      </w:r>
      <w:r w:rsidRPr="006259CB">
        <w:rPr>
          <w:rFonts w:eastAsiaTheme="minorHAnsi"/>
        </w:rPr>
        <w:t xml:space="preserve">- </w:t>
      </w:r>
      <w:r w:rsidRPr="006259CB">
        <w:rPr>
          <w:rFonts w:eastAsiaTheme="minorHAnsi"/>
          <w:i/>
          <w:iCs/>
        </w:rPr>
        <w:t xml:space="preserve"> </w:t>
      </w:r>
      <w:r w:rsidRPr="006259CB">
        <w:rPr>
          <w:rFonts w:eastAsiaTheme="minorHAnsi"/>
        </w:rPr>
        <w:t xml:space="preserve">Even a long-term investment approach cannot guarantee a profit. Economic, political, and issue-specific events will cause the value of securities and the funds that own them to rise or fall. Because </w:t>
      </w:r>
      <w:r w:rsidRPr="00303346">
        <w:rPr>
          <w:rFonts w:eastAsiaTheme="minorHAnsi"/>
        </w:rPr>
        <w:t>the value of the Client's investments will fluctuate, there is the risk that the Client will lose money.</w:t>
      </w:r>
    </w:p>
    <w:p w14:paraId="538CFA43" w14:textId="77777777" w:rsidR="0021498D" w:rsidRPr="00303346" w:rsidRDefault="5525D400" w:rsidP="21FD5452">
      <w:pPr>
        <w:spacing w:before="120"/>
        <w:ind w:left="360" w:right="360"/>
        <w:rPr>
          <w:rFonts w:eastAsiaTheme="minorEastAsia"/>
        </w:rPr>
      </w:pPr>
      <w:r w:rsidRPr="21FD5452">
        <w:rPr>
          <w:rStyle w:val="Heading4Char"/>
          <w:i/>
          <w:iCs/>
        </w:rPr>
        <w:t>Money Market Funds Risks</w:t>
      </w:r>
      <w:r w:rsidRPr="21FD5452">
        <w:rPr>
          <w:rFonts w:eastAsiaTheme="minorEastAsia"/>
        </w:rPr>
        <w:t xml:space="preserve"> – Money market funds aim to maintain a stable share price of $1 per share, but this price is not guaranteed. Investors may lose principal if the share price falls. These funds are not FDIC-insured. Returns are variable and may be eroded by inflation over time. Because they are considered lower-risk, long-term returns may be lower than other investments, and inflation can reduce purchasing power.</w:t>
      </w:r>
    </w:p>
    <w:p w14:paraId="6269CAB5" w14:textId="77777777" w:rsidR="0021498D" w:rsidRPr="00303346" w:rsidRDefault="0021498D" w:rsidP="00662C5B">
      <w:pPr>
        <w:spacing w:before="120"/>
        <w:ind w:left="360" w:right="360"/>
        <w:rPr>
          <w:rFonts w:eastAsiaTheme="minorHAnsi"/>
        </w:rPr>
      </w:pPr>
      <w:r w:rsidRPr="00303346">
        <w:rPr>
          <w:rStyle w:val="Heading4Char"/>
          <w:i/>
          <w:iCs/>
        </w:rPr>
        <w:t>Mutual Funds &amp; Exchange Traded Fund Risks</w:t>
      </w:r>
      <w:r w:rsidRPr="00303346">
        <w:rPr>
          <w:rFonts w:eastAsiaTheme="minorHAnsi"/>
        </w:rPr>
        <w:t xml:space="preserve"> – Mutual funds and ETFs pool investor money to invest in various securities. While they offer diversification, risks may be increased if the fund is concentrated in a specific sector, uses leverage, or invests in speculative companies. ETFs may not perfectly replicate their underlying indices and may be subject to tracking error. Costs such as management fees and potential trading commissions can reduce returns. ETFs trade like stocks and may experience price fluctuations throughout the day.</w:t>
      </w:r>
    </w:p>
    <w:p w14:paraId="4C87C514" w14:textId="77777777" w:rsidR="00900436" w:rsidRPr="006259CB" w:rsidRDefault="7BC26118" w:rsidP="00662C5B">
      <w:pPr>
        <w:spacing w:before="120"/>
        <w:ind w:left="360" w:right="360"/>
      </w:pPr>
      <w:r w:rsidRPr="21FD5452">
        <w:rPr>
          <w:rStyle w:val="Heading4Char"/>
          <w:i/>
          <w:iCs/>
        </w:rPr>
        <w:t>Multiple Levels of Fees &amp; Expenses</w:t>
      </w:r>
      <w:r w:rsidRPr="21FD5452">
        <w:rPr>
          <w:i/>
          <w:iCs/>
          <w:color w:val="6586A4"/>
        </w:rPr>
        <w:t xml:space="preserve"> - </w:t>
      </w:r>
      <w:r>
        <w:t>Funds-of-funds generate multiple levels of fees and expenses.  By investing with Investment Managers and funds, Clients bear Baker Street fees as well as Investment Manager and fund fees and, in some instances, expenses. Thus, Baker Street Clients may be subject to higher fees than if the Client invested directly with an Investment Manager or in a fund. In addition, certain private funds may be subject to a performance-based fee or allocation, irrespective of the performance of other portfolio funds. Generally, fees payable to private funds' Investment Managers will range from 0.20% to 3.25% (per annum). In addition, certain Investment Managers for private funds charge an incentive allocation or fee generally ranging from 10% to 25% of a private fund's net profits or realized return. The performance-based compensation received by an Investment Manager to a private fund may also create an incentive for that Investment Manager to make investments that are riskier or more speculative than those they might have made in the absence of the performance-based allocation. Such compensation may be based on calculations of realized and unrealized gains made by the Adviser without independent oversight.</w:t>
      </w:r>
    </w:p>
    <w:p w14:paraId="0F9270F3" w14:textId="77777777" w:rsidR="0021498D" w:rsidRPr="00303346" w:rsidRDefault="5525D400" w:rsidP="21FD5452">
      <w:pPr>
        <w:spacing w:before="120"/>
        <w:ind w:left="360" w:right="360"/>
        <w:rPr>
          <w:rFonts w:eastAsiaTheme="minorEastAsia"/>
        </w:rPr>
      </w:pPr>
      <w:r w:rsidRPr="21FD5452">
        <w:rPr>
          <w:rStyle w:val="Heading4Char"/>
          <w:i/>
          <w:iCs/>
        </w:rPr>
        <w:t>Political &amp; Legislative Risk</w:t>
      </w:r>
      <w:r w:rsidRPr="21FD5452">
        <w:rPr>
          <w:rFonts w:eastAsiaTheme="minorEastAsia"/>
        </w:rPr>
        <w:t xml:space="preserve"> – Changes in laws, regulations, or political environments may impact companies and markets. This risk is particularly relevant for companies operating internationally or in heavily regulated sectors. Political instability, regulatory changes, or legislative actions can affect the value of investments and the ability to execute strategies.</w:t>
      </w:r>
    </w:p>
    <w:p w14:paraId="0003E309" w14:textId="77777777" w:rsidR="0021498D" w:rsidRPr="00303346" w:rsidRDefault="0021498D" w:rsidP="00662C5B">
      <w:pPr>
        <w:spacing w:before="120"/>
        <w:ind w:left="360" w:right="360"/>
        <w:rPr>
          <w:rFonts w:eastAsiaTheme="minorHAnsi"/>
        </w:rPr>
      </w:pPr>
      <w:r w:rsidRPr="00303346">
        <w:rPr>
          <w:rStyle w:val="Heading4Char"/>
          <w:i/>
          <w:iCs/>
        </w:rPr>
        <w:lastRenderedPageBreak/>
        <w:t>Portfolio Turnover Risk</w:t>
      </w:r>
      <w:r w:rsidRPr="00303346">
        <w:rPr>
          <w:rFonts w:eastAsiaTheme="minorHAnsi"/>
        </w:rPr>
        <w:t xml:space="preserve"> – Active trading strategies may result in high portfolio turnover, leading to increased brokerage costs and potential tax consequences. High turnover may negatively affect performance and result in short-term capital gains, which may be taxed at higher rates than long-term gains.</w:t>
      </w:r>
    </w:p>
    <w:p w14:paraId="3029920F" w14:textId="77777777" w:rsidR="0021498D" w:rsidRPr="00303346" w:rsidRDefault="0021498D" w:rsidP="00662C5B">
      <w:pPr>
        <w:spacing w:before="120"/>
        <w:ind w:left="360" w:right="360"/>
        <w:rPr>
          <w:rFonts w:eastAsiaTheme="minorHAnsi"/>
        </w:rPr>
      </w:pPr>
      <w:r w:rsidRPr="00303346">
        <w:rPr>
          <w:rStyle w:val="Heading4Char"/>
          <w:i/>
          <w:iCs/>
        </w:rPr>
        <w:t>Public Information Accuracy Risks</w:t>
      </w:r>
      <w:r w:rsidRPr="00303346">
        <w:rPr>
          <w:rFonts w:eastAsiaTheme="minorHAnsi"/>
        </w:rPr>
        <w:t xml:space="preserve"> – Investment decisions may rely on public information filed by issuers or third-party sources. The Adviser cannot guarantee the completeness or accuracy of such information. Inaccurate or incomplete data may lead to suboptimal investment decisions or unexpected losses.</w:t>
      </w:r>
    </w:p>
    <w:p w14:paraId="45D50F5C" w14:textId="77777777" w:rsidR="0021498D" w:rsidRPr="00303346" w:rsidRDefault="0021498D" w:rsidP="00662C5B">
      <w:pPr>
        <w:spacing w:before="120"/>
        <w:ind w:left="360" w:right="360"/>
        <w:rPr>
          <w:rFonts w:eastAsiaTheme="minorHAnsi"/>
        </w:rPr>
      </w:pPr>
      <w:r w:rsidRPr="00303346">
        <w:rPr>
          <w:rStyle w:val="Heading4Char"/>
          <w:i/>
          <w:iCs/>
        </w:rPr>
        <w:t>Reinvestment Risk</w:t>
      </w:r>
      <w:r w:rsidRPr="00303346">
        <w:rPr>
          <w:rFonts w:eastAsiaTheme="minorHAnsi"/>
        </w:rPr>
        <w:t xml:space="preserve"> – Future investment proceeds, such as interest or principal repayments, may need to be reinvested at lower interest rates. This risk is particularly relevant for fixed-income securities and callable bonds. Reinvestment at lower rates may reduce overall portfolio returns.</w:t>
      </w:r>
    </w:p>
    <w:p w14:paraId="19BB0FC8" w14:textId="77777777" w:rsidR="0021498D" w:rsidRPr="00303346" w:rsidRDefault="5525D400" w:rsidP="21FD5452">
      <w:pPr>
        <w:spacing w:before="120"/>
        <w:ind w:left="360" w:right="360"/>
        <w:rPr>
          <w:rFonts w:eastAsiaTheme="minorEastAsia"/>
        </w:rPr>
      </w:pPr>
      <w:r w:rsidRPr="21FD5452">
        <w:rPr>
          <w:rStyle w:val="Heading4Char"/>
          <w:i/>
          <w:iCs/>
        </w:rPr>
        <w:t>Reliance on Management &amp; Key Personnel Risk</w:t>
      </w:r>
      <w:r w:rsidRPr="21FD5452">
        <w:rPr>
          <w:rFonts w:eastAsiaTheme="minorEastAsia"/>
        </w:rPr>
        <w:t xml:space="preserve"> – The performance of client portfolios depends on the skill and continuity of key personnel. Loss of key staff may adversely affect investment outcomes. Clients must entrust management decisions to the firm’s personnel, and there is no guarantee that replacements will be equally effective.</w:t>
      </w:r>
    </w:p>
    <w:p w14:paraId="1984B6C1" w14:textId="515C26DF" w:rsidR="0021498D" w:rsidRPr="00303346" w:rsidRDefault="0021498D" w:rsidP="00662C5B">
      <w:pPr>
        <w:spacing w:before="120"/>
        <w:ind w:left="360" w:right="360"/>
        <w:rPr>
          <w:rFonts w:eastAsiaTheme="minorHAnsi"/>
        </w:rPr>
      </w:pPr>
      <w:r w:rsidRPr="00303346">
        <w:rPr>
          <w:rStyle w:val="Heading4Char"/>
          <w:i/>
          <w:iCs/>
        </w:rPr>
        <w:t>Small &amp; Medium Cap Company Risks</w:t>
      </w:r>
      <w:r w:rsidRPr="00303346">
        <w:rPr>
          <w:rFonts w:eastAsiaTheme="minorHAnsi"/>
        </w:rPr>
        <w:t xml:space="preserve"> – Investments in small and medium-sized companies may be more volatile and less liquid than those in larger companies. These companies may face higher risks of business failure and may lack financial resources or management experience. Trading volume may be lower, resulting in broader price fluctuations and difficulty executing trades.</w:t>
      </w:r>
    </w:p>
    <w:p w14:paraId="31B163A1" w14:textId="77777777" w:rsidR="003F505A" w:rsidRPr="00303346" w:rsidRDefault="016597B2" w:rsidP="21FD5452">
      <w:pPr>
        <w:spacing w:before="120"/>
        <w:ind w:left="360" w:right="360"/>
        <w:rPr>
          <w:rFonts w:eastAsiaTheme="minorEastAsia"/>
        </w:rPr>
      </w:pPr>
      <w:r w:rsidRPr="21FD5452">
        <w:rPr>
          <w:rStyle w:val="Heading4Char"/>
          <w:i/>
          <w:iCs/>
        </w:rPr>
        <w:t>Stock Funds Risks</w:t>
      </w:r>
      <w:r w:rsidRPr="21FD5452">
        <w:rPr>
          <w:rFonts w:eastAsiaTheme="minorEastAsia"/>
        </w:rPr>
        <w:t xml:space="preserve"> – Stock funds may fluctuate significantly in value due to market conditions, economic factors, and company-specific events. While stocks have historically outperformed other asset classes over the long term, they tend to fluctuate over the short term. Market risk is the primary concern for stock fund investors, and diversification within the fund does not eliminate the possibility of loss.</w:t>
      </w:r>
    </w:p>
    <w:p w14:paraId="7D47D9B9" w14:textId="77777777" w:rsidR="003F505A" w:rsidRPr="00303346" w:rsidRDefault="003F505A" w:rsidP="00662C5B">
      <w:pPr>
        <w:spacing w:before="120"/>
        <w:ind w:left="360" w:right="360"/>
        <w:rPr>
          <w:rFonts w:eastAsiaTheme="minorHAnsi"/>
        </w:rPr>
      </w:pPr>
      <w:r w:rsidRPr="00303346">
        <w:rPr>
          <w:rStyle w:val="Heading4Char"/>
          <w:i/>
          <w:iCs/>
        </w:rPr>
        <w:t>Stock Market Risk</w:t>
      </w:r>
      <w:r w:rsidRPr="00303346">
        <w:rPr>
          <w:rFonts w:eastAsiaTheme="minorHAnsi"/>
        </w:rPr>
        <w:t xml:space="preserve"> – The market value of stocks may fluctuate due to external factors such as economic downturns, geopolitical events, interest rate changes, or investor sentiment. These factors can affect all stocks regardless of the issuer’s financial condition. Even well-diversified portfolios are subject to market risk, which may result in losses.</w:t>
      </w:r>
    </w:p>
    <w:p w14:paraId="487894EE" w14:textId="32BB06C4" w:rsidR="003F505A" w:rsidRPr="00303346" w:rsidRDefault="016597B2" w:rsidP="21FD5452">
      <w:pPr>
        <w:spacing w:before="120"/>
        <w:ind w:left="360" w:right="360"/>
        <w:rPr>
          <w:rFonts w:eastAsiaTheme="minorEastAsia"/>
        </w:rPr>
      </w:pPr>
      <w:r w:rsidRPr="21FD5452">
        <w:rPr>
          <w:rStyle w:val="Heading4Char"/>
          <w:i/>
          <w:iCs/>
        </w:rPr>
        <w:t>Stock Risk</w:t>
      </w:r>
      <w:r w:rsidRPr="21FD5452">
        <w:rPr>
          <w:rFonts w:eastAsiaTheme="minorEastAsia"/>
        </w:rPr>
        <w:t xml:space="preserve"> – Stock prices are influenced by company performance, sector health, and economic conditions. While large-cap stocks are generally more stable, all equities carry </w:t>
      </w:r>
      <w:r w:rsidR="55D96E94" w:rsidRPr="21FD5452">
        <w:rPr>
          <w:rFonts w:eastAsiaTheme="minorEastAsia"/>
        </w:rPr>
        <w:t xml:space="preserve">the </w:t>
      </w:r>
      <w:r w:rsidRPr="21FD5452">
        <w:rPr>
          <w:rFonts w:eastAsiaTheme="minorEastAsia"/>
        </w:rPr>
        <w:t>risk of loss. Stocks may also be affected by changes in management, product failures, regulatory actions, or competitive pressures.</w:t>
      </w:r>
    </w:p>
    <w:p w14:paraId="54F638B7" w14:textId="77777777" w:rsidR="003F505A" w:rsidRPr="00303346" w:rsidRDefault="003F505A" w:rsidP="00662C5B">
      <w:pPr>
        <w:spacing w:before="120"/>
        <w:ind w:left="360" w:right="360"/>
        <w:rPr>
          <w:rFonts w:eastAsiaTheme="minorHAnsi"/>
        </w:rPr>
      </w:pPr>
      <w:r w:rsidRPr="00303346">
        <w:rPr>
          <w:rStyle w:val="Heading4Char"/>
          <w:i/>
          <w:iCs/>
        </w:rPr>
        <w:t>Strategy Risk</w:t>
      </w:r>
      <w:r w:rsidRPr="00303346">
        <w:rPr>
          <w:rFonts w:eastAsiaTheme="minorHAnsi"/>
        </w:rPr>
        <w:t xml:space="preserve"> – Investment strategies may not perform as intended. Market conditions, timing, execution, and external factors may affect outcomes. No strategy can guarantee success, and even well-researched approaches may result in losses. Clients should understand that all strategies involve assumptions and limitations.</w:t>
      </w:r>
    </w:p>
    <w:p w14:paraId="04EA9E8C" w14:textId="77777777" w:rsidR="003F505A" w:rsidRPr="00303346" w:rsidRDefault="016597B2" w:rsidP="21FD5452">
      <w:pPr>
        <w:spacing w:before="120"/>
        <w:ind w:left="360" w:right="360"/>
        <w:rPr>
          <w:rFonts w:eastAsiaTheme="minorEastAsia"/>
        </w:rPr>
      </w:pPr>
      <w:r w:rsidRPr="21FD5452">
        <w:rPr>
          <w:rStyle w:val="Heading4Char"/>
          <w:i/>
          <w:iCs/>
        </w:rPr>
        <w:t>Systematic Risks</w:t>
      </w:r>
      <w:r w:rsidRPr="21FD5452">
        <w:rPr>
          <w:rFonts w:eastAsiaTheme="minorEastAsia"/>
        </w:rPr>
        <w:t xml:space="preserve"> – Systematic risks affect the entire market or economy and cannot be eliminated through diversification. These include risks related to recessions, inflation, interest rate changes, and geopolitical instability. Systematic risks may impact all asset classes and investment strategies simultaneously.</w:t>
      </w:r>
    </w:p>
    <w:p w14:paraId="766704C3" w14:textId="37D12113" w:rsidR="0021498D" w:rsidRPr="006259CB" w:rsidRDefault="016597B2" w:rsidP="21FD5452">
      <w:pPr>
        <w:spacing w:before="120"/>
        <w:ind w:left="360" w:right="360"/>
        <w:rPr>
          <w:rFonts w:eastAsiaTheme="minorEastAsia"/>
        </w:rPr>
      </w:pPr>
      <w:r w:rsidRPr="21FD5452">
        <w:rPr>
          <w:rStyle w:val="Heading4Char"/>
          <w:i/>
          <w:iCs/>
        </w:rPr>
        <w:t>Unsystematic Risks</w:t>
      </w:r>
      <w:r w:rsidRPr="21FD5452">
        <w:rPr>
          <w:rFonts w:eastAsiaTheme="minorEastAsia"/>
        </w:rPr>
        <w:t xml:space="preserve"> – Unsystematic risks are specific to individual companies, industries, or sectors. These risks can be mitigated through diversification. Examples include management failures, product recalls, litigation, or regulatory changes affecting a particular company or industry.</w:t>
      </w:r>
    </w:p>
    <w:p w14:paraId="3F2A0B50" w14:textId="77777777" w:rsidR="0021498D" w:rsidRPr="006259CB" w:rsidRDefault="0021498D" w:rsidP="00873720">
      <w:pPr>
        <w:ind w:left="360" w:right="360"/>
        <w:rPr>
          <w:rFonts w:eastAsiaTheme="minorHAnsi"/>
        </w:rPr>
      </w:pPr>
    </w:p>
    <w:p w14:paraId="29FD908E" w14:textId="77777777" w:rsidR="00A040DD" w:rsidRPr="006259CB" w:rsidRDefault="00A040DD" w:rsidP="00873720">
      <w:pPr>
        <w:pStyle w:val="Paragraph"/>
      </w:pPr>
      <w:bookmarkStart w:id="69" w:name="_Toc193886441"/>
      <w:r w:rsidRPr="006259CB">
        <w:t>Risks of Specific Securities Utilized</w:t>
      </w:r>
      <w:bookmarkEnd w:id="69"/>
    </w:p>
    <w:p w14:paraId="7F9F6A27" w14:textId="6001F25C" w:rsidR="00A040DD" w:rsidRPr="006259CB" w:rsidRDefault="00A040DD" w:rsidP="00873720">
      <w:r w:rsidRPr="006259CB">
        <w:t xml:space="preserve">While we generally employ investment strategies aligned with domestic and international equity markets, higher-risk strategies may be used in specific cases. In such instances, </w:t>
      </w:r>
      <w:r w:rsidR="007A7D71" w:rsidRPr="006259CB">
        <w:t>our</w:t>
      </w:r>
      <w:r w:rsidRPr="006259CB">
        <w:t xml:space="preserve"> practice is to provide enhanced communication to </w:t>
      </w:r>
      <w:r w:rsidR="00781EFD" w:rsidRPr="006259CB">
        <w:t>Client</w:t>
      </w:r>
      <w:r w:rsidRPr="006259CB">
        <w:t>s regarding the specific risks associated with the securities in the portfolio prior to implementation.</w:t>
      </w:r>
    </w:p>
    <w:p w14:paraId="21B860D1" w14:textId="77777777" w:rsidR="00A040DD" w:rsidRPr="006259CB" w:rsidRDefault="00A040DD" w:rsidP="00873720"/>
    <w:p w14:paraId="3966F523" w14:textId="324918D7" w:rsidR="00A040DD" w:rsidRPr="006259CB" w:rsidRDefault="00A040DD" w:rsidP="00873720">
      <w:r w:rsidRPr="006259CB">
        <w:t xml:space="preserve">Clients should understand that all investments carry risk, including the potential for losses that may exceed the initial principal invested, along with any gains, particularly if markets move unfavorably for the </w:t>
      </w:r>
      <w:r w:rsidR="00781EFD" w:rsidRPr="006259CB">
        <w:t>Client</w:t>
      </w:r>
      <w:r w:rsidRPr="006259CB">
        <w:t xml:space="preserve">. Past performance is not indicative of future results.  Additionally, </w:t>
      </w:r>
      <w:r w:rsidR="00781EFD" w:rsidRPr="006259CB">
        <w:t>Client</w:t>
      </w:r>
      <w:r w:rsidRPr="006259CB">
        <w:t xml:space="preserve">s may forgo potentially more favorable returns by not considering alternative securities or commodities. Investments may experience both short- and long-term losses, and </w:t>
      </w:r>
      <w:r w:rsidR="00781EFD" w:rsidRPr="006259CB">
        <w:t>Client</w:t>
      </w:r>
      <w:r w:rsidRPr="006259CB">
        <w:t xml:space="preserve">s should expect fluctuations in account value and returns similar to the overall performance of the stock and bond markets. </w:t>
      </w:r>
    </w:p>
    <w:p w14:paraId="3DD716EF" w14:textId="77777777" w:rsidR="00A040DD" w:rsidRPr="006259CB" w:rsidRDefault="00A040DD" w:rsidP="00873720"/>
    <w:p w14:paraId="7F9792C8" w14:textId="03942D36" w:rsidR="00A040DD" w:rsidRPr="006259CB" w:rsidRDefault="00A040DD" w:rsidP="00873720">
      <w:r w:rsidRPr="006259CB">
        <w:lastRenderedPageBreak/>
        <w:t xml:space="preserve">Clients should only invest if they are able to bear such risks.  Before acting on any analysis, advice, or recommendations, </w:t>
      </w:r>
      <w:r w:rsidR="00781EFD" w:rsidRPr="006259CB">
        <w:t>Client</w:t>
      </w:r>
      <w:r w:rsidRPr="006259CB">
        <w:t xml:space="preserve">s are strongly encouraged to consult with their legal, tax, and other financial professionals to assess the suitability of any investment strategy based on their circumstances. </w:t>
      </w:r>
    </w:p>
    <w:p w14:paraId="74E6F931" w14:textId="77777777" w:rsidR="00A040DD" w:rsidRPr="006259CB" w:rsidRDefault="00A040DD" w:rsidP="00873720"/>
    <w:p w14:paraId="5BF2B46D" w14:textId="5F6CEC5B" w:rsidR="00A040DD" w:rsidRDefault="00A040DD" w:rsidP="00873720">
      <w:r w:rsidRPr="006259CB">
        <w:t xml:space="preserve">Any inquiries regarding risks, fees, and costs should be directed to the </w:t>
      </w:r>
      <w:r w:rsidR="00781EFD" w:rsidRPr="006259CB">
        <w:t>Client</w:t>
      </w:r>
      <w:r w:rsidRPr="006259CB">
        <w:t xml:space="preserve">’s </w:t>
      </w:r>
      <w:r w:rsidR="00E5554D">
        <w:t>Advisor</w:t>
      </w:r>
      <w:r w:rsidR="007A7D71" w:rsidRPr="006259CB">
        <w:t>.</w:t>
      </w:r>
    </w:p>
    <w:p w14:paraId="3D40864B" w14:textId="77777777" w:rsidR="00303346" w:rsidRPr="006259CB" w:rsidRDefault="00303346" w:rsidP="00873720"/>
    <w:p w14:paraId="6A6163A3" w14:textId="64758278" w:rsidR="008E39FA" w:rsidRPr="006259CB" w:rsidRDefault="2C54DDDE" w:rsidP="00873720">
      <w:pPr>
        <w:pStyle w:val="Item"/>
      </w:pPr>
      <w:bookmarkStart w:id="70" w:name="_Toc270409651"/>
      <w:bookmarkStart w:id="71" w:name="_Toc225322727"/>
      <w:r>
        <w:t xml:space="preserve">Item 9:  </w:t>
      </w:r>
      <w:r w:rsidR="3C14E57C">
        <w:t>Disciplinary Information</w:t>
      </w:r>
      <w:bookmarkEnd w:id="70"/>
      <w:bookmarkEnd w:id="71"/>
    </w:p>
    <w:p w14:paraId="085D372F" w14:textId="4FC39910" w:rsidR="00961C2B" w:rsidRPr="006259CB" w:rsidRDefault="00961C2B" w:rsidP="0094676D">
      <w:pPr>
        <w:spacing w:after="60"/>
        <w:rPr>
          <w:b/>
          <w:color w:val="6586A4"/>
        </w:rPr>
      </w:pPr>
      <w:r w:rsidRPr="006259CB">
        <w:rPr>
          <w:color w:val="6586A4"/>
        </w:rPr>
        <w:t>_____________________________________________________________</w:t>
      </w:r>
      <w:r w:rsidR="00D70DE1" w:rsidRPr="006259CB">
        <w:rPr>
          <w:color w:val="6586A4"/>
        </w:rPr>
        <w:t>_____</w:t>
      </w:r>
      <w:r w:rsidRPr="006259CB">
        <w:rPr>
          <w:color w:val="6586A4"/>
        </w:rPr>
        <w:t>________________________</w:t>
      </w:r>
    </w:p>
    <w:p w14:paraId="08013D5D" w14:textId="77777777" w:rsidR="00F55D52" w:rsidRPr="006259CB" w:rsidRDefault="00F55D52" w:rsidP="00873720">
      <w:pPr>
        <w:pStyle w:val="Paragraph"/>
        <w:rPr>
          <w:rStyle w:val="Normal1Char"/>
          <w:rFonts w:ascii="Arial" w:eastAsia="Arial" w:hAnsi="Arial" w:cs="Arial"/>
          <w:color w:val="6586A4"/>
          <w:spacing w:val="0"/>
          <w:sz w:val="20"/>
          <w:szCs w:val="20"/>
        </w:rPr>
      </w:pPr>
      <w:bookmarkStart w:id="72" w:name="_Toc193886443"/>
      <w:r w:rsidRPr="006259CB">
        <w:rPr>
          <w:rStyle w:val="Normal1Char"/>
          <w:rFonts w:ascii="Arial" w:eastAsia="Arial" w:hAnsi="Arial" w:cs="Arial"/>
          <w:color w:val="6586A4"/>
          <w:spacing w:val="0"/>
          <w:sz w:val="20"/>
          <w:szCs w:val="20"/>
        </w:rPr>
        <w:t>Legal or Disciplinary Events Disclosure</w:t>
      </w:r>
      <w:bookmarkEnd w:id="72"/>
    </w:p>
    <w:p w14:paraId="7D0C415E" w14:textId="23932755" w:rsidR="005069EF" w:rsidRPr="006259CB" w:rsidRDefault="005069EF" w:rsidP="00873720">
      <w:pPr>
        <w:rPr>
          <w:color w:val="auto"/>
        </w:rPr>
      </w:pPr>
      <w:r w:rsidRPr="006259CB">
        <w:rPr>
          <w:color w:val="auto"/>
        </w:rPr>
        <w:t xml:space="preserve">Registered investment advisers are obligated to disclose all material facts concerning any legal or disciplinary events that may be relevant to a </w:t>
      </w:r>
      <w:r w:rsidR="00781EFD" w:rsidRPr="006259CB">
        <w:rPr>
          <w:color w:val="auto"/>
        </w:rPr>
        <w:t>Client</w:t>
      </w:r>
      <w:r w:rsidRPr="006259CB">
        <w:rPr>
          <w:color w:val="auto"/>
        </w:rPr>
        <w:t xml:space="preserve">’s or prospective </w:t>
      </w:r>
      <w:r w:rsidR="00781EFD" w:rsidRPr="006259CB">
        <w:rPr>
          <w:color w:val="auto"/>
        </w:rPr>
        <w:t>Client</w:t>
      </w:r>
      <w:r w:rsidRPr="006259CB">
        <w:rPr>
          <w:color w:val="auto"/>
        </w:rPr>
        <w:t>’s assessment of the investment adviser or the integrity of its management.</w:t>
      </w:r>
    </w:p>
    <w:p w14:paraId="410B6D11" w14:textId="77777777" w:rsidR="005069EF" w:rsidRPr="006259CB" w:rsidRDefault="005069EF" w:rsidP="00873720">
      <w:pPr>
        <w:rPr>
          <w:color w:val="auto"/>
        </w:rPr>
      </w:pPr>
    </w:p>
    <w:p w14:paraId="0D63AB0E" w14:textId="5956ADFA" w:rsidR="005B08A8" w:rsidRPr="006259CB" w:rsidRDefault="006259CB" w:rsidP="005B08A8">
      <w:r w:rsidRPr="006259CB">
        <w:t>Neither the Adviser nor any member of its Management team has, within the past ten years, been involved in any legal or disciplinary event that would be considered material to a Client’s evaluation of the firm or its personnel.</w:t>
      </w:r>
    </w:p>
    <w:p w14:paraId="2C69EF2B" w14:textId="77777777" w:rsidR="006259CB" w:rsidRPr="006259CB" w:rsidRDefault="006259CB" w:rsidP="005B08A8"/>
    <w:p w14:paraId="270F9280" w14:textId="4CB0E636" w:rsidR="00492E08" w:rsidRPr="006259CB" w:rsidRDefault="2C54DDDE" w:rsidP="00873720">
      <w:pPr>
        <w:pStyle w:val="Item"/>
      </w:pPr>
      <w:bookmarkStart w:id="73" w:name="_Toc270409652"/>
      <w:bookmarkStart w:id="74" w:name="_Toc225322728"/>
      <w:r>
        <w:t xml:space="preserve">Item 10:  </w:t>
      </w:r>
      <w:r w:rsidR="3C14E57C">
        <w:t xml:space="preserve">Other Financial Industry Activities </w:t>
      </w:r>
      <w:r>
        <w:t xml:space="preserve">&amp; </w:t>
      </w:r>
      <w:r w:rsidR="3C14E57C">
        <w:t>Affiliations</w:t>
      </w:r>
      <w:bookmarkEnd w:id="73"/>
      <w:bookmarkEnd w:id="74"/>
    </w:p>
    <w:p w14:paraId="4651453C" w14:textId="650A2F71" w:rsidR="00961C2B" w:rsidRPr="006259CB" w:rsidRDefault="00961C2B" w:rsidP="0094676D">
      <w:pPr>
        <w:spacing w:after="60"/>
        <w:rPr>
          <w:b/>
          <w:color w:val="6586A4"/>
        </w:rPr>
      </w:pPr>
      <w:r w:rsidRPr="006259CB">
        <w:rPr>
          <w:color w:val="6586A4"/>
        </w:rPr>
        <w:t>_____________________________________</w:t>
      </w:r>
      <w:r w:rsidR="005C2FFC" w:rsidRPr="006259CB">
        <w:rPr>
          <w:color w:val="6586A4"/>
        </w:rPr>
        <w:t>___</w:t>
      </w:r>
      <w:r w:rsidRPr="006259CB">
        <w:rPr>
          <w:color w:val="6586A4"/>
        </w:rPr>
        <w:t>__________________________________________________</w:t>
      </w:r>
    </w:p>
    <w:p w14:paraId="03C480E2" w14:textId="414A1BA4" w:rsidR="00D3131D" w:rsidRPr="006259CB" w:rsidRDefault="00D3131D" w:rsidP="00873720">
      <w:pPr>
        <w:widowControl w:val="0"/>
        <w:rPr>
          <w:rFonts w:eastAsia="Arial"/>
          <w:color w:val="000000"/>
          <w:lang w:eastAsia="zh-CN" w:bidi="hi-IN"/>
        </w:rPr>
      </w:pPr>
      <w:bookmarkStart w:id="75" w:name="_Toc22319987"/>
      <w:bookmarkStart w:id="76" w:name="_Toc473713288"/>
      <w:bookmarkStart w:id="77" w:name="_Toc530420913"/>
      <w:bookmarkStart w:id="78" w:name="_Toc531603068"/>
      <w:bookmarkStart w:id="79" w:name="_Toc3310965"/>
      <w:r w:rsidRPr="006259CB">
        <w:rPr>
          <w:rFonts w:eastAsia="Candara"/>
          <w:color w:val="000000"/>
          <w:lang w:eastAsia="zh-CN" w:bidi="en-US"/>
        </w:rPr>
        <w:t>Baker Street is an independent registered investment adviser.  The firm offers no other services except those described herein.  I</w:t>
      </w:r>
      <w:r w:rsidRPr="006259CB">
        <w:rPr>
          <w:rFonts w:eastAsia="Arial"/>
          <w:color w:val="000000"/>
          <w:lang w:eastAsia="zh-CN" w:bidi="hi-IN"/>
        </w:rPr>
        <w:t xml:space="preserve">t does not have any relationship or arrangement material to its advisory business or </w:t>
      </w:r>
      <w:r w:rsidR="00781EFD" w:rsidRPr="006259CB">
        <w:rPr>
          <w:rFonts w:eastAsia="Arial"/>
          <w:color w:val="000000"/>
          <w:lang w:eastAsia="zh-CN" w:bidi="hi-IN"/>
        </w:rPr>
        <w:t>Client</w:t>
      </w:r>
      <w:r w:rsidRPr="006259CB">
        <w:rPr>
          <w:rFonts w:eastAsia="Arial"/>
          <w:color w:val="000000"/>
          <w:lang w:eastAsia="zh-CN" w:bidi="hi-IN"/>
        </w:rPr>
        <w:t>s with respect to the following entities:   </w:t>
      </w:r>
    </w:p>
    <w:p w14:paraId="24910883" w14:textId="77777777" w:rsidR="00D3131D" w:rsidRPr="006259CB" w:rsidRDefault="00D3131D" w:rsidP="00873720">
      <w:pPr>
        <w:widowControl w:val="0"/>
        <w:rPr>
          <w:rFonts w:eastAsia="Arial"/>
          <w:color w:val="000000"/>
          <w:lang w:eastAsia="zh-CN" w:bidi="hi-IN"/>
        </w:rPr>
      </w:pPr>
    </w:p>
    <w:p w14:paraId="6B005C15" w14:textId="77777777" w:rsidR="00D3131D" w:rsidRPr="006259CB" w:rsidRDefault="00D3131D" w:rsidP="00873720">
      <w:pPr>
        <w:widowControl w:val="0"/>
        <w:numPr>
          <w:ilvl w:val="0"/>
          <w:numId w:val="41"/>
        </w:numPr>
        <w:shd w:val="clear" w:color="auto" w:fill="FFFFFF"/>
        <w:ind w:right="360"/>
        <w:rPr>
          <w:rFonts w:eastAsia="Arial"/>
          <w:color w:val="000000"/>
          <w:shd w:val="clear" w:color="auto" w:fill="FFFFFF"/>
          <w:lang w:eastAsia="zh-CN" w:bidi="hi-IN"/>
        </w:rPr>
      </w:pPr>
      <w:r w:rsidRPr="006259CB">
        <w:rPr>
          <w:rFonts w:eastAsia="Arial"/>
          <w:color w:val="000000"/>
          <w:shd w:val="clear" w:color="auto" w:fill="FFFFFF"/>
          <w:lang w:eastAsia="zh-CN" w:bidi="hi-IN"/>
        </w:rPr>
        <w:t>broker-dealer, municipal securities dealer, or government securities dealer or broker,</w:t>
      </w:r>
    </w:p>
    <w:p w14:paraId="07D9914F" w14:textId="77777777" w:rsidR="00D3131D" w:rsidRPr="006259CB" w:rsidRDefault="00D3131D" w:rsidP="006259CB">
      <w:pPr>
        <w:pStyle w:val="Bullet"/>
        <w:rPr>
          <w:rFonts w:ascii="Arial" w:hAnsi="Arial" w:cs="Arial"/>
          <w:color w:val="000000"/>
          <w:sz w:val="20"/>
          <w:szCs w:val="20"/>
          <w:shd w:val="clear" w:color="auto" w:fill="FFFFFF"/>
          <w:lang w:eastAsia="zh-CN"/>
        </w:rPr>
      </w:pPr>
      <w:r w:rsidRPr="006259CB">
        <w:rPr>
          <w:rFonts w:ascii="Arial" w:hAnsi="Arial" w:cs="Arial"/>
          <w:color w:val="000000"/>
          <w:sz w:val="20"/>
          <w:szCs w:val="20"/>
          <w:shd w:val="clear" w:color="auto" w:fill="FFFFFF"/>
          <w:lang w:eastAsia="zh-CN"/>
        </w:rPr>
        <w:t xml:space="preserve">an investment company or other pooled investment vehicle </w:t>
      </w:r>
      <w:r w:rsidRPr="006259CB">
        <w:rPr>
          <w:rFonts w:ascii="Arial" w:hAnsi="Arial" w:cs="Arial"/>
          <w:sz w:val="20"/>
          <w:szCs w:val="20"/>
          <w:shd w:val="clear" w:color="auto" w:fill="FFFFFF"/>
          <w:lang w:eastAsia="zh-CN"/>
        </w:rPr>
        <w:t xml:space="preserve">(including a mutual fund, closed-end investment company, unit investment trust, private investment company or “hedge fund,” and offshore fund), </w:t>
      </w:r>
      <w:r w:rsidRPr="006259CB">
        <w:rPr>
          <w:rFonts w:ascii="Arial" w:hAnsi="Arial" w:cs="Arial"/>
          <w:color w:val="000000"/>
          <w:sz w:val="20"/>
          <w:szCs w:val="20"/>
          <w:shd w:val="clear" w:color="auto" w:fill="FFFFFF"/>
          <w:lang w:eastAsia="zh-CN"/>
        </w:rPr>
        <w:t xml:space="preserve"> </w:t>
      </w:r>
    </w:p>
    <w:p w14:paraId="40A84AF5" w14:textId="77777777" w:rsidR="00D3131D" w:rsidRPr="006259CB" w:rsidRDefault="00D3131D" w:rsidP="006259CB">
      <w:pPr>
        <w:pStyle w:val="Bullet"/>
        <w:rPr>
          <w:rFonts w:ascii="Arial" w:hAnsi="Arial" w:cs="Arial"/>
          <w:color w:val="000000"/>
          <w:sz w:val="20"/>
          <w:szCs w:val="20"/>
          <w:shd w:val="clear" w:color="auto" w:fill="FFFFFF"/>
          <w:lang w:eastAsia="zh-CN"/>
        </w:rPr>
      </w:pPr>
      <w:r w:rsidRPr="006259CB">
        <w:rPr>
          <w:rFonts w:ascii="Arial" w:hAnsi="Arial" w:cs="Arial"/>
          <w:color w:val="000000"/>
          <w:sz w:val="20"/>
          <w:szCs w:val="20"/>
          <w:shd w:val="clear" w:color="auto" w:fill="FFFFFF"/>
          <w:lang w:eastAsia="zh-CN"/>
        </w:rPr>
        <w:t>other investment adviser or financial planner,</w:t>
      </w:r>
    </w:p>
    <w:p w14:paraId="135068E1" w14:textId="77777777" w:rsidR="00D3131D" w:rsidRPr="006259CB" w:rsidRDefault="00D3131D" w:rsidP="006259CB">
      <w:pPr>
        <w:pStyle w:val="Bullet"/>
        <w:rPr>
          <w:rFonts w:ascii="Arial" w:hAnsi="Arial" w:cs="Arial"/>
          <w:color w:val="000000"/>
          <w:sz w:val="20"/>
          <w:szCs w:val="20"/>
          <w:shd w:val="clear" w:color="auto" w:fill="FFFFFF"/>
          <w:lang w:eastAsia="zh-CN"/>
        </w:rPr>
      </w:pPr>
      <w:r w:rsidRPr="006259CB">
        <w:rPr>
          <w:rFonts w:ascii="Arial" w:hAnsi="Arial" w:cs="Arial"/>
          <w:color w:val="000000"/>
          <w:sz w:val="20"/>
          <w:szCs w:val="20"/>
          <w:shd w:val="clear" w:color="auto" w:fill="FFFFFF"/>
          <w:lang w:eastAsia="zh-CN"/>
        </w:rPr>
        <w:t>futures commission merchant, commodity pool operator, or commodity trading advisor,</w:t>
      </w:r>
    </w:p>
    <w:p w14:paraId="0ED44B58" w14:textId="77777777" w:rsidR="00D3131D" w:rsidRPr="006259CB" w:rsidRDefault="00D3131D" w:rsidP="006259CB">
      <w:pPr>
        <w:pStyle w:val="Bullet"/>
        <w:rPr>
          <w:rFonts w:ascii="Arial" w:hAnsi="Arial" w:cs="Arial"/>
          <w:color w:val="000000"/>
          <w:sz w:val="20"/>
          <w:szCs w:val="20"/>
          <w:shd w:val="clear" w:color="auto" w:fill="FFFFFF"/>
          <w:lang w:eastAsia="zh-CN"/>
        </w:rPr>
      </w:pPr>
      <w:r w:rsidRPr="006259CB">
        <w:rPr>
          <w:rFonts w:ascii="Arial" w:hAnsi="Arial" w:cs="Arial"/>
          <w:color w:val="000000"/>
          <w:sz w:val="20"/>
          <w:szCs w:val="20"/>
          <w:shd w:val="clear" w:color="auto" w:fill="FFFFFF"/>
          <w:lang w:eastAsia="zh-CN"/>
        </w:rPr>
        <w:t>banking or thrift institution,</w:t>
      </w:r>
    </w:p>
    <w:p w14:paraId="015B2D03" w14:textId="77777777" w:rsidR="00D3131D" w:rsidRPr="006259CB" w:rsidRDefault="00D3131D" w:rsidP="006259CB">
      <w:pPr>
        <w:pStyle w:val="Bullet"/>
        <w:rPr>
          <w:rFonts w:ascii="Arial" w:hAnsi="Arial" w:cs="Arial"/>
          <w:color w:val="000000"/>
          <w:sz w:val="20"/>
          <w:szCs w:val="20"/>
          <w:shd w:val="clear" w:color="auto" w:fill="FFFFFF"/>
          <w:lang w:eastAsia="zh-CN"/>
        </w:rPr>
      </w:pPr>
      <w:r w:rsidRPr="006259CB">
        <w:rPr>
          <w:rFonts w:ascii="Arial" w:hAnsi="Arial" w:cs="Arial"/>
          <w:color w:val="000000"/>
          <w:sz w:val="20"/>
          <w:szCs w:val="20"/>
          <w:shd w:val="clear" w:color="auto" w:fill="FFFFFF"/>
          <w:lang w:eastAsia="zh-CN"/>
        </w:rPr>
        <w:t>accountant or accounting firm,</w:t>
      </w:r>
    </w:p>
    <w:p w14:paraId="21DA8EDA" w14:textId="77777777" w:rsidR="00D3131D" w:rsidRPr="006259CB" w:rsidRDefault="00D3131D" w:rsidP="006259CB">
      <w:pPr>
        <w:pStyle w:val="Bullet"/>
        <w:rPr>
          <w:rFonts w:ascii="Arial" w:hAnsi="Arial" w:cs="Arial"/>
          <w:color w:val="000000"/>
          <w:sz w:val="20"/>
          <w:szCs w:val="20"/>
          <w:shd w:val="clear" w:color="auto" w:fill="FFFFFF"/>
          <w:lang w:eastAsia="zh-CN"/>
        </w:rPr>
      </w:pPr>
      <w:r w:rsidRPr="006259CB">
        <w:rPr>
          <w:rFonts w:ascii="Arial" w:hAnsi="Arial" w:cs="Arial"/>
          <w:color w:val="000000"/>
          <w:sz w:val="20"/>
          <w:szCs w:val="20"/>
          <w:shd w:val="clear" w:color="auto" w:fill="FFFFFF"/>
          <w:lang w:eastAsia="zh-CN"/>
        </w:rPr>
        <w:t>lawyer or law firm,</w:t>
      </w:r>
    </w:p>
    <w:p w14:paraId="58A714F7" w14:textId="77777777" w:rsidR="00D3131D" w:rsidRPr="006259CB" w:rsidRDefault="00D3131D" w:rsidP="006259CB">
      <w:pPr>
        <w:pStyle w:val="Bullet"/>
        <w:rPr>
          <w:rFonts w:ascii="Arial" w:hAnsi="Arial" w:cs="Arial"/>
          <w:color w:val="000000"/>
          <w:sz w:val="20"/>
          <w:szCs w:val="20"/>
          <w:shd w:val="clear" w:color="auto" w:fill="FFFFFF"/>
          <w:lang w:eastAsia="zh-CN"/>
        </w:rPr>
      </w:pPr>
      <w:r w:rsidRPr="006259CB">
        <w:rPr>
          <w:rFonts w:ascii="Arial" w:hAnsi="Arial" w:cs="Arial"/>
          <w:color w:val="000000"/>
          <w:sz w:val="20"/>
          <w:szCs w:val="20"/>
          <w:shd w:val="clear" w:color="auto" w:fill="FFFFFF"/>
          <w:lang w:eastAsia="zh-CN"/>
        </w:rPr>
        <w:t>insurance company or agency,</w:t>
      </w:r>
    </w:p>
    <w:p w14:paraId="1CDC2FEC" w14:textId="77777777" w:rsidR="00D3131D" w:rsidRPr="006259CB" w:rsidRDefault="00D3131D" w:rsidP="006259CB">
      <w:pPr>
        <w:pStyle w:val="Bullet"/>
        <w:rPr>
          <w:rFonts w:ascii="Arial" w:hAnsi="Arial" w:cs="Arial"/>
          <w:color w:val="000000"/>
          <w:sz w:val="20"/>
          <w:szCs w:val="20"/>
          <w:shd w:val="clear" w:color="auto" w:fill="FFFFFF"/>
          <w:lang w:eastAsia="zh-CN"/>
        </w:rPr>
      </w:pPr>
      <w:r w:rsidRPr="006259CB">
        <w:rPr>
          <w:rFonts w:ascii="Arial" w:hAnsi="Arial" w:cs="Arial"/>
          <w:color w:val="000000"/>
          <w:sz w:val="20"/>
          <w:szCs w:val="20"/>
          <w:shd w:val="clear" w:color="auto" w:fill="FFFFFF"/>
          <w:lang w:eastAsia="zh-CN"/>
        </w:rPr>
        <w:t>pension consultant,</w:t>
      </w:r>
    </w:p>
    <w:p w14:paraId="462726FB" w14:textId="77777777" w:rsidR="00D3131D" w:rsidRPr="006259CB" w:rsidRDefault="00D3131D" w:rsidP="006259CB">
      <w:pPr>
        <w:pStyle w:val="Bullet"/>
        <w:rPr>
          <w:rFonts w:ascii="Arial" w:hAnsi="Arial" w:cs="Arial"/>
          <w:color w:val="000000"/>
          <w:sz w:val="20"/>
          <w:szCs w:val="20"/>
          <w:shd w:val="clear" w:color="auto" w:fill="FFFFFF"/>
          <w:lang w:eastAsia="zh-CN"/>
        </w:rPr>
      </w:pPr>
      <w:r w:rsidRPr="006259CB">
        <w:rPr>
          <w:rFonts w:ascii="Arial" w:hAnsi="Arial" w:cs="Arial"/>
          <w:color w:val="000000"/>
          <w:sz w:val="20"/>
          <w:szCs w:val="20"/>
          <w:shd w:val="clear" w:color="auto" w:fill="FFFFFF"/>
          <w:lang w:eastAsia="zh-CN"/>
        </w:rPr>
        <w:t>real estate broker or dealer</w:t>
      </w:r>
    </w:p>
    <w:p w14:paraId="670F5880" w14:textId="77777777" w:rsidR="00D3131D" w:rsidRPr="006259CB" w:rsidRDefault="00D3131D" w:rsidP="006259CB">
      <w:pPr>
        <w:pStyle w:val="Bullet"/>
        <w:rPr>
          <w:rFonts w:ascii="Arial" w:hAnsi="Arial" w:cs="Arial"/>
          <w:color w:val="000000"/>
          <w:sz w:val="20"/>
          <w:szCs w:val="20"/>
          <w:shd w:val="clear" w:color="auto" w:fill="FFFFFF"/>
          <w:lang w:eastAsia="zh-CN"/>
        </w:rPr>
      </w:pPr>
      <w:r w:rsidRPr="006259CB">
        <w:rPr>
          <w:rFonts w:ascii="Arial" w:hAnsi="Arial" w:cs="Arial"/>
          <w:color w:val="000000"/>
          <w:sz w:val="20"/>
          <w:szCs w:val="20"/>
          <w:shd w:val="clear" w:color="auto" w:fill="FFFFFF"/>
          <w:lang w:eastAsia="zh-CN"/>
        </w:rPr>
        <w:t>sponsor or syndicator of limited partnerships.</w:t>
      </w:r>
    </w:p>
    <w:p w14:paraId="0480B5A5" w14:textId="77777777" w:rsidR="00D83EBE" w:rsidRPr="006259CB" w:rsidRDefault="00D83EBE" w:rsidP="00D83EBE">
      <w:pPr>
        <w:widowControl w:val="0"/>
        <w:shd w:val="clear" w:color="auto" w:fill="FFFFFF"/>
        <w:ind w:left="720" w:right="360"/>
        <w:rPr>
          <w:rFonts w:eastAsia="Arial"/>
          <w:color w:val="000000"/>
          <w:shd w:val="clear" w:color="auto" w:fill="FFFFFF"/>
          <w:lang w:eastAsia="zh-CN" w:bidi="hi-IN"/>
        </w:rPr>
      </w:pPr>
    </w:p>
    <w:bookmarkEnd w:id="75"/>
    <w:bookmarkEnd w:id="76"/>
    <w:bookmarkEnd w:id="77"/>
    <w:bookmarkEnd w:id="78"/>
    <w:bookmarkEnd w:id="79"/>
    <w:p w14:paraId="7C336D87" w14:textId="77777777" w:rsidR="0014718A" w:rsidRPr="006259CB" w:rsidRDefault="0014718A" w:rsidP="00873720">
      <w:pPr>
        <w:pStyle w:val="Paragraph"/>
        <w:rPr>
          <w:rStyle w:val="printhistred"/>
        </w:rPr>
      </w:pPr>
      <w:r w:rsidRPr="006259CB">
        <w:rPr>
          <w:rStyle w:val="printhistred"/>
        </w:rPr>
        <w:t>AMG</w:t>
      </w:r>
    </w:p>
    <w:p w14:paraId="523F397D" w14:textId="3D46E4B1" w:rsidR="00CB34D2" w:rsidRPr="006259CB" w:rsidRDefault="2B6D226D" w:rsidP="00873720">
      <w:r w:rsidRPr="21FD5452">
        <w:rPr>
          <w:rStyle w:val="printhistred"/>
        </w:rPr>
        <w:t xml:space="preserve">As noted in </w:t>
      </w:r>
      <w:r w:rsidR="185F28D6" w:rsidRPr="21FD5452">
        <w:rPr>
          <w:rStyle w:val="printhistred"/>
        </w:rPr>
        <w:t xml:space="preserve">Item 4: Advisory Business, </w:t>
      </w:r>
      <w:r w:rsidR="0E3DC5A4" w:rsidRPr="21FD5452">
        <w:rPr>
          <w:rStyle w:val="printhistred"/>
        </w:rPr>
        <w:t>"</w:t>
      </w:r>
      <w:r w:rsidR="7B3525C5" w:rsidRPr="21FD5452">
        <w:rPr>
          <w:rStyle w:val="printhistred"/>
        </w:rPr>
        <w:t>Principal Ownership</w:t>
      </w:r>
      <w:r w:rsidR="185F28D6" w:rsidRPr="21FD5452">
        <w:rPr>
          <w:rStyle w:val="printhistred"/>
        </w:rPr>
        <w:t>,</w:t>
      </w:r>
      <w:r w:rsidR="0E3DC5A4" w:rsidRPr="21FD5452">
        <w:rPr>
          <w:rStyle w:val="printhistred"/>
        </w:rPr>
        <w:t>"</w:t>
      </w:r>
      <w:r w:rsidR="7B3525C5" w:rsidRPr="21FD5452">
        <w:rPr>
          <w:rStyle w:val="printhistred"/>
        </w:rPr>
        <w:t xml:space="preserve"> </w:t>
      </w:r>
      <w:r w:rsidRPr="21FD5452">
        <w:rPr>
          <w:rStyle w:val="printhistred"/>
        </w:rPr>
        <w:t xml:space="preserve">AMG holds an equity interest in </w:t>
      </w:r>
      <w:r w:rsidR="2F71FFBD" w:rsidRPr="21FD5452">
        <w:rPr>
          <w:rStyle w:val="printhistred"/>
        </w:rPr>
        <w:t>t</w:t>
      </w:r>
      <w:r w:rsidR="6DB96A76" w:rsidRPr="21FD5452">
        <w:rPr>
          <w:rStyle w:val="printhistred"/>
        </w:rPr>
        <w:t>he Adviser</w:t>
      </w:r>
      <w:r w:rsidRPr="21FD5452">
        <w:rPr>
          <w:rStyle w:val="printhistred"/>
        </w:rPr>
        <w:t xml:space="preserve">. </w:t>
      </w:r>
      <w:r w:rsidR="0E3DC5A4" w:rsidRPr="21FD5452">
        <w:rPr>
          <w:rStyle w:val="printhistred"/>
        </w:rPr>
        <w:t>AMG'</w:t>
      </w:r>
      <w:r w:rsidR="7B30F2E2" w:rsidRPr="21FD5452">
        <w:rPr>
          <w:rStyle w:val="printhistred"/>
        </w:rPr>
        <w:t>s</w:t>
      </w:r>
      <w:r w:rsidRPr="21FD5452">
        <w:rPr>
          <w:rStyle w:val="printhistred"/>
        </w:rPr>
        <w:t xml:space="preserve"> equity interest in </w:t>
      </w:r>
      <w:r w:rsidR="2F71FFBD" w:rsidRPr="21FD5452">
        <w:rPr>
          <w:rStyle w:val="printhistred"/>
        </w:rPr>
        <w:t>t</w:t>
      </w:r>
      <w:r w:rsidR="6DB96A76" w:rsidRPr="21FD5452">
        <w:rPr>
          <w:rStyle w:val="printhistred"/>
        </w:rPr>
        <w:t>he Adviser</w:t>
      </w:r>
      <w:r w:rsidRPr="21FD5452">
        <w:rPr>
          <w:rStyle w:val="printhistred"/>
        </w:rPr>
        <w:t xml:space="preserve"> is structured so that </w:t>
      </w:r>
      <w:r w:rsidR="2F71FFBD" w:rsidRPr="21FD5452">
        <w:rPr>
          <w:rStyle w:val="printhistred"/>
        </w:rPr>
        <w:t>t</w:t>
      </w:r>
      <w:r w:rsidR="6DB96A76" w:rsidRPr="21FD5452">
        <w:rPr>
          <w:rStyle w:val="printhistred"/>
        </w:rPr>
        <w:t>he Adviser</w:t>
      </w:r>
      <w:r w:rsidRPr="21FD5452">
        <w:rPr>
          <w:rStyle w:val="printhistred"/>
        </w:rPr>
        <w:t xml:space="preserve"> maintains operational autonomy in managing its business. AMG does not have any role in the </w:t>
      </w:r>
      <w:r w:rsidR="51286EA3" w:rsidRPr="21FD5452">
        <w:rPr>
          <w:rStyle w:val="printhistred"/>
        </w:rPr>
        <w:t>advisor's day-to-day management</w:t>
      </w:r>
      <w:r w:rsidRPr="21FD5452">
        <w:rPr>
          <w:rStyle w:val="printhistred"/>
        </w:rPr>
        <w:t>. AMG also hold</w:t>
      </w:r>
      <w:r w:rsidR="7B30F2E2" w:rsidRPr="21FD5452">
        <w:rPr>
          <w:rStyle w:val="printhistred"/>
        </w:rPr>
        <w:t>s</w:t>
      </w:r>
      <w:r w:rsidRPr="21FD5452">
        <w:rPr>
          <w:rStyle w:val="printhistred"/>
        </w:rPr>
        <w:t xml:space="preserve"> equity interests in certain other </w:t>
      </w:r>
      <w:r w:rsidR="2672376B" w:rsidRPr="21FD5452">
        <w:rPr>
          <w:rStyle w:val="printhistred"/>
        </w:rPr>
        <w:t>Investment Manager</w:t>
      </w:r>
      <w:r w:rsidR="7B3525C5" w:rsidRPr="21FD5452">
        <w:rPr>
          <w:rStyle w:val="printhistred"/>
        </w:rPr>
        <w:t>s</w:t>
      </w:r>
      <w:r w:rsidR="6F9AB6B1" w:rsidRPr="21FD5452">
        <w:rPr>
          <w:rStyle w:val="printhistred"/>
        </w:rPr>
        <w:t xml:space="preserve">, </w:t>
      </w:r>
      <w:r w:rsidR="51286EA3" w:rsidRPr="21FD5452">
        <w:rPr>
          <w:rStyle w:val="printhistred"/>
        </w:rPr>
        <w:t>such as</w:t>
      </w:r>
      <w:r w:rsidR="6F9AB6B1" w:rsidRPr="21FD5452">
        <w:rPr>
          <w:rStyle w:val="printhistred"/>
        </w:rPr>
        <w:t xml:space="preserve"> AMG Affiliates</w:t>
      </w:r>
      <w:r w:rsidRPr="21FD5452">
        <w:rPr>
          <w:rStyle w:val="printhistred"/>
        </w:rPr>
        <w:t>.</w:t>
      </w:r>
      <w:r w:rsidR="7B30F2E2" w:rsidRPr="21FD5452">
        <w:rPr>
          <w:rStyle w:val="printhistred"/>
        </w:rPr>
        <w:t xml:space="preserve"> </w:t>
      </w:r>
      <w:r w:rsidR="6F9AB6B1" w:rsidRPr="21FD5452">
        <w:rPr>
          <w:rStyle w:val="printhistred"/>
        </w:rPr>
        <w:t xml:space="preserve">In certain cases, </w:t>
      </w:r>
      <w:r w:rsidR="7EBEDC7C" w:rsidRPr="21FD5452">
        <w:rPr>
          <w:rStyle w:val="printhistred"/>
        </w:rPr>
        <w:t>t</w:t>
      </w:r>
      <w:r w:rsidR="6DB96A76" w:rsidRPr="21FD5452">
        <w:rPr>
          <w:rStyle w:val="printhistred"/>
        </w:rPr>
        <w:t>he Adviser</w:t>
      </w:r>
      <w:r w:rsidR="7B30F2E2" w:rsidRPr="21FD5452">
        <w:rPr>
          <w:rStyle w:val="printhistred"/>
        </w:rPr>
        <w:t xml:space="preserve"> may select </w:t>
      </w:r>
      <w:r w:rsidR="2672376B" w:rsidRPr="21FD5452">
        <w:rPr>
          <w:rStyle w:val="printhistred"/>
        </w:rPr>
        <w:t>Investment Manager</w:t>
      </w:r>
      <w:r w:rsidR="6F9AB6B1" w:rsidRPr="21FD5452">
        <w:rPr>
          <w:rStyle w:val="printhistred"/>
        </w:rPr>
        <w:t xml:space="preserve">s </w:t>
      </w:r>
      <w:r w:rsidR="51286EA3" w:rsidRPr="21FD5452">
        <w:rPr>
          <w:rStyle w:val="printhistred"/>
        </w:rPr>
        <w:t>who are AMG affiliates to manage Client assets or may invest Client assets in funds managed by AMG a</w:t>
      </w:r>
      <w:r w:rsidR="7B30F2E2" w:rsidRPr="21FD5452">
        <w:rPr>
          <w:rStyle w:val="printhistred"/>
        </w:rPr>
        <w:t>ffiliates</w:t>
      </w:r>
      <w:r w:rsidR="6F9AB6B1" w:rsidRPr="21FD5452">
        <w:rPr>
          <w:rStyle w:val="printhistred"/>
        </w:rPr>
        <w:t xml:space="preserve">. </w:t>
      </w:r>
      <w:r w:rsidRPr="21FD5452">
        <w:rPr>
          <w:rStyle w:val="printhistred"/>
        </w:rPr>
        <w:t xml:space="preserve">Each of the AMG Affiliates, including </w:t>
      </w:r>
      <w:r w:rsidR="561B94EB" w:rsidRPr="21FD5452">
        <w:rPr>
          <w:rStyle w:val="printhistred"/>
        </w:rPr>
        <w:t>t</w:t>
      </w:r>
      <w:r w:rsidR="6DB96A76" w:rsidRPr="21FD5452">
        <w:rPr>
          <w:rStyle w:val="printhistred"/>
        </w:rPr>
        <w:t>he Adviser</w:t>
      </w:r>
      <w:r w:rsidRPr="21FD5452">
        <w:rPr>
          <w:rStyle w:val="printhistred"/>
        </w:rPr>
        <w:t>, operates autonomously and independently of AMG and each other.</w:t>
      </w:r>
      <w:r w:rsidR="7B30F2E2" w:rsidRPr="21FD5452">
        <w:rPr>
          <w:rStyle w:val="printhistred"/>
        </w:rPr>
        <w:t xml:space="preserve"> </w:t>
      </w:r>
      <w:r w:rsidR="6DB96A76" w:rsidRPr="21FD5452">
        <w:rPr>
          <w:rStyle w:val="printhistred"/>
        </w:rPr>
        <w:t>The Adviser</w:t>
      </w:r>
      <w:r w:rsidR="0E3DC5A4" w:rsidRPr="21FD5452">
        <w:rPr>
          <w:rStyle w:val="printhistred"/>
        </w:rPr>
        <w:t>'</w:t>
      </w:r>
      <w:r w:rsidR="604635E5" w:rsidRPr="21FD5452">
        <w:rPr>
          <w:rStyle w:val="printhistred"/>
        </w:rPr>
        <w:t xml:space="preserve">s selection of </w:t>
      </w:r>
      <w:r w:rsidR="2672376B" w:rsidRPr="21FD5452">
        <w:rPr>
          <w:rStyle w:val="printhistred"/>
        </w:rPr>
        <w:t>Investment Manager</w:t>
      </w:r>
      <w:r w:rsidR="604635E5" w:rsidRPr="21FD5452">
        <w:rPr>
          <w:rStyle w:val="printhistred"/>
        </w:rPr>
        <w:t>s does not include any involvement or influence from</w:t>
      </w:r>
      <w:r>
        <w:t xml:space="preserve"> AMG or any AMG</w:t>
      </w:r>
      <w:r w:rsidR="604635E5">
        <w:t xml:space="preserve"> Affiliate</w:t>
      </w:r>
      <w:r>
        <w:t xml:space="preserve">. </w:t>
      </w:r>
    </w:p>
    <w:p w14:paraId="6F99B192" w14:textId="77777777" w:rsidR="00CB34D2" w:rsidRPr="006259CB" w:rsidRDefault="00CB34D2" w:rsidP="00873720"/>
    <w:p w14:paraId="1B7410EB" w14:textId="553FA451" w:rsidR="002F4132" w:rsidRPr="006259CB" w:rsidRDefault="002F4132" w:rsidP="00873720">
      <w:pPr>
        <w:rPr>
          <w:rStyle w:val="printhistred"/>
        </w:rPr>
      </w:pPr>
      <w:r w:rsidRPr="006259CB">
        <w:t>As such, AMG</w:t>
      </w:r>
      <w:r w:rsidR="00CE22C0" w:rsidRPr="006259CB">
        <w:t>'</w:t>
      </w:r>
      <w:r w:rsidR="00603D62" w:rsidRPr="006259CB">
        <w:t>s</w:t>
      </w:r>
      <w:r w:rsidRPr="006259CB">
        <w:t xml:space="preserve"> ownership interest in </w:t>
      </w:r>
      <w:r w:rsidR="00CB34D2" w:rsidRPr="006259CB">
        <w:t>Baker Street</w:t>
      </w:r>
      <w:r w:rsidRPr="006259CB">
        <w:t xml:space="preserve"> does not, in </w:t>
      </w:r>
      <w:r w:rsidR="00CB34D2" w:rsidRPr="006259CB">
        <w:t>our</w:t>
      </w:r>
      <w:r w:rsidRPr="006259CB">
        <w:t xml:space="preserve"> view, present any potential conflict of interest for </w:t>
      </w:r>
      <w:r w:rsidR="00716DA7" w:rsidRPr="006259CB">
        <w:t>our</w:t>
      </w:r>
      <w:r w:rsidR="00C91CAD" w:rsidRPr="006259CB">
        <w:t xml:space="preserve"> selection of </w:t>
      </w:r>
      <w:r w:rsidR="005F0115" w:rsidRPr="006259CB">
        <w:t>Investment Manager</w:t>
      </w:r>
      <w:r w:rsidR="00C91CAD" w:rsidRPr="006259CB">
        <w:t>s or otherwise</w:t>
      </w:r>
      <w:r w:rsidR="002F0F9E" w:rsidRPr="006259CB">
        <w:t xml:space="preserve"> with respect to our </w:t>
      </w:r>
      <w:r w:rsidR="00202598" w:rsidRPr="006259CB">
        <w:t>Client</w:t>
      </w:r>
      <w:r w:rsidR="002F0F9E" w:rsidRPr="006259CB">
        <w:t>s.</w:t>
      </w:r>
      <w:r w:rsidR="00603D62" w:rsidRPr="006259CB">
        <w:rPr>
          <w:rStyle w:val="printhistred"/>
        </w:rPr>
        <w:t xml:space="preserve"> </w:t>
      </w:r>
      <w:r w:rsidRPr="006259CB">
        <w:rPr>
          <w:rStyle w:val="printhistred"/>
        </w:rPr>
        <w:t>More information regarding AMG, including its public filings and a list of a</w:t>
      </w:r>
      <w:r w:rsidR="002F0F9E" w:rsidRPr="006259CB">
        <w:rPr>
          <w:rStyle w:val="printhistred"/>
        </w:rPr>
        <w:t>ll AMG Affiliates</w:t>
      </w:r>
      <w:r w:rsidR="007B7DDB" w:rsidRPr="006259CB">
        <w:rPr>
          <w:rStyle w:val="printhistred"/>
        </w:rPr>
        <w:t>,</w:t>
      </w:r>
      <w:r w:rsidR="002F0F9E" w:rsidRPr="006259CB">
        <w:rPr>
          <w:rStyle w:val="printhistred"/>
        </w:rPr>
        <w:t xml:space="preserve"> is available </w:t>
      </w:r>
      <w:r w:rsidRPr="006259CB">
        <w:rPr>
          <w:rStyle w:val="printhistred"/>
        </w:rPr>
        <w:t xml:space="preserve">at </w:t>
      </w:r>
      <w:hyperlink r:id="rId16" w:history="1">
        <w:r w:rsidRPr="006259CB">
          <w:rPr>
            <w:rStyle w:val="Hyperlink"/>
            <w:color w:val="365F91" w:themeColor="accent1" w:themeShade="BF"/>
          </w:rPr>
          <w:t>www.amg.com</w:t>
        </w:r>
      </w:hyperlink>
      <w:r w:rsidR="00C91CAD" w:rsidRPr="006259CB">
        <w:rPr>
          <w:rStyle w:val="printhistred"/>
        </w:rPr>
        <w:t xml:space="preserve"> or</w:t>
      </w:r>
      <w:r w:rsidRPr="006259CB">
        <w:rPr>
          <w:rStyle w:val="printhistred"/>
        </w:rPr>
        <w:t xml:space="preserve"> </w:t>
      </w:r>
      <w:r w:rsidR="00716DA7" w:rsidRPr="006259CB">
        <w:rPr>
          <w:rStyle w:val="printhistred"/>
        </w:rPr>
        <w:t xml:space="preserve">upon </w:t>
      </w:r>
      <w:r w:rsidR="002F0F9E" w:rsidRPr="006259CB">
        <w:rPr>
          <w:rStyle w:val="printhistred"/>
        </w:rPr>
        <w:t>request</w:t>
      </w:r>
      <w:r w:rsidRPr="006259CB">
        <w:rPr>
          <w:rStyle w:val="printhistred"/>
        </w:rPr>
        <w:t xml:space="preserve">.  </w:t>
      </w:r>
    </w:p>
    <w:p w14:paraId="68239DA1" w14:textId="77777777" w:rsidR="00F155BB" w:rsidRPr="006259CB" w:rsidRDefault="00F155BB" w:rsidP="00873720">
      <w:pPr>
        <w:rPr>
          <w:rStyle w:val="printhistred"/>
        </w:rPr>
      </w:pPr>
    </w:p>
    <w:p w14:paraId="269B4F39" w14:textId="77777777" w:rsidR="00F155BB" w:rsidRPr="006259CB" w:rsidRDefault="00F155BB" w:rsidP="00873720">
      <w:pPr>
        <w:pStyle w:val="Paragraph"/>
      </w:pPr>
      <w:bookmarkStart w:id="80" w:name="_Toc85672979"/>
      <w:bookmarkStart w:id="81" w:name="_Toc86252706"/>
      <w:bookmarkStart w:id="82" w:name="_Toc131060351"/>
      <w:bookmarkStart w:id="83" w:name="_Toc193886452"/>
      <w:r w:rsidRPr="006259CB">
        <w:t>Designations</w:t>
      </w:r>
      <w:bookmarkEnd w:id="80"/>
      <w:bookmarkEnd w:id="81"/>
      <w:bookmarkEnd w:id="82"/>
      <w:bookmarkEnd w:id="83"/>
    </w:p>
    <w:p w14:paraId="2F3AFB4D" w14:textId="5FA89A3B" w:rsidR="00F155BB" w:rsidRPr="006259CB" w:rsidRDefault="00256093" w:rsidP="00873720">
      <w:pPr>
        <w:rPr>
          <w:rFonts w:eastAsia="Candara"/>
        </w:rPr>
      </w:pPr>
      <w:r w:rsidRPr="332DA7C8">
        <w:rPr>
          <w:rFonts w:eastAsia="Candara"/>
        </w:rPr>
        <w:t>Certain e</w:t>
      </w:r>
      <w:r w:rsidR="004F39FD" w:rsidRPr="332DA7C8">
        <w:rPr>
          <w:rFonts w:eastAsia="Candara"/>
        </w:rPr>
        <w:t xml:space="preserve">mployees </w:t>
      </w:r>
      <w:r w:rsidR="00F155BB" w:rsidRPr="332DA7C8">
        <w:rPr>
          <w:rFonts w:eastAsia="Candara"/>
        </w:rPr>
        <w:t xml:space="preserve">can hold various designations related to their approved outside business activities, separate from their roles at Baker Street.  The Adviser does not solicit </w:t>
      </w:r>
      <w:r w:rsidR="00781EFD" w:rsidRPr="332DA7C8">
        <w:rPr>
          <w:rFonts w:eastAsia="Candara"/>
        </w:rPr>
        <w:t>Client</w:t>
      </w:r>
      <w:r w:rsidR="00F155BB" w:rsidRPr="332DA7C8">
        <w:rPr>
          <w:rFonts w:eastAsia="Candara"/>
        </w:rPr>
        <w:t xml:space="preserve">s to engage in services associated with these designations or related outside business activities. Any recommendations or compensation received by Supervised Persons for services related to these designations are distinct from the advisory services and fees we provide.  Clients are under no obligation to act upon any recommendations made by </w:t>
      </w:r>
      <w:r w:rsidR="716DD664" w:rsidRPr="332DA7C8">
        <w:rPr>
          <w:rFonts w:eastAsia="Candara"/>
        </w:rPr>
        <w:t>employees</w:t>
      </w:r>
      <w:r w:rsidR="00F155BB" w:rsidRPr="332DA7C8">
        <w:rPr>
          <w:rFonts w:eastAsia="Candara"/>
        </w:rPr>
        <w:t xml:space="preserve"> in connection with these </w:t>
      </w:r>
      <w:r w:rsidR="00F155BB" w:rsidRPr="332DA7C8">
        <w:rPr>
          <w:rFonts w:eastAsia="Candara"/>
        </w:rPr>
        <w:lastRenderedPageBreak/>
        <w:t xml:space="preserve">outside activities. Additionally, if </w:t>
      </w:r>
      <w:r w:rsidR="00781EFD" w:rsidRPr="332DA7C8">
        <w:rPr>
          <w:rFonts w:eastAsia="Candara"/>
        </w:rPr>
        <w:t>Client</w:t>
      </w:r>
      <w:r w:rsidR="00F155BB" w:rsidRPr="332DA7C8">
        <w:rPr>
          <w:rFonts w:eastAsia="Candara"/>
        </w:rPr>
        <w:t xml:space="preserve">s choose to follow such recommendations, they are not required to execute transactions through the </w:t>
      </w:r>
      <w:r w:rsidR="19D3417C" w:rsidRPr="332DA7C8">
        <w:rPr>
          <w:rFonts w:eastAsia="Candara"/>
        </w:rPr>
        <w:t>employee</w:t>
      </w:r>
      <w:r w:rsidR="00640E61" w:rsidRPr="332DA7C8">
        <w:rPr>
          <w:rFonts w:eastAsia="Candara"/>
        </w:rPr>
        <w:t>,</w:t>
      </w:r>
      <w:r w:rsidR="00F155BB" w:rsidRPr="332DA7C8">
        <w:rPr>
          <w:rFonts w:eastAsia="Candara"/>
        </w:rPr>
        <w:t xml:space="preserve"> nor are they obligated to use the </w:t>
      </w:r>
      <w:r w:rsidR="00640E61" w:rsidRPr="332DA7C8">
        <w:rPr>
          <w:rFonts w:eastAsia="Candara"/>
        </w:rPr>
        <w:t>Supervised Person’s</w:t>
      </w:r>
      <w:r w:rsidR="00F155BB" w:rsidRPr="332DA7C8">
        <w:rPr>
          <w:rFonts w:eastAsia="Candara"/>
        </w:rPr>
        <w:t xml:space="preserve"> services in their capacity as part of an outside business activity.</w:t>
      </w:r>
    </w:p>
    <w:p w14:paraId="78AFF2DC" w14:textId="77777777" w:rsidR="00E5554D" w:rsidRPr="006259CB" w:rsidRDefault="00E5554D" w:rsidP="00873720">
      <w:pPr>
        <w:pStyle w:val="Paragraph"/>
      </w:pPr>
    </w:p>
    <w:p w14:paraId="66266984" w14:textId="77777777" w:rsidR="00D342C5" w:rsidRPr="006259CB" w:rsidRDefault="00D342C5" w:rsidP="00873720">
      <w:pPr>
        <w:pStyle w:val="Paragraph"/>
        <w:rPr>
          <w:shd w:val="clear" w:color="auto" w:fill="FFFFFF"/>
        </w:rPr>
      </w:pPr>
      <w:bookmarkStart w:id="84" w:name="_Toc85672983"/>
      <w:bookmarkStart w:id="85" w:name="_Toc86252711"/>
      <w:bookmarkStart w:id="86" w:name="_Toc193886462"/>
      <w:bookmarkStart w:id="87" w:name="_Toc13477577"/>
      <w:r w:rsidRPr="006259CB">
        <w:rPr>
          <w:shd w:val="clear" w:color="auto" w:fill="FFFFFF"/>
        </w:rPr>
        <w:t>Other Business Relationships</w:t>
      </w:r>
      <w:bookmarkEnd w:id="84"/>
      <w:bookmarkEnd w:id="85"/>
      <w:bookmarkEnd w:id="86"/>
    </w:p>
    <w:bookmarkEnd w:id="87"/>
    <w:p w14:paraId="6AAAD0D5" w14:textId="0E30342C" w:rsidR="00D342C5" w:rsidRPr="006259CB" w:rsidRDefault="00D342C5" w:rsidP="00873720">
      <w:pPr>
        <w:kinsoku w:val="0"/>
        <w:overflowPunct w:val="0"/>
        <w:adjustRightInd w:val="0"/>
        <w:rPr>
          <w:rFonts w:eastAsia="Candara"/>
          <w:color w:val="auto"/>
        </w:rPr>
      </w:pPr>
      <w:r w:rsidRPr="006259CB">
        <w:rPr>
          <w:rFonts w:eastAsia="Candara"/>
          <w:color w:val="auto"/>
        </w:rPr>
        <w:t xml:space="preserve">Baker Street uses third-party resources to help run its business and provide services to its </w:t>
      </w:r>
      <w:r w:rsidR="00781EFD" w:rsidRPr="006259CB">
        <w:rPr>
          <w:rFonts w:eastAsia="Candara"/>
          <w:color w:val="auto"/>
        </w:rPr>
        <w:t>Client</w:t>
      </w:r>
      <w:r w:rsidRPr="006259CB">
        <w:rPr>
          <w:rFonts w:eastAsia="Candara"/>
          <w:color w:val="auto"/>
        </w:rPr>
        <w:t xml:space="preserve">s, mostly back-office related.  Baker Street sources these professionals acting in a </w:t>
      </w:r>
      <w:r w:rsidR="00781EFD" w:rsidRPr="006259CB">
        <w:rPr>
          <w:rFonts w:eastAsia="Candara"/>
          <w:color w:val="auto"/>
        </w:rPr>
        <w:t>Client</w:t>
      </w:r>
      <w:r w:rsidRPr="006259CB">
        <w:rPr>
          <w:rFonts w:eastAsia="Candara"/>
          <w:color w:val="auto"/>
        </w:rPr>
        <w:t xml:space="preserve">’s best interest with fiduciary responsibility while focusing on finding the highest value-added providers to service </w:t>
      </w:r>
      <w:r w:rsidR="00781EFD" w:rsidRPr="006259CB">
        <w:rPr>
          <w:rFonts w:eastAsia="Candara"/>
          <w:color w:val="auto"/>
        </w:rPr>
        <w:t>Client</w:t>
      </w:r>
      <w:r w:rsidRPr="006259CB">
        <w:rPr>
          <w:rFonts w:eastAsia="Candara"/>
          <w:color w:val="auto"/>
        </w:rPr>
        <w:t xml:space="preserve">s. While the Adviser has developed a network of professionals - accountants, lawyers, and otherwise, neither the firm nor its </w:t>
      </w:r>
      <w:r w:rsidR="0073577C" w:rsidRPr="006259CB">
        <w:rPr>
          <w:rFonts w:eastAsia="Candara"/>
          <w:color w:val="auto"/>
        </w:rPr>
        <w:t>employees</w:t>
      </w:r>
      <w:r w:rsidRPr="006259CB">
        <w:rPr>
          <w:rFonts w:eastAsia="Candara"/>
          <w:color w:val="auto"/>
        </w:rPr>
        <w:t xml:space="preserve"> receive compensation for such use or referrals.  </w:t>
      </w:r>
    </w:p>
    <w:p w14:paraId="361A5A17" w14:textId="77777777" w:rsidR="00D342C5" w:rsidRPr="006259CB" w:rsidRDefault="00D342C5" w:rsidP="00873720">
      <w:pPr>
        <w:pStyle w:val="BodyText"/>
        <w:spacing w:after="0"/>
      </w:pPr>
    </w:p>
    <w:p w14:paraId="517B019A" w14:textId="77777777" w:rsidR="00FB5C8F" w:rsidRPr="006259CB" w:rsidRDefault="00D342C5" w:rsidP="00873720">
      <w:r w:rsidRPr="006259CB">
        <w:t xml:space="preserve">Baker Street acknowledges that certain financial activities, affiliations, relationships, and services may create conflicts of interest. The Adviser and </w:t>
      </w:r>
      <w:r w:rsidR="00E60857" w:rsidRPr="006259CB">
        <w:t>employees</w:t>
      </w:r>
      <w:r w:rsidRPr="006259CB">
        <w:t xml:space="preserve"> may have financial incentives to recommend specific companies or services due to compensation received in connection with the transaction rather than based solely on the </w:t>
      </w:r>
      <w:r w:rsidR="00781EFD" w:rsidRPr="006259CB">
        <w:t>Client</w:t>
      </w:r>
      <w:r w:rsidRPr="006259CB">
        <w:t xml:space="preserve">'s needs. To address these conflicts, </w:t>
      </w:r>
      <w:r w:rsidR="00973E57" w:rsidRPr="006259CB">
        <w:t xml:space="preserve">the Adviser requires all </w:t>
      </w:r>
      <w:r w:rsidR="0073577C" w:rsidRPr="006259CB">
        <w:t xml:space="preserve">employees </w:t>
      </w:r>
      <w:r w:rsidRPr="006259CB">
        <w:t xml:space="preserve">to always act in the best interests of each </w:t>
      </w:r>
      <w:r w:rsidR="00781EFD" w:rsidRPr="006259CB">
        <w:t>Client</w:t>
      </w:r>
      <w:r w:rsidRPr="006259CB">
        <w:t xml:space="preserve">.  Clients are under no obligation to act upon any recommendations or purchase additional products or services offered by us. If </w:t>
      </w:r>
      <w:r w:rsidR="00781EFD" w:rsidRPr="006259CB">
        <w:t>Client</w:t>
      </w:r>
      <w:r w:rsidRPr="006259CB">
        <w:t xml:space="preserve">s choose to act on a recommendation, they are not required to execute transactions through Baker Street - they may choose to place their business and securities transactions with any brokerage firm or third party of their choice.  </w:t>
      </w:r>
    </w:p>
    <w:p w14:paraId="5363A1F3" w14:textId="77777777" w:rsidR="00FB5C8F" w:rsidRPr="006259CB" w:rsidRDefault="00FB5C8F" w:rsidP="00873720"/>
    <w:p w14:paraId="2BFEEE9C" w14:textId="76F941F1" w:rsidR="00D342C5" w:rsidRPr="006259CB" w:rsidRDefault="00D342C5" w:rsidP="00873720">
      <w:r w:rsidRPr="006259CB">
        <w:t xml:space="preserve">Baker Street makes no assurances that products or services offered by other entities are available at the lowest possible cost. Clients may obtain the same products or services from different providers at lower prices. The decision to retain products or services remains solely with the </w:t>
      </w:r>
      <w:r w:rsidR="00781EFD" w:rsidRPr="006259CB">
        <w:t>Client</w:t>
      </w:r>
      <w:r w:rsidRPr="006259CB">
        <w:t xml:space="preserve">.  </w:t>
      </w:r>
    </w:p>
    <w:p w14:paraId="6E14B0BC" w14:textId="77777777" w:rsidR="00D342C5" w:rsidRPr="006259CB" w:rsidRDefault="00D342C5" w:rsidP="00873720"/>
    <w:p w14:paraId="2ACD02E0" w14:textId="45F35961" w:rsidR="00D342C5" w:rsidRPr="006259CB" w:rsidRDefault="00D342C5" w:rsidP="00873720">
      <w:r w:rsidRPr="006259CB">
        <w:t xml:space="preserve">Outside of the relationships and affiliations disclosed herein, neither </w:t>
      </w:r>
      <w:r w:rsidR="00973E57" w:rsidRPr="006259CB">
        <w:t>the Adviser</w:t>
      </w:r>
      <w:r w:rsidRPr="006259CB">
        <w:t xml:space="preserve"> nor its </w:t>
      </w:r>
      <w:r w:rsidR="00973E57" w:rsidRPr="006259CB">
        <w:t>M</w:t>
      </w:r>
      <w:r w:rsidRPr="006259CB">
        <w:t>anagement persons have any additional material relationships or conflicts of interest with other financial industry participants to disclose</w:t>
      </w:r>
      <w:r w:rsidR="00033523" w:rsidRPr="006259CB">
        <w:t>.</w:t>
      </w:r>
    </w:p>
    <w:p w14:paraId="01F05821" w14:textId="77777777" w:rsidR="00033523" w:rsidRPr="006259CB" w:rsidRDefault="00033523" w:rsidP="00873720"/>
    <w:p w14:paraId="48305242" w14:textId="204BED27" w:rsidR="008E39FA" w:rsidRPr="006259CB" w:rsidRDefault="2C54DDDE" w:rsidP="00873720">
      <w:pPr>
        <w:pStyle w:val="Item"/>
      </w:pPr>
      <w:bookmarkStart w:id="88" w:name="_Toc270409653"/>
      <w:bookmarkStart w:id="89" w:name="_Toc225322729"/>
      <w:r>
        <w:t xml:space="preserve">Item 11:  </w:t>
      </w:r>
      <w:r w:rsidR="3C14E57C">
        <w:t xml:space="preserve">Code of Ethics, Participation or Interest in </w:t>
      </w:r>
      <w:r w:rsidR="00F46568">
        <w:t>Client</w:t>
      </w:r>
      <w:r w:rsidR="3C14E57C">
        <w:t xml:space="preserve"> Transactions</w:t>
      </w:r>
      <w:r w:rsidR="3BC24119">
        <w:t xml:space="preserve"> </w:t>
      </w:r>
      <w:r w:rsidR="6B978C84">
        <w:t>&amp;</w:t>
      </w:r>
      <w:r w:rsidR="3C14E57C">
        <w:t xml:space="preserve"> Personal Trading</w:t>
      </w:r>
      <w:bookmarkEnd w:id="88"/>
      <w:bookmarkEnd w:id="89"/>
    </w:p>
    <w:p w14:paraId="3BACBF85" w14:textId="77777777" w:rsidR="00973E57" w:rsidRPr="006259CB" w:rsidRDefault="00961C2B" w:rsidP="00FE0300">
      <w:pPr>
        <w:pStyle w:val="Paragraph"/>
        <w:spacing w:after="60"/>
      </w:pPr>
      <w:r w:rsidRPr="006259CB">
        <w:rPr>
          <w:b w:val="0"/>
          <w:bCs w:val="0"/>
        </w:rPr>
        <w:t>___________________________________________________________________________</w:t>
      </w:r>
      <w:r w:rsidR="007B7DDB" w:rsidRPr="006259CB">
        <w:rPr>
          <w:b w:val="0"/>
          <w:bCs w:val="0"/>
        </w:rPr>
        <w:t>_____</w:t>
      </w:r>
      <w:r w:rsidRPr="006259CB">
        <w:rPr>
          <w:b w:val="0"/>
          <w:bCs w:val="0"/>
        </w:rPr>
        <w:t>__________</w:t>
      </w:r>
      <w:r w:rsidR="00973E57" w:rsidRPr="006259CB">
        <w:t>Code of Ethics</w:t>
      </w:r>
    </w:p>
    <w:p w14:paraId="0AF3218A" w14:textId="6662DF3D" w:rsidR="00FD7BFE" w:rsidRPr="006259CB" w:rsidRDefault="00FD7BFE" w:rsidP="00873720">
      <w:pPr>
        <w:widowControl w:val="0"/>
        <w:autoSpaceDE w:val="0"/>
        <w:autoSpaceDN w:val="0"/>
        <w:rPr>
          <w:color w:val="auto"/>
        </w:rPr>
      </w:pPr>
      <w:r w:rsidRPr="006259CB">
        <w:rPr>
          <w:rFonts w:eastAsia="Arial MT"/>
          <w:color w:val="111111"/>
          <w:highlight w:val="white"/>
          <w:lang w:bidi="en-US"/>
        </w:rPr>
        <w:t>Rule 204</w:t>
      </w:r>
      <w:r w:rsidR="000C481F" w:rsidRPr="006259CB">
        <w:rPr>
          <w:rFonts w:eastAsia="Arial MT"/>
          <w:color w:val="111111"/>
          <w:highlight w:val="white"/>
          <w:lang w:bidi="en-US"/>
        </w:rPr>
        <w:t xml:space="preserve"> </w:t>
      </w:r>
      <w:r w:rsidRPr="006259CB">
        <w:rPr>
          <w:rFonts w:eastAsia="Arial MT"/>
          <w:color w:val="111111"/>
          <w:highlight w:val="white"/>
          <w:lang w:bidi="en-US"/>
        </w:rPr>
        <w:t xml:space="preserve">A-1 under the Advisers Act requires all investment advisers registered with the SEC to adopt a Code of Ethics that sets forth standards of conduct and requires </w:t>
      </w:r>
      <w:r w:rsidR="002A33FA" w:rsidRPr="006259CB">
        <w:rPr>
          <w:rFonts w:eastAsia="Arial MT"/>
          <w:color w:val="111111"/>
          <w:highlight w:val="white"/>
          <w:lang w:bidi="en-US"/>
        </w:rPr>
        <w:t xml:space="preserve">all of </w:t>
      </w:r>
      <w:r w:rsidRPr="006259CB">
        <w:rPr>
          <w:rFonts w:eastAsia="Arial MT"/>
          <w:color w:val="111111"/>
          <w:highlight w:val="white"/>
          <w:lang w:bidi="en-US"/>
        </w:rPr>
        <w:t xml:space="preserve">the </w:t>
      </w:r>
      <w:r w:rsidR="002A33FA" w:rsidRPr="006259CB">
        <w:rPr>
          <w:rFonts w:eastAsia="Arial MT"/>
          <w:color w:val="111111"/>
          <w:highlight w:val="white"/>
          <w:lang w:bidi="en-US"/>
        </w:rPr>
        <w:t>A</w:t>
      </w:r>
      <w:r w:rsidRPr="006259CB">
        <w:rPr>
          <w:rFonts w:eastAsia="Arial MT"/>
          <w:color w:val="111111"/>
          <w:highlight w:val="white"/>
          <w:lang w:bidi="en-US"/>
        </w:rPr>
        <w:t xml:space="preserve">dviser’s </w:t>
      </w:r>
      <w:r w:rsidR="002A33FA" w:rsidRPr="006259CB">
        <w:rPr>
          <w:rFonts w:eastAsia="Arial MT"/>
          <w:color w:val="111111"/>
          <w:highlight w:val="white"/>
          <w:lang w:bidi="en-US"/>
        </w:rPr>
        <w:t>employees</w:t>
      </w:r>
      <w:r w:rsidRPr="006259CB">
        <w:rPr>
          <w:rFonts w:eastAsia="Arial MT"/>
          <w:color w:val="111111"/>
          <w:highlight w:val="white"/>
          <w:lang w:bidi="en-US"/>
        </w:rPr>
        <w:t xml:space="preserve"> to comply with the Federal securities laws. </w:t>
      </w:r>
      <w:r w:rsidRPr="006259CB">
        <w:rPr>
          <w:rFonts w:eastAsia="Arial MT"/>
          <w:color w:val="010101"/>
          <w:lang w:bidi="en-US"/>
        </w:rPr>
        <w:t xml:space="preserve"> </w:t>
      </w:r>
      <w:r w:rsidRPr="006259CB">
        <w:rPr>
          <w:color w:val="auto"/>
        </w:rPr>
        <w:t xml:space="preserve">Baker Street takes its regulatory and compliance obligations seriously and recognizes its statutory duty to oversee the advisory activities of its </w:t>
      </w:r>
      <w:r w:rsidR="001A798B" w:rsidRPr="006259CB">
        <w:rPr>
          <w:color w:val="auto"/>
        </w:rPr>
        <w:t>employees</w:t>
      </w:r>
      <w:r w:rsidRPr="006259CB">
        <w:rPr>
          <w:color w:val="auto"/>
        </w:rPr>
        <w:t xml:space="preserve">. The firm strives to comply with all applicable laws and regulations governing its practices. It is committed to upholding the highest standards of trust, fair dealing, and integrity with each advisory </w:t>
      </w:r>
      <w:r w:rsidR="00781EFD" w:rsidRPr="006259CB">
        <w:rPr>
          <w:color w:val="auto"/>
        </w:rPr>
        <w:t>Client</w:t>
      </w:r>
      <w:r w:rsidRPr="006259CB">
        <w:rPr>
          <w:color w:val="auto"/>
        </w:rPr>
        <w:t>. To that end, the Adviser has adopted a Code of Ethics (“Code”), which outlines the firm's conduct standards in alignment with its fiduciary obligations.</w:t>
      </w:r>
    </w:p>
    <w:p w14:paraId="2C5A728A" w14:textId="77777777" w:rsidR="00FD7BFE" w:rsidRPr="006259CB" w:rsidRDefault="00FD7BFE" w:rsidP="00873720">
      <w:pPr>
        <w:widowControl w:val="0"/>
        <w:autoSpaceDE w:val="0"/>
        <w:autoSpaceDN w:val="0"/>
        <w:rPr>
          <w:color w:val="auto"/>
        </w:rPr>
      </w:pPr>
    </w:p>
    <w:p w14:paraId="03AD754E" w14:textId="7B9750EC" w:rsidR="00E85385" w:rsidRPr="006259CB" w:rsidRDefault="00FD7BFE" w:rsidP="00873720">
      <w:pPr>
        <w:widowControl w:val="0"/>
        <w:autoSpaceDE w:val="0"/>
        <w:autoSpaceDN w:val="0"/>
      </w:pPr>
      <w:r w:rsidRPr="006259CB">
        <w:rPr>
          <w:color w:val="auto"/>
        </w:rPr>
        <w:t xml:space="preserve">Our Code requires all </w:t>
      </w:r>
      <w:r w:rsidR="00672594" w:rsidRPr="006259CB">
        <w:rPr>
          <w:color w:val="auto"/>
        </w:rPr>
        <w:t>employees</w:t>
      </w:r>
      <w:r w:rsidRPr="006259CB">
        <w:rPr>
          <w:color w:val="auto"/>
        </w:rPr>
        <w:t xml:space="preserve"> under the Advisers Act to exercise a fiduciary duty by acting in each </w:t>
      </w:r>
      <w:r w:rsidR="00781EFD" w:rsidRPr="006259CB">
        <w:rPr>
          <w:color w:val="auto"/>
        </w:rPr>
        <w:t>Client</w:t>
      </w:r>
      <w:r w:rsidRPr="006259CB">
        <w:rPr>
          <w:color w:val="auto"/>
        </w:rPr>
        <w:t xml:space="preserve">'s best interest and prioritizing the </w:t>
      </w:r>
      <w:r w:rsidR="00781EFD" w:rsidRPr="006259CB">
        <w:rPr>
          <w:color w:val="auto"/>
        </w:rPr>
        <w:t>Client</w:t>
      </w:r>
      <w:r w:rsidRPr="006259CB">
        <w:rPr>
          <w:color w:val="auto"/>
        </w:rPr>
        <w:t xml:space="preserve">'s interests above all else. </w:t>
      </w:r>
      <w:r w:rsidR="00E85385" w:rsidRPr="006259CB">
        <w:t xml:space="preserve">The Code requires, among other </w:t>
      </w:r>
      <w:r w:rsidR="000C481F" w:rsidRPr="006259CB">
        <w:t>things,</w:t>
      </w:r>
      <w:r w:rsidR="00E85385" w:rsidRPr="006259CB">
        <w:t xml:space="preserve"> employees:</w:t>
      </w:r>
    </w:p>
    <w:p w14:paraId="75040BDB" w14:textId="77777777" w:rsidR="00FB5C8F" w:rsidRPr="006259CB" w:rsidRDefault="00FB5C8F" w:rsidP="00873720">
      <w:pPr>
        <w:widowControl w:val="0"/>
        <w:autoSpaceDE w:val="0"/>
        <w:autoSpaceDN w:val="0"/>
      </w:pPr>
    </w:p>
    <w:p w14:paraId="50781782" w14:textId="1B0C4F50" w:rsidR="00D2650B" w:rsidRPr="006259CB" w:rsidRDefault="002C7D22" w:rsidP="00FE0300">
      <w:pPr>
        <w:pStyle w:val="Bullets"/>
        <w:numPr>
          <w:ilvl w:val="0"/>
          <w:numId w:val="47"/>
        </w:numPr>
        <w:ind w:left="720"/>
      </w:pPr>
      <w:r w:rsidRPr="006259CB">
        <w:t xml:space="preserve">act with integrity, competence, diligence, respect, and in an ethical manner with the public, Clients, prospective Clients, employers, employees, </w:t>
      </w:r>
      <w:r w:rsidR="000C481F" w:rsidRPr="006259CB">
        <w:t>colleagues</w:t>
      </w:r>
      <w:r w:rsidRPr="006259CB">
        <w:t xml:space="preserve"> in the investment profession, and other participants in the global capital markets,</w:t>
      </w:r>
    </w:p>
    <w:p w14:paraId="0D83D5B2" w14:textId="3747C8E5" w:rsidR="00E85385" w:rsidRPr="006259CB" w:rsidRDefault="00E85385" w:rsidP="00FE0300">
      <w:pPr>
        <w:pStyle w:val="Bullets"/>
        <w:numPr>
          <w:ilvl w:val="0"/>
          <w:numId w:val="47"/>
        </w:numPr>
        <w:ind w:left="720"/>
      </w:pPr>
      <w:r w:rsidRPr="006259CB">
        <w:t xml:space="preserve">place the integrity of the investment profession, the interests of Clients, and the interests of the Adviser above one's </w:t>
      </w:r>
      <w:r w:rsidR="00FB5C8F" w:rsidRPr="006259CB">
        <w:t xml:space="preserve">own </w:t>
      </w:r>
      <w:r w:rsidRPr="006259CB">
        <w:t>interests,</w:t>
      </w:r>
    </w:p>
    <w:p w14:paraId="15A9D812" w14:textId="77777777" w:rsidR="00E85385" w:rsidRPr="006259CB" w:rsidRDefault="00E85385" w:rsidP="00FE0300">
      <w:pPr>
        <w:pStyle w:val="Bullets"/>
        <w:numPr>
          <w:ilvl w:val="0"/>
          <w:numId w:val="47"/>
        </w:numPr>
        <w:ind w:left="720"/>
      </w:pPr>
      <w:r w:rsidRPr="006259CB">
        <w:t>adhere to the fundamental standard that you should not take inappropriate advantage of your position,</w:t>
      </w:r>
    </w:p>
    <w:p w14:paraId="2FD2EC2D" w14:textId="77777777" w:rsidR="00E85385" w:rsidRPr="006259CB" w:rsidRDefault="00E85385" w:rsidP="00FE0300">
      <w:pPr>
        <w:pStyle w:val="Bullets"/>
        <w:numPr>
          <w:ilvl w:val="0"/>
          <w:numId w:val="47"/>
        </w:numPr>
        <w:ind w:left="720"/>
      </w:pPr>
      <w:r w:rsidRPr="006259CB">
        <w:t>avoid any actual or potential conflict of interest,</w:t>
      </w:r>
    </w:p>
    <w:p w14:paraId="49BB58AF" w14:textId="77777777" w:rsidR="00E85385" w:rsidRPr="006259CB" w:rsidRDefault="00E85385" w:rsidP="00FE0300">
      <w:pPr>
        <w:pStyle w:val="Bullets"/>
        <w:numPr>
          <w:ilvl w:val="0"/>
          <w:numId w:val="47"/>
        </w:numPr>
        <w:ind w:left="720"/>
      </w:pPr>
      <w:r w:rsidRPr="006259CB">
        <w:t>conduct all personal securities transactions in a manner consistent with this policy,</w:t>
      </w:r>
    </w:p>
    <w:p w14:paraId="3345FF5A" w14:textId="77777777" w:rsidR="00E85385" w:rsidRPr="006259CB" w:rsidRDefault="00E85385" w:rsidP="00FE0300">
      <w:pPr>
        <w:pStyle w:val="Bullets"/>
        <w:numPr>
          <w:ilvl w:val="0"/>
          <w:numId w:val="47"/>
        </w:numPr>
        <w:ind w:left="720"/>
      </w:pPr>
      <w:r w:rsidRPr="006259CB">
        <w:t>use reasonable care and exercise independent professional judgment when conducting investment analysis, making investment recommendations, taking investment actions, and engaging in other professional activities,</w:t>
      </w:r>
    </w:p>
    <w:p w14:paraId="1F61E801" w14:textId="77777777" w:rsidR="00E85385" w:rsidRPr="006259CB" w:rsidRDefault="00E85385" w:rsidP="00FE0300">
      <w:pPr>
        <w:pStyle w:val="Bullets"/>
        <w:numPr>
          <w:ilvl w:val="0"/>
          <w:numId w:val="47"/>
        </w:numPr>
        <w:ind w:left="720"/>
      </w:pPr>
      <w:r w:rsidRPr="006259CB">
        <w:t>practice and encourage others to act professionally and ethically to reflect positively on yourself and the profession,</w:t>
      </w:r>
    </w:p>
    <w:p w14:paraId="5CD5D406" w14:textId="3C4EA1DE" w:rsidR="00E85385" w:rsidRPr="006259CB" w:rsidRDefault="00E85385" w:rsidP="004867B1">
      <w:pPr>
        <w:pStyle w:val="Bullets"/>
        <w:numPr>
          <w:ilvl w:val="0"/>
          <w:numId w:val="47"/>
        </w:numPr>
        <w:ind w:left="720"/>
      </w:pPr>
      <w:r w:rsidRPr="006259CB">
        <w:t>promote the integrity of and uphold the rules governing capital markets,</w:t>
      </w:r>
    </w:p>
    <w:p w14:paraId="1233D3D5" w14:textId="77777777" w:rsidR="00E85385" w:rsidRPr="006259CB" w:rsidRDefault="00E85385" w:rsidP="00FE0300">
      <w:pPr>
        <w:pStyle w:val="Bullets"/>
        <w:numPr>
          <w:ilvl w:val="0"/>
          <w:numId w:val="47"/>
        </w:numPr>
        <w:ind w:left="720"/>
      </w:pPr>
      <w:r w:rsidRPr="006259CB">
        <w:t>maintain and improve individual professional competence, strive to maintain and improve the competence of other investment professionals, and</w:t>
      </w:r>
    </w:p>
    <w:p w14:paraId="69524A33" w14:textId="77777777" w:rsidR="00E85385" w:rsidRPr="006259CB" w:rsidRDefault="00E85385" w:rsidP="00FE0300">
      <w:pPr>
        <w:pStyle w:val="Bullets"/>
        <w:numPr>
          <w:ilvl w:val="0"/>
          <w:numId w:val="47"/>
        </w:numPr>
        <w:ind w:left="720"/>
      </w:pPr>
      <w:r w:rsidRPr="006259CB">
        <w:lastRenderedPageBreak/>
        <w:t>comply with applicable provisions of the Federal securities laws.</w:t>
      </w:r>
    </w:p>
    <w:p w14:paraId="1D41E2FB" w14:textId="77777777" w:rsidR="00E85385" w:rsidRPr="006259CB" w:rsidRDefault="00E85385" w:rsidP="00873720">
      <w:pPr>
        <w:widowControl w:val="0"/>
        <w:autoSpaceDE w:val="0"/>
        <w:autoSpaceDN w:val="0"/>
        <w:rPr>
          <w:color w:val="auto"/>
        </w:rPr>
      </w:pPr>
    </w:p>
    <w:p w14:paraId="3E740E99" w14:textId="03AB7953" w:rsidR="005440B7" w:rsidRPr="006259CB" w:rsidRDefault="00E85385" w:rsidP="00873720">
      <w:pPr>
        <w:widowControl w:val="0"/>
        <w:autoSpaceDE w:val="0"/>
        <w:autoSpaceDN w:val="0"/>
      </w:pPr>
      <w:r w:rsidRPr="006259CB">
        <w:rPr>
          <w:color w:val="auto"/>
        </w:rPr>
        <w:t xml:space="preserve">The Code applies </w:t>
      </w:r>
      <w:r w:rsidR="009307EF" w:rsidRPr="006259CB">
        <w:rPr>
          <w:color w:val="auto"/>
        </w:rPr>
        <w:t>to all Baker Street employees</w:t>
      </w:r>
      <w:r w:rsidRPr="006259CB">
        <w:rPr>
          <w:color w:val="auto"/>
        </w:rPr>
        <w:t xml:space="preserve">.  Further, the Code specifies certain activities that may create actual or perceived conflicts of interest and sets forth reporting requirements and enforcement procedures. </w:t>
      </w:r>
      <w:r w:rsidR="009902E5" w:rsidRPr="006259CB">
        <w:rPr>
          <w:color w:val="auto"/>
        </w:rPr>
        <w:t>Employees</w:t>
      </w:r>
      <w:r w:rsidRPr="006259CB">
        <w:rPr>
          <w:color w:val="auto"/>
        </w:rPr>
        <w:t xml:space="preserve"> are required to adhere to all relevant industry regulations and the firm’s written Policies &amp; Procedures Manual, including any updates.</w:t>
      </w:r>
      <w:r w:rsidR="001774DF" w:rsidRPr="006259CB">
        <w:rPr>
          <w:color w:val="auto"/>
        </w:rPr>
        <w:t xml:space="preserve">  </w:t>
      </w:r>
      <w:r w:rsidR="005440B7" w:rsidRPr="006259CB">
        <w:t xml:space="preserve">Additionally, </w:t>
      </w:r>
      <w:r w:rsidR="00420FBA" w:rsidRPr="006259CB">
        <w:t xml:space="preserve">the </w:t>
      </w:r>
      <w:r w:rsidR="005440B7" w:rsidRPr="006259CB">
        <w:t xml:space="preserve">Code includes comprehensive policies and procedures to prevent insider trading, ensuring that officers and employees of the Adviser do not misuse material non-public information.  </w:t>
      </w:r>
      <w:r w:rsidR="00420FBA" w:rsidRPr="006259CB">
        <w:t>Employees are also bound by the AM</w:t>
      </w:r>
      <w:r w:rsidR="00267BB8" w:rsidRPr="006259CB">
        <w:t>G</w:t>
      </w:r>
      <w:r w:rsidR="00420FBA" w:rsidRPr="006259CB">
        <w:t xml:space="preserve"> Insider Trading Policy and Procedures (the "AM</w:t>
      </w:r>
      <w:r w:rsidR="00267BB8" w:rsidRPr="006259CB">
        <w:t>G</w:t>
      </w:r>
      <w:r w:rsidR="00420FBA" w:rsidRPr="006259CB">
        <w:t xml:space="preserve"> Insider Trading Policy"), which broadly prohibits the use of material and non-public information and imposes restrictions on the trading of AM</w:t>
      </w:r>
      <w:r w:rsidR="00E86A80" w:rsidRPr="006259CB">
        <w:t>G</w:t>
      </w:r>
      <w:r w:rsidR="00420FBA" w:rsidRPr="006259CB">
        <w:t xml:space="preserve">'s stock. </w:t>
      </w:r>
    </w:p>
    <w:p w14:paraId="59492064" w14:textId="77777777" w:rsidR="005440B7" w:rsidRPr="006259CB" w:rsidRDefault="005440B7" w:rsidP="00873720"/>
    <w:p w14:paraId="5E283D30" w14:textId="4557C30C" w:rsidR="00B0754B" w:rsidRPr="006259CB" w:rsidRDefault="00FD7BFE" w:rsidP="00873720">
      <w:pPr>
        <w:widowControl w:val="0"/>
        <w:autoSpaceDE w:val="0"/>
        <w:autoSpaceDN w:val="0"/>
        <w:rPr>
          <w:color w:val="auto"/>
        </w:rPr>
      </w:pPr>
      <w:r w:rsidRPr="006259CB">
        <w:rPr>
          <w:color w:val="auto"/>
        </w:rPr>
        <w:t xml:space="preserve">At the time of hire and periodically thereafter, Baker Street distributes its Code to all </w:t>
      </w:r>
      <w:r w:rsidR="00F1296C" w:rsidRPr="006259CB">
        <w:rPr>
          <w:color w:val="auto"/>
        </w:rPr>
        <w:t>employees</w:t>
      </w:r>
      <w:r w:rsidR="00420FBA" w:rsidRPr="006259CB">
        <w:rPr>
          <w:color w:val="auto"/>
        </w:rPr>
        <w:t xml:space="preserve"> who m</w:t>
      </w:r>
      <w:r w:rsidRPr="006259CB">
        <w:rPr>
          <w:color w:val="auto"/>
        </w:rPr>
        <w:t xml:space="preserve">ust affirmatively commit to complying with state and federal securities laws, maintaining </w:t>
      </w:r>
      <w:r w:rsidR="00781EFD" w:rsidRPr="006259CB">
        <w:rPr>
          <w:color w:val="auto"/>
        </w:rPr>
        <w:t>Client</w:t>
      </w:r>
      <w:r w:rsidRPr="006259CB">
        <w:rPr>
          <w:color w:val="auto"/>
        </w:rPr>
        <w:t xml:space="preserve"> confidentiality, refraining from insider trading, complying with restrictions on accepting significant gifts, reporting outside activities, and adhering to personal securities trading procedures, among others, particularly for Access Persons. </w:t>
      </w:r>
      <w:r w:rsidR="00F1296C" w:rsidRPr="006259CB">
        <w:rPr>
          <w:color w:val="auto"/>
        </w:rPr>
        <w:t>All employees are considered Access Persons.  Employees</w:t>
      </w:r>
      <w:r w:rsidRPr="006259CB">
        <w:rPr>
          <w:color w:val="auto"/>
        </w:rPr>
        <w:t xml:space="preserve"> are required to attest to their compliance and understanding of these provisions no less than annually. Baker Street also provides annual training on its Code and continuously monitors the activities of its </w:t>
      </w:r>
      <w:r w:rsidR="00F1296C" w:rsidRPr="006259CB">
        <w:rPr>
          <w:color w:val="auto"/>
        </w:rPr>
        <w:t>employees</w:t>
      </w:r>
      <w:r w:rsidRPr="006259CB">
        <w:rPr>
          <w:color w:val="auto"/>
        </w:rPr>
        <w:t xml:space="preserve"> to confirm alignment.  </w:t>
      </w:r>
    </w:p>
    <w:p w14:paraId="1026BF07" w14:textId="77777777" w:rsidR="00B0754B" w:rsidRPr="006259CB" w:rsidRDefault="00B0754B" w:rsidP="00873720">
      <w:pPr>
        <w:widowControl w:val="0"/>
        <w:autoSpaceDE w:val="0"/>
        <w:autoSpaceDN w:val="0"/>
        <w:rPr>
          <w:color w:val="auto"/>
        </w:rPr>
      </w:pPr>
    </w:p>
    <w:p w14:paraId="05BA4A96" w14:textId="618B2C3C" w:rsidR="00FD7BFE" w:rsidRPr="006259CB" w:rsidRDefault="00FD7BFE" w:rsidP="00873720">
      <w:pPr>
        <w:widowControl w:val="0"/>
        <w:autoSpaceDE w:val="0"/>
        <w:autoSpaceDN w:val="0"/>
        <w:rPr>
          <w:color w:val="auto"/>
        </w:rPr>
      </w:pPr>
      <w:r w:rsidRPr="006259CB">
        <w:rPr>
          <w:color w:val="auto"/>
        </w:rPr>
        <w:t xml:space="preserve">A copy of the Adviser’s Code of Ethics is available for review, free of charge, to any </w:t>
      </w:r>
      <w:r w:rsidR="00781EFD" w:rsidRPr="006259CB">
        <w:rPr>
          <w:color w:val="auto"/>
        </w:rPr>
        <w:t>Client</w:t>
      </w:r>
      <w:r w:rsidRPr="006259CB">
        <w:rPr>
          <w:color w:val="auto"/>
        </w:rPr>
        <w:t xml:space="preserve"> or prospective </w:t>
      </w:r>
      <w:r w:rsidR="00781EFD" w:rsidRPr="006259CB">
        <w:rPr>
          <w:color w:val="auto"/>
        </w:rPr>
        <w:t>Client</w:t>
      </w:r>
      <w:r w:rsidRPr="006259CB">
        <w:rPr>
          <w:color w:val="auto"/>
        </w:rPr>
        <w:t xml:space="preserve"> upon request.</w:t>
      </w:r>
    </w:p>
    <w:p w14:paraId="658C2C3C" w14:textId="77777777" w:rsidR="00C21F96" w:rsidRPr="006259CB" w:rsidRDefault="00C21F96" w:rsidP="00873720">
      <w:pPr>
        <w:pStyle w:val="Paragraph"/>
      </w:pPr>
    </w:p>
    <w:p w14:paraId="4D9DFFA9" w14:textId="77777777" w:rsidR="0052753B" w:rsidRPr="006259CB" w:rsidRDefault="0052753B" w:rsidP="00873720">
      <w:pPr>
        <w:pStyle w:val="Paragraph"/>
        <w:rPr>
          <w:lang w:bidi="en-US"/>
        </w:rPr>
      </w:pPr>
      <w:bookmarkStart w:id="90" w:name="_Toc193886465"/>
      <w:r w:rsidRPr="006259CB">
        <w:rPr>
          <w:lang w:bidi="en-US"/>
        </w:rPr>
        <w:t>Recommendations or Transactions in Securities with Material Financial Interests</w:t>
      </w:r>
      <w:bookmarkEnd w:id="90"/>
    </w:p>
    <w:p w14:paraId="4165E6F0" w14:textId="6231B8B3" w:rsidR="0052753B" w:rsidRPr="006259CB" w:rsidRDefault="0052753B" w:rsidP="00873720">
      <w:pPr>
        <w:rPr>
          <w:rFonts w:eastAsia="Arial"/>
          <w:lang w:bidi="en-US"/>
        </w:rPr>
      </w:pPr>
      <w:r w:rsidRPr="332DA7C8">
        <w:rPr>
          <w:rFonts w:eastAsia="Arial"/>
          <w:lang w:bidi="en-US"/>
        </w:rPr>
        <w:t xml:space="preserve">Neither the Adviser nor any </w:t>
      </w:r>
      <w:r w:rsidR="307C6EE6" w:rsidRPr="332DA7C8">
        <w:rPr>
          <w:rFonts w:eastAsia="Arial"/>
          <w:lang w:bidi="en-US"/>
        </w:rPr>
        <w:t>Supervised Person</w:t>
      </w:r>
      <w:r w:rsidR="006C3BE9" w:rsidRPr="332DA7C8">
        <w:rPr>
          <w:rFonts w:eastAsia="Arial"/>
          <w:lang w:bidi="en-US"/>
        </w:rPr>
        <w:t xml:space="preserve"> </w:t>
      </w:r>
      <w:r w:rsidRPr="332DA7C8">
        <w:rPr>
          <w:rFonts w:eastAsia="Arial"/>
          <w:lang w:bidi="en-US"/>
        </w:rPr>
        <w:t>recommend</w:t>
      </w:r>
      <w:r w:rsidR="0038492B" w:rsidRPr="332DA7C8">
        <w:rPr>
          <w:rFonts w:eastAsia="Arial"/>
          <w:lang w:bidi="en-US"/>
        </w:rPr>
        <w:t>s</w:t>
      </w:r>
      <w:r w:rsidRPr="332DA7C8">
        <w:rPr>
          <w:rFonts w:eastAsia="Arial"/>
          <w:lang w:bidi="en-US"/>
        </w:rPr>
        <w:t xml:space="preserve"> to </w:t>
      </w:r>
      <w:r w:rsidR="00781EFD" w:rsidRPr="332DA7C8">
        <w:rPr>
          <w:rFonts w:eastAsia="Arial"/>
          <w:lang w:bidi="en-US"/>
        </w:rPr>
        <w:t>Client</w:t>
      </w:r>
      <w:r w:rsidRPr="332DA7C8">
        <w:rPr>
          <w:rFonts w:eastAsia="Arial"/>
          <w:lang w:bidi="en-US"/>
        </w:rPr>
        <w:t xml:space="preserve">s or buy or sell for </w:t>
      </w:r>
      <w:r w:rsidR="00781EFD" w:rsidRPr="332DA7C8">
        <w:rPr>
          <w:rFonts w:eastAsia="Arial"/>
          <w:lang w:bidi="en-US"/>
        </w:rPr>
        <w:t>Client</w:t>
      </w:r>
      <w:r w:rsidRPr="332DA7C8">
        <w:rPr>
          <w:rFonts w:eastAsia="Arial"/>
          <w:lang w:bidi="en-US"/>
        </w:rPr>
        <w:t xml:space="preserve"> account</w:t>
      </w:r>
      <w:r w:rsidR="00910CD8" w:rsidRPr="332DA7C8">
        <w:rPr>
          <w:rFonts w:eastAsia="Arial"/>
          <w:lang w:bidi="en-US"/>
        </w:rPr>
        <w:t>s</w:t>
      </w:r>
      <w:r w:rsidRPr="332DA7C8">
        <w:rPr>
          <w:rFonts w:eastAsia="Arial"/>
          <w:lang w:bidi="en-US"/>
        </w:rPr>
        <w:t xml:space="preserve"> securities in which the Adviser or an </w:t>
      </w:r>
      <w:r w:rsidR="006B6CF9" w:rsidRPr="332DA7C8">
        <w:rPr>
          <w:rFonts w:eastAsia="Arial"/>
          <w:lang w:bidi="en-US"/>
        </w:rPr>
        <w:t>employee</w:t>
      </w:r>
      <w:r w:rsidRPr="332DA7C8">
        <w:rPr>
          <w:rFonts w:eastAsia="Arial"/>
          <w:lang w:bidi="en-US"/>
        </w:rPr>
        <w:t xml:space="preserve"> has a material financial interest</w:t>
      </w:r>
      <w:r w:rsidR="006A6FD1" w:rsidRPr="332DA7C8">
        <w:rPr>
          <w:rFonts w:eastAsia="Arial"/>
          <w:lang w:bidi="en-US"/>
        </w:rPr>
        <w:t>.</w:t>
      </w:r>
    </w:p>
    <w:p w14:paraId="7D595848" w14:textId="77777777" w:rsidR="0052753B" w:rsidRPr="006259CB" w:rsidRDefault="0052753B" w:rsidP="00873720">
      <w:pPr>
        <w:rPr>
          <w:rFonts w:eastAsia="Arial"/>
        </w:rPr>
      </w:pPr>
    </w:p>
    <w:p w14:paraId="679CACDA" w14:textId="77777777" w:rsidR="0052753B" w:rsidRPr="006259CB" w:rsidRDefault="0052753B" w:rsidP="00873720">
      <w:pPr>
        <w:pStyle w:val="Paragraph"/>
      </w:pPr>
      <w:bookmarkStart w:id="91" w:name="_Toc193886466"/>
      <w:r w:rsidRPr="006259CB">
        <w:t>Participation or Interest in In</w:t>
      </w:r>
      <w:r w:rsidRPr="006259CB">
        <w:rPr>
          <w:lang w:bidi="en-US"/>
        </w:rPr>
        <w:t>vestments in Securities Recommended to Clients</w:t>
      </w:r>
      <w:bookmarkEnd w:id="91"/>
    </w:p>
    <w:p w14:paraId="0C919414" w14:textId="74D01FEC" w:rsidR="00EB7B54" w:rsidRPr="006259CB" w:rsidRDefault="00EB7B54" w:rsidP="00873720">
      <w:pPr>
        <w:rPr>
          <w:color w:val="auto"/>
        </w:rPr>
      </w:pPr>
      <w:r w:rsidRPr="006259CB">
        <w:rPr>
          <w:color w:val="auto"/>
        </w:rPr>
        <w:t xml:space="preserve">The Adviser consults with an </w:t>
      </w:r>
      <w:r w:rsidR="00F1252E" w:rsidRPr="006259CB">
        <w:rPr>
          <w:color w:val="auto"/>
        </w:rPr>
        <w:t>internal Investment</w:t>
      </w:r>
      <w:r w:rsidRPr="006259CB">
        <w:rPr>
          <w:color w:val="auto"/>
        </w:rPr>
        <w:t xml:space="preserve"> Committee to </w:t>
      </w:r>
      <w:r w:rsidR="009214B8" w:rsidRPr="006259CB">
        <w:rPr>
          <w:color w:val="auto"/>
        </w:rPr>
        <w:t>guide</w:t>
      </w:r>
      <w:r w:rsidRPr="006259CB">
        <w:rPr>
          <w:color w:val="auto"/>
        </w:rPr>
        <w:t xml:space="preserve"> model portfolios and asset allocation. In certain cases, we may recommend that </w:t>
      </w:r>
      <w:r w:rsidR="00781EFD" w:rsidRPr="006259CB">
        <w:rPr>
          <w:color w:val="auto"/>
        </w:rPr>
        <w:t>Client</w:t>
      </w:r>
      <w:r w:rsidRPr="006259CB">
        <w:rPr>
          <w:color w:val="auto"/>
        </w:rPr>
        <w:t>s invest with Investment Managers whose employees serve on this advisory committee. While this relationship offers valuable insights, it also creates a potential conflict of interest, as the Adviser benefits from its consulting relationship with the Investment Managers.</w:t>
      </w:r>
    </w:p>
    <w:p w14:paraId="4F2BA6EC" w14:textId="77777777" w:rsidR="00EB7B54" w:rsidRPr="006259CB" w:rsidRDefault="00EB7B54" w:rsidP="00873720">
      <w:pPr>
        <w:rPr>
          <w:color w:val="auto"/>
        </w:rPr>
      </w:pPr>
    </w:p>
    <w:p w14:paraId="47EA7FF5" w14:textId="0DCB07CC" w:rsidR="00EB7B54" w:rsidRPr="006259CB" w:rsidRDefault="00EB7B54" w:rsidP="00873720">
      <w:pPr>
        <w:rPr>
          <w:color w:val="auto"/>
        </w:rPr>
      </w:pPr>
      <w:r w:rsidRPr="006259CB">
        <w:rPr>
          <w:color w:val="auto"/>
        </w:rPr>
        <w:t xml:space="preserve">To address and mitigate conflicts of interest, </w:t>
      </w:r>
      <w:r w:rsidR="009214B8" w:rsidRPr="006259CB">
        <w:rPr>
          <w:color w:val="auto"/>
        </w:rPr>
        <w:t>Baker Street</w:t>
      </w:r>
      <w:r w:rsidRPr="006259CB">
        <w:rPr>
          <w:color w:val="auto"/>
        </w:rPr>
        <w:t xml:space="preserve"> has established comprehensive procedures</w:t>
      </w:r>
      <w:r w:rsidR="009214B8" w:rsidRPr="006259CB">
        <w:rPr>
          <w:color w:val="auto"/>
        </w:rPr>
        <w:t xml:space="preserve"> </w:t>
      </w:r>
      <w:r w:rsidRPr="006259CB">
        <w:rPr>
          <w:color w:val="auto"/>
        </w:rPr>
        <w:t xml:space="preserve">designed to manage conflicts arising from personal trading activities and relationships with Investment Managers. Specifically, employees may, on a limited basis, buy or sell securities for their accounts that are also recommended to </w:t>
      </w:r>
      <w:r w:rsidR="00781EFD" w:rsidRPr="006259CB">
        <w:rPr>
          <w:color w:val="auto"/>
        </w:rPr>
        <w:t>Client</w:t>
      </w:r>
      <w:r w:rsidRPr="006259CB">
        <w:rPr>
          <w:color w:val="auto"/>
        </w:rPr>
        <w:t>s</w:t>
      </w:r>
      <w:r w:rsidR="009214B8" w:rsidRPr="006259CB">
        <w:rPr>
          <w:color w:val="auto"/>
        </w:rPr>
        <w:t xml:space="preserve">. This could </w:t>
      </w:r>
      <w:r w:rsidRPr="006259CB">
        <w:rPr>
          <w:color w:val="auto"/>
        </w:rPr>
        <w:t>create a conflict of interest if they materially benefit from such transactions.</w:t>
      </w:r>
    </w:p>
    <w:p w14:paraId="5795DD33" w14:textId="77777777" w:rsidR="00125CDB" w:rsidRPr="006259CB" w:rsidRDefault="00125CDB" w:rsidP="00873720">
      <w:pPr>
        <w:rPr>
          <w:color w:val="auto"/>
        </w:rPr>
      </w:pPr>
    </w:p>
    <w:p w14:paraId="302CEE9B" w14:textId="2B53C186" w:rsidR="00EB7B54" w:rsidRPr="006259CB" w:rsidRDefault="00EB7B54" w:rsidP="00873720">
      <w:pPr>
        <w:rPr>
          <w:color w:val="auto"/>
        </w:rPr>
      </w:pPr>
      <w:r w:rsidRPr="006259CB">
        <w:rPr>
          <w:color w:val="auto"/>
        </w:rPr>
        <w:t>To manage this potential conflict, employees are required to pre-clear transactions in private placements and interests in private investment funds, subject to approval by the firm’s Chief Compliance Officer. Additionally, the personal investment activity of the Adviser’s employees is reviewed quarterly.</w:t>
      </w:r>
      <w:r w:rsidR="009214B8" w:rsidRPr="006259CB">
        <w:rPr>
          <w:color w:val="auto"/>
        </w:rPr>
        <w:t xml:space="preserve"> They also must </w:t>
      </w:r>
      <w:r w:rsidRPr="006259CB">
        <w:rPr>
          <w:color w:val="auto"/>
        </w:rPr>
        <w:t>report certain personal securities transactions on a quarterly basis and provide an annual summary of holdings, including those in which they have a direct or indirect beneficial interest. This reporting requirement applies both upon commencement of employment and annually thereafter.</w:t>
      </w:r>
    </w:p>
    <w:p w14:paraId="3198E80E" w14:textId="77777777" w:rsidR="005440B7" w:rsidRPr="006259CB" w:rsidRDefault="005440B7" w:rsidP="00873720"/>
    <w:p w14:paraId="67528577" w14:textId="0C59BDC8" w:rsidR="00967F9A" w:rsidRPr="006259CB" w:rsidRDefault="57DC6029" w:rsidP="00873720">
      <w:pPr>
        <w:pStyle w:val="Heading3"/>
        <w:spacing w:before="0"/>
        <w:rPr>
          <w:rStyle w:val="Strong"/>
          <w:b/>
          <w:bCs/>
          <w:sz w:val="20"/>
          <w:szCs w:val="20"/>
        </w:rPr>
      </w:pPr>
      <w:bookmarkStart w:id="92" w:name="_Toc194300685"/>
      <w:bookmarkStart w:id="93" w:name="_Toc225322730"/>
      <w:r w:rsidRPr="21FD5452">
        <w:rPr>
          <w:rStyle w:val="Strong"/>
          <w:b/>
          <w:bCs/>
          <w:sz w:val="20"/>
          <w:szCs w:val="20"/>
        </w:rPr>
        <w:t xml:space="preserve">Personal Trading </w:t>
      </w:r>
      <w:r w:rsidR="59C5A26F" w:rsidRPr="21FD5452">
        <w:rPr>
          <w:rStyle w:val="Strong"/>
          <w:b/>
          <w:bCs/>
          <w:sz w:val="20"/>
          <w:szCs w:val="20"/>
        </w:rPr>
        <w:t>&amp;</w:t>
      </w:r>
      <w:r w:rsidRPr="21FD5452">
        <w:rPr>
          <w:rStyle w:val="Strong"/>
          <w:b/>
          <w:bCs/>
          <w:sz w:val="20"/>
          <w:szCs w:val="20"/>
        </w:rPr>
        <w:t xml:space="preserve"> Pre-Clearance Procedures</w:t>
      </w:r>
      <w:bookmarkEnd w:id="92"/>
      <w:bookmarkEnd w:id="93"/>
    </w:p>
    <w:p w14:paraId="4D568907" w14:textId="57F2C83D" w:rsidR="0048379C" w:rsidRPr="006259CB" w:rsidRDefault="00576DA9" w:rsidP="00873720">
      <w:r w:rsidRPr="006259CB">
        <w:t xml:space="preserve">As noted above, </w:t>
      </w:r>
      <w:r w:rsidR="00385450" w:rsidRPr="006259CB">
        <w:t>Baker Street</w:t>
      </w:r>
      <w:r w:rsidR="0048379C" w:rsidRPr="006259CB">
        <w:t xml:space="preserve"> monitors all firm and </w:t>
      </w:r>
      <w:r w:rsidR="00976BC4" w:rsidRPr="006259CB">
        <w:t>employee</w:t>
      </w:r>
      <w:r w:rsidR="0048379C" w:rsidRPr="006259CB">
        <w:t xml:space="preserve"> personal trading activities to verify that such trades align with the fiduciary obligations owed to </w:t>
      </w:r>
      <w:r w:rsidR="00781EFD" w:rsidRPr="006259CB">
        <w:t>Client</w:t>
      </w:r>
      <w:r w:rsidR="0048379C" w:rsidRPr="006259CB">
        <w:t xml:space="preserve">s. </w:t>
      </w:r>
      <w:r w:rsidR="006A6FD1" w:rsidRPr="006259CB">
        <w:t>The Adviser’s</w:t>
      </w:r>
      <w:r w:rsidR="0048379C" w:rsidRPr="006259CB">
        <w:t xml:space="preserve"> policies and procedures regarding personal trading are designed to ensure that all trading activities are conducted in the best interest of </w:t>
      </w:r>
      <w:r w:rsidR="00781EFD" w:rsidRPr="006259CB">
        <w:t>Client</w:t>
      </w:r>
      <w:r w:rsidR="0048379C" w:rsidRPr="006259CB">
        <w:t xml:space="preserve">s and </w:t>
      </w:r>
      <w:r w:rsidR="006A6FD1" w:rsidRPr="006259CB">
        <w:t xml:space="preserve">in </w:t>
      </w:r>
      <w:r w:rsidR="0048379C" w:rsidRPr="006259CB">
        <w:t xml:space="preserve">full compliance with applicable regulations. All personal securities transactions </w:t>
      </w:r>
      <w:r w:rsidR="006A69BE" w:rsidRPr="006259CB">
        <w:t xml:space="preserve">on the </w:t>
      </w:r>
      <w:r w:rsidR="0010229C" w:rsidRPr="006259CB">
        <w:t xml:space="preserve">firm’s Restricted List </w:t>
      </w:r>
      <w:r w:rsidR="0048379C" w:rsidRPr="006259CB">
        <w:t>require clearance from the Chief Compliance Officer or Designee</w:t>
      </w:r>
      <w:r w:rsidR="00FB5C8F" w:rsidRPr="006259CB">
        <w:t>,</w:t>
      </w:r>
      <w:r w:rsidR="0010229C" w:rsidRPr="006259CB">
        <w:t xml:space="preserve"> </w:t>
      </w:r>
      <w:r w:rsidR="0048379C" w:rsidRPr="006259CB">
        <w:t xml:space="preserve">and </w:t>
      </w:r>
      <w:r w:rsidR="00531A01" w:rsidRPr="006259CB">
        <w:t>Baker Street</w:t>
      </w:r>
      <w:r w:rsidR="0048379C" w:rsidRPr="006259CB">
        <w:t xml:space="preserve"> retains the discretion to disapprove such personal securities transactions if they appear to create a conflict of interest or if the transaction otherwise seems improper.  In addition, </w:t>
      </w:r>
      <w:r w:rsidR="00531A01" w:rsidRPr="006259CB">
        <w:t>the Adviser</w:t>
      </w:r>
      <w:r w:rsidR="0048379C" w:rsidRPr="006259CB">
        <w:t xml:space="preserve"> has a strict prohibition against insider trading and has implemented policies and procedures to ensure compliance with this policy. </w:t>
      </w:r>
      <w:r w:rsidR="0022008A" w:rsidRPr="006259CB">
        <w:t>Employees</w:t>
      </w:r>
      <w:r w:rsidR="0048379C" w:rsidRPr="006259CB">
        <w:t xml:space="preserve"> are well-versed in the rules regarding material non-public information and insider trading and are prohibited from using such information for personal gain. </w:t>
      </w:r>
    </w:p>
    <w:p w14:paraId="0BD3A9AA" w14:textId="77777777" w:rsidR="0048379C" w:rsidRPr="006259CB" w:rsidRDefault="0048379C" w:rsidP="00873720"/>
    <w:p w14:paraId="7D1EEFD9" w14:textId="3CA595E6" w:rsidR="0048379C" w:rsidRPr="006259CB" w:rsidRDefault="0048379C" w:rsidP="00873720">
      <w:r w:rsidRPr="006259CB">
        <w:t xml:space="preserve">In all instances, the </w:t>
      </w:r>
      <w:r w:rsidR="00781EFD" w:rsidRPr="006259CB">
        <w:t>Client</w:t>
      </w:r>
      <w:r w:rsidRPr="006259CB">
        <w:t xml:space="preserve">’s best interests remain paramount when executing trades.  </w:t>
      </w:r>
      <w:r w:rsidR="0022008A" w:rsidRPr="006259CB">
        <w:t>Employees</w:t>
      </w:r>
      <w:r w:rsidRPr="006259CB">
        <w:t xml:space="preserve"> are required to disclose their personal securities transactions at the time of onboarding and periodically thereafter</w:t>
      </w:r>
      <w:r w:rsidR="00FB5C8F" w:rsidRPr="006259CB">
        <w:t>,</w:t>
      </w:r>
      <w:r w:rsidRPr="006259CB">
        <w:t xml:space="preserve"> and submit trade confirmations to the Chief Compliance Officer or Designee for review. The firm conducts regular reviews of personal </w:t>
      </w:r>
      <w:r w:rsidRPr="006259CB">
        <w:lastRenderedPageBreak/>
        <w:t xml:space="preserve">trading activity, with a comprehensive review occurring no less than quarterly. In the event that a conflict of interest is </w:t>
      </w:r>
      <w:r w:rsidR="000C481F" w:rsidRPr="006259CB">
        <w:t>identified</w:t>
      </w:r>
      <w:r w:rsidRPr="006259CB">
        <w:t xml:space="preserve"> or a policy violation occurs, the firm will take appropriate corrective actions.</w:t>
      </w:r>
    </w:p>
    <w:p w14:paraId="259E58C2" w14:textId="634E965B" w:rsidR="00CB234F" w:rsidRDefault="00CB234F" w:rsidP="00873720">
      <w:r w:rsidRPr="006259CB">
        <w:t xml:space="preserve"> </w:t>
      </w:r>
    </w:p>
    <w:p w14:paraId="57F5BE0C" w14:textId="77777777" w:rsidR="00521218" w:rsidRPr="006259CB" w:rsidRDefault="00521218" w:rsidP="00873720"/>
    <w:p w14:paraId="7CC951C7" w14:textId="77777777" w:rsidR="00385450" w:rsidRPr="006259CB" w:rsidRDefault="00385450" w:rsidP="00873720">
      <w:pPr>
        <w:pStyle w:val="Paragraph"/>
      </w:pPr>
      <w:bookmarkStart w:id="94" w:name="_Toc193886469"/>
      <w:r w:rsidRPr="006259CB">
        <w:t>Agency Cross-Trades</w:t>
      </w:r>
      <w:bookmarkEnd w:id="94"/>
    </w:p>
    <w:p w14:paraId="525343D7" w14:textId="19CCAE21" w:rsidR="00385450" w:rsidRPr="006259CB" w:rsidRDefault="00385450" w:rsidP="00873720">
      <w:pPr>
        <w:rPr>
          <w:color w:val="auto"/>
        </w:rPr>
      </w:pPr>
      <w:r w:rsidRPr="006259CB">
        <w:rPr>
          <w:color w:val="auto"/>
        </w:rPr>
        <w:t xml:space="preserve">An </w:t>
      </w:r>
      <w:r w:rsidRPr="006259CB">
        <w:rPr>
          <w:color w:val="auto"/>
          <w:u w:val="single"/>
        </w:rPr>
        <w:t>agency cross-trade</w:t>
      </w:r>
      <w:r w:rsidRPr="006259CB">
        <w:rPr>
          <w:color w:val="auto"/>
        </w:rPr>
        <w:t xml:space="preserve"> occurs when an investment adviser executes a trade between two or more of its advisory </w:t>
      </w:r>
      <w:r w:rsidR="00781EFD" w:rsidRPr="006259CB">
        <w:rPr>
          <w:color w:val="auto"/>
        </w:rPr>
        <w:t>Client</w:t>
      </w:r>
      <w:r w:rsidRPr="006259CB">
        <w:rPr>
          <w:color w:val="auto"/>
        </w:rPr>
        <w:t>s’ accounts.  Baker Street does not engage in agency cross-trades.</w:t>
      </w:r>
    </w:p>
    <w:p w14:paraId="5F5E7562" w14:textId="77777777" w:rsidR="00385450" w:rsidRPr="006259CB" w:rsidRDefault="00385450" w:rsidP="00873720">
      <w:pPr>
        <w:rPr>
          <w:color w:val="auto"/>
        </w:rPr>
      </w:pPr>
    </w:p>
    <w:p w14:paraId="45CA081E" w14:textId="77777777" w:rsidR="00385450" w:rsidRPr="006259CB" w:rsidRDefault="00385450" w:rsidP="00873720">
      <w:pPr>
        <w:pStyle w:val="Paragraph"/>
      </w:pPr>
      <w:bookmarkStart w:id="95" w:name="_Toc193886470"/>
      <w:r w:rsidRPr="006259CB">
        <w:t>Principal Trades</w:t>
      </w:r>
      <w:bookmarkEnd w:id="95"/>
    </w:p>
    <w:p w14:paraId="72A646BB" w14:textId="201D298E" w:rsidR="00385450" w:rsidRPr="006259CB" w:rsidRDefault="00385450" w:rsidP="00873720">
      <w:pPr>
        <w:rPr>
          <w:color w:val="auto"/>
        </w:rPr>
      </w:pPr>
      <w:r w:rsidRPr="006259CB">
        <w:rPr>
          <w:color w:val="auto"/>
        </w:rPr>
        <w:t xml:space="preserve">A </w:t>
      </w:r>
      <w:r w:rsidRPr="006259CB">
        <w:rPr>
          <w:color w:val="auto"/>
          <w:u w:val="single"/>
        </w:rPr>
        <w:t>principal trade</w:t>
      </w:r>
      <w:r w:rsidRPr="006259CB">
        <w:rPr>
          <w:color w:val="auto"/>
        </w:rPr>
        <w:t xml:space="preserve"> is one in which an investment adviser, acting as principal for its account, buys securities from a </w:t>
      </w:r>
      <w:r w:rsidR="00781EFD" w:rsidRPr="006259CB">
        <w:rPr>
          <w:color w:val="auto"/>
        </w:rPr>
        <w:t>Client</w:t>
      </w:r>
      <w:r w:rsidRPr="006259CB">
        <w:rPr>
          <w:color w:val="auto"/>
        </w:rPr>
        <w:t xml:space="preserve"> or sells securities to a </w:t>
      </w:r>
      <w:r w:rsidR="00781EFD" w:rsidRPr="006259CB">
        <w:rPr>
          <w:color w:val="auto"/>
        </w:rPr>
        <w:t>Client</w:t>
      </w:r>
      <w:r w:rsidRPr="006259CB">
        <w:rPr>
          <w:color w:val="auto"/>
        </w:rPr>
        <w:t xml:space="preserve">.  Baker Street does not engage in principal trades.  </w:t>
      </w:r>
    </w:p>
    <w:p w14:paraId="3F6136F1" w14:textId="5C25A8CC" w:rsidR="00385450" w:rsidRPr="006259CB" w:rsidRDefault="00385450" w:rsidP="00873720">
      <w:pPr>
        <w:rPr>
          <w:color w:val="auto"/>
        </w:rPr>
      </w:pPr>
    </w:p>
    <w:p w14:paraId="6068431E" w14:textId="77777777" w:rsidR="00FB3669" w:rsidRPr="006259CB" w:rsidRDefault="00FB3669" w:rsidP="00873720"/>
    <w:p w14:paraId="468291BB" w14:textId="609ACFCC" w:rsidR="008E39FA" w:rsidRPr="006259CB" w:rsidRDefault="2C54DDDE" w:rsidP="00873720">
      <w:pPr>
        <w:pStyle w:val="Item"/>
      </w:pPr>
      <w:bookmarkStart w:id="96" w:name="_Toc270409654"/>
      <w:bookmarkStart w:id="97" w:name="_Toc225322731"/>
      <w:r>
        <w:t xml:space="preserve">Item 12:  </w:t>
      </w:r>
      <w:r w:rsidR="3C14E57C">
        <w:t>Brokerage Practices</w:t>
      </w:r>
      <w:bookmarkEnd w:id="96"/>
      <w:bookmarkEnd w:id="97"/>
    </w:p>
    <w:p w14:paraId="68B1ED50" w14:textId="42CD26C4" w:rsidR="00961C2B" w:rsidRPr="006259CB" w:rsidRDefault="00961C2B" w:rsidP="00FE0300">
      <w:pPr>
        <w:spacing w:after="60"/>
        <w:rPr>
          <w:b/>
          <w:color w:val="6586A4"/>
        </w:rPr>
      </w:pPr>
      <w:r w:rsidRPr="006259CB">
        <w:rPr>
          <w:color w:val="6586A4"/>
        </w:rPr>
        <w:t>___________________________________________________</w:t>
      </w:r>
      <w:r w:rsidR="00914BE5" w:rsidRPr="006259CB">
        <w:rPr>
          <w:color w:val="6586A4"/>
        </w:rPr>
        <w:t>_____</w:t>
      </w:r>
      <w:r w:rsidRPr="006259CB">
        <w:rPr>
          <w:color w:val="6586A4"/>
        </w:rPr>
        <w:t>__________________________________</w:t>
      </w:r>
    </w:p>
    <w:p w14:paraId="2D33DD42" w14:textId="77777777" w:rsidR="00274BC0" w:rsidRPr="006259CB" w:rsidRDefault="00274BC0" w:rsidP="00873720">
      <w:pPr>
        <w:pStyle w:val="Paragraph"/>
      </w:pPr>
      <w:bookmarkStart w:id="98" w:name="_Toc193886473"/>
      <w:r w:rsidRPr="006259CB">
        <w:t>Preferred Custodians</w:t>
      </w:r>
      <w:bookmarkEnd w:id="98"/>
      <w:r w:rsidRPr="006259CB">
        <w:t xml:space="preserve"> </w:t>
      </w:r>
    </w:p>
    <w:p w14:paraId="245D6A9C" w14:textId="48D95399" w:rsidR="00626969" w:rsidRPr="006259CB" w:rsidRDefault="00D511E4" w:rsidP="00873720">
      <w:pPr>
        <w:rPr>
          <w:rFonts w:eastAsiaTheme="minorHAnsi"/>
          <w:color w:val="000000"/>
        </w:rPr>
      </w:pPr>
      <w:r w:rsidRPr="006259CB">
        <w:rPr>
          <w:color w:val="auto"/>
        </w:rPr>
        <w:t xml:space="preserve">Following thorough due diligence and careful consideration of the brokerage practices outlined in this section, Baker Street will assist the Client in establishing a relationship with brokers with whom the Adviser has existing </w:t>
      </w:r>
      <w:r w:rsidR="006C1CB6" w:rsidRPr="006259CB">
        <w:rPr>
          <w:color w:val="auto"/>
        </w:rPr>
        <w:t>relationships</w:t>
      </w:r>
      <w:r w:rsidR="00E27654" w:rsidRPr="006259CB">
        <w:rPr>
          <w:color w:val="auto"/>
        </w:rPr>
        <w:t xml:space="preserve"> to custody the Client's assets and facilitate trade executions, </w:t>
      </w:r>
      <w:r w:rsidRPr="006259CB">
        <w:rPr>
          <w:color w:val="auto"/>
        </w:rPr>
        <w:t xml:space="preserve">including </w:t>
      </w:r>
      <w:hyperlink r:id="rId17" w:history="1">
        <w:r w:rsidRPr="00521218">
          <w:rPr>
            <w:rStyle w:val="Hyperlink"/>
            <w:color w:val="4F81BD"/>
          </w:rPr>
          <w:t>Fidelity Brokerage Services LLC</w:t>
        </w:r>
      </w:hyperlink>
      <w:r w:rsidRPr="006259CB">
        <w:t xml:space="preserve"> (“Fidelity”) and </w:t>
      </w:r>
      <w:hyperlink r:id="rId18" w:history="1">
        <w:r w:rsidRPr="00521218">
          <w:rPr>
            <w:rStyle w:val="Hyperlink"/>
            <w:color w:val="4F81BD"/>
            <w:szCs w:val="21"/>
          </w:rPr>
          <w:t>Charles Schwab &amp; Co., Inc.</w:t>
        </w:r>
      </w:hyperlink>
      <w:r w:rsidRPr="006259CB">
        <w:rPr>
          <w:color w:val="auto"/>
        </w:rPr>
        <w:t xml:space="preserve"> (“Schwab”), each an unaffiliated, SEC-registered broker-dealer and member of </w:t>
      </w:r>
      <w:hyperlink r:id="rId19" w:history="1">
        <w:r w:rsidRPr="00521218">
          <w:rPr>
            <w:rFonts w:eastAsia="Calibri"/>
            <w:color w:val="4F81BD"/>
            <w:szCs w:val="21"/>
            <w:u w:val="single"/>
          </w:rPr>
          <w:t>FINRA</w:t>
        </w:r>
      </w:hyperlink>
      <w:r w:rsidRPr="006259CB">
        <w:t xml:space="preserve"> </w:t>
      </w:r>
      <w:r w:rsidRPr="006259CB">
        <w:rPr>
          <w:rFonts w:eastAsia="Calibri"/>
          <w:szCs w:val="21"/>
        </w:rPr>
        <w:t xml:space="preserve">/ </w:t>
      </w:r>
      <w:hyperlink r:id="rId20" w:history="1">
        <w:r w:rsidRPr="00521218">
          <w:rPr>
            <w:rFonts w:eastAsia="Calibri"/>
            <w:color w:val="4F81BD"/>
            <w:szCs w:val="21"/>
            <w:u w:val="single"/>
          </w:rPr>
          <w:t>SIPC</w:t>
        </w:r>
      </w:hyperlink>
      <w:r w:rsidR="006C409A" w:rsidRPr="006259CB">
        <w:rPr>
          <w:color w:val="auto"/>
        </w:rPr>
        <w:t xml:space="preserve"> and </w:t>
      </w:r>
      <w:hyperlink r:id="rId21" w:history="1">
        <w:r w:rsidR="0092047A" w:rsidRPr="00521218">
          <w:rPr>
            <w:rStyle w:val="Hyperlink"/>
            <w:rFonts w:eastAsiaTheme="minorHAnsi"/>
            <w:color w:val="4F81BD"/>
          </w:rPr>
          <w:t>SEI Investments Compan</w:t>
        </w:r>
        <w:r w:rsidR="0092047A" w:rsidRPr="006259CB">
          <w:rPr>
            <w:rStyle w:val="Hyperlink"/>
            <w:rFonts w:eastAsiaTheme="minorHAnsi"/>
            <w:color w:val="0070C0"/>
          </w:rPr>
          <w:t>y</w:t>
        </w:r>
      </w:hyperlink>
      <w:r w:rsidR="0092047A" w:rsidRPr="006259CB">
        <w:rPr>
          <w:rFonts w:eastAsiaTheme="minorHAnsi"/>
        </w:rPr>
        <w:t>.</w:t>
      </w:r>
    </w:p>
    <w:p w14:paraId="23669B0A" w14:textId="77777777" w:rsidR="000118C8" w:rsidRPr="006259CB" w:rsidRDefault="000118C8" w:rsidP="00873720">
      <w:pPr>
        <w:rPr>
          <w:rFonts w:eastAsiaTheme="minorHAnsi"/>
          <w:color w:val="000000"/>
        </w:rPr>
      </w:pPr>
    </w:p>
    <w:p w14:paraId="5DB8C89C" w14:textId="77777777" w:rsidR="00626969" w:rsidRPr="006259CB" w:rsidRDefault="00626969" w:rsidP="00873720">
      <w:pPr>
        <w:pStyle w:val="Paragraph"/>
        <w:rPr>
          <w:rStyle w:val="BookTitle"/>
          <w:rFonts w:eastAsia="Arial"/>
          <w:i w:val="0"/>
          <w:iCs w:val="0"/>
          <w:color w:val="6586A4"/>
          <w:lang w:eastAsia="en-US" w:bidi="ar-SA"/>
        </w:rPr>
      </w:pPr>
      <w:bookmarkStart w:id="99" w:name="_Toc271540860"/>
      <w:bookmarkStart w:id="100" w:name="_Toc291144482"/>
      <w:bookmarkStart w:id="101" w:name="_Toc508184969"/>
      <w:bookmarkStart w:id="102" w:name="_Toc514443651"/>
      <w:bookmarkStart w:id="103" w:name="_Toc514444407"/>
      <w:bookmarkStart w:id="104" w:name="_Toc529877519"/>
      <w:bookmarkStart w:id="105" w:name="_Toc529877959"/>
      <w:bookmarkStart w:id="106" w:name="_Toc9337615"/>
      <w:bookmarkStart w:id="107" w:name="_Toc193886474"/>
      <w:bookmarkStart w:id="108" w:name="_Toc508184971"/>
      <w:bookmarkStart w:id="109" w:name="_Toc514443653"/>
      <w:bookmarkStart w:id="110" w:name="_Toc514444409"/>
      <w:r w:rsidRPr="006259CB">
        <w:rPr>
          <w:rStyle w:val="BookTitle"/>
          <w:rFonts w:eastAsia="Arial"/>
          <w:i w:val="0"/>
          <w:iCs w:val="0"/>
          <w:color w:val="6586A4"/>
          <w:lang w:eastAsia="en-US" w:bidi="ar-SA"/>
        </w:rPr>
        <w:t>Factors Used to Select &amp; Recommend Custodians &amp; Broker-Dealers</w:t>
      </w:r>
      <w:bookmarkEnd w:id="99"/>
      <w:bookmarkEnd w:id="100"/>
      <w:bookmarkEnd w:id="101"/>
      <w:bookmarkEnd w:id="102"/>
      <w:bookmarkEnd w:id="103"/>
      <w:bookmarkEnd w:id="104"/>
      <w:bookmarkEnd w:id="105"/>
      <w:bookmarkEnd w:id="106"/>
      <w:bookmarkEnd w:id="107"/>
    </w:p>
    <w:bookmarkEnd w:id="108"/>
    <w:bookmarkEnd w:id="109"/>
    <w:bookmarkEnd w:id="110"/>
    <w:p w14:paraId="129093C8" w14:textId="18783194" w:rsidR="00626969" w:rsidRPr="006259CB" w:rsidRDefault="00626969" w:rsidP="00873720">
      <w:r w:rsidRPr="006259CB">
        <w:t>Baker Street will make recommendations based on the needs of the Client and the services provided by the broker/custodian, such as the ability to execute trades, margin rates, online access to accounts, transaction charges, consolidated reporting, duplicate monthly statements, access to mutual funds, including lower sales charges than for direct purchases and lower minimum purchase amounts</w:t>
      </w:r>
      <w:r w:rsidR="003F4794" w:rsidRPr="006259CB">
        <w:t>, among others.</w:t>
      </w:r>
    </w:p>
    <w:p w14:paraId="503E3451" w14:textId="77777777" w:rsidR="00FB190B" w:rsidRPr="006259CB" w:rsidRDefault="00FB190B" w:rsidP="00873720">
      <w:pPr>
        <w:rPr>
          <w:rFonts w:eastAsia="Calibri"/>
          <w:szCs w:val="21"/>
        </w:rPr>
      </w:pPr>
    </w:p>
    <w:p w14:paraId="05184FB6" w14:textId="77777777" w:rsidR="009920AB" w:rsidRPr="006259CB" w:rsidRDefault="009920AB" w:rsidP="00873720">
      <w:pPr>
        <w:pStyle w:val="Paragraph"/>
        <w:rPr>
          <w:rStyle w:val="BookTitle"/>
          <w:i w:val="0"/>
          <w:iCs w:val="0"/>
          <w:color w:val="6586A4"/>
          <w:lang w:eastAsia="en-US" w:bidi="ar-SA"/>
        </w:rPr>
      </w:pPr>
      <w:bookmarkStart w:id="111" w:name="_Toc529877521"/>
      <w:bookmarkStart w:id="112" w:name="_Toc529877961"/>
      <w:bookmarkStart w:id="113" w:name="_Toc9337616"/>
      <w:bookmarkStart w:id="114" w:name="_Toc193886475"/>
      <w:bookmarkStart w:id="115" w:name="_Toc508184973"/>
      <w:r w:rsidRPr="006259CB">
        <w:rPr>
          <w:rStyle w:val="BookTitle"/>
          <w:rFonts w:eastAsia="Arial"/>
          <w:i w:val="0"/>
          <w:iCs w:val="0"/>
          <w:color w:val="6586A4"/>
          <w:lang w:eastAsia="en-US" w:bidi="ar-SA"/>
        </w:rPr>
        <w:t>Custodial Support Services</w:t>
      </w:r>
      <w:bookmarkEnd w:id="111"/>
      <w:bookmarkEnd w:id="112"/>
      <w:bookmarkEnd w:id="113"/>
      <w:bookmarkEnd w:id="114"/>
    </w:p>
    <w:p w14:paraId="7661EF23" w14:textId="77777777" w:rsidR="002415E0" w:rsidRDefault="00697A8A" w:rsidP="00873720">
      <w:pPr>
        <w:rPr>
          <w:i/>
          <w:iCs/>
          <w:color w:val="595959" w:themeColor="text1" w:themeTint="A6"/>
        </w:rPr>
      </w:pPr>
      <w:r w:rsidRPr="006259CB">
        <w:t xml:space="preserve">Custodians provide independent investment advisory firms with access to institutional brokerage services, including trading, custody, reporting, and other related services. These services, typically unavailable to retail customers, are offered unsolicited, meaning advisory firms do not need to request them. </w:t>
      </w:r>
      <w:r w:rsidR="002D57D0" w:rsidRPr="006259CB">
        <w:t>This c</w:t>
      </w:r>
      <w:r w:rsidRPr="006259CB">
        <w:t xml:space="preserve">ustodial support helps advisers </w:t>
      </w:r>
      <w:r w:rsidR="001631B2" w:rsidRPr="006259CB">
        <w:t xml:space="preserve">like Baker Street </w:t>
      </w:r>
      <w:r w:rsidRPr="006259CB">
        <w:t xml:space="preserve">manage </w:t>
      </w:r>
      <w:r w:rsidR="00781EFD" w:rsidRPr="006259CB">
        <w:t>Client</w:t>
      </w:r>
      <w:r w:rsidRPr="006259CB">
        <w:t xml:space="preserve"> accounts and grow their businesses</w:t>
      </w:r>
      <w:r w:rsidR="00327CF7" w:rsidRPr="006259CB">
        <w:t xml:space="preserve">. They are </w:t>
      </w:r>
      <w:r w:rsidR="002D57D0" w:rsidRPr="006259CB">
        <w:t xml:space="preserve">typically </w:t>
      </w:r>
      <w:r w:rsidR="003C1FF2" w:rsidRPr="006259CB">
        <w:t xml:space="preserve">available at no charge, provided a qualifying amount of </w:t>
      </w:r>
      <w:r w:rsidR="00781EFD" w:rsidRPr="006259CB">
        <w:t>Client</w:t>
      </w:r>
      <w:r w:rsidR="003C1FF2" w:rsidRPr="006259CB">
        <w:t xml:space="preserve"> account assets is maintained with the custodian</w:t>
      </w:r>
      <w:r w:rsidR="00327CF7" w:rsidRPr="006259CB">
        <w:t>(s)</w:t>
      </w:r>
      <w:r w:rsidR="003C1FF2" w:rsidRPr="006259CB">
        <w:rPr>
          <w:i/>
          <w:iCs/>
          <w:color w:val="595959" w:themeColor="text1" w:themeTint="A6"/>
        </w:rPr>
        <w:t xml:space="preserve">. </w:t>
      </w:r>
    </w:p>
    <w:p w14:paraId="34DB32E2" w14:textId="77777777" w:rsidR="002415E0" w:rsidRDefault="002415E0" w:rsidP="00873720">
      <w:pPr>
        <w:rPr>
          <w:i/>
          <w:iCs/>
          <w:color w:val="595959" w:themeColor="text1" w:themeTint="A6"/>
        </w:rPr>
      </w:pPr>
    </w:p>
    <w:p w14:paraId="2591537C" w14:textId="26200136" w:rsidR="009920AB" w:rsidRPr="006259CB" w:rsidRDefault="003F4794" w:rsidP="00873720">
      <w:r w:rsidRPr="006259CB">
        <w:t xml:space="preserve">As part of the programs offered by </w:t>
      </w:r>
      <w:r w:rsidR="00E24F6E" w:rsidRPr="006259CB">
        <w:t xml:space="preserve">its </w:t>
      </w:r>
      <w:r w:rsidR="00447437" w:rsidRPr="006259CB">
        <w:t xml:space="preserve">custodians, </w:t>
      </w:r>
      <w:r w:rsidR="00E24F6E" w:rsidRPr="006259CB">
        <w:t xml:space="preserve">Baker Street </w:t>
      </w:r>
      <w:r w:rsidR="00C11148" w:rsidRPr="006259CB">
        <w:t xml:space="preserve">could </w:t>
      </w:r>
      <w:r w:rsidRPr="006259CB">
        <w:t xml:space="preserve">receive benefits that it would not receive if it did not provide investment advice to Clients. These benefits do not depend on the amount of transactions directed by </w:t>
      </w:r>
      <w:r w:rsidR="00447437" w:rsidRPr="006259CB">
        <w:t>t</w:t>
      </w:r>
      <w:r w:rsidRPr="006259CB">
        <w:t xml:space="preserve">he Adviser to </w:t>
      </w:r>
      <w:r w:rsidR="00447437" w:rsidRPr="006259CB">
        <w:t>these custodians.</w:t>
      </w:r>
    </w:p>
    <w:p w14:paraId="0C5BA3E6" w14:textId="18052A5D" w:rsidR="002132A5" w:rsidRPr="006259CB" w:rsidRDefault="7AEB5106" w:rsidP="00873720">
      <w:pPr>
        <w:pStyle w:val="Heading2"/>
        <w:rPr>
          <w:color w:val="000000" w:themeColor="text1"/>
          <w:lang w:bidi="en-US"/>
        </w:rPr>
      </w:pPr>
      <w:bookmarkStart w:id="116" w:name="_Toc194300687"/>
      <w:bookmarkStart w:id="117" w:name="_Toc225322732"/>
      <w:r w:rsidRPr="21FD5452">
        <w:rPr>
          <w:color w:val="000000" w:themeColor="text1"/>
          <w:lang w:bidi="en-US"/>
        </w:rPr>
        <w:t xml:space="preserve">Below is a description of some standard support services </w:t>
      </w:r>
      <w:r w:rsidR="4D01F419" w:rsidRPr="21FD5452">
        <w:rPr>
          <w:color w:val="000000" w:themeColor="text1"/>
          <w:lang w:bidi="en-US"/>
        </w:rPr>
        <w:t>Baker Street</w:t>
      </w:r>
      <w:r w:rsidRPr="21FD5452">
        <w:rPr>
          <w:color w:val="000000" w:themeColor="text1"/>
          <w:lang w:bidi="en-US"/>
        </w:rPr>
        <w:t xml:space="preserve"> can receive from </w:t>
      </w:r>
      <w:r w:rsidR="5AC0CCE0" w:rsidRPr="21FD5452">
        <w:rPr>
          <w:color w:val="000000" w:themeColor="text1"/>
          <w:lang w:bidi="en-US"/>
        </w:rPr>
        <w:t>its</w:t>
      </w:r>
      <w:r w:rsidRPr="21FD5452">
        <w:rPr>
          <w:color w:val="000000" w:themeColor="text1"/>
          <w:lang w:bidi="en-US"/>
        </w:rPr>
        <w:t xml:space="preserve"> preferred </w:t>
      </w:r>
      <w:r w:rsidR="5AC0CCE0" w:rsidRPr="21FD5452">
        <w:rPr>
          <w:color w:val="000000" w:themeColor="text1"/>
          <w:lang w:bidi="en-US"/>
        </w:rPr>
        <w:t>custodians:</w:t>
      </w:r>
      <w:bookmarkEnd w:id="116"/>
      <w:bookmarkEnd w:id="117"/>
    </w:p>
    <w:p w14:paraId="0C044FFA" w14:textId="77777777" w:rsidR="002415E0" w:rsidRDefault="002415E0" w:rsidP="00873720">
      <w:pPr>
        <w:rPr>
          <w:b/>
          <w:lang w:bidi="en-US"/>
        </w:rPr>
      </w:pPr>
    </w:p>
    <w:p w14:paraId="720533C9" w14:textId="77777777" w:rsidR="002132A5" w:rsidRDefault="002132A5" w:rsidP="007A7904">
      <w:pPr>
        <w:pStyle w:val="Heading4"/>
        <w:spacing w:before="0" w:beforeAutospacing="0" w:after="0" w:afterAutospacing="0"/>
        <w:ind w:left="360"/>
        <w:rPr>
          <w:rFonts w:cs="Arial"/>
          <w:lang w:bidi="en-US"/>
        </w:rPr>
      </w:pPr>
      <w:bookmarkStart w:id="118" w:name="_Toc504065245"/>
      <w:bookmarkStart w:id="119" w:name="_Toc514443655"/>
      <w:bookmarkStart w:id="120" w:name="_Toc514444411"/>
      <w:bookmarkStart w:id="121" w:name="_Toc529877522"/>
      <w:bookmarkStart w:id="122" w:name="_Toc529877962"/>
      <w:bookmarkStart w:id="123" w:name="_Toc193886476"/>
      <w:r w:rsidRPr="006259CB">
        <w:rPr>
          <w:rFonts w:cs="Arial"/>
          <w:lang w:bidi="en-US"/>
        </w:rPr>
        <w:t>Services That Benefit You</w:t>
      </w:r>
      <w:bookmarkEnd w:id="118"/>
      <w:bookmarkEnd w:id="119"/>
      <w:bookmarkEnd w:id="120"/>
      <w:bookmarkEnd w:id="121"/>
      <w:bookmarkEnd w:id="122"/>
      <w:bookmarkEnd w:id="123"/>
      <w:r w:rsidRPr="006259CB">
        <w:rPr>
          <w:rFonts w:cs="Arial"/>
          <w:lang w:bidi="en-US"/>
        </w:rPr>
        <w:t xml:space="preserve"> </w:t>
      </w:r>
    </w:p>
    <w:p w14:paraId="47D10494" w14:textId="554F1D4C" w:rsidR="002132A5" w:rsidRPr="006259CB" w:rsidRDefault="002132A5" w:rsidP="00873720">
      <w:pPr>
        <w:ind w:left="360" w:right="360"/>
        <w:rPr>
          <w:bCs/>
          <w:lang w:bidi="en-US"/>
        </w:rPr>
      </w:pPr>
      <w:r w:rsidRPr="006259CB">
        <w:rPr>
          <w:bCs/>
          <w:lang w:bidi="en-US"/>
        </w:rPr>
        <w:t xml:space="preserve">Custodial services include access to various institutional investment products, securities transaction execution, and </w:t>
      </w:r>
      <w:r w:rsidR="00FE0300" w:rsidRPr="006259CB">
        <w:rPr>
          <w:bCs/>
          <w:lang w:bidi="en-US"/>
        </w:rPr>
        <w:t>custody of Client assets</w:t>
      </w:r>
      <w:r w:rsidRPr="006259CB">
        <w:rPr>
          <w:bCs/>
          <w:lang w:bidi="en-US"/>
        </w:rPr>
        <w:t xml:space="preserve">. The investment products available include some that the adviser might not otherwise have access to or some that would require a significantly higher minimum initial investment by our </w:t>
      </w:r>
      <w:r w:rsidR="00781EFD" w:rsidRPr="006259CB">
        <w:rPr>
          <w:bCs/>
          <w:lang w:bidi="en-US"/>
        </w:rPr>
        <w:t>Client</w:t>
      </w:r>
      <w:r w:rsidRPr="006259CB">
        <w:rPr>
          <w:bCs/>
          <w:lang w:bidi="en-US"/>
        </w:rPr>
        <w:t>s. Services available are subject to change at the discretion of each custodian.</w:t>
      </w:r>
    </w:p>
    <w:p w14:paraId="0CE95500" w14:textId="77777777" w:rsidR="00F50B6E" w:rsidRPr="00303346" w:rsidRDefault="00F50B6E" w:rsidP="00873720">
      <w:pPr>
        <w:ind w:left="360" w:right="360"/>
        <w:rPr>
          <w:bCs/>
          <w:sz w:val="12"/>
          <w:szCs w:val="12"/>
          <w:lang w:bidi="en-US"/>
        </w:rPr>
      </w:pPr>
    </w:p>
    <w:p w14:paraId="38A97696" w14:textId="77777777" w:rsidR="002132A5" w:rsidRDefault="002132A5" w:rsidP="007A7904">
      <w:pPr>
        <w:pStyle w:val="Heading4"/>
        <w:spacing w:before="0" w:beforeAutospacing="0" w:after="0" w:afterAutospacing="0"/>
        <w:ind w:left="360"/>
        <w:rPr>
          <w:rFonts w:cs="Arial"/>
          <w:lang w:bidi="en-US"/>
        </w:rPr>
      </w:pPr>
      <w:bookmarkStart w:id="124" w:name="_Toc504065246"/>
      <w:bookmarkStart w:id="125" w:name="_Toc514443656"/>
      <w:bookmarkStart w:id="126" w:name="_Toc514444412"/>
      <w:bookmarkStart w:id="127" w:name="_Toc529877523"/>
      <w:bookmarkStart w:id="128" w:name="_Toc529877963"/>
      <w:bookmarkStart w:id="129" w:name="_Toc193886477"/>
      <w:r w:rsidRPr="006259CB">
        <w:rPr>
          <w:rFonts w:cs="Arial"/>
          <w:lang w:bidi="en-US"/>
        </w:rPr>
        <w:t>Services That Will Not Always Directly Benefit You</w:t>
      </w:r>
      <w:bookmarkEnd w:id="124"/>
      <w:bookmarkEnd w:id="125"/>
      <w:bookmarkEnd w:id="126"/>
      <w:bookmarkEnd w:id="127"/>
      <w:bookmarkEnd w:id="128"/>
      <w:bookmarkEnd w:id="129"/>
      <w:r w:rsidRPr="006259CB">
        <w:rPr>
          <w:rFonts w:cs="Arial"/>
          <w:lang w:bidi="en-US"/>
        </w:rPr>
        <w:t xml:space="preserve"> </w:t>
      </w:r>
    </w:p>
    <w:p w14:paraId="583723A5" w14:textId="4E0EF98F" w:rsidR="002132A5" w:rsidRPr="006259CB" w:rsidRDefault="002132A5" w:rsidP="00873720">
      <w:pPr>
        <w:ind w:left="360" w:right="360"/>
        <w:rPr>
          <w:bCs/>
          <w:lang w:bidi="en-US"/>
        </w:rPr>
      </w:pPr>
      <w:r w:rsidRPr="006259CB">
        <w:rPr>
          <w:bCs/>
          <w:lang w:bidi="en-US"/>
        </w:rPr>
        <w:t xml:space="preserve">Custodians make other products and services available that benefit investment advisers but do not directly benefit our </w:t>
      </w:r>
      <w:r w:rsidR="00781EFD" w:rsidRPr="006259CB">
        <w:rPr>
          <w:bCs/>
          <w:lang w:bidi="en-US"/>
        </w:rPr>
        <w:t>Client</w:t>
      </w:r>
      <w:r w:rsidRPr="006259CB">
        <w:rPr>
          <w:bCs/>
          <w:lang w:bidi="en-US"/>
        </w:rPr>
        <w:t xml:space="preserve">s or their accounts.  These products and services assist advisers with managing and administering </w:t>
      </w:r>
      <w:r w:rsidR="00781EFD" w:rsidRPr="006259CB">
        <w:rPr>
          <w:bCs/>
          <w:lang w:bidi="en-US"/>
        </w:rPr>
        <w:t>Client</w:t>
      </w:r>
      <w:r w:rsidRPr="006259CB">
        <w:rPr>
          <w:bCs/>
          <w:lang w:bidi="en-US"/>
        </w:rPr>
        <w:t xml:space="preserve"> accounts. They include investment research, both a custodian’s own and that of third parties, which can be used to service all, some or a substantial number of our </w:t>
      </w:r>
      <w:r w:rsidR="00781EFD" w:rsidRPr="006259CB">
        <w:rPr>
          <w:bCs/>
          <w:lang w:bidi="en-US"/>
        </w:rPr>
        <w:t>Client</w:t>
      </w:r>
      <w:r w:rsidRPr="006259CB">
        <w:rPr>
          <w:bCs/>
          <w:lang w:bidi="en-US"/>
        </w:rPr>
        <w:t xml:space="preserve"> accounts and software and other technology that:</w:t>
      </w:r>
    </w:p>
    <w:p w14:paraId="565F51E6" w14:textId="77777777" w:rsidR="002132A5" w:rsidRPr="006259CB" w:rsidRDefault="002132A5" w:rsidP="00873720">
      <w:pPr>
        <w:ind w:left="360" w:right="720"/>
        <w:rPr>
          <w:bCs/>
          <w:sz w:val="12"/>
          <w:szCs w:val="12"/>
          <w:lang w:bidi="en-US"/>
        </w:rPr>
      </w:pPr>
    </w:p>
    <w:p w14:paraId="21D5C00B" w14:textId="2DD32B21" w:rsidR="002132A5" w:rsidRPr="006259CB" w:rsidRDefault="002132A5" w:rsidP="00873720">
      <w:pPr>
        <w:numPr>
          <w:ilvl w:val="0"/>
          <w:numId w:val="43"/>
        </w:numPr>
        <w:ind w:right="720"/>
        <w:rPr>
          <w:bCs/>
          <w:lang w:bidi="en-US"/>
        </w:rPr>
      </w:pPr>
      <w:r w:rsidRPr="006259CB">
        <w:rPr>
          <w:bCs/>
          <w:lang w:bidi="en-US"/>
        </w:rPr>
        <w:t xml:space="preserve">provides access to </w:t>
      </w:r>
      <w:r w:rsidR="00781EFD" w:rsidRPr="006259CB">
        <w:rPr>
          <w:bCs/>
          <w:lang w:bidi="en-US"/>
        </w:rPr>
        <w:t>Client</w:t>
      </w:r>
      <w:r w:rsidRPr="006259CB">
        <w:rPr>
          <w:bCs/>
          <w:lang w:bidi="en-US"/>
        </w:rPr>
        <w:t xml:space="preserve"> account data </w:t>
      </w:r>
      <w:r w:rsidRPr="006259CB">
        <w:rPr>
          <w:bCs/>
          <w:i/>
          <w:iCs/>
          <w:color w:val="595959" w:themeColor="text1" w:themeTint="A6"/>
          <w:lang w:bidi="en-US"/>
        </w:rPr>
        <w:t>(such as duplicate trade confirmations and account statements)</w:t>
      </w:r>
      <w:r w:rsidRPr="006259CB">
        <w:rPr>
          <w:bCs/>
          <w:color w:val="7F7F7F" w:themeColor="text1" w:themeTint="80"/>
          <w:lang w:bidi="en-US"/>
        </w:rPr>
        <w:t>,</w:t>
      </w:r>
    </w:p>
    <w:p w14:paraId="20353785" w14:textId="0BFAB110" w:rsidR="002132A5" w:rsidRPr="006259CB" w:rsidRDefault="002132A5" w:rsidP="00873720">
      <w:pPr>
        <w:numPr>
          <w:ilvl w:val="0"/>
          <w:numId w:val="43"/>
        </w:numPr>
        <w:ind w:right="720"/>
        <w:rPr>
          <w:bCs/>
          <w:lang w:bidi="en-US"/>
        </w:rPr>
      </w:pPr>
      <w:r w:rsidRPr="006259CB">
        <w:rPr>
          <w:bCs/>
          <w:lang w:bidi="en-US"/>
        </w:rPr>
        <w:t xml:space="preserve">facilitates trade execution and allocates aggregated trade orders for multiple </w:t>
      </w:r>
      <w:r w:rsidR="00781EFD" w:rsidRPr="006259CB">
        <w:rPr>
          <w:bCs/>
          <w:lang w:bidi="en-US"/>
        </w:rPr>
        <w:t>Client</w:t>
      </w:r>
      <w:r w:rsidRPr="006259CB">
        <w:rPr>
          <w:bCs/>
          <w:lang w:bidi="en-US"/>
        </w:rPr>
        <w:t xml:space="preserve"> accounts,</w:t>
      </w:r>
    </w:p>
    <w:p w14:paraId="349FB4C5" w14:textId="77777777" w:rsidR="002132A5" w:rsidRPr="006259CB" w:rsidRDefault="002132A5" w:rsidP="00873720">
      <w:pPr>
        <w:numPr>
          <w:ilvl w:val="0"/>
          <w:numId w:val="43"/>
        </w:numPr>
        <w:ind w:right="720"/>
        <w:rPr>
          <w:bCs/>
          <w:lang w:bidi="en-US"/>
        </w:rPr>
      </w:pPr>
      <w:r w:rsidRPr="006259CB">
        <w:rPr>
          <w:bCs/>
          <w:lang w:bidi="en-US"/>
        </w:rPr>
        <w:t>includes pricing and other market data,</w:t>
      </w:r>
    </w:p>
    <w:p w14:paraId="6DE6C008" w14:textId="36C96DB4" w:rsidR="002132A5" w:rsidRPr="006259CB" w:rsidRDefault="002132A5" w:rsidP="00873720">
      <w:pPr>
        <w:numPr>
          <w:ilvl w:val="0"/>
          <w:numId w:val="43"/>
        </w:numPr>
        <w:ind w:right="720"/>
        <w:rPr>
          <w:bCs/>
          <w:lang w:bidi="en-US"/>
        </w:rPr>
      </w:pPr>
      <w:r w:rsidRPr="006259CB">
        <w:rPr>
          <w:bCs/>
          <w:lang w:bidi="en-US"/>
        </w:rPr>
        <w:t xml:space="preserve">facilitate the payment of our fees from our </w:t>
      </w:r>
      <w:r w:rsidR="00781EFD" w:rsidRPr="006259CB">
        <w:rPr>
          <w:bCs/>
          <w:lang w:bidi="en-US"/>
        </w:rPr>
        <w:t>Client</w:t>
      </w:r>
      <w:r w:rsidRPr="006259CB">
        <w:rPr>
          <w:bCs/>
          <w:lang w:bidi="en-US"/>
        </w:rPr>
        <w:t>s’ accounts, and</w:t>
      </w:r>
    </w:p>
    <w:p w14:paraId="4861E446" w14:textId="6FBDF6BF" w:rsidR="002132A5" w:rsidRDefault="002132A5" w:rsidP="00873720">
      <w:pPr>
        <w:numPr>
          <w:ilvl w:val="0"/>
          <w:numId w:val="43"/>
        </w:numPr>
        <w:ind w:right="360"/>
        <w:rPr>
          <w:bCs/>
          <w:lang w:bidi="en-US"/>
        </w:rPr>
      </w:pPr>
      <w:r w:rsidRPr="006259CB">
        <w:rPr>
          <w:bCs/>
          <w:lang w:bidi="en-US"/>
        </w:rPr>
        <w:lastRenderedPageBreak/>
        <w:t xml:space="preserve">assists with back-office functions, recordkeeping, and </w:t>
      </w:r>
      <w:r w:rsidR="00781EFD" w:rsidRPr="006259CB">
        <w:rPr>
          <w:bCs/>
          <w:lang w:bidi="en-US"/>
        </w:rPr>
        <w:t>Client</w:t>
      </w:r>
      <w:r w:rsidRPr="006259CB">
        <w:rPr>
          <w:bCs/>
          <w:lang w:bidi="en-US"/>
        </w:rPr>
        <w:t xml:space="preserve"> reporting.</w:t>
      </w:r>
    </w:p>
    <w:p w14:paraId="24DADF1B" w14:textId="77777777" w:rsidR="002415E0" w:rsidRPr="00303346" w:rsidRDefault="002415E0" w:rsidP="002415E0">
      <w:pPr>
        <w:ind w:left="1080" w:right="360"/>
        <w:rPr>
          <w:bCs/>
          <w:sz w:val="12"/>
          <w:szCs w:val="12"/>
          <w:lang w:bidi="en-US"/>
        </w:rPr>
      </w:pPr>
    </w:p>
    <w:p w14:paraId="1EA91361" w14:textId="77777777" w:rsidR="002132A5" w:rsidRDefault="002132A5" w:rsidP="007A7904">
      <w:pPr>
        <w:pStyle w:val="Heading4"/>
        <w:spacing w:before="0" w:beforeAutospacing="0" w:after="0" w:afterAutospacing="0"/>
        <w:ind w:left="360"/>
        <w:rPr>
          <w:rFonts w:cs="Arial"/>
          <w:lang w:bidi="en-US"/>
        </w:rPr>
      </w:pPr>
      <w:bookmarkStart w:id="130" w:name="_Toc504065247"/>
      <w:bookmarkStart w:id="131" w:name="_Toc514443657"/>
      <w:bookmarkStart w:id="132" w:name="_Toc514444413"/>
      <w:bookmarkStart w:id="133" w:name="_Toc529877524"/>
      <w:bookmarkStart w:id="134" w:name="_Toc529877964"/>
      <w:bookmarkStart w:id="135" w:name="_Toc193886478"/>
      <w:r w:rsidRPr="006259CB">
        <w:rPr>
          <w:rFonts w:cs="Arial"/>
          <w:lang w:bidi="en-US"/>
        </w:rPr>
        <w:t>Services that Generally Benefit Only Us</w:t>
      </w:r>
      <w:bookmarkEnd w:id="130"/>
      <w:bookmarkEnd w:id="131"/>
      <w:bookmarkEnd w:id="132"/>
      <w:bookmarkEnd w:id="133"/>
      <w:bookmarkEnd w:id="134"/>
      <w:bookmarkEnd w:id="135"/>
      <w:r w:rsidRPr="006259CB">
        <w:rPr>
          <w:rFonts w:cs="Arial"/>
          <w:lang w:bidi="en-US"/>
        </w:rPr>
        <w:t xml:space="preserve"> </w:t>
      </w:r>
    </w:p>
    <w:p w14:paraId="57593CE4" w14:textId="77777777" w:rsidR="002132A5" w:rsidRPr="006259CB" w:rsidRDefault="002132A5" w:rsidP="00873720">
      <w:pPr>
        <w:ind w:left="360" w:right="360"/>
        <w:rPr>
          <w:bCs/>
          <w:lang w:bidi="en-US"/>
        </w:rPr>
      </w:pPr>
      <w:r w:rsidRPr="006259CB">
        <w:rPr>
          <w:bCs/>
          <w:lang w:bidi="en-US"/>
        </w:rPr>
        <w:t>Custodians also offer other services to help us further manage and develop our business enterprise. These services can include:</w:t>
      </w:r>
    </w:p>
    <w:p w14:paraId="1581C9B4" w14:textId="77777777" w:rsidR="002132A5" w:rsidRPr="006259CB" w:rsidRDefault="002132A5" w:rsidP="00873720">
      <w:pPr>
        <w:ind w:left="360" w:right="360"/>
        <w:rPr>
          <w:bCs/>
          <w:sz w:val="12"/>
          <w:szCs w:val="12"/>
          <w:lang w:bidi="en-US"/>
        </w:rPr>
      </w:pPr>
    </w:p>
    <w:p w14:paraId="2F23ADD2" w14:textId="77777777" w:rsidR="002132A5" w:rsidRPr="006259CB" w:rsidRDefault="002132A5" w:rsidP="00873720">
      <w:pPr>
        <w:numPr>
          <w:ilvl w:val="0"/>
          <w:numId w:val="44"/>
        </w:numPr>
        <w:ind w:right="720"/>
        <w:rPr>
          <w:bCs/>
          <w:lang w:bidi="en-US"/>
        </w:rPr>
      </w:pPr>
      <w:r w:rsidRPr="006259CB">
        <w:rPr>
          <w:bCs/>
          <w:lang w:bidi="en-US"/>
        </w:rPr>
        <w:t>educational conferences and events,</w:t>
      </w:r>
    </w:p>
    <w:p w14:paraId="06D02A4F" w14:textId="77777777" w:rsidR="002132A5" w:rsidRPr="006259CB" w:rsidRDefault="002132A5" w:rsidP="00873720">
      <w:pPr>
        <w:numPr>
          <w:ilvl w:val="0"/>
          <w:numId w:val="44"/>
        </w:numPr>
        <w:ind w:right="720"/>
        <w:rPr>
          <w:bCs/>
          <w:lang w:bidi="en-US"/>
        </w:rPr>
      </w:pPr>
      <w:r w:rsidRPr="006259CB">
        <w:rPr>
          <w:bCs/>
          <w:lang w:bidi="en-US"/>
        </w:rPr>
        <w:t>technology, compliance, legal, and business consulting,</w:t>
      </w:r>
    </w:p>
    <w:p w14:paraId="7AF3C414" w14:textId="77777777" w:rsidR="002132A5" w:rsidRPr="006259CB" w:rsidRDefault="002132A5" w:rsidP="00873720">
      <w:pPr>
        <w:numPr>
          <w:ilvl w:val="0"/>
          <w:numId w:val="44"/>
        </w:numPr>
        <w:ind w:right="720"/>
        <w:rPr>
          <w:bCs/>
          <w:lang w:bidi="en-US"/>
        </w:rPr>
      </w:pPr>
      <w:r w:rsidRPr="006259CB">
        <w:rPr>
          <w:bCs/>
          <w:lang w:bidi="en-US"/>
        </w:rPr>
        <w:t>publications and conferences on practice management and business succession, and</w:t>
      </w:r>
    </w:p>
    <w:p w14:paraId="74B639FC" w14:textId="77777777" w:rsidR="002132A5" w:rsidRPr="006259CB" w:rsidRDefault="002132A5" w:rsidP="00873720">
      <w:pPr>
        <w:numPr>
          <w:ilvl w:val="0"/>
          <w:numId w:val="44"/>
        </w:numPr>
        <w:ind w:right="720"/>
        <w:rPr>
          <w:bCs/>
          <w:lang w:bidi="en-US"/>
        </w:rPr>
      </w:pPr>
      <w:r w:rsidRPr="006259CB">
        <w:rPr>
          <w:bCs/>
          <w:lang w:bidi="en-US"/>
        </w:rPr>
        <w:t>access to employee benefits providers, human capital consultants, and insurance providers.</w:t>
      </w:r>
    </w:p>
    <w:p w14:paraId="0DDB692B" w14:textId="77777777" w:rsidR="002132A5" w:rsidRPr="006259CB" w:rsidRDefault="002132A5" w:rsidP="00873720">
      <w:pPr>
        <w:ind w:left="360" w:right="360"/>
        <w:rPr>
          <w:bCs/>
          <w:lang w:bidi="en-US"/>
        </w:rPr>
      </w:pPr>
    </w:p>
    <w:p w14:paraId="355E4A66" w14:textId="77777777" w:rsidR="002132A5" w:rsidRPr="006259CB" w:rsidRDefault="002132A5" w:rsidP="00873720">
      <w:pPr>
        <w:ind w:left="360" w:right="360"/>
        <w:rPr>
          <w:bCs/>
          <w:lang w:bidi="en-US"/>
        </w:rPr>
      </w:pPr>
      <w:r w:rsidRPr="006259CB">
        <w:rPr>
          <w:bCs/>
          <w:lang w:bidi="en-US"/>
        </w:rPr>
        <w:t xml:space="preserve">Custodians provide some of the above services themselves.  In other cases, they will arrange for third-party vendors to deliver the services. They can also discount or waive their fees for some of these services or pay all or a part of a third party’s costs.  </w:t>
      </w:r>
    </w:p>
    <w:p w14:paraId="7D58F23C" w14:textId="77777777" w:rsidR="002132A5" w:rsidRPr="006259CB" w:rsidRDefault="002132A5" w:rsidP="00873720">
      <w:pPr>
        <w:ind w:left="360" w:right="360"/>
        <w:rPr>
          <w:bCs/>
          <w:lang w:bidi="en-US"/>
        </w:rPr>
      </w:pPr>
    </w:p>
    <w:p w14:paraId="5851D710" w14:textId="77777777" w:rsidR="002132A5" w:rsidRPr="006259CB" w:rsidRDefault="002132A5" w:rsidP="00873720">
      <w:pPr>
        <w:pStyle w:val="Paragraph"/>
        <w:rPr>
          <w:lang w:bidi="en-US"/>
        </w:rPr>
      </w:pPr>
      <w:r w:rsidRPr="006259CB">
        <w:rPr>
          <w:lang w:bidi="en-US"/>
        </w:rPr>
        <w:t>Custody &amp; Brokerage Costs</w:t>
      </w:r>
    </w:p>
    <w:p w14:paraId="56B476F9" w14:textId="04A5477A" w:rsidR="002132A5" w:rsidRPr="006259CB" w:rsidRDefault="002132A5" w:rsidP="00873720">
      <w:pPr>
        <w:rPr>
          <w:bCs/>
          <w:i/>
          <w:color w:val="7F7F7F" w:themeColor="text1" w:themeTint="80"/>
          <w:lang w:bidi="en-US"/>
        </w:rPr>
      </w:pPr>
      <w:r w:rsidRPr="006259CB">
        <w:rPr>
          <w:bCs/>
          <w:lang w:bidi="en-US"/>
        </w:rPr>
        <w:t xml:space="preserve">Our custodians generally do not charge the firm’s </w:t>
      </w:r>
      <w:r w:rsidR="00781EFD" w:rsidRPr="006259CB">
        <w:rPr>
          <w:bCs/>
          <w:lang w:bidi="en-US"/>
        </w:rPr>
        <w:t>Client</w:t>
      </w:r>
      <w:r w:rsidRPr="006259CB">
        <w:rPr>
          <w:bCs/>
          <w:lang w:bidi="en-US"/>
        </w:rPr>
        <w:t xml:space="preserve">s' custodial accounts separately for their services.  Instead, the custodian is compensated by charging </w:t>
      </w:r>
      <w:r w:rsidR="00781EFD" w:rsidRPr="006259CB">
        <w:rPr>
          <w:bCs/>
          <w:lang w:bidi="en-US"/>
        </w:rPr>
        <w:t>Client</w:t>
      </w:r>
      <w:r w:rsidRPr="006259CB">
        <w:rPr>
          <w:bCs/>
          <w:lang w:bidi="en-US"/>
        </w:rPr>
        <w:t xml:space="preserve">s commissions or other fees on the trades or settling into the custodial accounts. Custodians will charge </w:t>
      </w:r>
      <w:r w:rsidR="00781EFD" w:rsidRPr="006259CB">
        <w:rPr>
          <w:bCs/>
          <w:lang w:bidi="en-US"/>
        </w:rPr>
        <w:t>Client</w:t>
      </w:r>
      <w:r w:rsidRPr="006259CB">
        <w:rPr>
          <w:bCs/>
          <w:lang w:bidi="en-US"/>
        </w:rPr>
        <w:t xml:space="preserve">s a percentage of the dollar amount of assets in the account for some custodial </w:t>
      </w:r>
      <w:r w:rsidR="00781EFD" w:rsidRPr="006259CB">
        <w:rPr>
          <w:bCs/>
          <w:lang w:bidi="en-US"/>
        </w:rPr>
        <w:t>Client</w:t>
      </w:r>
      <w:r w:rsidRPr="006259CB">
        <w:rPr>
          <w:bCs/>
          <w:lang w:bidi="en-US"/>
        </w:rPr>
        <w:t xml:space="preserve"> accounts instead of commissions. Custodian commission rates and asset-based fees applicable to </w:t>
      </w:r>
      <w:r w:rsidR="00781EFD" w:rsidRPr="006259CB">
        <w:rPr>
          <w:bCs/>
          <w:lang w:bidi="en-US"/>
        </w:rPr>
        <w:t>Client</w:t>
      </w:r>
      <w:r w:rsidRPr="006259CB">
        <w:rPr>
          <w:bCs/>
          <w:lang w:bidi="en-US"/>
        </w:rPr>
        <w:t xml:space="preserve"> accounts are negotiated based on </w:t>
      </w:r>
      <w:r w:rsidR="000F7B3F" w:rsidRPr="006259CB">
        <w:rPr>
          <w:bCs/>
          <w:lang w:bidi="en-US"/>
        </w:rPr>
        <w:t>Baker Street</w:t>
      </w:r>
      <w:r w:rsidRPr="006259CB">
        <w:rPr>
          <w:bCs/>
          <w:lang w:bidi="en-US"/>
        </w:rPr>
        <w:t xml:space="preserve">’s commitment to maintaining </w:t>
      </w:r>
      <w:r w:rsidR="00781EFD" w:rsidRPr="006259CB">
        <w:rPr>
          <w:bCs/>
          <w:lang w:bidi="en-US"/>
        </w:rPr>
        <w:t>Client</w:t>
      </w:r>
      <w:r w:rsidRPr="006259CB">
        <w:rPr>
          <w:bCs/>
          <w:lang w:bidi="en-US"/>
        </w:rPr>
        <w:t xml:space="preserve"> assets in accounts at the custodian.  This commitment benefits </w:t>
      </w:r>
      <w:r w:rsidR="00781EFD" w:rsidRPr="006259CB">
        <w:rPr>
          <w:bCs/>
          <w:lang w:bidi="en-US"/>
        </w:rPr>
        <w:t>Client</w:t>
      </w:r>
      <w:r w:rsidRPr="006259CB">
        <w:rPr>
          <w:bCs/>
          <w:lang w:bidi="en-US"/>
        </w:rPr>
        <w:t xml:space="preserve">s because </w:t>
      </w:r>
      <w:r w:rsidR="00781EFD" w:rsidRPr="006259CB">
        <w:rPr>
          <w:bCs/>
          <w:lang w:bidi="en-US"/>
        </w:rPr>
        <w:t>Client</w:t>
      </w:r>
      <w:r w:rsidRPr="006259CB">
        <w:rPr>
          <w:bCs/>
          <w:lang w:bidi="en-US"/>
        </w:rPr>
        <w:t xml:space="preserve">s' commission rates and asset-based fees are generally lower than if </w:t>
      </w:r>
      <w:r w:rsidR="000F7B3F" w:rsidRPr="006259CB">
        <w:rPr>
          <w:bCs/>
          <w:lang w:bidi="en-US"/>
        </w:rPr>
        <w:t>Baker Street</w:t>
      </w:r>
      <w:r w:rsidRPr="006259CB">
        <w:rPr>
          <w:bCs/>
          <w:lang w:bidi="en-US"/>
        </w:rPr>
        <w:t xml:space="preserve"> had not committed</w:t>
      </w:r>
      <w:r w:rsidR="00C179E8" w:rsidRPr="006259CB">
        <w:rPr>
          <w:bCs/>
          <w:lang w:bidi="en-US"/>
        </w:rPr>
        <w:t xml:space="preserve"> to them</w:t>
      </w:r>
      <w:r w:rsidRPr="006259CB">
        <w:rPr>
          <w:bCs/>
          <w:lang w:bidi="en-US"/>
        </w:rPr>
        <w:t xml:space="preserve">. In addition to commissions or asset-based fees, custodians charge a flat dollar amount as a “trade away” fee for each trade the firm executes by a different broker-dealer, where the securities bought or the funds from the securities sold are deposited (settled) into a custodial account. These fees are in addition to the commissions or compensation </w:t>
      </w:r>
      <w:r w:rsidR="000B621C" w:rsidRPr="006259CB">
        <w:rPr>
          <w:bCs/>
          <w:lang w:bidi="en-US"/>
        </w:rPr>
        <w:t xml:space="preserve">that </w:t>
      </w:r>
      <w:r w:rsidR="00781EFD" w:rsidRPr="006259CB">
        <w:rPr>
          <w:bCs/>
          <w:lang w:bidi="en-US"/>
        </w:rPr>
        <w:t>Client</w:t>
      </w:r>
      <w:r w:rsidRPr="006259CB">
        <w:rPr>
          <w:bCs/>
          <w:lang w:bidi="en-US"/>
        </w:rPr>
        <w:t xml:space="preserve">s pay the executing broker-dealer. </w:t>
      </w:r>
      <w:r w:rsidRPr="006259CB">
        <w:rPr>
          <w:bCs/>
          <w:i/>
          <w:color w:val="595959" w:themeColor="text1" w:themeTint="A6"/>
          <w:lang w:bidi="en-US"/>
        </w:rPr>
        <w:t>(For additional details, please refer to each custodian’s specific “Fee Schedule.”)</w:t>
      </w:r>
    </w:p>
    <w:p w14:paraId="6187C2DD" w14:textId="77777777" w:rsidR="009279D7" w:rsidRPr="006259CB" w:rsidRDefault="009279D7" w:rsidP="00873720">
      <w:pPr>
        <w:rPr>
          <w:bCs/>
          <w:i/>
          <w:lang w:bidi="en-US"/>
        </w:rPr>
      </w:pPr>
    </w:p>
    <w:p w14:paraId="49EE5FAA" w14:textId="77777777" w:rsidR="002132A5" w:rsidRPr="006259CB" w:rsidRDefault="002132A5" w:rsidP="00873720">
      <w:pPr>
        <w:pStyle w:val="Paragraph"/>
        <w:rPr>
          <w:lang w:bidi="en-US"/>
        </w:rPr>
      </w:pPr>
      <w:bookmarkStart w:id="136" w:name="_Toc509343736"/>
      <w:bookmarkStart w:id="137" w:name="_Toc509863243"/>
      <w:bookmarkStart w:id="138" w:name="_Toc510018872"/>
      <w:bookmarkStart w:id="139" w:name="_Toc514443659"/>
      <w:bookmarkStart w:id="140" w:name="_Toc514444415"/>
      <w:bookmarkStart w:id="141" w:name="_Toc529877526"/>
      <w:bookmarkStart w:id="142" w:name="_Toc529877966"/>
      <w:bookmarkStart w:id="143" w:name="_Toc9337618"/>
      <w:bookmarkStart w:id="144" w:name="_Toc193886480"/>
      <w:r w:rsidRPr="006259CB">
        <w:rPr>
          <w:lang w:bidi="en-US"/>
        </w:rPr>
        <w:t>Soft Dollars</w:t>
      </w:r>
      <w:bookmarkEnd w:id="136"/>
      <w:bookmarkEnd w:id="137"/>
      <w:bookmarkEnd w:id="138"/>
      <w:bookmarkEnd w:id="139"/>
      <w:bookmarkEnd w:id="140"/>
      <w:bookmarkEnd w:id="141"/>
      <w:bookmarkEnd w:id="142"/>
      <w:bookmarkEnd w:id="143"/>
      <w:bookmarkEnd w:id="144"/>
    </w:p>
    <w:p w14:paraId="5B5A4267" w14:textId="45DFAF0F" w:rsidR="002A688C" w:rsidRPr="006259CB" w:rsidRDefault="002A688C" w:rsidP="00873720">
      <w:pPr>
        <w:rPr>
          <w:bCs/>
          <w:lang w:bidi="en-US"/>
        </w:rPr>
      </w:pPr>
      <w:r w:rsidRPr="006259CB">
        <w:rPr>
          <w:bCs/>
          <w:lang w:bidi="en-US"/>
        </w:rPr>
        <w:t>An investment adviser may receive "</w:t>
      </w:r>
      <w:r w:rsidRPr="006259CB">
        <w:rPr>
          <w:bCs/>
          <w:u w:val="single"/>
          <w:lang w:bidi="en-US"/>
        </w:rPr>
        <w:t>soft dollar</w:t>
      </w:r>
      <w:r w:rsidRPr="006259CB">
        <w:rPr>
          <w:bCs/>
          <w:lang w:bidi="en-US"/>
        </w:rPr>
        <w:t xml:space="preserve">" benefits from custodians, which include research and other products and services in exchange for </w:t>
      </w:r>
      <w:r w:rsidR="00781EFD" w:rsidRPr="006259CB">
        <w:rPr>
          <w:bCs/>
          <w:lang w:bidi="en-US"/>
        </w:rPr>
        <w:t>Client</w:t>
      </w:r>
      <w:r w:rsidRPr="006259CB">
        <w:rPr>
          <w:bCs/>
          <w:lang w:bidi="en-US"/>
        </w:rPr>
        <w:t xml:space="preserve"> securities transactions or by maintaining account balances with the custodian. </w:t>
      </w:r>
      <w:r w:rsidR="00C117E9" w:rsidRPr="006259CB">
        <w:rPr>
          <w:bCs/>
          <w:lang w:bidi="en-US"/>
        </w:rPr>
        <w:t>As noted previously, o</w:t>
      </w:r>
      <w:r w:rsidRPr="006259CB">
        <w:rPr>
          <w:bCs/>
          <w:lang w:bidi="en-US"/>
        </w:rPr>
        <w:t xml:space="preserve">ur preferred custodians offer a range of services, such as custody of </w:t>
      </w:r>
      <w:r w:rsidR="00781EFD" w:rsidRPr="006259CB">
        <w:rPr>
          <w:bCs/>
          <w:lang w:bidi="en-US"/>
        </w:rPr>
        <w:t>Client</w:t>
      </w:r>
      <w:r w:rsidRPr="006259CB">
        <w:rPr>
          <w:bCs/>
          <w:lang w:bidi="en-US"/>
        </w:rPr>
        <w:t xml:space="preserve"> securities, trade execution, clearance and settlement of transactions, platform system access, duplicate </w:t>
      </w:r>
      <w:r w:rsidR="00781EFD" w:rsidRPr="006259CB">
        <w:rPr>
          <w:bCs/>
          <w:lang w:bidi="en-US"/>
        </w:rPr>
        <w:t>Client</w:t>
      </w:r>
      <w:r w:rsidRPr="006259CB">
        <w:rPr>
          <w:bCs/>
          <w:lang w:bidi="en-US"/>
        </w:rPr>
        <w:t xml:space="preserve"> statements, research tools, access to the trading desk, block trading (aggregating securities transactions for execution and allocation), and other services. While custodial services are paid for as part of the </w:t>
      </w:r>
      <w:r w:rsidR="00781EFD" w:rsidRPr="006259CB">
        <w:rPr>
          <w:bCs/>
          <w:lang w:bidi="en-US"/>
        </w:rPr>
        <w:t>Client</w:t>
      </w:r>
      <w:r w:rsidRPr="006259CB">
        <w:rPr>
          <w:bCs/>
          <w:lang w:bidi="en-US"/>
        </w:rPr>
        <w:t>’s fee, the additional services provided by custodians, which come at no direct cost to us, may influence our selection of custodians.</w:t>
      </w:r>
    </w:p>
    <w:p w14:paraId="30B26307" w14:textId="77777777" w:rsidR="002A688C" w:rsidRPr="006259CB" w:rsidRDefault="002A688C" w:rsidP="00873720">
      <w:pPr>
        <w:rPr>
          <w:bCs/>
          <w:lang w:bidi="en-US"/>
        </w:rPr>
      </w:pPr>
    </w:p>
    <w:p w14:paraId="468DD5D0" w14:textId="0702B62A" w:rsidR="002A688C" w:rsidRPr="006259CB" w:rsidRDefault="002A688C" w:rsidP="00873720">
      <w:pPr>
        <w:rPr>
          <w:bCs/>
          <w:lang w:bidi="en-US"/>
        </w:rPr>
      </w:pPr>
      <w:r w:rsidRPr="006259CB">
        <w:rPr>
          <w:bCs/>
          <w:u w:val="single" w:color="000000" w:themeColor="text1"/>
          <w:lang w:bidi="en-US"/>
        </w:rPr>
        <w:t>Research services</w:t>
      </w:r>
      <w:r w:rsidRPr="006259CB">
        <w:rPr>
          <w:bCs/>
          <w:lang w:bidi="en-US"/>
        </w:rPr>
        <w:t xml:space="preserve"> provided by broker-dealers may include information on economic and market conditions, individual securities, and industry developments. This research may be proprietary (produced by the broker’s staff) or third-party and can be delivered through written reports, calls, meetings with analysts or company management, and conference attendance. These services supplement </w:t>
      </w:r>
      <w:r w:rsidR="0040243E" w:rsidRPr="006259CB">
        <w:rPr>
          <w:bCs/>
          <w:lang w:bidi="en-US"/>
        </w:rPr>
        <w:t>our</w:t>
      </w:r>
      <w:r w:rsidRPr="006259CB">
        <w:rPr>
          <w:bCs/>
          <w:lang w:bidi="en-US"/>
        </w:rPr>
        <w:t xml:space="preserve"> internal research and are subject to internal review before being incorporated into our investment process.</w:t>
      </w:r>
    </w:p>
    <w:p w14:paraId="4A507756" w14:textId="77777777" w:rsidR="002A688C" w:rsidRPr="006259CB" w:rsidRDefault="002A688C" w:rsidP="00873720">
      <w:pPr>
        <w:rPr>
          <w:bCs/>
          <w:lang w:bidi="en-US"/>
        </w:rPr>
      </w:pPr>
    </w:p>
    <w:p w14:paraId="0BFEF1DE" w14:textId="15941408" w:rsidR="002A688C" w:rsidRPr="006259CB" w:rsidRDefault="002A688C" w:rsidP="00873720">
      <w:pPr>
        <w:rPr>
          <w:bCs/>
          <w:lang w:bidi="en-US"/>
        </w:rPr>
      </w:pPr>
      <w:r w:rsidRPr="006259CB">
        <w:rPr>
          <w:bCs/>
          <w:lang w:bidi="en-US"/>
        </w:rPr>
        <w:t>Baker Street does not maintain formal soft</w:t>
      </w:r>
      <w:r w:rsidR="00C221A1" w:rsidRPr="006259CB">
        <w:rPr>
          <w:bCs/>
          <w:lang w:bidi="en-US"/>
        </w:rPr>
        <w:t>-dollar agreements with its custodians, each of whom may provide proprietary research.</w:t>
      </w:r>
      <w:r w:rsidR="00B97BFA" w:rsidRPr="006259CB">
        <w:rPr>
          <w:bCs/>
          <w:lang w:bidi="en-US"/>
        </w:rPr>
        <w:t xml:space="preserve"> In </w:t>
      </w:r>
      <w:r w:rsidR="000605F8" w:rsidRPr="006259CB">
        <w:rPr>
          <w:bCs/>
          <w:lang w:bidi="en-US"/>
        </w:rPr>
        <w:t>general</w:t>
      </w:r>
      <w:r w:rsidR="00AF2CC6" w:rsidRPr="006259CB">
        <w:rPr>
          <w:bCs/>
          <w:lang w:bidi="en-US"/>
        </w:rPr>
        <w:t>,</w:t>
      </w:r>
      <w:r w:rsidR="000605F8" w:rsidRPr="006259CB">
        <w:rPr>
          <w:bCs/>
          <w:lang w:bidi="en-US"/>
        </w:rPr>
        <w:t xml:space="preserve"> Baker Street chooses to </w:t>
      </w:r>
      <w:r w:rsidR="00BE17B5" w:rsidRPr="006259CB">
        <w:rPr>
          <w:bCs/>
          <w:lang w:bidi="en-US"/>
        </w:rPr>
        <w:t>purchase external research.</w:t>
      </w:r>
      <w:r w:rsidRPr="006259CB">
        <w:rPr>
          <w:bCs/>
          <w:lang w:bidi="en-US"/>
        </w:rPr>
        <w:t xml:space="preserve"> </w:t>
      </w:r>
    </w:p>
    <w:p w14:paraId="4E917A09" w14:textId="77777777" w:rsidR="002A688C" w:rsidRPr="006259CB" w:rsidRDefault="002A688C" w:rsidP="00873720">
      <w:pPr>
        <w:rPr>
          <w:bCs/>
          <w:lang w:bidi="en-US"/>
        </w:rPr>
      </w:pPr>
    </w:p>
    <w:p w14:paraId="3B73EF01" w14:textId="2166E40E" w:rsidR="002F45B3" w:rsidRPr="006259CB" w:rsidRDefault="002A688C" w:rsidP="00873720">
      <w:pPr>
        <w:rPr>
          <w:bCs/>
          <w:lang w:bidi="en-US"/>
        </w:rPr>
      </w:pPr>
      <w:r w:rsidRPr="006259CB">
        <w:rPr>
          <w:bCs/>
          <w:lang w:bidi="en-US"/>
        </w:rPr>
        <w:t xml:space="preserve">The receipt of research from custodians creates a conflict of interest, as it </w:t>
      </w:r>
      <w:r w:rsidR="00550570" w:rsidRPr="006259CB">
        <w:rPr>
          <w:bCs/>
          <w:lang w:bidi="en-US"/>
        </w:rPr>
        <w:t xml:space="preserve">can </w:t>
      </w:r>
      <w:r w:rsidRPr="006259CB">
        <w:rPr>
          <w:bCs/>
          <w:lang w:bidi="en-US"/>
        </w:rPr>
        <w:t xml:space="preserve">incentivize </w:t>
      </w:r>
      <w:r w:rsidR="00550570" w:rsidRPr="006259CB">
        <w:rPr>
          <w:bCs/>
          <w:lang w:bidi="en-US"/>
        </w:rPr>
        <w:t>the Adviser</w:t>
      </w:r>
      <w:r w:rsidRPr="006259CB">
        <w:rPr>
          <w:bCs/>
          <w:lang w:bidi="en-US"/>
        </w:rPr>
        <w:t xml:space="preserve"> to recommend a custodian based on the research benefits received rather than the </w:t>
      </w:r>
      <w:r w:rsidR="00781EFD" w:rsidRPr="006259CB">
        <w:rPr>
          <w:bCs/>
          <w:lang w:bidi="en-US"/>
        </w:rPr>
        <w:t>Client</w:t>
      </w:r>
      <w:r w:rsidRPr="006259CB">
        <w:rPr>
          <w:bCs/>
          <w:lang w:bidi="en-US"/>
        </w:rPr>
        <w:t xml:space="preserve">’s best interest in lower transaction costs or superior execution. The availability of these services is not contingent on specific future business commitments to </w:t>
      </w:r>
      <w:r w:rsidR="00F627C9" w:rsidRPr="006259CB">
        <w:rPr>
          <w:bCs/>
          <w:lang w:bidi="en-US"/>
        </w:rPr>
        <w:t>any custodian</w:t>
      </w:r>
      <w:r w:rsidRPr="006259CB">
        <w:rPr>
          <w:bCs/>
          <w:lang w:bidi="en-US"/>
        </w:rPr>
        <w:t>, though pricing arrangements may vary based on the scope of business conducted.</w:t>
      </w:r>
      <w:r w:rsidR="00B17587" w:rsidRPr="006259CB">
        <w:rPr>
          <w:bCs/>
          <w:lang w:bidi="en-US"/>
        </w:rPr>
        <w:t xml:space="preserve">  </w:t>
      </w:r>
    </w:p>
    <w:p w14:paraId="4DE03B35" w14:textId="77777777" w:rsidR="002132A5" w:rsidRPr="006259CB" w:rsidRDefault="002132A5" w:rsidP="00873720">
      <w:pPr>
        <w:rPr>
          <w:bCs/>
          <w:lang w:bidi="en-US"/>
        </w:rPr>
      </w:pPr>
    </w:p>
    <w:p w14:paraId="2E4C3F44" w14:textId="77777777" w:rsidR="002132A5" w:rsidRPr="006259CB" w:rsidRDefault="002132A5" w:rsidP="00873720">
      <w:pPr>
        <w:pStyle w:val="Paragraph"/>
        <w:rPr>
          <w:lang w:bidi="en-US"/>
        </w:rPr>
      </w:pPr>
      <w:bookmarkStart w:id="145" w:name="_Toc504065249"/>
      <w:bookmarkStart w:id="146" w:name="_Toc509343737"/>
      <w:bookmarkStart w:id="147" w:name="_Toc509863244"/>
      <w:bookmarkStart w:id="148" w:name="_Toc510018873"/>
      <w:bookmarkStart w:id="149" w:name="_Toc514443660"/>
      <w:bookmarkStart w:id="150" w:name="_Toc514444416"/>
      <w:bookmarkStart w:id="151" w:name="_Toc529877527"/>
      <w:bookmarkStart w:id="152" w:name="_Toc529877967"/>
      <w:bookmarkStart w:id="153" w:name="_Toc9337619"/>
      <w:bookmarkStart w:id="154" w:name="_Toc193886481"/>
      <w:r w:rsidRPr="006259CB">
        <w:rPr>
          <w:lang w:bidi="en-US"/>
        </w:rPr>
        <w:t>Beneficial Interest in Custodial Services</w:t>
      </w:r>
      <w:bookmarkEnd w:id="145"/>
      <w:bookmarkEnd w:id="146"/>
      <w:bookmarkEnd w:id="147"/>
      <w:bookmarkEnd w:id="148"/>
      <w:bookmarkEnd w:id="149"/>
      <w:bookmarkEnd w:id="150"/>
      <w:bookmarkEnd w:id="151"/>
      <w:bookmarkEnd w:id="152"/>
      <w:bookmarkEnd w:id="153"/>
      <w:bookmarkEnd w:id="154"/>
    </w:p>
    <w:p w14:paraId="3E23D378" w14:textId="5DE033FD" w:rsidR="002132A5" w:rsidRPr="006259CB" w:rsidRDefault="002132A5" w:rsidP="00873720">
      <w:pPr>
        <w:rPr>
          <w:lang w:bidi="en-US"/>
        </w:rPr>
      </w:pPr>
      <w:r w:rsidRPr="006259CB">
        <w:rPr>
          <w:bCs/>
          <w:lang w:bidi="en-US"/>
        </w:rPr>
        <w:t xml:space="preserve">Client transactions and the compensation charged by our custodians might not be the lowest compensation we might otherwise be able to negotiate; </w:t>
      </w:r>
      <w:r w:rsidR="00781EFD" w:rsidRPr="006259CB">
        <w:rPr>
          <w:bCs/>
          <w:lang w:bidi="en-US"/>
        </w:rPr>
        <w:t>Client</w:t>
      </w:r>
      <w:r w:rsidRPr="006259CB">
        <w:rPr>
          <w:bCs/>
          <w:lang w:bidi="en-US"/>
        </w:rPr>
        <w:t xml:space="preserve">s may pay commissions, markups, or markdowns higher than those </w:t>
      </w:r>
      <w:r w:rsidR="000B621C" w:rsidRPr="006259CB">
        <w:rPr>
          <w:bCs/>
          <w:lang w:bidi="en-US"/>
        </w:rPr>
        <w:t xml:space="preserve">of </w:t>
      </w:r>
      <w:r w:rsidRPr="006259CB">
        <w:rPr>
          <w:bCs/>
          <w:lang w:bidi="en-US"/>
        </w:rPr>
        <w:t xml:space="preserve">other broker-dealers in return for soft dollar benefits (also known as “paying-up”).   Subject to Section 28(e), we may pay a broker-dealer a brokerage commission more than another broker might have charged for effecting the same transaction, recognizing the value of the brokerage and research services the broker provides. Because we believe it is imperative to our investment decision-making process to access this type of research and brokerage, </w:t>
      </w:r>
      <w:r w:rsidRPr="006259CB">
        <w:rPr>
          <w:bCs/>
          <w:lang w:bidi="en-US"/>
        </w:rPr>
        <w:lastRenderedPageBreak/>
        <w:t xml:space="preserve">in circumstances where we feel the execution is comparable, we may place specific trades with a particular broker-dealer providing brokerage and research services to the firm.  Broker-dealers' research services may be used in servicing any or all of our </w:t>
      </w:r>
      <w:r w:rsidR="00781EFD" w:rsidRPr="006259CB">
        <w:rPr>
          <w:bCs/>
          <w:lang w:bidi="en-US"/>
        </w:rPr>
        <w:t>Client</w:t>
      </w:r>
      <w:r w:rsidRPr="006259CB">
        <w:rPr>
          <w:bCs/>
          <w:lang w:bidi="en-US"/>
        </w:rPr>
        <w:t xml:space="preserve">s and can be used in connection with </w:t>
      </w:r>
      <w:r w:rsidR="00781EFD" w:rsidRPr="006259CB">
        <w:rPr>
          <w:bCs/>
          <w:lang w:bidi="en-US"/>
        </w:rPr>
        <w:t>Client</w:t>
      </w:r>
      <w:r w:rsidRPr="006259CB">
        <w:rPr>
          <w:bCs/>
          <w:lang w:bidi="en-US"/>
        </w:rPr>
        <w:t>s other than those making commissions to a broker-dealer, as permitted by Section 28(e).</w:t>
      </w:r>
    </w:p>
    <w:p w14:paraId="7F746C2B" w14:textId="77777777" w:rsidR="002132A5" w:rsidRPr="006259CB" w:rsidRDefault="002132A5" w:rsidP="00873720">
      <w:pPr>
        <w:rPr>
          <w:bCs/>
          <w:lang w:bidi="en-US"/>
        </w:rPr>
      </w:pPr>
    </w:p>
    <w:p w14:paraId="3066BC10" w14:textId="7151E946" w:rsidR="002132A5" w:rsidRPr="006259CB" w:rsidRDefault="002132A5" w:rsidP="00873720">
      <w:pPr>
        <w:rPr>
          <w:bCs/>
          <w:lang w:bidi="en-US"/>
        </w:rPr>
      </w:pPr>
      <w:r w:rsidRPr="006259CB">
        <w:rPr>
          <w:bCs/>
          <w:lang w:bidi="en-US"/>
        </w:rPr>
        <w:t xml:space="preserve">Only a few possible firms meet our sourcing criteria for providing our </w:t>
      </w:r>
      <w:r w:rsidR="00781EFD" w:rsidRPr="006259CB">
        <w:rPr>
          <w:bCs/>
          <w:lang w:bidi="en-US"/>
        </w:rPr>
        <w:t>Client</w:t>
      </w:r>
      <w:r w:rsidRPr="006259CB">
        <w:rPr>
          <w:bCs/>
          <w:lang w:bidi="en-US"/>
        </w:rPr>
        <w:t xml:space="preserve">s with a reliable and satisfactory custodial platform. </w:t>
      </w:r>
      <w:r w:rsidR="000F7B3F" w:rsidRPr="006259CB">
        <w:rPr>
          <w:bCs/>
          <w:lang w:bidi="en-US"/>
        </w:rPr>
        <w:t>Baker Street</w:t>
      </w:r>
      <w:r w:rsidRPr="006259CB">
        <w:rPr>
          <w:bCs/>
          <w:lang w:bidi="en-US"/>
        </w:rPr>
        <w:t xml:space="preserve">’s preferred </w:t>
      </w:r>
      <w:r w:rsidR="00503C56" w:rsidRPr="006259CB">
        <w:rPr>
          <w:bCs/>
          <w:lang w:bidi="en-US"/>
        </w:rPr>
        <w:t>c</w:t>
      </w:r>
      <w:r w:rsidRPr="006259CB">
        <w:rPr>
          <w:bCs/>
          <w:lang w:bidi="en-US"/>
        </w:rPr>
        <w:t xml:space="preserve">ustodians offer similar soft dollar programs, and as such, we mitigate conflicts of interest by not considering this factor in our selection of appropriate custodians.  While we could have the incentive to cause </w:t>
      </w:r>
      <w:r w:rsidR="00781EFD" w:rsidRPr="006259CB">
        <w:rPr>
          <w:bCs/>
          <w:lang w:bidi="en-US"/>
        </w:rPr>
        <w:t>Client</w:t>
      </w:r>
      <w:r w:rsidRPr="006259CB">
        <w:rPr>
          <w:bCs/>
          <w:lang w:bidi="en-US"/>
        </w:rPr>
        <w:t xml:space="preserve">s to engage in more securities transactions that would otherwise be optimal to generate brokerage compensation with which to acquire such products and services based on our interest in receiving the research or other products or services rather than on our </w:t>
      </w:r>
      <w:r w:rsidR="00781EFD" w:rsidRPr="006259CB">
        <w:rPr>
          <w:bCs/>
          <w:iCs/>
          <w:lang w:bidi="en-US"/>
        </w:rPr>
        <w:t>Client</w:t>
      </w:r>
      <w:r w:rsidRPr="006259CB">
        <w:rPr>
          <w:bCs/>
          <w:iCs/>
          <w:lang w:bidi="en-US"/>
        </w:rPr>
        <w:t xml:space="preserve">’s </w:t>
      </w:r>
      <w:r w:rsidRPr="006259CB">
        <w:rPr>
          <w:bCs/>
          <w:lang w:bidi="en-US"/>
        </w:rPr>
        <w:t xml:space="preserve">interests in obtaining the most favorable execution, this conflict is eliminated by having a quantitative investment process that creates trades only when the investment model signals the appropriateness of the transaction.  Additional transactions are not made.  Furthermore, the </w:t>
      </w:r>
      <w:r w:rsidR="00781EFD" w:rsidRPr="006259CB">
        <w:rPr>
          <w:bCs/>
          <w:lang w:bidi="en-US"/>
        </w:rPr>
        <w:t>Client</w:t>
      </w:r>
      <w:r w:rsidRPr="006259CB">
        <w:rPr>
          <w:bCs/>
          <w:lang w:bidi="en-US"/>
        </w:rPr>
        <w:t xml:space="preserve">s receive greater access to advanced research and portfolio management tools that improve their service - soft dollar benefits are used to service all </w:t>
      </w:r>
      <w:r w:rsidR="00781EFD" w:rsidRPr="006259CB">
        <w:rPr>
          <w:bCs/>
          <w:lang w:bidi="en-US"/>
        </w:rPr>
        <w:t>Client</w:t>
      </w:r>
      <w:r w:rsidRPr="006259CB">
        <w:rPr>
          <w:bCs/>
          <w:lang w:bidi="en-US"/>
        </w:rPr>
        <w:t xml:space="preserve"> accounts, not only those paid for the benefits.</w:t>
      </w:r>
    </w:p>
    <w:p w14:paraId="704970D3" w14:textId="77777777" w:rsidR="002132A5" w:rsidRPr="006259CB" w:rsidRDefault="002132A5" w:rsidP="00873720">
      <w:pPr>
        <w:rPr>
          <w:bCs/>
          <w:lang w:bidi="en-US"/>
        </w:rPr>
      </w:pPr>
    </w:p>
    <w:p w14:paraId="4C7A45A3" w14:textId="397D0BE6" w:rsidR="002132A5" w:rsidRPr="006259CB" w:rsidRDefault="002132A5" w:rsidP="00873720">
      <w:pPr>
        <w:rPr>
          <w:bCs/>
          <w:lang w:bidi="en-US"/>
        </w:rPr>
      </w:pPr>
      <w:r w:rsidRPr="006259CB">
        <w:rPr>
          <w:bCs/>
          <w:lang w:bidi="en-US"/>
        </w:rPr>
        <w:t xml:space="preserve">Given the </w:t>
      </w:r>
      <w:r w:rsidR="00781EFD" w:rsidRPr="006259CB">
        <w:rPr>
          <w:bCs/>
          <w:lang w:bidi="en-US"/>
        </w:rPr>
        <w:t>Client</w:t>
      </w:r>
      <w:r w:rsidRPr="006259CB">
        <w:rPr>
          <w:bCs/>
          <w:lang w:bidi="en-US"/>
        </w:rPr>
        <w:t xml:space="preserve"> assets under management, we do not believe that maintaining at least the required minimum of those assets per custodian to avoid paying each quarterly service fee presents a material conflict of interest, as we have confidence our preferred Qualified Custodian selection is in the best interests of our </w:t>
      </w:r>
      <w:r w:rsidR="00781EFD" w:rsidRPr="006259CB">
        <w:rPr>
          <w:bCs/>
          <w:lang w:bidi="en-US"/>
        </w:rPr>
        <w:t>Client</w:t>
      </w:r>
      <w:r w:rsidRPr="006259CB">
        <w:rPr>
          <w:bCs/>
          <w:lang w:bidi="en-US"/>
        </w:rPr>
        <w:t>s. The scope, quality, and price of the services we receive support the belief that our custodian</w:t>
      </w:r>
      <w:r w:rsidR="006B3A44" w:rsidRPr="006259CB">
        <w:rPr>
          <w:bCs/>
          <w:lang w:bidi="en-US"/>
        </w:rPr>
        <w:t>'</w:t>
      </w:r>
      <w:r w:rsidRPr="006259CB">
        <w:rPr>
          <w:bCs/>
          <w:lang w:bidi="en-US"/>
        </w:rPr>
        <w:t>s services</w:t>
      </w:r>
      <w:r w:rsidR="006B3A44" w:rsidRPr="006259CB">
        <w:rPr>
          <w:bCs/>
          <w:lang w:bidi="en-US"/>
        </w:rPr>
        <w:t xml:space="preserve"> do</w:t>
      </w:r>
      <w:r w:rsidRPr="006259CB">
        <w:rPr>
          <w:bCs/>
          <w:lang w:bidi="en-US"/>
        </w:rPr>
        <w:t xml:space="preserve"> not only benefit us.  </w:t>
      </w:r>
    </w:p>
    <w:p w14:paraId="419AB6AF" w14:textId="77777777" w:rsidR="00B15DAB" w:rsidRPr="006259CB" w:rsidRDefault="00B15DAB" w:rsidP="00873720">
      <w:pPr>
        <w:rPr>
          <w:b/>
          <w:bCs/>
          <w:lang w:bidi="en-US"/>
        </w:rPr>
      </w:pPr>
    </w:p>
    <w:p w14:paraId="4EA44545" w14:textId="77777777" w:rsidR="002132A5" w:rsidRPr="006259CB" w:rsidRDefault="002132A5" w:rsidP="00873720">
      <w:pPr>
        <w:pStyle w:val="Paragraph"/>
        <w:rPr>
          <w:lang w:bidi="en-US"/>
        </w:rPr>
      </w:pPr>
      <w:bookmarkStart w:id="155" w:name="_Toc193555567"/>
      <w:bookmarkStart w:id="156" w:name="_Toc193886482"/>
      <w:r w:rsidRPr="006259CB">
        <w:rPr>
          <w:lang w:bidi="en-US"/>
        </w:rPr>
        <w:t>Brokerage for Client Referrals</w:t>
      </w:r>
      <w:bookmarkEnd w:id="155"/>
      <w:bookmarkEnd w:id="156"/>
    </w:p>
    <w:p w14:paraId="0F0254F1" w14:textId="6969FEBF" w:rsidR="002132A5" w:rsidRPr="006259CB" w:rsidRDefault="000F7B3F" w:rsidP="00873720">
      <w:r w:rsidRPr="006259CB">
        <w:t>Baker Street</w:t>
      </w:r>
      <w:r w:rsidR="002132A5" w:rsidRPr="006259CB">
        <w:t xml:space="preserve"> does not select or recommend a broker-dealer based on our interest in receiving </w:t>
      </w:r>
      <w:r w:rsidR="00781EFD" w:rsidRPr="006259CB">
        <w:t>Client</w:t>
      </w:r>
      <w:r w:rsidR="002132A5" w:rsidRPr="006259CB">
        <w:t xml:space="preserve"> referrals</w:t>
      </w:r>
      <w:r w:rsidR="006B3A44" w:rsidRPr="006259CB">
        <w:t>,</w:t>
      </w:r>
      <w:r w:rsidR="002132A5" w:rsidRPr="006259CB">
        <w:t xml:space="preserve"> rather than solely prioritizing our </w:t>
      </w:r>
      <w:r w:rsidR="00781EFD" w:rsidRPr="006259CB">
        <w:t>Client</w:t>
      </w:r>
      <w:r w:rsidR="002132A5" w:rsidRPr="006259CB">
        <w:t xml:space="preserve">s' interest in receiving the most favorable execution. </w:t>
      </w:r>
    </w:p>
    <w:p w14:paraId="6781521A" w14:textId="77777777" w:rsidR="002132A5" w:rsidRPr="006259CB" w:rsidRDefault="002132A5" w:rsidP="00873720"/>
    <w:p w14:paraId="6737A442" w14:textId="77777777" w:rsidR="002132A5" w:rsidRPr="006259CB" w:rsidRDefault="002132A5" w:rsidP="00873720">
      <w:pPr>
        <w:pStyle w:val="Paragraph"/>
        <w:rPr>
          <w:lang w:bidi="en-US"/>
        </w:rPr>
      </w:pPr>
      <w:bookmarkStart w:id="157" w:name="_Toc193886483"/>
      <w:r w:rsidRPr="006259CB">
        <w:rPr>
          <w:lang w:bidi="en-US"/>
        </w:rPr>
        <w:t>Best Execution</w:t>
      </w:r>
      <w:bookmarkEnd w:id="157"/>
    </w:p>
    <w:p w14:paraId="731E446D" w14:textId="77777777" w:rsidR="00C36C07" w:rsidRDefault="000F7B3F" w:rsidP="00873720">
      <w:pPr>
        <w:rPr>
          <w:lang w:bidi="en-US"/>
        </w:rPr>
      </w:pPr>
      <w:r w:rsidRPr="006259CB">
        <w:rPr>
          <w:lang w:bidi="en-US"/>
        </w:rPr>
        <w:t>Baker Street</w:t>
      </w:r>
      <w:r w:rsidR="002132A5" w:rsidRPr="006259CB">
        <w:rPr>
          <w:lang w:bidi="en-US"/>
        </w:rPr>
        <w:t xml:space="preserve"> acts on its duty to seek </w:t>
      </w:r>
      <w:r w:rsidR="002132A5" w:rsidRPr="006259CB">
        <w:rPr>
          <w:u w:val="single"/>
          <w:lang w:bidi="en-US"/>
        </w:rPr>
        <w:t>best execution</w:t>
      </w:r>
      <w:r w:rsidR="002132A5" w:rsidRPr="006259CB">
        <w:rPr>
          <w:lang w:bidi="en-US"/>
        </w:rPr>
        <w:t xml:space="preserve">.  As a matter of policy and practice, </w:t>
      </w:r>
      <w:r w:rsidR="0080066A" w:rsidRPr="006259CB">
        <w:rPr>
          <w:lang w:bidi="en-US"/>
        </w:rPr>
        <w:t>the Adviser</w:t>
      </w:r>
      <w:r w:rsidR="002132A5" w:rsidRPr="006259CB">
        <w:rPr>
          <w:lang w:bidi="en-US"/>
        </w:rPr>
        <w:t xml:space="preserve"> conducts initial and ongoing due diligence policies, procedures, and practices regarding soft dollars, best execution, and directed brokerage.  </w:t>
      </w:r>
      <w:r w:rsidRPr="006259CB">
        <w:rPr>
          <w:lang w:bidi="en-US"/>
        </w:rPr>
        <w:t>Baker Street</w:t>
      </w:r>
      <w:r w:rsidR="002132A5" w:rsidRPr="006259CB">
        <w:rPr>
          <w:lang w:bidi="en-US"/>
        </w:rPr>
        <w:t xml:space="preserve"> seeks to ensure compliance with the </w:t>
      </w:r>
      <w:r w:rsidR="00781EFD" w:rsidRPr="006259CB">
        <w:rPr>
          <w:lang w:bidi="en-US"/>
        </w:rPr>
        <w:t>Client</w:t>
      </w:r>
      <w:r w:rsidR="002132A5" w:rsidRPr="006259CB">
        <w:rPr>
          <w:lang w:bidi="en-US"/>
        </w:rPr>
        <w:t xml:space="preserve">'s written </w:t>
      </w:r>
      <w:r w:rsidR="00CD6235" w:rsidRPr="006259CB">
        <w:rPr>
          <w:lang w:bidi="en-US"/>
        </w:rPr>
        <w:t>Agreement</w:t>
      </w:r>
      <w:r w:rsidR="002132A5" w:rsidRPr="006259CB">
        <w:rPr>
          <w:lang w:bidi="en-US"/>
        </w:rPr>
        <w:t xml:space="preserve"> and observe best practices.  </w:t>
      </w:r>
      <w:r w:rsidR="00AA5B54" w:rsidRPr="006259CB">
        <w:rPr>
          <w:lang w:bidi="en-US"/>
        </w:rPr>
        <w:t xml:space="preserve">We seek best execution for client transactions, considering factors such as price, speed, and overall quality of execution. </w:t>
      </w:r>
      <w:r w:rsidR="002132A5" w:rsidRPr="006259CB">
        <w:rPr>
          <w:lang w:bidi="en-US"/>
        </w:rPr>
        <w:t xml:space="preserve">Still, a </w:t>
      </w:r>
      <w:r w:rsidR="00781EFD" w:rsidRPr="006259CB">
        <w:rPr>
          <w:lang w:bidi="en-US"/>
        </w:rPr>
        <w:t>Client</w:t>
      </w:r>
      <w:r w:rsidR="002132A5" w:rsidRPr="006259CB">
        <w:rPr>
          <w:lang w:bidi="en-US"/>
        </w:rPr>
        <w:t xml:space="preserve"> may pay a higher commission than another custodian might charge to affect the same transaction when it is determined, in good faith, that the commission is reasonable given the value of the brokerage and research services received.  </w:t>
      </w:r>
    </w:p>
    <w:p w14:paraId="44EA807F" w14:textId="77777777" w:rsidR="00C36C07" w:rsidRDefault="00C36C07" w:rsidP="00873720">
      <w:pPr>
        <w:rPr>
          <w:lang w:bidi="en-US"/>
        </w:rPr>
      </w:pPr>
    </w:p>
    <w:p w14:paraId="5CA558A2" w14:textId="6B33FFD5" w:rsidR="002132A5" w:rsidRDefault="002132A5" w:rsidP="00873720">
      <w:pPr>
        <w:rPr>
          <w:lang w:bidi="en-US"/>
        </w:rPr>
      </w:pPr>
      <w:r w:rsidRPr="006259CB">
        <w:rPr>
          <w:lang w:bidi="en-US"/>
        </w:rPr>
        <w:t xml:space="preserve">In seeking best execution, the determinative factor is not the lowest cost possible but whether the transaction represents the best qualitative execution, taking into consideration the complete range of services available, including, among others, the value of research provided, execution capability, financial strength, the commission rates, and responsiveness.  While </w:t>
      </w:r>
      <w:r w:rsidR="0080066A" w:rsidRPr="006259CB">
        <w:rPr>
          <w:lang w:bidi="en-US"/>
        </w:rPr>
        <w:t>we</w:t>
      </w:r>
      <w:r w:rsidRPr="006259CB">
        <w:rPr>
          <w:lang w:bidi="en-US"/>
        </w:rPr>
        <w:t xml:space="preserve"> will seek competitive rates, they may not necessarily obtain the lowest commission rates for </w:t>
      </w:r>
      <w:r w:rsidR="00781EFD" w:rsidRPr="006259CB">
        <w:rPr>
          <w:lang w:bidi="en-US"/>
        </w:rPr>
        <w:t>Client</w:t>
      </w:r>
      <w:r w:rsidRPr="006259CB">
        <w:rPr>
          <w:lang w:bidi="en-US"/>
        </w:rPr>
        <w:t xml:space="preserve"> transactions.  </w:t>
      </w:r>
    </w:p>
    <w:p w14:paraId="65D9D3C1" w14:textId="77777777" w:rsidR="007A7904" w:rsidRPr="006259CB" w:rsidRDefault="007A7904" w:rsidP="00873720">
      <w:pPr>
        <w:rPr>
          <w:lang w:bidi="en-US"/>
        </w:rPr>
      </w:pPr>
    </w:p>
    <w:p w14:paraId="7E7DC9FD" w14:textId="159FA137" w:rsidR="00D12BA8" w:rsidRPr="006259CB" w:rsidRDefault="000C481F" w:rsidP="000C481F">
      <w:pPr>
        <w:rPr>
          <w:lang w:bidi="en-US"/>
        </w:rPr>
      </w:pPr>
      <w:r w:rsidRPr="006259CB">
        <w:rPr>
          <w:lang w:bidi="en-US"/>
        </w:rPr>
        <w:t xml:space="preserve">Clients are encouraged to review the disclosure documents of any Investment Managers we recommend for managing their assets, as these documents provide important information regarding each manager’s policies on investment and brokerage discretion. As part of our services, the Investment Managers we recommend may execute trades through broker-dealers. We expect these managers to seek </w:t>
      </w:r>
      <w:r w:rsidR="006B3A44" w:rsidRPr="006259CB">
        <w:rPr>
          <w:lang w:bidi="en-US"/>
        </w:rPr>
        <w:t xml:space="preserve">the </w:t>
      </w:r>
      <w:r w:rsidRPr="006259CB">
        <w:rPr>
          <w:lang w:bidi="en-US"/>
        </w:rPr>
        <w:t>best overall execution based on the specific circumstances of each trade. Baker Street does not place orders or exercise trading authority over a Client’s account when a third-party Investment Manager has been granted such authority.</w:t>
      </w:r>
    </w:p>
    <w:p w14:paraId="4E4624D4" w14:textId="77777777" w:rsidR="002132A5" w:rsidRPr="006259CB" w:rsidRDefault="002132A5" w:rsidP="00873720">
      <w:pPr>
        <w:rPr>
          <w:lang w:bidi="en-US"/>
        </w:rPr>
      </w:pPr>
    </w:p>
    <w:p w14:paraId="73FFBB05" w14:textId="77777777" w:rsidR="002132A5" w:rsidRPr="006259CB" w:rsidRDefault="002132A5" w:rsidP="00873720">
      <w:pPr>
        <w:pStyle w:val="Paragraph"/>
        <w:rPr>
          <w:lang w:bidi="en-US"/>
        </w:rPr>
      </w:pPr>
      <w:bookmarkStart w:id="158" w:name="_Toc193886484"/>
      <w:r w:rsidRPr="006259CB">
        <w:rPr>
          <w:lang w:bidi="en-US"/>
        </w:rPr>
        <w:t>Directed Brokerage</w:t>
      </w:r>
      <w:bookmarkEnd w:id="158"/>
    </w:p>
    <w:p w14:paraId="34B69F23" w14:textId="06CC0CAD" w:rsidR="002132A5" w:rsidRPr="006259CB" w:rsidRDefault="002132A5" w:rsidP="00873720">
      <w:pPr>
        <w:rPr>
          <w:lang w:bidi="en-US"/>
        </w:rPr>
      </w:pPr>
      <w:r w:rsidRPr="006259CB">
        <w:rPr>
          <w:lang w:bidi="en-US"/>
        </w:rPr>
        <w:t xml:space="preserve">Sometimes, a </w:t>
      </w:r>
      <w:r w:rsidR="00781EFD" w:rsidRPr="006259CB">
        <w:rPr>
          <w:lang w:bidi="en-US"/>
        </w:rPr>
        <w:t>Client</w:t>
      </w:r>
      <w:r w:rsidRPr="006259CB">
        <w:rPr>
          <w:lang w:bidi="en-US"/>
        </w:rPr>
        <w:t xml:space="preserve"> may direct </w:t>
      </w:r>
      <w:r w:rsidR="000F7B3F" w:rsidRPr="006259CB">
        <w:rPr>
          <w:lang w:bidi="en-US"/>
        </w:rPr>
        <w:t>Baker Street</w:t>
      </w:r>
      <w:r w:rsidRPr="006259CB">
        <w:rPr>
          <w:lang w:bidi="en-US"/>
        </w:rPr>
        <w:t xml:space="preserve"> in writing to use another broker-dealer/custodian to execute some or all transactions for the </w:t>
      </w:r>
      <w:r w:rsidR="00781EFD" w:rsidRPr="006259CB">
        <w:rPr>
          <w:lang w:bidi="en-US"/>
        </w:rPr>
        <w:t>Client</w:t>
      </w:r>
      <w:r w:rsidRPr="006259CB">
        <w:rPr>
          <w:lang w:bidi="en-US"/>
        </w:rPr>
        <w:t xml:space="preserve">’s account.  In this situation, the </w:t>
      </w:r>
      <w:r w:rsidR="00781EFD" w:rsidRPr="006259CB">
        <w:rPr>
          <w:lang w:bidi="en-US"/>
        </w:rPr>
        <w:t>Client</w:t>
      </w:r>
      <w:r w:rsidRPr="006259CB">
        <w:rPr>
          <w:lang w:bidi="en-US"/>
        </w:rPr>
        <w:t xml:space="preserve"> will negotiate terms and arrangements for the account with the custodian. </w:t>
      </w:r>
      <w:r w:rsidR="000F7B3F" w:rsidRPr="006259CB">
        <w:rPr>
          <w:lang w:bidi="en-US"/>
        </w:rPr>
        <w:t>Baker Street</w:t>
      </w:r>
      <w:r w:rsidRPr="006259CB">
        <w:rPr>
          <w:lang w:bidi="en-US"/>
        </w:rPr>
        <w:t xml:space="preserve"> will not seek better execution services, better prices, or aggregate </w:t>
      </w:r>
      <w:r w:rsidR="00781EFD" w:rsidRPr="006259CB">
        <w:rPr>
          <w:lang w:bidi="en-US"/>
        </w:rPr>
        <w:t>Client</w:t>
      </w:r>
      <w:r w:rsidRPr="006259CB">
        <w:rPr>
          <w:lang w:bidi="en-US"/>
        </w:rPr>
        <w:t xml:space="preserve"> transactions for execution through other custodians with orders for different accounts managed by us.  As a result, the </w:t>
      </w:r>
      <w:r w:rsidR="00781EFD" w:rsidRPr="006259CB">
        <w:rPr>
          <w:lang w:bidi="en-US"/>
        </w:rPr>
        <w:t>Client</w:t>
      </w:r>
      <w:r w:rsidRPr="006259CB">
        <w:rPr>
          <w:lang w:bidi="en-US"/>
        </w:rPr>
        <w:t xml:space="preserve"> may not achieve the most favorable execution of </w:t>
      </w:r>
      <w:r w:rsidR="00781EFD" w:rsidRPr="006259CB">
        <w:rPr>
          <w:lang w:bidi="en-US"/>
        </w:rPr>
        <w:t>Client</w:t>
      </w:r>
      <w:r w:rsidRPr="006259CB">
        <w:rPr>
          <w:lang w:bidi="en-US"/>
        </w:rPr>
        <w:t xml:space="preserve"> transactions.  Directed brokerage may cost the </w:t>
      </w:r>
      <w:r w:rsidR="00781EFD" w:rsidRPr="006259CB">
        <w:rPr>
          <w:lang w:bidi="en-US"/>
        </w:rPr>
        <w:t>Client</w:t>
      </w:r>
      <w:r w:rsidRPr="006259CB">
        <w:rPr>
          <w:lang w:bidi="en-US"/>
        </w:rPr>
        <w:t xml:space="preserve"> money. The </w:t>
      </w:r>
      <w:r w:rsidR="00781EFD" w:rsidRPr="006259CB">
        <w:rPr>
          <w:lang w:bidi="en-US"/>
        </w:rPr>
        <w:t>Client</w:t>
      </w:r>
      <w:r w:rsidRPr="006259CB">
        <w:rPr>
          <w:lang w:bidi="en-US"/>
        </w:rPr>
        <w:t xml:space="preserve"> may pay higher commissions or other transaction costs or greater spreads, may not be able to aggregate orders to reduce transaction costs, or may receive less favorable prices on transactions for the account that would otherwise be the case had the </w:t>
      </w:r>
      <w:r w:rsidR="00781EFD" w:rsidRPr="006259CB">
        <w:rPr>
          <w:lang w:bidi="en-US"/>
        </w:rPr>
        <w:t>Client</w:t>
      </w:r>
      <w:r w:rsidRPr="006259CB">
        <w:rPr>
          <w:lang w:bidi="en-US"/>
        </w:rPr>
        <w:t xml:space="preserve"> used the adviser’s recommended custodian(s).  </w:t>
      </w:r>
    </w:p>
    <w:p w14:paraId="5D03BFFB" w14:textId="77777777" w:rsidR="002132A5" w:rsidRPr="006259CB" w:rsidRDefault="002132A5" w:rsidP="00873720">
      <w:pPr>
        <w:rPr>
          <w:lang w:bidi="en-US"/>
        </w:rPr>
      </w:pPr>
    </w:p>
    <w:p w14:paraId="73E8D7D9" w14:textId="2517D520" w:rsidR="002132A5" w:rsidRDefault="002132A5" w:rsidP="00873720">
      <w:pPr>
        <w:rPr>
          <w:lang w:bidi="en-US"/>
        </w:rPr>
      </w:pPr>
      <w:r w:rsidRPr="006259CB">
        <w:rPr>
          <w:lang w:bidi="en-US"/>
        </w:rPr>
        <w:lastRenderedPageBreak/>
        <w:t xml:space="preserve">Subject to its duty of best execution, </w:t>
      </w:r>
      <w:r w:rsidR="000F7B3F" w:rsidRPr="006259CB">
        <w:rPr>
          <w:lang w:bidi="en-US"/>
        </w:rPr>
        <w:t>Baker Street</w:t>
      </w:r>
      <w:r w:rsidRPr="006259CB">
        <w:rPr>
          <w:lang w:bidi="en-US"/>
        </w:rPr>
        <w:t xml:space="preserve"> may decline a </w:t>
      </w:r>
      <w:r w:rsidR="00781EFD" w:rsidRPr="006259CB">
        <w:rPr>
          <w:lang w:bidi="en-US"/>
        </w:rPr>
        <w:t>Client</w:t>
      </w:r>
      <w:r w:rsidRPr="006259CB">
        <w:rPr>
          <w:lang w:bidi="en-US"/>
        </w:rPr>
        <w:t xml:space="preserve">'s request to direct brokerage if, at our discretion, such directed brokerage arrangements would result in additional operational difficulties. </w:t>
      </w:r>
    </w:p>
    <w:p w14:paraId="76084939" w14:textId="77777777" w:rsidR="00D874C8" w:rsidRPr="006259CB" w:rsidRDefault="00D874C8" w:rsidP="00873720">
      <w:pPr>
        <w:rPr>
          <w:lang w:bidi="en-US"/>
        </w:rPr>
      </w:pPr>
    </w:p>
    <w:p w14:paraId="1F5DF7B6" w14:textId="77777777" w:rsidR="002132A5" w:rsidRPr="006259CB" w:rsidRDefault="7AEB5106" w:rsidP="21FD5452">
      <w:pPr>
        <w:pStyle w:val="Heading4"/>
        <w:spacing w:before="0" w:beforeAutospacing="0" w:after="0" w:afterAutospacing="0"/>
        <w:rPr>
          <w:rFonts w:cs="Arial"/>
          <w:lang w:bidi="en-US"/>
        </w:rPr>
      </w:pPr>
      <w:bookmarkStart w:id="159" w:name="_Toc193886485"/>
      <w:r w:rsidRPr="21FD5452">
        <w:rPr>
          <w:rFonts w:cs="Arial"/>
          <w:lang w:bidi="en-US"/>
        </w:rPr>
        <w:t>Special Directed Brokerage Considerations for ERISA Clients</w:t>
      </w:r>
      <w:bookmarkEnd w:id="159"/>
    </w:p>
    <w:p w14:paraId="72F4BBC9" w14:textId="6679FD89" w:rsidR="002132A5" w:rsidRPr="006259CB" w:rsidRDefault="00E37922" w:rsidP="00873720">
      <w:pPr>
        <w:rPr>
          <w:lang w:bidi="en-US"/>
        </w:rPr>
      </w:pPr>
      <w:r w:rsidRPr="006259CB">
        <w:rPr>
          <w:lang w:bidi="en-US"/>
        </w:rPr>
        <w:t>In a</w:t>
      </w:r>
      <w:r w:rsidR="002132A5" w:rsidRPr="006259CB">
        <w:rPr>
          <w:lang w:bidi="en-US"/>
        </w:rPr>
        <w:t xml:space="preserve"> retirement or ERISA plan</w:t>
      </w:r>
      <w:r w:rsidRPr="006259CB">
        <w:rPr>
          <w:lang w:bidi="en-US"/>
        </w:rPr>
        <w:t>, the</w:t>
      </w:r>
      <w:r w:rsidR="002132A5" w:rsidRPr="006259CB">
        <w:rPr>
          <w:lang w:bidi="en-US"/>
        </w:rPr>
        <w:t xml:space="preserve"> </w:t>
      </w:r>
      <w:r w:rsidR="00781EFD" w:rsidRPr="006259CB">
        <w:rPr>
          <w:lang w:bidi="en-US"/>
        </w:rPr>
        <w:t>Client</w:t>
      </w:r>
      <w:r w:rsidR="002132A5" w:rsidRPr="006259CB">
        <w:rPr>
          <w:lang w:bidi="en-US"/>
        </w:rPr>
        <w:t xml:space="preserve"> may direct all or part of portfolio transactions for its account through a specific custodian to obtain goods or services on behalf of the plan. Such direction is permitted provided that the products and services offered are reasonable expenses of the plan incurred in the ordinary course of its business. Otherwise, it would be obligated and empowered to pay. ERISA prohibits directed brokerage arrangements when the goods or services purchased are not for the exclusive benefit of the Plan.  </w:t>
      </w:r>
      <w:r w:rsidR="00D64135" w:rsidRPr="006259CB">
        <w:rPr>
          <w:lang w:bidi="en-US"/>
        </w:rPr>
        <w:t xml:space="preserve">In general, </w:t>
      </w:r>
      <w:r w:rsidR="000F7B3F" w:rsidRPr="006259CB">
        <w:rPr>
          <w:lang w:bidi="en-US"/>
        </w:rPr>
        <w:t>Baker Street</w:t>
      </w:r>
      <w:r w:rsidR="002132A5" w:rsidRPr="006259CB">
        <w:rPr>
          <w:lang w:bidi="en-US"/>
        </w:rPr>
        <w:t xml:space="preserve"> </w:t>
      </w:r>
      <w:r w:rsidR="00D0216C" w:rsidRPr="006259CB">
        <w:rPr>
          <w:lang w:bidi="en-US"/>
        </w:rPr>
        <w:t>does not advise on ERISA plans.</w:t>
      </w:r>
    </w:p>
    <w:p w14:paraId="01676808" w14:textId="77777777" w:rsidR="006B3A44" w:rsidRPr="006259CB" w:rsidRDefault="006B3A44" w:rsidP="00873720"/>
    <w:p w14:paraId="3C8B8CA2" w14:textId="77777777" w:rsidR="000A3001" w:rsidRPr="006259CB" w:rsidRDefault="000A3001" w:rsidP="00873720">
      <w:pPr>
        <w:pStyle w:val="Paragraph"/>
        <w:rPr>
          <w:lang w:bidi="en-US"/>
        </w:rPr>
      </w:pPr>
      <w:bookmarkStart w:id="160" w:name="_Toc193886486"/>
      <w:r w:rsidRPr="006259CB">
        <w:rPr>
          <w:lang w:bidi="en-US"/>
        </w:rPr>
        <w:t>Investment Allocation &amp; Trade Aggregation Policy</w:t>
      </w:r>
      <w:bookmarkEnd w:id="160"/>
    </w:p>
    <w:p w14:paraId="493F0D0A" w14:textId="65319B8D" w:rsidR="001D2C18" w:rsidRPr="006259CB" w:rsidRDefault="00522765" w:rsidP="00873720">
      <w:r w:rsidRPr="006259CB">
        <w:t xml:space="preserve">To the extent that Baker Street provides investment management services to its </w:t>
      </w:r>
      <w:r w:rsidR="00781EFD" w:rsidRPr="006259CB">
        <w:t>Client</w:t>
      </w:r>
      <w:r w:rsidRPr="006259CB">
        <w:t xml:space="preserve">s, the transactions for each </w:t>
      </w:r>
      <w:r w:rsidR="00781EFD" w:rsidRPr="006259CB">
        <w:t>Client</w:t>
      </w:r>
      <w:r w:rsidRPr="006259CB">
        <w:t xml:space="preserve"> account generally will be independently </w:t>
      </w:r>
      <w:r w:rsidR="00BB08F0" w:rsidRPr="006259CB">
        <w:t xml:space="preserve">placed </w:t>
      </w:r>
      <w:r w:rsidRPr="006259CB">
        <w:t xml:space="preserve">unless we decide to purchase or sell the same securities for several </w:t>
      </w:r>
      <w:r w:rsidR="00781EFD" w:rsidRPr="006259CB">
        <w:t>Client</w:t>
      </w:r>
      <w:r w:rsidRPr="006259CB">
        <w:t xml:space="preserve">s at approximately the same time.  In such circumstances, the adviser may - but is not obligated to - combine such orders to obtain best execution, negotiate more favorable commission rates, or allocate equitably among advisory </w:t>
      </w:r>
      <w:r w:rsidR="00781EFD" w:rsidRPr="006259CB">
        <w:t>Client</w:t>
      </w:r>
      <w:r w:rsidRPr="006259CB">
        <w:t xml:space="preserve">s differences in prices and commissions or other transaction costs that might have been obtained had such orders been placed independently.  Under this procedure, transactions will be averaged as to price and allocated among </w:t>
      </w:r>
      <w:r w:rsidR="00781EFD" w:rsidRPr="006259CB">
        <w:t>Client</w:t>
      </w:r>
      <w:r w:rsidRPr="006259CB">
        <w:t xml:space="preserve">s in proportion to the purchase and sale orders placed for each </w:t>
      </w:r>
      <w:r w:rsidR="00781EFD" w:rsidRPr="006259CB">
        <w:t>Client</w:t>
      </w:r>
      <w:r w:rsidRPr="006259CB">
        <w:t xml:space="preserve"> account on any given day.  We shall not receive additional compensation or remuneration due to such aggregation.  Accordingly, </w:t>
      </w:r>
      <w:r w:rsidR="00BB08F0" w:rsidRPr="006259CB">
        <w:t xml:space="preserve">a </w:t>
      </w:r>
      <w:r w:rsidR="00781EFD" w:rsidRPr="006259CB">
        <w:t>Client</w:t>
      </w:r>
      <w:r w:rsidR="00BB08F0" w:rsidRPr="006259CB">
        <w:t xml:space="preserve"> </w:t>
      </w:r>
      <w:r w:rsidRPr="006259CB">
        <w:t xml:space="preserve">may pay different prices for securities transactions than other </w:t>
      </w:r>
      <w:r w:rsidR="00781EFD" w:rsidRPr="006259CB">
        <w:t>Client</w:t>
      </w:r>
      <w:r w:rsidRPr="006259CB">
        <w:t>s. Furthermore, we may be unable to buy and sell the exact quantities of securities for</w:t>
      </w:r>
      <w:r w:rsidR="00A14B38" w:rsidRPr="006259CB">
        <w:t xml:space="preserve"> the </w:t>
      </w:r>
      <w:r w:rsidR="00781EFD" w:rsidRPr="006259CB">
        <w:t>Client</w:t>
      </w:r>
      <w:r w:rsidR="00A14B38" w:rsidRPr="006259CB">
        <w:t xml:space="preserve">, and they </w:t>
      </w:r>
      <w:r w:rsidRPr="006259CB">
        <w:t xml:space="preserve">may pay higher commissions, fees, and/or transaction costs than other </w:t>
      </w:r>
      <w:r w:rsidR="00781EFD" w:rsidRPr="006259CB">
        <w:t>Client</w:t>
      </w:r>
      <w:r w:rsidRPr="006259CB">
        <w:t xml:space="preserve">s. The aggregation has no value when trading non-ETF mutual funds, as each trade receives the same price. </w:t>
      </w:r>
    </w:p>
    <w:p w14:paraId="08C3792D" w14:textId="77777777" w:rsidR="000C481F" w:rsidRPr="006259CB" w:rsidRDefault="000C481F" w:rsidP="00873720"/>
    <w:bookmarkEnd w:id="115"/>
    <w:p w14:paraId="4CF5D756" w14:textId="6C5BB628" w:rsidR="009614AE" w:rsidRPr="006259CB" w:rsidRDefault="004B0C73" w:rsidP="00873720">
      <w:pPr>
        <w:pStyle w:val="ATableSubhead"/>
      </w:pPr>
      <w:r w:rsidRPr="006259CB">
        <w:t>Trade Error</w:t>
      </w:r>
      <w:r w:rsidR="00360C28" w:rsidRPr="006259CB">
        <w:t>s</w:t>
      </w:r>
    </w:p>
    <w:p w14:paraId="4900F014" w14:textId="35E01E8E" w:rsidR="003435A0" w:rsidRDefault="0FF81D0D" w:rsidP="00873720">
      <w:r>
        <w:t>From time to time</w:t>
      </w:r>
      <w:r w:rsidR="5820A730">
        <w:t>,</w:t>
      </w:r>
      <w:r>
        <w:t xml:space="preserve"> Baker Street may make an error </w:t>
      </w:r>
      <w:r w:rsidR="3B936FD4">
        <w:t>whe</w:t>
      </w:r>
      <w:r>
        <w:t xml:space="preserve">n submitting a trade order on </w:t>
      </w:r>
      <w:r w:rsidR="1083A6EB">
        <w:t>a Client</w:t>
      </w:r>
      <w:r w:rsidR="75398468">
        <w:t>'</w:t>
      </w:r>
      <w:r w:rsidR="1083A6EB">
        <w:t xml:space="preserve">s </w:t>
      </w:r>
      <w:r>
        <w:t>behalf.</w:t>
      </w:r>
      <w:r w:rsidR="1597B89C">
        <w:t xml:space="preserve"> </w:t>
      </w:r>
      <w:r>
        <w:t>When this occurs, Baker Street may place a correcting trade with the broker-dealer</w:t>
      </w:r>
      <w:r w:rsidR="3B936FD4">
        <w:t>, who</w:t>
      </w:r>
      <w:r>
        <w:t xml:space="preserve"> has custody of </w:t>
      </w:r>
      <w:r w:rsidR="1083A6EB">
        <w:t>the Client</w:t>
      </w:r>
      <w:r w:rsidR="75398468">
        <w:t>'</w:t>
      </w:r>
      <w:r w:rsidR="1083A6EB">
        <w:t xml:space="preserve">s </w:t>
      </w:r>
      <w:r>
        <w:t>account.</w:t>
      </w:r>
    </w:p>
    <w:p w14:paraId="74D9E30D" w14:textId="6C1517F0" w:rsidR="003435A0" w:rsidRDefault="003435A0" w:rsidP="00873720"/>
    <w:p w14:paraId="4D038ACE" w14:textId="6CCDA7CA" w:rsidR="003435A0" w:rsidRDefault="04D49469" w:rsidP="00873720">
      <w:r>
        <w:t>Baker Street maintains an accounting of each trade error within its books and records, including information about the trade and how such error was corrected. To keep record of each trade error made, Baker Street will create a trade error memo outlining the mistake and the steps taken to resolve the error. This memo must be signed by the individual who submitted the trade, the individual who processed the trade, and Jennifer Bonvechio</w:t>
      </w:r>
      <w:r w:rsidR="0491306B">
        <w:t xml:space="preserve"> or her designee</w:t>
      </w:r>
      <w:r>
        <w:t>.</w:t>
      </w:r>
    </w:p>
    <w:p w14:paraId="144BFC21" w14:textId="5D4F9E28" w:rsidR="003435A0" w:rsidRDefault="003435A0" w:rsidP="7E6823F4"/>
    <w:p w14:paraId="7871E458" w14:textId="28AADAB5" w:rsidR="003435A0" w:rsidRDefault="0FF81D0D" w:rsidP="00873720">
      <w:r>
        <w:t>For the purpose of reconciling trade errors, Baker Street will keep a trade error account with each custodian.</w:t>
      </w:r>
      <w:r w:rsidR="1597B89C">
        <w:t xml:space="preserve"> </w:t>
      </w:r>
      <w:r>
        <w:t>If the trade error results in a debit balance, this amount will be resolved immediately.</w:t>
      </w:r>
      <w:r w:rsidR="1597B89C">
        <w:t xml:space="preserve"> </w:t>
      </w:r>
      <w:r w:rsidR="65E91EA4">
        <w:t>At Schwab</w:t>
      </w:r>
      <w:r w:rsidR="3A16EEA7">
        <w:t xml:space="preserve"> and SEI</w:t>
      </w:r>
      <w:r w:rsidR="65E91EA4">
        <w:t>, i</w:t>
      </w:r>
      <w:r>
        <w:t>f the trade error results in a credit balance</w:t>
      </w:r>
      <w:r w:rsidR="1597B89C">
        <w:t>,</w:t>
      </w:r>
      <w:r>
        <w:t xml:space="preserve"> the amount can either be withdrawn or remain in the account</w:t>
      </w:r>
      <w:r w:rsidR="1597B89C">
        <w:t>;</w:t>
      </w:r>
      <w:r>
        <w:t xml:space="preserve"> money market rates may be paid on credit balances. </w:t>
      </w:r>
      <w:r w:rsidR="65E91EA4">
        <w:t xml:space="preserve"> </w:t>
      </w:r>
    </w:p>
    <w:p w14:paraId="1796D342" w14:textId="77777777" w:rsidR="003435A0" w:rsidRDefault="003435A0" w:rsidP="00873720"/>
    <w:p w14:paraId="0615E36B" w14:textId="2C560D37" w:rsidR="00961C2B" w:rsidRDefault="65E91EA4" w:rsidP="00873720">
      <w:r>
        <w:t>At Fidelity, effective March 1, 2016, if the trade error results in a credit balance</w:t>
      </w:r>
      <w:r w:rsidR="1597B89C">
        <w:t>,</w:t>
      </w:r>
      <w:r>
        <w:t xml:space="preserve"> the amount will remain in the account for one month and can be netted against any debit balances. At the end of each month, any credit balance will be donated </w:t>
      </w:r>
      <w:r w:rsidR="207078BE">
        <w:t>to charity.</w:t>
      </w:r>
      <w:r w:rsidR="57FA1DD2">
        <w:t xml:space="preserve">  </w:t>
      </w:r>
      <w:r w:rsidR="3A16EEA7">
        <w:t xml:space="preserve"> </w:t>
      </w:r>
      <w:bookmarkStart w:id="161" w:name="_Toc270409655"/>
    </w:p>
    <w:p w14:paraId="2105BFC4" w14:textId="77777777" w:rsidR="003435A0" w:rsidRPr="006259CB" w:rsidRDefault="003435A0" w:rsidP="00873720"/>
    <w:p w14:paraId="1CED5BA5" w14:textId="1A81F161" w:rsidR="008E39FA" w:rsidRPr="006259CB" w:rsidRDefault="403BFE64" w:rsidP="00873720">
      <w:pPr>
        <w:pStyle w:val="Item"/>
      </w:pPr>
      <w:bookmarkStart w:id="162" w:name="_Toc225322733"/>
      <w:r>
        <w:t xml:space="preserve">Item 13:  </w:t>
      </w:r>
      <w:r w:rsidR="3C14E57C">
        <w:t>Review of Accounts</w:t>
      </w:r>
      <w:bookmarkEnd w:id="161"/>
      <w:bookmarkEnd w:id="162"/>
    </w:p>
    <w:p w14:paraId="31474BD8" w14:textId="66D72187" w:rsidR="00961C2B" w:rsidRPr="006259CB" w:rsidRDefault="00961C2B" w:rsidP="00C179E8">
      <w:pPr>
        <w:spacing w:after="60"/>
        <w:rPr>
          <w:b/>
          <w:color w:val="6586A4"/>
        </w:rPr>
      </w:pPr>
      <w:r w:rsidRPr="006259CB">
        <w:rPr>
          <w:color w:val="6586A4"/>
        </w:rPr>
        <w:t>_____________________________________________________</w:t>
      </w:r>
      <w:r w:rsidR="00360C28" w:rsidRPr="006259CB">
        <w:rPr>
          <w:color w:val="6586A4"/>
        </w:rPr>
        <w:t>_____</w:t>
      </w:r>
      <w:r w:rsidRPr="006259CB">
        <w:rPr>
          <w:color w:val="6586A4"/>
        </w:rPr>
        <w:t>________________________________</w:t>
      </w:r>
    </w:p>
    <w:p w14:paraId="614ED8E7" w14:textId="77777777" w:rsidR="00C456C1" w:rsidRPr="006259CB" w:rsidRDefault="00C456C1" w:rsidP="00873720">
      <w:pPr>
        <w:pStyle w:val="Paragraph"/>
      </w:pPr>
      <w:bookmarkStart w:id="163" w:name="_Toc193886488"/>
      <w:r w:rsidRPr="006259CB">
        <w:t>Frequency &amp;  Nature of Account Reviews</w:t>
      </w:r>
      <w:bookmarkEnd w:id="163"/>
    </w:p>
    <w:p w14:paraId="0D21289A" w14:textId="78A995E2" w:rsidR="007A38B3" w:rsidRPr="006259CB" w:rsidRDefault="0059515C" w:rsidP="00873720">
      <w:r w:rsidRPr="006259CB">
        <w:t xml:space="preserve">All </w:t>
      </w:r>
      <w:r w:rsidR="00A23520" w:rsidRPr="006259CB">
        <w:t>Client</w:t>
      </w:r>
      <w:r w:rsidRPr="006259CB">
        <w:t xml:space="preserve"> accounts are </w:t>
      </w:r>
      <w:r w:rsidRPr="006259CB">
        <w:rPr>
          <w:u w:val="single"/>
        </w:rPr>
        <w:t>reviewed at least quarterly</w:t>
      </w:r>
      <w:r w:rsidRPr="006259CB">
        <w:t xml:space="preserve"> to ensure </w:t>
      </w:r>
      <w:r w:rsidR="005D730D" w:rsidRPr="006259CB">
        <w:t xml:space="preserve">that </w:t>
      </w:r>
      <w:r w:rsidRPr="006259CB">
        <w:t>an appropriate allocation</w:t>
      </w:r>
      <w:r w:rsidR="00A23520" w:rsidRPr="006259CB">
        <w:t xml:space="preserve"> is</w:t>
      </w:r>
      <w:r w:rsidRPr="006259CB">
        <w:t xml:space="preserve"> </w:t>
      </w:r>
      <w:r w:rsidR="005D730D" w:rsidRPr="006259CB">
        <w:t xml:space="preserve">in place </w:t>
      </w:r>
      <w:r w:rsidRPr="006259CB">
        <w:t xml:space="preserve">based on </w:t>
      </w:r>
      <w:r w:rsidR="00A01F37" w:rsidRPr="006259CB">
        <w:t>Baker Street</w:t>
      </w:r>
      <w:r w:rsidR="00CE22C0" w:rsidRPr="006259CB">
        <w:t>'</w:t>
      </w:r>
      <w:r w:rsidR="00C6262D" w:rsidRPr="006259CB">
        <w:t>s</w:t>
      </w:r>
      <w:r w:rsidRPr="006259CB">
        <w:t xml:space="preserve"> assessments of market conditions and the circumstances of the </w:t>
      </w:r>
      <w:r w:rsidR="00A23520" w:rsidRPr="006259CB">
        <w:t>Client</w:t>
      </w:r>
      <w:r w:rsidRPr="006259CB">
        <w:t>.</w:t>
      </w:r>
      <w:r w:rsidR="005D730D" w:rsidRPr="006259CB">
        <w:t xml:space="preserve"> </w:t>
      </w:r>
      <w:r w:rsidR="00A01F37" w:rsidRPr="006259CB">
        <w:t>Baker Street</w:t>
      </w:r>
      <w:r w:rsidRPr="006259CB">
        <w:t xml:space="preserve"> will provide more frequent reviews as appropriate and as agreed with the </w:t>
      </w:r>
      <w:r w:rsidR="00A23520" w:rsidRPr="006259CB">
        <w:t>Client</w:t>
      </w:r>
      <w:r w:rsidRPr="006259CB">
        <w:t>.</w:t>
      </w:r>
      <w:r w:rsidR="005D730D" w:rsidRPr="006259CB">
        <w:t xml:space="preserve"> </w:t>
      </w:r>
      <w:r w:rsidRPr="006259CB">
        <w:t>General conditions in the stock and bond markets are continuously monitored.</w:t>
      </w:r>
      <w:r w:rsidR="005D730D" w:rsidRPr="006259CB">
        <w:t xml:space="preserve"> </w:t>
      </w:r>
    </w:p>
    <w:p w14:paraId="08F57F36" w14:textId="77777777" w:rsidR="00FF71FE" w:rsidRPr="006259CB" w:rsidRDefault="00FF71FE" w:rsidP="00873720"/>
    <w:p w14:paraId="070AC00C" w14:textId="0A8988AA" w:rsidR="0023692C" w:rsidRPr="006259CB" w:rsidRDefault="00BF2477" w:rsidP="00873720">
      <w:r w:rsidRPr="006259CB">
        <w:t xml:space="preserve">Reviews may be conducted more frequently due to significant market, economic, or political events, </w:t>
      </w:r>
      <w:r w:rsidR="00781EFD" w:rsidRPr="006259CB">
        <w:t>Client</w:t>
      </w:r>
      <w:r w:rsidRPr="006259CB">
        <w:t xml:space="preserve"> requests, changes in investment objectives or guidelines, alterations in financial circumstances (such as retirement, job termination, relocation, or inheritance), material cash flows (whether expected or unexpected), changes in tax laws, new investment information, or shifts in the </w:t>
      </w:r>
      <w:r w:rsidR="00781EFD" w:rsidRPr="006259CB">
        <w:t>Client</w:t>
      </w:r>
      <w:r w:rsidRPr="006259CB">
        <w:t>’s personal or financial situation. Additionally, macroeconomic factors and company-specific events may also prompt a review.</w:t>
      </w:r>
      <w:r w:rsidR="00DA293A" w:rsidRPr="006259CB">
        <w:t xml:space="preserve">  </w:t>
      </w:r>
      <w:r w:rsidRPr="006259CB">
        <w:t xml:space="preserve">Factors triggering buy or sell recommendations or changes in investment managers include changes in the </w:t>
      </w:r>
      <w:r w:rsidR="00781EFD" w:rsidRPr="006259CB">
        <w:t>Client</w:t>
      </w:r>
      <w:r w:rsidRPr="006259CB">
        <w:t xml:space="preserve">’s circumstances, general market conditions (e.g., </w:t>
      </w:r>
      <w:r w:rsidRPr="006259CB">
        <w:lastRenderedPageBreak/>
        <w:t xml:space="preserve">stock and bond markets), and changes in the management of investment managers. </w:t>
      </w:r>
      <w:r w:rsidR="0023692C" w:rsidRPr="006259CB">
        <w:t xml:space="preserve"> Reviews can also be conducted upon </w:t>
      </w:r>
      <w:r w:rsidR="006B3A44" w:rsidRPr="006259CB">
        <w:t xml:space="preserve">the </w:t>
      </w:r>
      <w:r w:rsidR="00781EFD" w:rsidRPr="006259CB">
        <w:t>Client</w:t>
      </w:r>
      <w:r w:rsidR="006B3A44" w:rsidRPr="006259CB">
        <w:t>'s</w:t>
      </w:r>
      <w:r w:rsidR="0023692C" w:rsidRPr="006259CB">
        <w:t xml:space="preserve"> request.</w:t>
      </w:r>
    </w:p>
    <w:p w14:paraId="7E3795C2" w14:textId="77777777" w:rsidR="00DA293A" w:rsidRPr="006259CB" w:rsidRDefault="00DA293A" w:rsidP="00873720"/>
    <w:p w14:paraId="629BEC40" w14:textId="1E6A9631" w:rsidR="00BF2477" w:rsidRPr="006259CB" w:rsidRDefault="00BF2477" w:rsidP="00873720">
      <w:r>
        <w:t xml:space="preserve">All accounts are reviewed by one of the firm's </w:t>
      </w:r>
      <w:r w:rsidR="26279F05">
        <w:t>Supervised Persons</w:t>
      </w:r>
      <w:r>
        <w:t xml:space="preserve">, and there is no set minimum or maximum number of accounts that each </w:t>
      </w:r>
      <w:r w:rsidR="6A36D25B">
        <w:t>Supervised Per</w:t>
      </w:r>
      <w:r w:rsidR="203F02A9">
        <w:t>s</w:t>
      </w:r>
      <w:r w:rsidR="6A36D25B">
        <w:t>on</w:t>
      </w:r>
      <w:r>
        <w:t xml:space="preserve"> will review.</w:t>
      </w:r>
      <w:r w:rsidR="0023692C">
        <w:t xml:space="preserve">  </w:t>
      </w:r>
    </w:p>
    <w:p w14:paraId="4E81F190" w14:textId="77777777" w:rsidR="009D1E0F" w:rsidRPr="006259CB" w:rsidRDefault="009D1E0F" w:rsidP="00873720">
      <w:pPr>
        <w:rPr>
          <w:color w:val="0070C0"/>
        </w:rPr>
      </w:pPr>
    </w:p>
    <w:p w14:paraId="72DEBD32" w14:textId="391F1596" w:rsidR="007C08C7" w:rsidRPr="006259CB" w:rsidRDefault="00F70BE6" w:rsidP="00873720">
      <w:r w:rsidRPr="006259CB">
        <w:rPr>
          <w:b/>
          <w:bCs/>
        </w:rPr>
        <w:t>Professional Services</w:t>
      </w:r>
      <w:r w:rsidR="007C08C7" w:rsidRPr="006259CB">
        <w:t xml:space="preserve"> </w:t>
      </w:r>
      <w:r w:rsidR="009D1E0F" w:rsidRPr="006259CB">
        <w:t xml:space="preserve">accounts are reviewed in accordance with the terms agreed upon with each </w:t>
      </w:r>
      <w:r w:rsidR="00781EFD" w:rsidRPr="006259CB">
        <w:t>Client</w:t>
      </w:r>
      <w:r w:rsidR="009D1E0F" w:rsidRPr="006259CB">
        <w:t xml:space="preserve">. </w:t>
      </w:r>
    </w:p>
    <w:p w14:paraId="211F394F" w14:textId="77777777" w:rsidR="007C08C7" w:rsidRPr="006259CB" w:rsidRDefault="007C08C7" w:rsidP="00873720"/>
    <w:p w14:paraId="41BA2513" w14:textId="77777777" w:rsidR="00407F47" w:rsidRPr="006259CB" w:rsidRDefault="00407F47" w:rsidP="00873720">
      <w:pPr>
        <w:pStyle w:val="Paragraph"/>
        <w:rPr>
          <w:i/>
          <w:color w:val="FF0000"/>
        </w:rPr>
      </w:pPr>
      <w:bookmarkStart w:id="164" w:name="_Toc193886489"/>
      <w:r w:rsidRPr="006259CB">
        <w:t>Client Account Reporting</w:t>
      </w:r>
      <w:bookmarkEnd w:id="164"/>
    </w:p>
    <w:p w14:paraId="7D9F1FE3" w14:textId="170C5644" w:rsidR="00A67CA3" w:rsidRPr="006259CB" w:rsidRDefault="00A23520" w:rsidP="00873720">
      <w:pPr>
        <w:rPr>
          <w:color w:val="000000"/>
        </w:rPr>
      </w:pPr>
      <w:r w:rsidRPr="006259CB">
        <w:t>Client</w:t>
      </w:r>
      <w:r w:rsidR="0059515C" w:rsidRPr="006259CB">
        <w:t>s are kept informed about their portfolio activity by rece</w:t>
      </w:r>
      <w:r w:rsidRPr="006259CB">
        <w:t>iving copies of transaction</w:t>
      </w:r>
      <w:r w:rsidR="0059515C" w:rsidRPr="006259CB">
        <w:t xml:space="preserve"> confirmations and monthly</w:t>
      </w:r>
      <w:r w:rsidR="0055450A" w:rsidRPr="006259CB">
        <w:t xml:space="preserve"> or </w:t>
      </w:r>
      <w:r w:rsidR="0059515C" w:rsidRPr="006259CB">
        <w:t>quarterly statements from brokerage firms, mutual fund companies, or the custodian.</w:t>
      </w:r>
      <w:r w:rsidR="005D730D" w:rsidRPr="006259CB">
        <w:t xml:space="preserve"> </w:t>
      </w:r>
      <w:r w:rsidRPr="006259CB">
        <w:t>Client</w:t>
      </w:r>
      <w:r w:rsidR="0059515C" w:rsidRPr="006259CB">
        <w:t xml:space="preserve">s also receive quarterly reports prepared by </w:t>
      </w:r>
      <w:r w:rsidR="007C6111" w:rsidRPr="006259CB">
        <w:t>t</w:t>
      </w:r>
      <w:r w:rsidR="005C2FFC" w:rsidRPr="006259CB">
        <w:t>he Adviser</w:t>
      </w:r>
      <w:r w:rsidR="0059515C" w:rsidRPr="006259CB">
        <w:t xml:space="preserve"> with their quarterly billing statements.</w:t>
      </w:r>
      <w:r w:rsidR="005D730D" w:rsidRPr="006259CB">
        <w:t xml:space="preserve"> </w:t>
      </w:r>
      <w:r w:rsidR="00A67CA3" w:rsidRPr="006259CB">
        <w:rPr>
          <w:color w:val="000000"/>
        </w:rPr>
        <w:t xml:space="preserve">These statements will be delivered by postal mail or electronically, as the </w:t>
      </w:r>
      <w:r w:rsidR="00781EFD" w:rsidRPr="006259CB">
        <w:rPr>
          <w:color w:val="000000"/>
        </w:rPr>
        <w:t>Client</w:t>
      </w:r>
      <w:r w:rsidR="00A67CA3" w:rsidRPr="006259CB">
        <w:rPr>
          <w:color w:val="000000"/>
        </w:rPr>
        <w:t xml:space="preserve"> selects.  </w:t>
      </w:r>
    </w:p>
    <w:p w14:paraId="55C2E432" w14:textId="77777777" w:rsidR="00BF3DF8" w:rsidRPr="006259CB" w:rsidRDefault="00BF3DF8" w:rsidP="00873720">
      <w:pPr>
        <w:rPr>
          <w:color w:val="000000"/>
        </w:rPr>
      </w:pPr>
    </w:p>
    <w:p w14:paraId="01737E58" w14:textId="5A7637CA" w:rsidR="00A67CA3" w:rsidRPr="006259CB" w:rsidRDefault="001B5405" w:rsidP="00873720">
      <w:r w:rsidRPr="006259CB">
        <w:t xml:space="preserve">The quarterly reports provided by </w:t>
      </w:r>
      <w:r w:rsidR="007C6111" w:rsidRPr="006259CB">
        <w:t>t</w:t>
      </w:r>
      <w:r w:rsidR="005C2FFC" w:rsidRPr="006259CB">
        <w:t>he Adviser</w:t>
      </w:r>
      <w:r w:rsidRPr="006259CB">
        <w:t xml:space="preserve"> may vary from statements provided by brokerage firms, mutual fund companies or custodial statements based on accounting procedures, reporting dates, and/or valuation methodologies of certain securities. </w:t>
      </w:r>
    </w:p>
    <w:p w14:paraId="1B9D5FB3" w14:textId="77777777" w:rsidR="008403A7" w:rsidRPr="006259CB" w:rsidRDefault="008403A7" w:rsidP="00873720">
      <w:pPr>
        <w:rPr>
          <w:color w:val="000000"/>
        </w:rPr>
      </w:pPr>
    </w:p>
    <w:p w14:paraId="46C2ADCA" w14:textId="794A54F3" w:rsidR="00A67CA3" w:rsidRPr="006259CB" w:rsidRDefault="008403A7" w:rsidP="00873720">
      <w:pPr>
        <w:rPr>
          <w:rFonts w:eastAsia="Calibri"/>
          <w:color w:val="auto"/>
          <w:szCs w:val="21"/>
        </w:rPr>
      </w:pPr>
      <w:r w:rsidRPr="006259CB">
        <w:t xml:space="preserve">Baker Street </w:t>
      </w:r>
      <w:r w:rsidR="00A67CA3" w:rsidRPr="006259CB">
        <w:t xml:space="preserve">urges </w:t>
      </w:r>
      <w:r w:rsidR="00781EFD" w:rsidRPr="006259CB">
        <w:t>Client</w:t>
      </w:r>
      <w:r w:rsidR="00A67CA3" w:rsidRPr="006259CB">
        <w:t>s to promptly review any statements they receive directly from their Custodian or otherwise upon receipt to ensure account transaction accuracy. Clients should also compare account investment performance against the appropriate benchmark applicable to the type of investments held in the account and any periodic information from us</w:t>
      </w:r>
      <w:r w:rsidRPr="006259CB">
        <w:t>.  Baker Street</w:t>
      </w:r>
      <w:r w:rsidR="00A67CA3" w:rsidRPr="006259CB">
        <w:rPr>
          <w:color w:val="000000"/>
        </w:rPr>
        <w:t xml:space="preserve"> does not typically provide </w:t>
      </w:r>
      <w:r w:rsidR="00781EFD" w:rsidRPr="006259CB">
        <w:rPr>
          <w:color w:val="000000"/>
        </w:rPr>
        <w:t>Client</w:t>
      </w:r>
      <w:r w:rsidR="00A67CA3" w:rsidRPr="006259CB">
        <w:rPr>
          <w:color w:val="000000"/>
        </w:rPr>
        <w:t xml:space="preserve">s with additional or more frequent written statements on their accounts, although </w:t>
      </w:r>
      <w:r w:rsidR="00A67CA3" w:rsidRPr="006259CB">
        <w:rPr>
          <w:rFonts w:eastAsia="Calibri"/>
          <w:color w:val="auto"/>
          <w:szCs w:val="21"/>
        </w:rPr>
        <w:t>ad hoc reports can be requested.</w:t>
      </w:r>
    </w:p>
    <w:p w14:paraId="1EC44BDC" w14:textId="77777777" w:rsidR="00360C28" w:rsidRPr="006259CB" w:rsidRDefault="00360C28" w:rsidP="00873720">
      <w:pPr>
        <w:pStyle w:val="Paragraph"/>
      </w:pPr>
    </w:p>
    <w:p w14:paraId="26BB263A" w14:textId="1A373FE9" w:rsidR="008E39FA" w:rsidRPr="006259CB" w:rsidRDefault="2C54DDDE" w:rsidP="00873720">
      <w:pPr>
        <w:pStyle w:val="Item"/>
      </w:pPr>
      <w:bookmarkStart w:id="165" w:name="_Toc270409656"/>
      <w:bookmarkStart w:id="166" w:name="_Toc225322734"/>
      <w:r>
        <w:t xml:space="preserve">Item 14:  </w:t>
      </w:r>
      <w:r w:rsidR="00F46568">
        <w:t>Client</w:t>
      </w:r>
      <w:r w:rsidR="3C14E57C">
        <w:t xml:space="preserve"> Referrals </w:t>
      </w:r>
      <w:r w:rsidR="6B978C84">
        <w:t xml:space="preserve">&amp; </w:t>
      </w:r>
      <w:r w:rsidR="3C14E57C">
        <w:t>Other Compensation</w:t>
      </w:r>
      <w:bookmarkEnd w:id="165"/>
      <w:bookmarkEnd w:id="166"/>
    </w:p>
    <w:p w14:paraId="120FBC56" w14:textId="03816533" w:rsidR="00961C2B" w:rsidRPr="006259CB" w:rsidRDefault="00961C2B" w:rsidP="00873720">
      <w:pPr>
        <w:rPr>
          <w:b/>
          <w:color w:val="6586A4"/>
        </w:rPr>
      </w:pPr>
      <w:r w:rsidRPr="006259CB">
        <w:rPr>
          <w:color w:val="6586A4"/>
        </w:rPr>
        <w:t>_____________________________________________________________</w:t>
      </w:r>
      <w:r w:rsidR="005C2FFC" w:rsidRPr="006259CB">
        <w:rPr>
          <w:color w:val="6586A4"/>
        </w:rPr>
        <w:t>___</w:t>
      </w:r>
      <w:r w:rsidRPr="006259CB">
        <w:rPr>
          <w:color w:val="6586A4"/>
        </w:rPr>
        <w:t>__________________________</w:t>
      </w:r>
    </w:p>
    <w:p w14:paraId="12660B89" w14:textId="468830C7" w:rsidR="00764D11" w:rsidRPr="006259CB" w:rsidRDefault="00764D11" w:rsidP="00873720">
      <w:pPr>
        <w:widowControl w:val="0"/>
        <w:autoSpaceDE w:val="0"/>
        <w:autoSpaceDN w:val="0"/>
        <w:rPr>
          <w:rFonts w:eastAsia="Arial MT"/>
          <w:color w:val="010101"/>
          <w:lang w:bidi="en-US"/>
        </w:rPr>
      </w:pPr>
      <w:r w:rsidRPr="006259CB">
        <w:rPr>
          <w:rFonts w:eastAsia="Arial MT"/>
          <w:color w:val="010101"/>
          <w:lang w:bidi="en-US"/>
        </w:rPr>
        <w:t>Baker Street receives an economic benefit from the following entities or individuals for providing investment advice or other advisory services:</w:t>
      </w:r>
    </w:p>
    <w:p w14:paraId="6FD540C3" w14:textId="77777777" w:rsidR="00764D11" w:rsidRPr="006259CB" w:rsidRDefault="00764D11" w:rsidP="00873720">
      <w:pPr>
        <w:widowControl w:val="0"/>
        <w:autoSpaceDE w:val="0"/>
        <w:autoSpaceDN w:val="0"/>
        <w:rPr>
          <w:rFonts w:eastAsia="Arial MT"/>
          <w:color w:val="010101"/>
          <w:lang w:bidi="en-US"/>
        </w:rPr>
      </w:pPr>
    </w:p>
    <w:p w14:paraId="6322694E" w14:textId="77777777" w:rsidR="00764D11" w:rsidRPr="006259CB" w:rsidRDefault="00764D11" w:rsidP="00FC38D5">
      <w:pPr>
        <w:pStyle w:val="Paragraph"/>
        <w:rPr>
          <w:lang w:bidi="en-US"/>
        </w:rPr>
      </w:pPr>
      <w:bookmarkStart w:id="167" w:name="_Toc193886491"/>
      <w:bookmarkStart w:id="168" w:name="_Toc194300690"/>
      <w:r w:rsidRPr="006259CB">
        <w:rPr>
          <w:lang w:bidi="en-US"/>
        </w:rPr>
        <w:t>Preferred Qualified Custodian Benefits</w:t>
      </w:r>
      <w:bookmarkEnd w:id="167"/>
      <w:bookmarkEnd w:id="168"/>
    </w:p>
    <w:p w14:paraId="3A2EC7E7" w14:textId="7F33039D" w:rsidR="00764D11" w:rsidRPr="006259CB" w:rsidRDefault="008C4A8C" w:rsidP="00873720">
      <w:pPr>
        <w:widowControl w:val="0"/>
        <w:pBdr>
          <w:top w:val="nil"/>
          <w:left w:val="nil"/>
          <w:bottom w:val="nil"/>
          <w:right w:val="nil"/>
          <w:between w:val="nil"/>
        </w:pBdr>
        <w:autoSpaceDE w:val="0"/>
        <w:autoSpaceDN w:val="0"/>
        <w:rPr>
          <w:i/>
          <w:iCs/>
          <w:color w:val="595959" w:themeColor="text1" w:themeTint="A6"/>
        </w:rPr>
      </w:pPr>
      <w:r w:rsidRPr="006259CB">
        <w:t xml:space="preserve">The Adviser </w:t>
      </w:r>
      <w:r w:rsidR="00BF3DF8" w:rsidRPr="006259CB">
        <w:t xml:space="preserve">may </w:t>
      </w:r>
      <w:r w:rsidRPr="006259CB">
        <w:t xml:space="preserve">receive economic benefits from its recommended Qualified Custodians in the form of support products and services, which help offset costs </w:t>
      </w:r>
      <w:r w:rsidR="00C961A1" w:rsidRPr="006259CB">
        <w:t>Baker Street</w:t>
      </w:r>
      <w:r w:rsidRPr="006259CB">
        <w:t xml:space="preserve"> would otherwise bear directly. While </w:t>
      </w:r>
      <w:r w:rsidR="00781EFD" w:rsidRPr="006259CB">
        <w:t>Client</w:t>
      </w:r>
      <w:r w:rsidRPr="006259CB">
        <w:t xml:space="preserve">s do not incur additional costs for assets held at a recommended custodian, </w:t>
      </w:r>
      <w:r w:rsidR="00FC38D5" w:rsidRPr="006259CB">
        <w:t>they</w:t>
      </w:r>
      <w:r w:rsidRPr="006259CB">
        <w:t xml:space="preserve"> should be aware of potential conflicts of interest. The nature of the products and services provided by custodians and the associated benefits to </w:t>
      </w:r>
      <w:r w:rsidR="00C961A1" w:rsidRPr="006259CB">
        <w:t>us</w:t>
      </w:r>
      <w:r w:rsidRPr="006259CB">
        <w:t xml:space="preserve"> may influence the selection of a custodian. </w:t>
      </w:r>
      <w:r w:rsidR="00C961A1" w:rsidRPr="006259CB">
        <w:rPr>
          <w:i/>
          <w:iCs/>
          <w:color w:val="595959" w:themeColor="text1" w:themeTint="A6"/>
        </w:rPr>
        <w:t>(</w:t>
      </w:r>
      <w:r w:rsidRPr="006259CB">
        <w:rPr>
          <w:i/>
          <w:iCs/>
          <w:color w:val="595959" w:themeColor="text1" w:themeTint="A6"/>
        </w:rPr>
        <w:t xml:space="preserve">For further details regarding these arrangements and any potential conflicts of interest, please refer to </w:t>
      </w:r>
      <w:r w:rsidRPr="006259CB">
        <w:rPr>
          <w:rStyle w:val="Strong"/>
          <w:b w:val="0"/>
          <w:bCs w:val="0"/>
          <w:i/>
          <w:iCs/>
          <w:color w:val="595959" w:themeColor="text1" w:themeTint="A6"/>
        </w:rPr>
        <w:t>Item 12: Brokerage Practices</w:t>
      </w:r>
      <w:r w:rsidR="00C961A1" w:rsidRPr="006259CB">
        <w:rPr>
          <w:i/>
          <w:iCs/>
          <w:color w:val="595959" w:themeColor="text1" w:themeTint="A6"/>
        </w:rPr>
        <w:t>.)</w:t>
      </w:r>
    </w:p>
    <w:p w14:paraId="1E6658D5" w14:textId="77777777" w:rsidR="00976253" w:rsidRPr="006259CB" w:rsidRDefault="00976253" w:rsidP="00873720">
      <w:pPr>
        <w:widowControl w:val="0"/>
        <w:pBdr>
          <w:top w:val="nil"/>
          <w:left w:val="nil"/>
          <w:bottom w:val="nil"/>
          <w:right w:val="nil"/>
          <w:between w:val="nil"/>
        </w:pBdr>
        <w:autoSpaceDE w:val="0"/>
        <w:autoSpaceDN w:val="0"/>
        <w:rPr>
          <w:i/>
          <w:iCs/>
          <w:color w:val="595959" w:themeColor="text1" w:themeTint="A6"/>
        </w:rPr>
      </w:pPr>
    </w:p>
    <w:p w14:paraId="30B3EF84" w14:textId="01F858D9" w:rsidR="00976253" w:rsidRPr="006259CB" w:rsidRDefault="00976253" w:rsidP="00873720">
      <w:pPr>
        <w:widowControl w:val="0"/>
        <w:pBdr>
          <w:top w:val="nil"/>
          <w:left w:val="nil"/>
          <w:bottom w:val="nil"/>
          <w:right w:val="nil"/>
          <w:between w:val="nil"/>
        </w:pBdr>
        <w:autoSpaceDE w:val="0"/>
        <w:autoSpaceDN w:val="0"/>
        <w:rPr>
          <w:rFonts w:eastAsia="Arial MT"/>
          <w:i/>
          <w:iCs/>
          <w:color w:val="7F7F7F" w:themeColor="text1" w:themeTint="80"/>
          <w:lang w:bidi="en-US"/>
        </w:rPr>
      </w:pPr>
      <w:r w:rsidRPr="006259CB">
        <w:t xml:space="preserve">Baker Street does not directly or indirectly compensate any person, other than employees, for Client referrals. </w:t>
      </w:r>
    </w:p>
    <w:p w14:paraId="0F062A8C" w14:textId="77777777" w:rsidR="00764D11" w:rsidRPr="006259CB" w:rsidRDefault="00764D11" w:rsidP="00873720">
      <w:pPr>
        <w:widowControl w:val="0"/>
        <w:pBdr>
          <w:top w:val="nil"/>
          <w:left w:val="nil"/>
          <w:bottom w:val="nil"/>
          <w:right w:val="nil"/>
          <w:between w:val="nil"/>
        </w:pBdr>
        <w:autoSpaceDE w:val="0"/>
        <w:autoSpaceDN w:val="0"/>
        <w:rPr>
          <w:rFonts w:eastAsia="Arial MT"/>
          <w:i/>
          <w:color w:val="595959"/>
          <w:lang w:bidi="en-US"/>
        </w:rPr>
      </w:pPr>
    </w:p>
    <w:p w14:paraId="4B6F84D7" w14:textId="110C54BF" w:rsidR="00462560" w:rsidRPr="006259CB" w:rsidRDefault="00607878" w:rsidP="0046082C">
      <w:pPr>
        <w:pStyle w:val="Paragraph"/>
      </w:pPr>
      <w:bookmarkStart w:id="169" w:name="_Toc193886495"/>
      <w:r w:rsidRPr="006259CB">
        <w:t>Conflicts of Interest</w:t>
      </w:r>
      <w:bookmarkEnd w:id="169"/>
    </w:p>
    <w:p w14:paraId="0C4BB33E" w14:textId="73ACE538" w:rsidR="00462560" w:rsidRPr="006259CB" w:rsidRDefault="00462560" w:rsidP="00873720">
      <w:r w:rsidRPr="006259CB">
        <w:t xml:space="preserve">Apart from the items disclosed herein, </w:t>
      </w:r>
      <w:r w:rsidR="00C961A1" w:rsidRPr="006259CB">
        <w:t>Baker Street</w:t>
      </w:r>
      <w:r w:rsidRPr="006259CB">
        <w:t xml:space="preserve"> has no other additional economic benefits for </w:t>
      </w:r>
      <w:r w:rsidR="00781EFD" w:rsidRPr="006259CB">
        <w:t>Client</w:t>
      </w:r>
      <w:r w:rsidRPr="006259CB">
        <w:t xml:space="preserve"> referrals or compensation to disclose. </w:t>
      </w:r>
      <w:r w:rsidR="00C961A1" w:rsidRPr="006259CB">
        <w:t>Further</w:t>
      </w:r>
      <w:r w:rsidRPr="006259CB">
        <w:t xml:space="preserve"> details o</w:t>
      </w:r>
      <w:r w:rsidR="00C961A1" w:rsidRPr="006259CB">
        <w:t>n how the Adviser</w:t>
      </w:r>
      <w:r w:rsidRPr="006259CB">
        <w:t xml:space="preserve"> mitigates conflicts of interest can be found in the firm's comprehensive written compliance supervisory policies and procedures and Code of Ethics.  A free copy of our Code of Ethics is available for review to </w:t>
      </w:r>
      <w:r w:rsidR="00781EFD" w:rsidRPr="006259CB">
        <w:t>Client</w:t>
      </w:r>
      <w:r w:rsidRPr="006259CB">
        <w:t xml:space="preserve">s and prospective </w:t>
      </w:r>
      <w:r w:rsidR="00781EFD" w:rsidRPr="006259CB">
        <w:t>Client</w:t>
      </w:r>
      <w:r w:rsidRPr="006259CB">
        <w:t>s upon request by ema</w:t>
      </w:r>
      <w:r w:rsidR="00976253" w:rsidRPr="006259CB">
        <w:t>il.</w:t>
      </w:r>
    </w:p>
    <w:p w14:paraId="0F5420B8" w14:textId="77777777" w:rsidR="00462560" w:rsidRPr="006259CB" w:rsidRDefault="00462560" w:rsidP="00873720">
      <w:pPr>
        <w:pStyle w:val="Paragraph"/>
      </w:pPr>
    </w:p>
    <w:p w14:paraId="10390E72" w14:textId="481D6978" w:rsidR="00C91CAD" w:rsidRPr="006259CB" w:rsidRDefault="2C54DDDE" w:rsidP="00873720">
      <w:pPr>
        <w:pStyle w:val="Item"/>
      </w:pPr>
      <w:bookmarkStart w:id="170" w:name="_Toc270409657"/>
      <w:bookmarkStart w:id="171" w:name="_Toc225322735"/>
      <w:r>
        <w:t xml:space="preserve">Item 15:  </w:t>
      </w:r>
      <w:r w:rsidR="3C14E57C">
        <w:t>Custody</w:t>
      </w:r>
      <w:bookmarkEnd w:id="170"/>
      <w:bookmarkEnd w:id="171"/>
    </w:p>
    <w:p w14:paraId="586ECDC3" w14:textId="422205E3" w:rsidR="00961C2B" w:rsidRPr="006259CB" w:rsidRDefault="00961C2B" w:rsidP="00FC38D5">
      <w:pPr>
        <w:spacing w:after="60"/>
        <w:rPr>
          <w:b/>
          <w:color w:val="6586A4"/>
        </w:rPr>
      </w:pPr>
      <w:r w:rsidRPr="006259CB">
        <w:rPr>
          <w:color w:val="6586A4"/>
        </w:rPr>
        <w:t>______________________________________________</w:t>
      </w:r>
      <w:r w:rsidR="005C2FFC" w:rsidRPr="006259CB">
        <w:rPr>
          <w:color w:val="6586A4"/>
        </w:rPr>
        <w:t>___</w:t>
      </w:r>
      <w:r w:rsidRPr="006259CB">
        <w:rPr>
          <w:color w:val="6586A4"/>
        </w:rPr>
        <w:t>_________________________________________</w:t>
      </w:r>
    </w:p>
    <w:p w14:paraId="123CA5ED" w14:textId="77777777" w:rsidR="00930314" w:rsidRPr="006259CB" w:rsidRDefault="00930314" w:rsidP="00873720">
      <w:pPr>
        <w:pStyle w:val="Paragraph"/>
      </w:pPr>
      <w:r w:rsidRPr="006259CB">
        <w:t>Custodial Practices</w:t>
      </w:r>
    </w:p>
    <w:p w14:paraId="224AB85E" w14:textId="27387D7D" w:rsidR="005A7845" w:rsidRPr="006259CB" w:rsidRDefault="006E0F78" w:rsidP="00873720">
      <w:pPr>
        <w:widowControl w:val="0"/>
        <w:autoSpaceDE w:val="0"/>
        <w:autoSpaceDN w:val="0"/>
      </w:pPr>
      <w:r w:rsidRPr="006259CB">
        <w:t>Baker Street</w:t>
      </w:r>
      <w:r w:rsidR="007B37C2" w:rsidRPr="006259CB">
        <w:t xml:space="preserve"> does not have physical custody of client funds or securities, except for the standard business practice of deducting advisory fees directly from client accounts. The Adviser strictly prohibits the firm or its employees from obtaining, accepting, or maintaining custody of client funds, securities, or assets in any form. Clients' account cash, securities, and other assets will be held with a Qualified Custodian, who will govern the account under a separate written brokerage and custodial agreement between the custodian and the client. </w:t>
      </w:r>
    </w:p>
    <w:p w14:paraId="4C7D45B1" w14:textId="77777777" w:rsidR="005A7845" w:rsidRPr="006259CB" w:rsidRDefault="005A7845" w:rsidP="00873720">
      <w:pPr>
        <w:widowControl w:val="0"/>
        <w:autoSpaceDE w:val="0"/>
        <w:autoSpaceDN w:val="0"/>
      </w:pPr>
    </w:p>
    <w:p w14:paraId="3093E636" w14:textId="278FA36D" w:rsidR="00DC0243" w:rsidRPr="006259CB" w:rsidRDefault="007B37C2" w:rsidP="00873720">
      <w:pPr>
        <w:widowControl w:val="0"/>
        <w:autoSpaceDE w:val="0"/>
        <w:autoSpaceDN w:val="0"/>
      </w:pPr>
      <w:r w:rsidRPr="006259CB">
        <w:t xml:space="preserve">All account checks, funds, wire transfers, and securities will be delivered directly between the client and the custodian of record. The Adviser does not directly or indirectly hold client funds or securities and does not have the authority to take possession of, withdraw, or transfer any money, securities, or other property from any client </w:t>
      </w:r>
      <w:r w:rsidRPr="006259CB">
        <w:lastRenderedPageBreak/>
        <w:t>custodial account.</w:t>
      </w:r>
    </w:p>
    <w:p w14:paraId="4362D894" w14:textId="77777777" w:rsidR="00AE5B28" w:rsidRPr="006259CB" w:rsidRDefault="00AE5B28" w:rsidP="00873720">
      <w:pPr>
        <w:widowControl w:val="0"/>
        <w:autoSpaceDE w:val="0"/>
        <w:autoSpaceDN w:val="0"/>
        <w:rPr>
          <w:rFonts w:eastAsia="Arial"/>
        </w:rPr>
      </w:pPr>
    </w:p>
    <w:p w14:paraId="516396CA" w14:textId="7B34D705" w:rsidR="00DC0243" w:rsidRPr="006259CB" w:rsidRDefault="13B6309A" w:rsidP="00873720">
      <w:pPr>
        <w:widowControl w:val="0"/>
        <w:autoSpaceDE w:val="0"/>
        <w:autoSpaceDN w:val="0"/>
        <w:rPr>
          <w:rFonts w:eastAsia="Arial"/>
        </w:rPr>
      </w:pPr>
      <w:r w:rsidRPr="7E6823F4">
        <w:rPr>
          <w:rFonts w:eastAsia="Arial"/>
        </w:rPr>
        <w:t xml:space="preserve">As noted previously, </w:t>
      </w:r>
      <w:r w:rsidR="329BF63B" w:rsidRPr="7E6823F4">
        <w:rPr>
          <w:rFonts w:eastAsia="Arial"/>
        </w:rPr>
        <w:t xml:space="preserve">in most cases, </w:t>
      </w:r>
      <w:r w:rsidR="29EF6831" w:rsidRPr="7E6823F4">
        <w:rPr>
          <w:rFonts w:eastAsia="Arial"/>
        </w:rPr>
        <w:t>we</w:t>
      </w:r>
      <w:r w:rsidRPr="7E6823F4">
        <w:rPr>
          <w:rFonts w:eastAsia="Arial"/>
        </w:rPr>
        <w:t xml:space="preserve"> recommend that clients place their assets in the custody of </w:t>
      </w:r>
      <w:hyperlink r:id="rId22">
        <w:r w:rsidR="786FEE40" w:rsidRPr="7E6823F4">
          <w:rPr>
            <w:rStyle w:val="Hyperlink"/>
            <w:color w:val="4F80BD"/>
          </w:rPr>
          <w:t>Fidelity Brokerage Services LLC</w:t>
        </w:r>
      </w:hyperlink>
      <w:r w:rsidR="786FEE40">
        <w:t xml:space="preserve"> (“Fidelity”)</w:t>
      </w:r>
      <w:r w:rsidR="3A9C5AE9">
        <w:t xml:space="preserve"> and </w:t>
      </w:r>
      <w:hyperlink r:id="rId23">
        <w:r w:rsidR="786FEE40" w:rsidRPr="7E6823F4">
          <w:rPr>
            <w:rStyle w:val="Hyperlink"/>
            <w:color w:val="4F80BD"/>
          </w:rPr>
          <w:t>Charles Schwab &amp; Co., Inc.</w:t>
        </w:r>
      </w:hyperlink>
      <w:r w:rsidR="786FEE40" w:rsidRPr="7E6823F4">
        <w:rPr>
          <w:color w:val="auto"/>
        </w:rPr>
        <w:t xml:space="preserve"> (“Schwab”), </w:t>
      </w:r>
      <w:hyperlink r:id="rId24" w:history="1"/>
      <w:r w:rsidRPr="7E6823F4">
        <w:rPr>
          <w:rFonts w:eastAsia="Arial"/>
        </w:rPr>
        <w:t>wh</w:t>
      </w:r>
      <w:r w:rsidR="6D382236" w:rsidRPr="7E6823F4">
        <w:rPr>
          <w:rFonts w:eastAsia="Arial"/>
        </w:rPr>
        <w:t>ich</w:t>
      </w:r>
      <w:r w:rsidRPr="7E6823F4">
        <w:rPr>
          <w:rFonts w:eastAsia="Arial"/>
        </w:rPr>
        <w:t xml:space="preserve"> will take possession of the cash, securities, and other assets within the client's account unless the client directs otherwise.  Typically, the custodian will directly debit the client's account(s) to pay </w:t>
      </w:r>
      <w:r w:rsidR="786FEE40" w:rsidRPr="7E6823F4">
        <w:rPr>
          <w:rFonts w:eastAsia="Arial"/>
        </w:rPr>
        <w:t>our</w:t>
      </w:r>
      <w:r w:rsidRPr="7E6823F4">
        <w:rPr>
          <w:rFonts w:eastAsia="Arial"/>
        </w:rPr>
        <w:t xml:space="preserve"> </w:t>
      </w:r>
      <w:r w:rsidR="22B9C016" w:rsidRPr="7E6823F4">
        <w:rPr>
          <w:rFonts w:eastAsia="Arial"/>
        </w:rPr>
        <w:t>advisory fees</w:t>
      </w:r>
      <w:r w:rsidRPr="7E6823F4">
        <w:rPr>
          <w:rFonts w:eastAsia="Arial"/>
        </w:rPr>
        <w:t xml:space="preserve">.  To authorize this, the client will directly provide written limited authorization instructions and request their custodian </w:t>
      </w:r>
      <w:r w:rsidR="1A5ED8FD" w:rsidRPr="7E6823F4">
        <w:rPr>
          <w:rFonts w:eastAsia="Arial"/>
        </w:rPr>
        <w:t xml:space="preserve">to </w:t>
      </w:r>
      <w:r w:rsidRPr="7E6823F4">
        <w:rPr>
          <w:rFonts w:eastAsia="Arial"/>
        </w:rPr>
        <w:t xml:space="preserve">provide a "transfer of funds" notice through the client’s preferred method of communication after each </w:t>
      </w:r>
      <w:r w:rsidR="22B9C016" w:rsidRPr="7E6823F4">
        <w:rPr>
          <w:rFonts w:eastAsia="Arial"/>
        </w:rPr>
        <w:t xml:space="preserve">advisory fee </w:t>
      </w:r>
      <w:r w:rsidRPr="7E6823F4">
        <w:rPr>
          <w:rFonts w:eastAsia="Arial"/>
        </w:rPr>
        <w:t xml:space="preserve">payment transfer occurs.  The client will </w:t>
      </w:r>
      <w:r w:rsidR="786FEE40" w:rsidRPr="7E6823F4">
        <w:rPr>
          <w:rFonts w:eastAsia="Arial"/>
        </w:rPr>
        <w:t>giv</w:t>
      </w:r>
      <w:r w:rsidRPr="7E6823F4">
        <w:rPr>
          <w:rFonts w:eastAsia="Arial"/>
        </w:rPr>
        <w:t xml:space="preserve">e these instructions separately on the custodian’s form.  </w:t>
      </w:r>
    </w:p>
    <w:p w14:paraId="749CA96F" w14:textId="77777777" w:rsidR="00DC0243" w:rsidRPr="006259CB" w:rsidRDefault="00DC0243" w:rsidP="00873720">
      <w:pPr>
        <w:widowControl w:val="0"/>
        <w:autoSpaceDE w:val="0"/>
        <w:autoSpaceDN w:val="0"/>
        <w:rPr>
          <w:rFonts w:eastAsia="Arial"/>
        </w:rPr>
      </w:pPr>
    </w:p>
    <w:p w14:paraId="391CF04D" w14:textId="64F9669B" w:rsidR="00DC0243" w:rsidRPr="006259CB" w:rsidRDefault="00DC0243" w:rsidP="00873720">
      <w:pPr>
        <w:widowControl w:val="0"/>
        <w:autoSpaceDE w:val="0"/>
        <w:autoSpaceDN w:val="0"/>
        <w:rPr>
          <w:rFonts w:eastAsia="Arial"/>
        </w:rPr>
      </w:pPr>
      <w:r w:rsidRPr="006259CB">
        <w:rPr>
          <w:rFonts w:eastAsia="Arial"/>
        </w:rPr>
        <w:t xml:space="preserve">Although Baker Street does not have physical custody of client funds or securities, we are deemed to have limited custody over client funds, as defined by Rule 206(4)-2 under the Advisers Act, when a client authorizes us to deduct our </w:t>
      </w:r>
      <w:r w:rsidR="00C7322D" w:rsidRPr="006259CB">
        <w:rPr>
          <w:rFonts w:eastAsia="Arial"/>
        </w:rPr>
        <w:t xml:space="preserve">advisory fee </w:t>
      </w:r>
      <w:r w:rsidRPr="006259CB">
        <w:rPr>
          <w:rFonts w:eastAsia="Arial"/>
        </w:rPr>
        <w:t xml:space="preserve">directly from their account.  </w:t>
      </w:r>
    </w:p>
    <w:p w14:paraId="263B7FE2" w14:textId="77777777" w:rsidR="00DC0243" w:rsidRPr="006259CB" w:rsidRDefault="00DC0243" w:rsidP="00873720">
      <w:pPr>
        <w:widowControl w:val="0"/>
        <w:autoSpaceDE w:val="0"/>
        <w:autoSpaceDN w:val="0"/>
        <w:rPr>
          <w:rFonts w:eastAsia="Arial"/>
        </w:rPr>
      </w:pPr>
    </w:p>
    <w:p w14:paraId="53A5C6A2" w14:textId="77777777" w:rsidR="00DC0243" w:rsidRPr="006259CB" w:rsidRDefault="00DC0243" w:rsidP="00873720">
      <w:pPr>
        <w:pStyle w:val="Paragraph"/>
      </w:pPr>
      <w:r w:rsidRPr="006259CB">
        <w:t>Wire Transfers, Check-Writing Authority &amp; Standing Letters of Authorization</w:t>
      </w:r>
    </w:p>
    <w:p w14:paraId="19C22446" w14:textId="707859AD" w:rsidR="00DC0243" w:rsidRPr="006259CB" w:rsidRDefault="00DC0243" w:rsidP="00873720">
      <w:pPr>
        <w:widowControl w:val="0"/>
        <w:autoSpaceDE w:val="0"/>
        <w:autoSpaceDN w:val="0"/>
        <w:rPr>
          <w:rFonts w:eastAsia="Arial"/>
        </w:rPr>
      </w:pPr>
      <w:r w:rsidRPr="006259CB">
        <w:rPr>
          <w:rFonts w:eastAsia="Arial"/>
        </w:rPr>
        <w:t xml:space="preserve">Baker Street or persons associated with our </w:t>
      </w:r>
      <w:r w:rsidR="005A7845" w:rsidRPr="006259CB">
        <w:rPr>
          <w:rFonts w:eastAsia="Arial"/>
        </w:rPr>
        <w:t>f</w:t>
      </w:r>
      <w:r w:rsidRPr="006259CB">
        <w:rPr>
          <w:rFonts w:eastAsia="Arial"/>
        </w:rPr>
        <w:t xml:space="preserve">irm can effect wire transfers from client accounts to one or more third parties designated, in writing, by the </w:t>
      </w:r>
      <w:r w:rsidRPr="00D8690B">
        <w:rPr>
          <w:rFonts w:eastAsia="Arial"/>
        </w:rPr>
        <w:t>client without obtaining written client consent for each separate, individual transaction, or we may have signatory and check-</w:t>
      </w:r>
      <w:r w:rsidRPr="006259CB">
        <w:rPr>
          <w:rFonts w:eastAsia="Arial"/>
        </w:rPr>
        <w:t xml:space="preserve">writing authority for client accounts if the client has provided us with written authorization to do so.  Such written authorization is </w:t>
      </w:r>
      <w:r w:rsidR="00C06BE2" w:rsidRPr="006259CB">
        <w:rPr>
          <w:rFonts w:eastAsia="Arial"/>
        </w:rPr>
        <w:t>commonly referred to</w:t>
      </w:r>
      <w:r w:rsidRPr="006259CB">
        <w:rPr>
          <w:rFonts w:eastAsia="Arial"/>
        </w:rPr>
        <w:t xml:space="preserve"> as a "</w:t>
      </w:r>
      <w:r w:rsidRPr="006259CB">
        <w:rPr>
          <w:rFonts w:eastAsia="Arial"/>
          <w:u w:val="single"/>
        </w:rPr>
        <w:t>Standing Letter of Authorization</w:t>
      </w:r>
      <w:r w:rsidRPr="006259CB">
        <w:rPr>
          <w:rFonts w:eastAsia="Arial"/>
        </w:rPr>
        <w:t xml:space="preserve">" (or "SLOA").  </w:t>
      </w:r>
    </w:p>
    <w:p w14:paraId="47F648BA" w14:textId="77777777" w:rsidR="00DC0243" w:rsidRPr="006259CB" w:rsidRDefault="00DC0243" w:rsidP="00873720">
      <w:pPr>
        <w:widowControl w:val="0"/>
        <w:autoSpaceDE w:val="0"/>
        <w:autoSpaceDN w:val="0"/>
        <w:rPr>
          <w:rFonts w:eastAsia="Arial"/>
        </w:rPr>
      </w:pPr>
    </w:p>
    <w:p w14:paraId="1B798F42" w14:textId="68B3EB36" w:rsidR="00974407" w:rsidRPr="006259CB" w:rsidRDefault="009530EF" w:rsidP="00873720">
      <w:pPr>
        <w:widowControl w:val="0"/>
        <w:autoSpaceDE w:val="0"/>
        <w:autoSpaceDN w:val="0"/>
      </w:pPr>
      <w:r w:rsidRPr="006259CB">
        <w:t xml:space="preserve">An adviser who has </w:t>
      </w:r>
      <w:r w:rsidR="00C06BE2" w:rsidRPr="006259CB">
        <w:t xml:space="preserve">the </w:t>
      </w:r>
      <w:r w:rsidRPr="006259CB">
        <w:t>authority to conduct third-party wire transfers, sign checks on behalf of a client, or serve as a trustee</w:t>
      </w:r>
      <w:r w:rsidR="00974407" w:rsidRPr="006259CB">
        <w:t>/m</w:t>
      </w:r>
      <w:r w:rsidRPr="006259CB">
        <w:t>anagement duties on client accounts has access to the client's assets and, therefore, is considered to have custody of those assets in any related accounts.</w:t>
      </w:r>
      <w:r w:rsidR="00974407" w:rsidRPr="006259CB">
        <w:t xml:space="preserve"> Under the SEC's Custody Rule, advisers with custody are required to undergo surprise audits by an independent public accountant and meet other compliance requirements to safeguard client assets. </w:t>
      </w:r>
    </w:p>
    <w:p w14:paraId="7E153C2E" w14:textId="77777777" w:rsidR="00D43F71" w:rsidRPr="006259CB" w:rsidRDefault="00D43F71" w:rsidP="00873720"/>
    <w:p w14:paraId="0D4CB7D1" w14:textId="1A69B2C2" w:rsidR="00F14D9A" w:rsidRPr="006259CB" w:rsidRDefault="00C33899" w:rsidP="00D43F71">
      <w:r w:rsidRPr="006259CB">
        <w:t>Baker Street</w:t>
      </w:r>
      <w:r w:rsidR="00D43F71" w:rsidRPr="006259CB">
        <w:t xml:space="preserve"> affirms it</w:t>
      </w:r>
      <w:r w:rsidRPr="006259CB">
        <w:t xml:space="preserve"> meets </w:t>
      </w:r>
      <w:r w:rsidR="00D43F71" w:rsidRPr="006259CB">
        <w:t>all</w:t>
      </w:r>
      <w:r w:rsidRPr="006259CB">
        <w:t xml:space="preserve"> regulatory requirements with respect to such accounts.</w:t>
      </w:r>
      <w:r w:rsidR="0087261C">
        <w:t xml:space="preserve"> </w:t>
      </w:r>
      <w:r w:rsidR="00D6110A">
        <w:t>Baker Street’s internal policy is that we require a verbal confirmation for all wires we execute on the client’s behalf.</w:t>
      </w:r>
      <w:r w:rsidRPr="006259CB">
        <w:t xml:space="preserve"> </w:t>
      </w:r>
    </w:p>
    <w:p w14:paraId="28F58B93" w14:textId="77777777" w:rsidR="00D43F71" w:rsidRPr="006259CB" w:rsidRDefault="00D43F71" w:rsidP="00D43F71">
      <w:pPr>
        <w:rPr>
          <w:rFonts w:eastAsia="Arial"/>
        </w:rPr>
      </w:pPr>
    </w:p>
    <w:p w14:paraId="53347E9A" w14:textId="77777777" w:rsidR="00F14D9A" w:rsidRPr="006259CB" w:rsidRDefault="00F14D9A" w:rsidP="00F14D9A">
      <w:pPr>
        <w:pStyle w:val="Paragraph"/>
      </w:pPr>
      <w:r w:rsidRPr="006259CB">
        <w:t>Custodial Statements</w:t>
      </w:r>
    </w:p>
    <w:p w14:paraId="65183B3F" w14:textId="17AD26BD" w:rsidR="00DC0243" w:rsidRPr="006259CB" w:rsidRDefault="00DC0243" w:rsidP="00873720">
      <w:pPr>
        <w:widowControl w:val="0"/>
        <w:autoSpaceDE w:val="0"/>
        <w:autoSpaceDN w:val="0"/>
        <w:rPr>
          <w:rFonts w:eastAsia="Arial"/>
        </w:rPr>
      </w:pPr>
      <w:r w:rsidRPr="006259CB">
        <w:rPr>
          <w:rFonts w:eastAsia="Arial"/>
        </w:rPr>
        <w:t xml:space="preserve">The </w:t>
      </w:r>
      <w:r w:rsidR="00866D21" w:rsidRPr="006259CB">
        <w:rPr>
          <w:rFonts w:eastAsia="Arial"/>
        </w:rPr>
        <w:t>C</w:t>
      </w:r>
      <w:r w:rsidRPr="006259CB">
        <w:rPr>
          <w:rFonts w:eastAsia="Arial"/>
        </w:rPr>
        <w:t xml:space="preserve">lient’s selected custodian will send the client written account statements, at least quarterly, itemizing activity and account transactions, specific investments held in the account, the portfolio's value, deposits, withdrawals and advisory fees that occurred during the period </w:t>
      </w:r>
      <w:r w:rsidR="00C06BE2" w:rsidRPr="006259CB">
        <w:rPr>
          <w:rFonts w:eastAsia="Arial"/>
        </w:rPr>
        <w:t xml:space="preserve">covered by </w:t>
      </w:r>
      <w:r w:rsidRPr="006259CB">
        <w:rPr>
          <w:rFonts w:eastAsia="Arial"/>
        </w:rPr>
        <w:t xml:space="preserve">the statement.  These statements will be delivered by postal mail or electronically, as the client selects.  </w:t>
      </w:r>
    </w:p>
    <w:p w14:paraId="0A055D4B" w14:textId="77777777" w:rsidR="00E04F30" w:rsidRPr="006259CB" w:rsidRDefault="00E04F30" w:rsidP="00873720">
      <w:pPr>
        <w:widowControl w:val="0"/>
        <w:autoSpaceDE w:val="0"/>
        <w:autoSpaceDN w:val="0"/>
        <w:rPr>
          <w:rFonts w:eastAsia="Arial"/>
        </w:rPr>
      </w:pPr>
    </w:p>
    <w:p w14:paraId="4E8EC1A3" w14:textId="3C163E9C" w:rsidR="004859F3" w:rsidRPr="006259CB" w:rsidRDefault="00CA5292" w:rsidP="00873720">
      <w:pPr>
        <w:rPr>
          <w:rFonts w:eastAsia="Arial"/>
        </w:rPr>
      </w:pPr>
      <w:r w:rsidRPr="006259CB">
        <w:t>B</w:t>
      </w:r>
      <w:r w:rsidR="00DC0243" w:rsidRPr="006259CB">
        <w:rPr>
          <w:rFonts w:eastAsia="Arial"/>
        </w:rPr>
        <w:t xml:space="preserve">aker Street urges </w:t>
      </w:r>
      <w:r w:rsidR="00866D21" w:rsidRPr="006259CB">
        <w:rPr>
          <w:rFonts w:eastAsia="Arial"/>
        </w:rPr>
        <w:t>C</w:t>
      </w:r>
      <w:r w:rsidR="00DC0243" w:rsidRPr="006259CB">
        <w:rPr>
          <w:rFonts w:eastAsia="Arial"/>
        </w:rPr>
        <w:t xml:space="preserve">lients to promptly review any statements they receive directly from their Custodian or otherwise upon receipt to ensure account transaction accuracy. Clients should also compare </w:t>
      </w:r>
      <w:r w:rsidR="00EF0625" w:rsidRPr="006259CB">
        <w:rPr>
          <w:rFonts w:eastAsia="Arial"/>
        </w:rPr>
        <w:t>the account's investment performance against the appropriate benchmark applicable to the type of investments held in the account, as well as any periodic information provided by</w:t>
      </w:r>
      <w:r w:rsidR="00DC0243" w:rsidRPr="006259CB">
        <w:rPr>
          <w:rFonts w:eastAsia="Arial"/>
        </w:rPr>
        <w:t xml:space="preserve"> us.</w:t>
      </w:r>
      <w:r w:rsidR="00954713" w:rsidRPr="006259CB">
        <w:rPr>
          <w:rFonts w:eastAsia="Arial"/>
        </w:rPr>
        <w:t xml:space="preserve">  </w:t>
      </w:r>
      <w:r w:rsidR="00E71C7A" w:rsidRPr="006259CB">
        <w:rPr>
          <w:rFonts w:eastAsia="Arial"/>
        </w:rPr>
        <w:t>The Adviser</w:t>
      </w:r>
      <w:r w:rsidR="00DC0243" w:rsidRPr="006259CB">
        <w:rPr>
          <w:rFonts w:eastAsia="Arial"/>
        </w:rPr>
        <w:t xml:space="preserve"> cannot guarantee the accuracy or completeness of any report or other information provided to the </w:t>
      </w:r>
      <w:r w:rsidR="00581889" w:rsidRPr="006259CB">
        <w:rPr>
          <w:rFonts w:eastAsia="Arial"/>
        </w:rPr>
        <w:t>C</w:t>
      </w:r>
      <w:r w:rsidR="00DC0243" w:rsidRPr="006259CB">
        <w:rPr>
          <w:rFonts w:eastAsia="Arial"/>
        </w:rPr>
        <w:t xml:space="preserve">lient by the custodian or another service provider. </w:t>
      </w:r>
      <w:r w:rsidR="00E35404" w:rsidRPr="006259CB">
        <w:rPr>
          <w:rFonts w:eastAsia="Arial"/>
        </w:rPr>
        <w:t>We encourage</w:t>
      </w:r>
      <w:r w:rsidR="00DC0243" w:rsidRPr="006259CB">
        <w:rPr>
          <w:rFonts w:eastAsia="Arial"/>
        </w:rPr>
        <w:t xml:space="preserve"> clients to question the</w:t>
      </w:r>
      <w:r w:rsidR="00EF0625" w:rsidRPr="006259CB">
        <w:rPr>
          <w:rFonts w:eastAsia="Arial"/>
        </w:rPr>
        <w:t xml:space="preserve"> custody, safety, security, or any statements received regarding their assets and report any</w:t>
      </w:r>
      <w:r w:rsidR="00DC0243" w:rsidRPr="006259CB">
        <w:rPr>
          <w:rFonts w:eastAsia="Arial"/>
        </w:rPr>
        <w:t xml:space="preserve"> inconsistencies.  </w:t>
      </w:r>
    </w:p>
    <w:p w14:paraId="5A2F1FF1" w14:textId="788CF4C9" w:rsidR="00CA5292" w:rsidRPr="006259CB" w:rsidRDefault="00DC0243" w:rsidP="00873720">
      <w:pPr>
        <w:rPr>
          <w:rFonts w:eastAsia="Arial"/>
        </w:rPr>
      </w:pPr>
      <w:r w:rsidRPr="006259CB">
        <w:rPr>
          <w:rFonts w:eastAsia="Arial"/>
        </w:rPr>
        <w:t xml:space="preserve">If a </w:t>
      </w:r>
      <w:r w:rsidR="00BA1CF9" w:rsidRPr="006259CB">
        <w:rPr>
          <w:rFonts w:eastAsia="Arial"/>
        </w:rPr>
        <w:t>C</w:t>
      </w:r>
      <w:r w:rsidRPr="006259CB">
        <w:rPr>
          <w:rFonts w:eastAsia="Arial"/>
        </w:rPr>
        <w:t xml:space="preserve">lient believes there are any inaccuracies or discrepancies in any reports received from their custodian, or if they do not understand the information in any report, document or statement received, they should promptly </w:t>
      </w:r>
      <w:r w:rsidR="00E35404" w:rsidRPr="006259CB">
        <w:rPr>
          <w:rFonts w:eastAsia="Arial"/>
        </w:rPr>
        <w:t xml:space="preserve">- </w:t>
      </w:r>
      <w:r w:rsidRPr="006259CB">
        <w:rPr>
          <w:rFonts w:eastAsia="Arial"/>
        </w:rPr>
        <w:t>and in all cases</w:t>
      </w:r>
      <w:r w:rsidR="00E35404" w:rsidRPr="006259CB">
        <w:rPr>
          <w:rFonts w:eastAsia="Arial"/>
        </w:rPr>
        <w:t>,</w:t>
      </w:r>
      <w:r w:rsidRPr="006259CB">
        <w:rPr>
          <w:rFonts w:eastAsia="Arial"/>
        </w:rPr>
        <w:t xml:space="preserve"> before the next statement cycle</w:t>
      </w:r>
      <w:r w:rsidR="00EF0625" w:rsidRPr="006259CB">
        <w:rPr>
          <w:rFonts w:eastAsia="Arial"/>
        </w:rPr>
        <w:t>-</w:t>
      </w:r>
      <w:r w:rsidRPr="006259CB">
        <w:rPr>
          <w:rFonts w:eastAsia="Arial"/>
        </w:rPr>
        <w:t xml:space="preserve"> report any items of concern to their </w:t>
      </w:r>
      <w:r w:rsidR="00EA1091" w:rsidRPr="006259CB">
        <w:rPr>
          <w:rFonts w:eastAsia="Arial"/>
        </w:rPr>
        <w:t>IAR</w:t>
      </w:r>
      <w:r w:rsidRPr="006259CB">
        <w:rPr>
          <w:rFonts w:eastAsia="Arial"/>
        </w:rPr>
        <w:t xml:space="preserve"> or Baker Street directly. Unless the client indicates otherwise, by promptly notifying Baker Street in writing of concerns regarding statements received, investments Baker Street makes at their direction and in line with their stated investment objectives or on their behalf shall be deemed to conform with the client's investment objectives.  </w:t>
      </w:r>
    </w:p>
    <w:p w14:paraId="3A9C50BA" w14:textId="77777777" w:rsidR="00B67CB8" w:rsidRPr="006259CB" w:rsidRDefault="00B67CB8" w:rsidP="00873720">
      <w:pPr>
        <w:widowControl w:val="0"/>
        <w:autoSpaceDE w:val="0"/>
        <w:autoSpaceDN w:val="0"/>
        <w:rPr>
          <w:rFonts w:eastAsia="Arial"/>
        </w:rPr>
      </w:pPr>
    </w:p>
    <w:p w14:paraId="2CAAB425" w14:textId="31D55CAB" w:rsidR="00DC0243" w:rsidRPr="006259CB" w:rsidRDefault="00DC0243" w:rsidP="00873720">
      <w:pPr>
        <w:widowControl w:val="0"/>
        <w:autoSpaceDE w:val="0"/>
        <w:autoSpaceDN w:val="0"/>
        <w:rPr>
          <w:rFonts w:eastAsia="Arial"/>
        </w:rPr>
      </w:pPr>
      <w:r w:rsidRPr="006259CB">
        <w:rPr>
          <w:rFonts w:eastAsia="Arial"/>
        </w:rPr>
        <w:t xml:space="preserve">Any verbal communications, inquiries, or concerns about their account statements should be reconfirmed in writing.  </w:t>
      </w:r>
    </w:p>
    <w:p w14:paraId="2BCDCB74" w14:textId="77777777" w:rsidR="00DC0243" w:rsidRPr="006259CB" w:rsidRDefault="00DC0243" w:rsidP="00873720">
      <w:pPr>
        <w:widowControl w:val="0"/>
        <w:autoSpaceDE w:val="0"/>
        <w:autoSpaceDN w:val="0"/>
        <w:rPr>
          <w:rFonts w:eastAsia="Arial"/>
        </w:rPr>
      </w:pPr>
    </w:p>
    <w:p w14:paraId="77BED31A" w14:textId="1F099FEB" w:rsidR="00DC0243" w:rsidRPr="006259CB" w:rsidRDefault="00DC0243" w:rsidP="00873720">
      <w:pPr>
        <w:widowControl w:val="0"/>
        <w:autoSpaceDE w:val="0"/>
        <w:autoSpaceDN w:val="0"/>
        <w:rPr>
          <w:rFonts w:eastAsia="Arial"/>
        </w:rPr>
      </w:pPr>
      <w:r w:rsidRPr="332DA7C8">
        <w:rPr>
          <w:rFonts w:eastAsia="Arial"/>
        </w:rPr>
        <w:t xml:space="preserve">If </w:t>
      </w:r>
      <w:r w:rsidR="00866D21" w:rsidRPr="332DA7C8">
        <w:rPr>
          <w:rFonts w:eastAsia="Arial"/>
        </w:rPr>
        <w:t>C</w:t>
      </w:r>
      <w:r w:rsidRPr="332DA7C8">
        <w:rPr>
          <w:rFonts w:eastAsia="Arial"/>
        </w:rPr>
        <w:t xml:space="preserve">lients are not receiving statements, at least quarterly, from their Custodian, they should promptly inform their Custodian directly and </w:t>
      </w:r>
      <w:r w:rsidR="50641E75" w:rsidRPr="332DA7C8">
        <w:rPr>
          <w:rFonts w:eastAsia="Arial"/>
        </w:rPr>
        <w:t xml:space="preserve">contact us at the number listed </w:t>
      </w:r>
      <w:r w:rsidR="52F3FE52" w:rsidRPr="332DA7C8">
        <w:rPr>
          <w:rFonts w:eastAsia="Arial"/>
        </w:rPr>
        <w:t>o</w:t>
      </w:r>
      <w:r w:rsidR="50641E75" w:rsidRPr="332DA7C8">
        <w:rPr>
          <w:rFonts w:eastAsia="Arial"/>
        </w:rPr>
        <w:t>n the cover page of this Brochure</w:t>
      </w:r>
      <w:r w:rsidRPr="332DA7C8">
        <w:rPr>
          <w:rFonts w:eastAsia="Arial"/>
        </w:rPr>
        <w:t xml:space="preserve">. </w:t>
      </w:r>
    </w:p>
    <w:p w14:paraId="17BC4CF6" w14:textId="77777777" w:rsidR="004A7F51" w:rsidRPr="006259CB" w:rsidRDefault="004A7F51" w:rsidP="00873720">
      <w:pPr>
        <w:widowControl w:val="0"/>
        <w:autoSpaceDE w:val="0"/>
        <w:autoSpaceDN w:val="0"/>
        <w:rPr>
          <w:rFonts w:eastAsia="Arial"/>
        </w:rPr>
      </w:pPr>
    </w:p>
    <w:p w14:paraId="08F9ABFD" w14:textId="3C9C526B" w:rsidR="008E39FA" w:rsidRPr="006259CB" w:rsidRDefault="2C54DDDE" w:rsidP="00873720">
      <w:pPr>
        <w:pStyle w:val="Item"/>
      </w:pPr>
      <w:bookmarkStart w:id="172" w:name="_Toc270409658"/>
      <w:bookmarkStart w:id="173" w:name="_Toc225322736"/>
      <w:r>
        <w:t xml:space="preserve">Item 16:  </w:t>
      </w:r>
      <w:r w:rsidR="3C14E57C">
        <w:t>Investment Discretion</w:t>
      </w:r>
      <w:bookmarkEnd w:id="172"/>
      <w:bookmarkEnd w:id="173"/>
    </w:p>
    <w:p w14:paraId="7DECB993" w14:textId="0FB3AB17" w:rsidR="00961C2B" w:rsidRPr="006259CB" w:rsidRDefault="00961C2B" w:rsidP="00BA5B58">
      <w:pPr>
        <w:spacing w:after="60"/>
        <w:rPr>
          <w:b/>
          <w:color w:val="6586A4"/>
        </w:rPr>
      </w:pPr>
      <w:r w:rsidRPr="006259CB">
        <w:rPr>
          <w:color w:val="6586A4"/>
        </w:rPr>
        <w:t>___________________________________________________________</w:t>
      </w:r>
      <w:r w:rsidR="00A30F32" w:rsidRPr="006259CB">
        <w:rPr>
          <w:color w:val="6586A4"/>
        </w:rPr>
        <w:t>_____</w:t>
      </w:r>
      <w:r w:rsidRPr="006259CB">
        <w:rPr>
          <w:color w:val="6586A4"/>
        </w:rPr>
        <w:t>__________________________</w:t>
      </w:r>
    </w:p>
    <w:p w14:paraId="401FEC81" w14:textId="77777777" w:rsidR="00391549" w:rsidRPr="006259CB" w:rsidRDefault="00391549" w:rsidP="00873720">
      <w:pPr>
        <w:pStyle w:val="Paragraph"/>
      </w:pPr>
      <w:r w:rsidRPr="006259CB">
        <w:lastRenderedPageBreak/>
        <w:t>Account Management Style</w:t>
      </w:r>
    </w:p>
    <w:p w14:paraId="23C0DBF2" w14:textId="7385C067" w:rsidR="00391549" w:rsidRPr="006259CB" w:rsidRDefault="00391549" w:rsidP="00873720">
      <w:r w:rsidRPr="006259CB">
        <w:t xml:space="preserve">Baker Street’s advisory services are offered either on a </w:t>
      </w:r>
      <w:r w:rsidRPr="006259CB">
        <w:rPr>
          <w:u w:val="single"/>
        </w:rPr>
        <w:t>discretionary</w:t>
      </w:r>
      <w:r w:rsidRPr="006259CB">
        <w:t xml:space="preserve"> or </w:t>
      </w:r>
      <w:r w:rsidRPr="006259CB">
        <w:rPr>
          <w:u w:val="single"/>
        </w:rPr>
        <w:t>non-discretionary</w:t>
      </w:r>
      <w:r w:rsidRPr="006259CB">
        <w:t xml:space="preserve"> basis.  Details of the relationship are fully disclosed before any advisory relationship commences, and each client's executed Advisory Agreement reflects complete information for account management style.</w:t>
      </w:r>
    </w:p>
    <w:p w14:paraId="38C2868A" w14:textId="77777777" w:rsidR="00391549" w:rsidRPr="006259CB" w:rsidRDefault="00391549" w:rsidP="00873720"/>
    <w:p w14:paraId="19B03BBE" w14:textId="77777777" w:rsidR="00391549" w:rsidRPr="006259CB" w:rsidRDefault="00391549" w:rsidP="00873720">
      <w:pPr>
        <w:pStyle w:val="Paragraph"/>
      </w:pPr>
      <w:r w:rsidRPr="006259CB">
        <w:t>Discretionary Authority</w:t>
      </w:r>
    </w:p>
    <w:p w14:paraId="18F0B92C" w14:textId="0B46AFDD" w:rsidR="00391549" w:rsidRPr="006259CB" w:rsidRDefault="00391549" w:rsidP="00873720">
      <w:r w:rsidRPr="006259CB">
        <w:t xml:space="preserve">Under </w:t>
      </w:r>
      <w:r w:rsidRPr="006259CB">
        <w:rPr>
          <w:u w:val="single" w:color="000000" w:themeColor="text1"/>
        </w:rPr>
        <w:t>discretionary account management authority</w:t>
      </w:r>
      <w:r w:rsidRPr="006259CB">
        <w:t>, Baker Street will execute securities transactions for clients without obtaining specific c</w:t>
      </w:r>
      <w:r w:rsidR="00EF0625" w:rsidRPr="006259CB">
        <w:t>onsent from each cli</w:t>
      </w:r>
      <w:r w:rsidRPr="006259CB">
        <w:t xml:space="preserve">ent before each transaction.  </w:t>
      </w:r>
    </w:p>
    <w:p w14:paraId="65FC9BF5" w14:textId="77777777" w:rsidR="00391549" w:rsidRPr="006259CB" w:rsidRDefault="00391549" w:rsidP="00873720"/>
    <w:p w14:paraId="26F7F114" w14:textId="123FE186" w:rsidR="00391549" w:rsidRPr="006259CB" w:rsidRDefault="00391549" w:rsidP="00873720">
      <w:r w:rsidRPr="006259CB">
        <w:t xml:space="preserve">Discretionary authority includes the ability to do the following without contacting the </w:t>
      </w:r>
      <w:r w:rsidR="00057204" w:rsidRPr="006259CB">
        <w:t>C</w:t>
      </w:r>
      <w:r w:rsidRPr="006259CB">
        <w:t>lient:</w:t>
      </w:r>
    </w:p>
    <w:p w14:paraId="10E85566" w14:textId="77777777" w:rsidR="00391549" w:rsidRPr="006259CB" w:rsidRDefault="00391549" w:rsidP="00873720"/>
    <w:p w14:paraId="3C20E852" w14:textId="3202B89F" w:rsidR="00391549" w:rsidRPr="006259CB" w:rsidRDefault="00391549" w:rsidP="00873720">
      <w:pPr>
        <w:pStyle w:val="ListParagraph"/>
        <w:numPr>
          <w:ilvl w:val="0"/>
          <w:numId w:val="46"/>
        </w:numPr>
      </w:pPr>
      <w:r w:rsidRPr="006259CB">
        <w:t xml:space="preserve">determine the security to buy or sell, </w:t>
      </w:r>
    </w:p>
    <w:p w14:paraId="557D6974" w14:textId="73989F39" w:rsidR="00391549" w:rsidRPr="006259CB" w:rsidRDefault="00391549" w:rsidP="00873720">
      <w:pPr>
        <w:pStyle w:val="ListParagraph"/>
        <w:numPr>
          <w:ilvl w:val="0"/>
          <w:numId w:val="46"/>
        </w:numPr>
      </w:pPr>
      <w:r w:rsidRPr="006259CB">
        <w:t>determine the amount of security to buy or sell, and</w:t>
      </w:r>
    </w:p>
    <w:p w14:paraId="474374E9" w14:textId="3418C804" w:rsidR="00391549" w:rsidRPr="006259CB" w:rsidRDefault="00391549" w:rsidP="00873720">
      <w:pPr>
        <w:pStyle w:val="ListParagraph"/>
        <w:numPr>
          <w:ilvl w:val="0"/>
          <w:numId w:val="46"/>
        </w:numPr>
      </w:pPr>
      <w:r w:rsidRPr="006259CB">
        <w:t>determine the timing of when to buy or sell.</w:t>
      </w:r>
    </w:p>
    <w:p w14:paraId="01E8EC75" w14:textId="77777777" w:rsidR="00391549" w:rsidRPr="006259CB" w:rsidRDefault="00391549" w:rsidP="00873720"/>
    <w:p w14:paraId="5FC407DD" w14:textId="7D98F42E" w:rsidR="00391549" w:rsidRPr="006259CB" w:rsidRDefault="00391549" w:rsidP="00873720">
      <w:pPr>
        <w:rPr>
          <w:i/>
          <w:iCs/>
          <w:color w:val="595959" w:themeColor="text1" w:themeTint="A6"/>
        </w:rPr>
      </w:pPr>
      <w:r w:rsidRPr="006259CB">
        <w:t xml:space="preserve">For this type of management style, </w:t>
      </w:r>
      <w:r w:rsidR="00057204" w:rsidRPr="006259CB">
        <w:t>C</w:t>
      </w:r>
      <w:r w:rsidRPr="006259CB">
        <w:t xml:space="preserve">lients will provide discretionary management authority through written authorization, granting Baker Street complete and exclusive discretion to manage all investments, reinvestments, and other transactions for their account as deemed appropriate by the Adviser, in accordance with the </w:t>
      </w:r>
      <w:r w:rsidR="00057204" w:rsidRPr="006259CB">
        <w:t>C</w:t>
      </w:r>
      <w:r w:rsidRPr="006259CB">
        <w:t xml:space="preserve">lient's investment risk profile and </w:t>
      </w:r>
      <w:r w:rsidR="007B4EAF" w:rsidRPr="006259CB">
        <w:t>IPS (as applicable)</w:t>
      </w:r>
      <w:r w:rsidRPr="006259CB">
        <w:t xml:space="preserve">. This authority may be subject to modifications agreed upon by the </w:t>
      </w:r>
      <w:r w:rsidR="00BA1CF9" w:rsidRPr="006259CB">
        <w:t>C</w:t>
      </w:r>
      <w:r w:rsidRPr="006259CB">
        <w:t xml:space="preserve">lient and their IAR from time to time (collectively, the “Investment Guidelines”). </w:t>
      </w:r>
      <w:r w:rsidRPr="006259CB">
        <w:rPr>
          <w:i/>
          <w:iCs/>
          <w:color w:val="595959" w:themeColor="text1" w:themeTint="A6"/>
        </w:rPr>
        <w:t xml:space="preserve">(Note:  Please note </w:t>
      </w:r>
      <w:r w:rsidR="007B4EAF" w:rsidRPr="006259CB">
        <w:rPr>
          <w:i/>
          <w:iCs/>
          <w:color w:val="595959" w:themeColor="text1" w:themeTint="A6"/>
        </w:rPr>
        <w:t xml:space="preserve">that </w:t>
      </w:r>
      <w:r w:rsidRPr="006259CB">
        <w:rPr>
          <w:i/>
          <w:iCs/>
          <w:color w:val="595959" w:themeColor="text1" w:themeTint="A6"/>
        </w:rPr>
        <w:t>this authority excludes certain money movement transactions.  Baker Street will not initiate wire transfers or transfers of funds to third parties without the client's explicit written approval.)</w:t>
      </w:r>
    </w:p>
    <w:p w14:paraId="7E6E8E70" w14:textId="77777777" w:rsidR="00391549" w:rsidRPr="006259CB" w:rsidRDefault="00391549" w:rsidP="00873720"/>
    <w:p w14:paraId="725B57C5" w14:textId="128FC299" w:rsidR="00391549" w:rsidRPr="006259CB" w:rsidRDefault="00391549" w:rsidP="00873720">
      <w:r w:rsidRPr="006259CB">
        <w:t xml:space="preserve">Discretionary authority is limited to investments within a </w:t>
      </w:r>
      <w:r w:rsidR="00057204" w:rsidRPr="006259CB">
        <w:t>C</w:t>
      </w:r>
      <w:r w:rsidRPr="006259CB">
        <w:t xml:space="preserve">lient's managed accounts. Clients will execute a Limited Power of Attorney, either as a standalone document or as part of the account opening documentation provided by their custodian. Baker Street is only required to obtain or maintain client consent for trades involving positions explicitly discussed during the introductory meeting (such as inherited stock the </w:t>
      </w:r>
      <w:r w:rsidR="009B395B" w:rsidRPr="006259CB">
        <w:t>C</w:t>
      </w:r>
      <w:r w:rsidRPr="006259CB">
        <w:t>lient wishes to retain for sentimental reasons) or as otherwise specified. In all instances, discretionary authority will be exercised in alignment with the client’s stated investment objectives. This authority will remain in effect until the client terminates it through written notice to the Adviser, even in the event of the client’s incapacity or disability.</w:t>
      </w:r>
    </w:p>
    <w:p w14:paraId="35430EC9" w14:textId="77777777" w:rsidR="00391549" w:rsidRPr="006259CB" w:rsidRDefault="00391549" w:rsidP="00873720"/>
    <w:p w14:paraId="689B1659" w14:textId="77777777" w:rsidR="00391549" w:rsidRPr="006259CB" w:rsidRDefault="00391549" w:rsidP="00873720">
      <w:pPr>
        <w:pStyle w:val="Paragraph"/>
      </w:pPr>
      <w:r w:rsidRPr="006259CB">
        <w:t>Non-Discretionary Authority</w:t>
      </w:r>
    </w:p>
    <w:p w14:paraId="20B552AA" w14:textId="4F48B15E" w:rsidR="00391549" w:rsidRPr="006259CB" w:rsidRDefault="00391549" w:rsidP="00873720">
      <w:r>
        <w:t xml:space="preserve">Where specifically requested by a </w:t>
      </w:r>
      <w:r w:rsidR="009B395B">
        <w:t>C</w:t>
      </w:r>
      <w:r>
        <w:t xml:space="preserve">lient, Baker Street will manage the </w:t>
      </w:r>
      <w:r w:rsidR="009B395B">
        <w:t>C</w:t>
      </w:r>
      <w:r>
        <w:t xml:space="preserve">lient’s account on a non-discretionary basis.  </w:t>
      </w:r>
      <w:r w:rsidRPr="332DA7C8">
        <w:rPr>
          <w:u w:val="single"/>
        </w:rPr>
        <w:t>Non-discretionary account management authority</w:t>
      </w:r>
      <w:r>
        <w:t xml:space="preserve"> requires clients to initiate or pre-approve investment transactions in their accounts </w:t>
      </w:r>
      <w:r w:rsidR="00EF0625">
        <w:t>prior to their occurrence</w:t>
      </w:r>
      <w:r>
        <w:t xml:space="preserve">. Clients may decide not to invest in securities or refuse to approve securities transactions. Clients will execute all documents </w:t>
      </w:r>
      <w:r w:rsidR="00EF0625">
        <w:t xml:space="preserve">that </w:t>
      </w:r>
      <w:r>
        <w:t xml:space="preserve">Baker </w:t>
      </w:r>
      <w:r w:rsidR="000C481F">
        <w:t>Street</w:t>
      </w:r>
      <w:r>
        <w:t xml:space="preserve"> or their custodian requires to establish the account trading authorization. The Adviser will then recommend and direct the investment and reinvestment of securities, cash, and financial instruments held in the client's accounts as deemed appropriate to further the client’s investment guidelines, with such changes as the client and  may agree to from time to time.  </w:t>
      </w:r>
    </w:p>
    <w:p w14:paraId="673100AC" w14:textId="77777777" w:rsidR="00391549" w:rsidRPr="006259CB" w:rsidRDefault="00391549" w:rsidP="00873720"/>
    <w:p w14:paraId="5DF3BA2C" w14:textId="32C9496D" w:rsidR="00391549" w:rsidRPr="006259CB" w:rsidRDefault="00391549" w:rsidP="00873720">
      <w:r>
        <w:t>Under this management style, Baker Street must receive approval from the</w:t>
      </w:r>
      <w:r w:rsidR="009B395B">
        <w:t xml:space="preserve"> C</w:t>
      </w:r>
      <w:r>
        <w:t xml:space="preserve">lient before placing any trades in the </w:t>
      </w:r>
      <w:r w:rsidR="00BE508D">
        <w:t>C</w:t>
      </w:r>
      <w:r>
        <w:t xml:space="preserve">lient's account. As a result, until </w:t>
      </w:r>
      <w:r w:rsidR="182BC7F6">
        <w:t>Baker Street</w:t>
      </w:r>
      <w:r>
        <w:t xml:space="preserve"> reaches the client, </w:t>
      </w:r>
      <w:r w:rsidRPr="332DA7C8">
        <w:rPr>
          <w:i/>
          <w:iCs/>
        </w:rPr>
        <w:t xml:space="preserve">no transactions will be placed in the </w:t>
      </w:r>
      <w:r w:rsidR="00BE508D" w:rsidRPr="332DA7C8">
        <w:rPr>
          <w:i/>
          <w:iCs/>
        </w:rPr>
        <w:t>C</w:t>
      </w:r>
      <w:r w:rsidRPr="332DA7C8">
        <w:rPr>
          <w:i/>
          <w:iCs/>
        </w:rPr>
        <w:t>lient's account(s).</w:t>
      </w:r>
      <w:r>
        <w:t xml:space="preserve">   </w:t>
      </w:r>
    </w:p>
    <w:p w14:paraId="6A3A1534" w14:textId="77777777" w:rsidR="00391549" w:rsidRPr="006259CB" w:rsidRDefault="00391549" w:rsidP="00873720"/>
    <w:p w14:paraId="514C6952" w14:textId="387640DA" w:rsidR="00391549" w:rsidRPr="006259CB" w:rsidRDefault="00391549" w:rsidP="00873720">
      <w:r w:rsidRPr="006259CB">
        <w:t xml:space="preserve">Similar to discretionary authority, the non-discretionary authority will remain in full force and effect, notwithstanding the incompetence or disability of the </w:t>
      </w:r>
      <w:r w:rsidR="00BE508D" w:rsidRPr="006259CB">
        <w:t>C</w:t>
      </w:r>
      <w:r w:rsidRPr="006259CB">
        <w:t>lient, until terminated in a written notice to the Adviser.</w:t>
      </w:r>
    </w:p>
    <w:p w14:paraId="7B714B2C" w14:textId="77777777" w:rsidR="00391549" w:rsidRPr="006259CB" w:rsidRDefault="00391549" w:rsidP="00873720"/>
    <w:p w14:paraId="445DD5C3" w14:textId="1DEA5EB8" w:rsidR="00391549" w:rsidRPr="006259CB" w:rsidRDefault="00391549" w:rsidP="00873720">
      <w:r w:rsidRPr="006259CB">
        <w:t xml:space="preserve">For both account management styles, if </w:t>
      </w:r>
      <w:r w:rsidR="00BE508D" w:rsidRPr="006259CB">
        <w:t>C</w:t>
      </w:r>
      <w:r w:rsidRPr="006259CB">
        <w:t xml:space="preserve">lients object to any investment decision, a mutually agreed-upon decision will be made and documented if necessary. It is always preferred that the client and Adviser engage in discussions to resolve any potential opinion differences. However, if the </w:t>
      </w:r>
      <w:r w:rsidR="00BE508D" w:rsidRPr="006259CB">
        <w:t>C</w:t>
      </w:r>
      <w:r w:rsidRPr="006259CB">
        <w:t>lient repeatedly acts inconsistent</w:t>
      </w:r>
      <w:r w:rsidR="00CE354E" w:rsidRPr="006259CB">
        <w:t>ly with the jointly agreed-upon investment objectives, Baker Street reserves the right to cancel the Client's Agreement after providing</w:t>
      </w:r>
      <w:r w:rsidRPr="006259CB">
        <w:t xml:space="preserve"> appropriate written notice. Similarly, the </w:t>
      </w:r>
      <w:r w:rsidR="00EA4E03" w:rsidRPr="006259CB">
        <w:t>C</w:t>
      </w:r>
      <w:r w:rsidRPr="006259CB">
        <w:t xml:space="preserve">lient reserves the right to cancel their Agreement with Baker Street </w:t>
      </w:r>
      <w:r w:rsidR="00EF0625" w:rsidRPr="006259CB">
        <w:t>in accordance with the Agreement's</w:t>
      </w:r>
      <w:r w:rsidRPr="006259CB">
        <w:t xml:space="preserve"> provisions if they so desire.  </w:t>
      </w:r>
    </w:p>
    <w:p w14:paraId="5EDE8091" w14:textId="77777777" w:rsidR="00391549" w:rsidRPr="006259CB" w:rsidRDefault="00391549" w:rsidP="00873720"/>
    <w:p w14:paraId="6A121C3A" w14:textId="1D7F09D0" w:rsidR="00391549" w:rsidRPr="006259CB" w:rsidRDefault="00391549" w:rsidP="00873720">
      <w:r w:rsidRPr="006259CB">
        <w:t xml:space="preserve">Once an investment portfolio is constructed, Baker Street will provide ongoing supervision and rebalancing of the portfolio as changes in market conditions and </w:t>
      </w:r>
      <w:r w:rsidR="00EA4E03" w:rsidRPr="006259CB">
        <w:t>C</w:t>
      </w:r>
      <w:r w:rsidRPr="006259CB">
        <w:t xml:space="preserve">lient circumstances may require.  Baker Street seeks to undertake </w:t>
      </w:r>
      <w:r w:rsidRPr="006259CB">
        <w:lastRenderedPageBreak/>
        <w:t xml:space="preserve">minimal trading </w:t>
      </w:r>
      <w:r w:rsidR="00CE354E" w:rsidRPr="006259CB">
        <w:t xml:space="preserve">activity </w:t>
      </w:r>
      <w:r w:rsidRPr="006259CB">
        <w:t xml:space="preserve">in </w:t>
      </w:r>
      <w:r w:rsidR="00EA4E03" w:rsidRPr="006259CB">
        <w:t>C</w:t>
      </w:r>
      <w:r w:rsidRPr="006259CB">
        <w:t xml:space="preserve">lient accounts to keep transaction fees, other expenses, and tax consequences associated with trading </w:t>
      </w:r>
      <w:r w:rsidR="00EF0625" w:rsidRPr="006259CB">
        <w:t>at</w:t>
      </w:r>
      <w:r w:rsidRPr="006259CB">
        <w:t xml:space="preserve"> nominal levels</w:t>
      </w:r>
      <w:r w:rsidR="00554CA0" w:rsidRPr="006259CB">
        <w:t>.</w:t>
      </w:r>
    </w:p>
    <w:p w14:paraId="7FE21DD0" w14:textId="77777777" w:rsidR="00FB3669" w:rsidRPr="006259CB" w:rsidRDefault="00FB3669" w:rsidP="00873720">
      <w:pPr>
        <w:pStyle w:val="Paragraph"/>
      </w:pPr>
    </w:p>
    <w:p w14:paraId="0FC10C1E" w14:textId="46BBD3DF" w:rsidR="008E39FA" w:rsidRPr="006259CB" w:rsidRDefault="2C54DDDE" w:rsidP="00873720">
      <w:pPr>
        <w:pStyle w:val="Item"/>
      </w:pPr>
      <w:bookmarkStart w:id="174" w:name="_Toc270409659"/>
      <w:bookmarkStart w:id="175" w:name="_Toc225322737"/>
      <w:r>
        <w:t xml:space="preserve">Item 17:  </w:t>
      </w:r>
      <w:r w:rsidR="3C14E57C">
        <w:t xml:space="preserve">Voting </w:t>
      </w:r>
      <w:r w:rsidR="00F46568">
        <w:t>Client</w:t>
      </w:r>
      <w:r w:rsidR="3C14E57C">
        <w:t xml:space="preserve"> Securities</w:t>
      </w:r>
      <w:bookmarkEnd w:id="174"/>
      <w:bookmarkEnd w:id="175"/>
    </w:p>
    <w:p w14:paraId="6F2E2E13" w14:textId="0B8DD3FA" w:rsidR="00961C2B" w:rsidRPr="006259CB" w:rsidRDefault="00961C2B" w:rsidP="00BA5B58">
      <w:pPr>
        <w:spacing w:after="60"/>
        <w:rPr>
          <w:b/>
          <w:color w:val="6586A4"/>
        </w:rPr>
      </w:pPr>
      <w:r w:rsidRPr="006259CB">
        <w:rPr>
          <w:color w:val="6586A4"/>
        </w:rPr>
        <w:t>_________________________________________________________</w:t>
      </w:r>
      <w:r w:rsidR="00A30F32" w:rsidRPr="006259CB">
        <w:rPr>
          <w:color w:val="6586A4"/>
        </w:rPr>
        <w:t>_____</w:t>
      </w:r>
      <w:r w:rsidRPr="006259CB">
        <w:rPr>
          <w:color w:val="6586A4"/>
        </w:rPr>
        <w:t>____________________________</w:t>
      </w:r>
    </w:p>
    <w:p w14:paraId="30E657C6" w14:textId="77777777" w:rsidR="00BF28A6" w:rsidRPr="006259CB" w:rsidRDefault="00BF28A6" w:rsidP="00873720">
      <w:pPr>
        <w:pStyle w:val="Paragraph"/>
      </w:pPr>
      <w:r w:rsidRPr="006259CB">
        <w:t>Proxy Voting</w:t>
      </w:r>
    </w:p>
    <w:p w14:paraId="5DE815B9" w14:textId="2CB58C77" w:rsidR="00BF28A6" w:rsidRPr="006259CB" w:rsidRDefault="00A352A6" w:rsidP="00873720">
      <w:r w:rsidRPr="006259CB">
        <w:t>Baker Street</w:t>
      </w:r>
      <w:r w:rsidR="00BF28A6" w:rsidRPr="006259CB">
        <w:t xml:space="preserve"> will not ask for or accept voting authority for </w:t>
      </w:r>
      <w:r w:rsidR="00EA4E03" w:rsidRPr="006259CB">
        <w:t>C</w:t>
      </w:r>
      <w:r w:rsidR="00BF28A6" w:rsidRPr="006259CB">
        <w:t xml:space="preserve">lient securities.  Clients will receive proxy material directly from the security issuer or custodian and are responsible for exercising their right to vote proxies.  While </w:t>
      </w:r>
      <w:r w:rsidRPr="006259CB">
        <w:t>Baker Street</w:t>
      </w:r>
      <w:r w:rsidR="00BF28A6" w:rsidRPr="006259CB">
        <w:t xml:space="preserve"> may assist a </w:t>
      </w:r>
      <w:r w:rsidR="009D5377" w:rsidRPr="006259CB">
        <w:t>C</w:t>
      </w:r>
      <w:r w:rsidR="00BF28A6" w:rsidRPr="006259CB">
        <w:t>lient with their proxy questions, the Adviser shall not be deemed to have proxy voting authority solely because of providing client information about a particular proxy vote in the above situations; it is the client's responsibility to vote their proxy.  Clients should contact the security issuer before making their final proxy voting decisions.</w:t>
      </w:r>
    </w:p>
    <w:p w14:paraId="2B964282" w14:textId="77777777" w:rsidR="00BF28A6" w:rsidRPr="006259CB" w:rsidRDefault="00BF28A6" w:rsidP="00873720"/>
    <w:p w14:paraId="3E824912" w14:textId="77777777" w:rsidR="00BF28A6" w:rsidRPr="006259CB" w:rsidRDefault="00BF28A6" w:rsidP="00873720">
      <w:pPr>
        <w:pStyle w:val="Paragraph"/>
      </w:pPr>
      <w:r w:rsidRPr="006259CB">
        <w:t>Class Action Suits, Claims, Bankruptcies &amp; Other Legal Actions &amp; Proceedings</w:t>
      </w:r>
    </w:p>
    <w:p w14:paraId="273A1B32" w14:textId="6B8B8154" w:rsidR="00BF28A6" w:rsidRPr="006259CB" w:rsidRDefault="00BF28A6" w:rsidP="00873720">
      <w:r w:rsidRPr="006259CB">
        <w:t xml:space="preserve">A </w:t>
      </w:r>
      <w:r w:rsidRPr="006259CB">
        <w:rPr>
          <w:u w:val="single"/>
        </w:rPr>
        <w:t>class action</w:t>
      </w:r>
      <w:r w:rsidRPr="006259CB">
        <w:t xml:space="preserve"> is a procedural device used in litigation to determine the rights of and remedies for large numbers of people whose cases involve common questions of law and fact. Class action suits often arise against companies that publicly issue securities, including those recommended by investment advisors to clients.  The </w:t>
      </w:r>
      <w:r w:rsidR="009D5377" w:rsidRPr="006259CB">
        <w:t>Cl</w:t>
      </w:r>
      <w:r w:rsidRPr="006259CB">
        <w:t xml:space="preserve">ient is responsible for class action suits, claims, bankruptcies or other legal actions and proceedings involving securities purchased or held in their account. </w:t>
      </w:r>
      <w:r w:rsidR="00A352A6" w:rsidRPr="006259CB">
        <w:t>Baker Street</w:t>
      </w:r>
      <w:r w:rsidRPr="006259CB">
        <w:t xml:space="preserve"> will not advise or act for the client in these types of legal proceedings involving securities held or previously held by the account or the issuers of these securities.  </w:t>
      </w:r>
    </w:p>
    <w:p w14:paraId="7B3216F7" w14:textId="77777777" w:rsidR="00BF28A6" w:rsidRPr="006259CB" w:rsidRDefault="00BF28A6" w:rsidP="00873720"/>
    <w:p w14:paraId="4BA7FEB6" w14:textId="6B46F8D2" w:rsidR="00BF28A6" w:rsidRPr="006259CB" w:rsidRDefault="000E7B43" w:rsidP="00873720">
      <w:r w:rsidRPr="006259CB">
        <w:t>Baker Street</w:t>
      </w:r>
      <w:r w:rsidR="00BF28A6" w:rsidRPr="006259CB">
        <w:t xml:space="preserve"> does not provide legal advice or engage in any activity that might be deemed to constitute the practice of law or accountancy</w:t>
      </w:r>
      <w:r w:rsidR="00CE354E" w:rsidRPr="006259CB">
        <w:t>,</w:t>
      </w:r>
      <w:r w:rsidR="00BF28A6" w:rsidRPr="006259CB">
        <w:t xml:space="preserve"> and is not obligated to forward copies of class action notices received to </w:t>
      </w:r>
      <w:r w:rsidR="00527E92" w:rsidRPr="006259CB">
        <w:t>C</w:t>
      </w:r>
      <w:r w:rsidR="00BF28A6" w:rsidRPr="006259CB">
        <w:t xml:space="preserve">lients or their agents. </w:t>
      </w:r>
    </w:p>
    <w:p w14:paraId="3C7F2B65" w14:textId="77777777" w:rsidR="00230B8D" w:rsidRPr="006259CB" w:rsidRDefault="00230B8D" w:rsidP="00873720"/>
    <w:p w14:paraId="141ADC16" w14:textId="05F3522E" w:rsidR="00230B8D" w:rsidRPr="006259CB" w:rsidRDefault="24BE4152" w:rsidP="00873720">
      <w:pPr>
        <w:pStyle w:val="Item"/>
      </w:pPr>
      <w:bookmarkStart w:id="176" w:name="_Toc225322738"/>
      <w:r>
        <w:t>Item 18:  Financial Information</w:t>
      </w:r>
      <w:bookmarkEnd w:id="176"/>
    </w:p>
    <w:p w14:paraId="6579F13C" w14:textId="77777777" w:rsidR="00230B8D" w:rsidRPr="006259CB" w:rsidRDefault="00230B8D" w:rsidP="00BA5B58">
      <w:pPr>
        <w:spacing w:after="60"/>
        <w:rPr>
          <w:b/>
          <w:color w:val="6586A4"/>
        </w:rPr>
      </w:pPr>
      <w:r w:rsidRPr="006259CB">
        <w:rPr>
          <w:color w:val="6586A4"/>
        </w:rPr>
        <w:t>__________________________________________________________________________________________</w:t>
      </w:r>
    </w:p>
    <w:p w14:paraId="7DA0DEF3" w14:textId="77777777" w:rsidR="00BF28A6" w:rsidRPr="006259CB" w:rsidRDefault="00BF28A6" w:rsidP="00873720">
      <w:pPr>
        <w:pStyle w:val="Paragraph"/>
      </w:pPr>
      <w:r w:rsidRPr="006259CB">
        <w:t>Balance Sheet</w:t>
      </w:r>
    </w:p>
    <w:p w14:paraId="1F96064B" w14:textId="1CC47811" w:rsidR="00BF28A6" w:rsidRPr="006259CB" w:rsidRDefault="00A352A6" w:rsidP="00873720">
      <w:r w:rsidRPr="006259CB">
        <w:t>Baker Street</w:t>
      </w:r>
      <w:r w:rsidR="00BF28A6" w:rsidRPr="006259CB">
        <w:t xml:space="preserve"> does not require or solicit prepayment of more than $1,200 in fees per </w:t>
      </w:r>
      <w:r w:rsidR="00527E92" w:rsidRPr="006259CB">
        <w:t>C</w:t>
      </w:r>
      <w:r w:rsidR="00BF28A6" w:rsidRPr="006259CB">
        <w:t>lient, six months or more in advance, and therefore, does not need to include a balance sheet with this Brochure.</w:t>
      </w:r>
    </w:p>
    <w:p w14:paraId="597C2204" w14:textId="77777777" w:rsidR="00BF28A6" w:rsidRPr="006259CB" w:rsidRDefault="00BF28A6" w:rsidP="00873720"/>
    <w:p w14:paraId="0A31EB31" w14:textId="77777777" w:rsidR="00BF28A6" w:rsidRPr="006259CB" w:rsidRDefault="00BF28A6" w:rsidP="00873720">
      <w:pPr>
        <w:pStyle w:val="Paragraph"/>
      </w:pPr>
      <w:r w:rsidRPr="006259CB">
        <w:t xml:space="preserve">Financial Conditions Reasonably Likely to Impair Ability to Meet Contractual Commitments to Clients </w:t>
      </w:r>
    </w:p>
    <w:p w14:paraId="38187451" w14:textId="60941DC1" w:rsidR="00BF28A6" w:rsidRPr="006259CB" w:rsidRDefault="00BF28A6" w:rsidP="00873720">
      <w:r w:rsidRPr="006259CB">
        <w:t xml:space="preserve">Neither </w:t>
      </w:r>
      <w:r w:rsidR="001466ED" w:rsidRPr="006259CB">
        <w:t>the Adviser</w:t>
      </w:r>
      <w:r w:rsidRPr="006259CB">
        <w:t xml:space="preserve"> nor its management has any financial conditions that </w:t>
      </w:r>
      <w:r w:rsidR="002A3091" w:rsidRPr="006259CB">
        <w:t xml:space="preserve">are reasonably </w:t>
      </w:r>
      <w:r w:rsidRPr="006259CB">
        <w:t xml:space="preserve">likely </w:t>
      </w:r>
      <w:r w:rsidR="002A3091" w:rsidRPr="006259CB">
        <w:t xml:space="preserve">to </w:t>
      </w:r>
      <w:r w:rsidRPr="006259CB">
        <w:t xml:space="preserve">impair its ability to meet contractual commitments to </w:t>
      </w:r>
      <w:r w:rsidR="002A3091" w:rsidRPr="006259CB">
        <w:t>clients</w:t>
      </w:r>
      <w:r w:rsidRPr="006259CB">
        <w:t xml:space="preserve">.  </w:t>
      </w:r>
      <w:r w:rsidR="00A352A6" w:rsidRPr="006259CB">
        <w:t>Baker Street</w:t>
      </w:r>
      <w:r w:rsidRPr="006259CB">
        <w:t xml:space="preserve"> has no additional financial circumstances to report. </w:t>
      </w:r>
    </w:p>
    <w:p w14:paraId="1D332623" w14:textId="77777777" w:rsidR="00BF28A6" w:rsidRPr="006259CB" w:rsidRDefault="00BF28A6" w:rsidP="00873720"/>
    <w:p w14:paraId="4E4AD6F8" w14:textId="77777777" w:rsidR="00BF28A6" w:rsidRPr="006259CB" w:rsidRDefault="00BF28A6" w:rsidP="00873720">
      <w:pPr>
        <w:pStyle w:val="Paragraph"/>
      </w:pPr>
      <w:r w:rsidRPr="006259CB">
        <w:t xml:space="preserve">Bankruptcy Petitions in the Previous Ten Years </w:t>
      </w:r>
    </w:p>
    <w:p w14:paraId="5F4F07C8" w14:textId="0875E430" w:rsidR="004D7942" w:rsidRPr="006259CB" w:rsidRDefault="00A352A6" w:rsidP="00873720">
      <w:r w:rsidRPr="006259CB">
        <w:t>Baker Street</w:t>
      </w:r>
      <w:r w:rsidR="00BF28A6" w:rsidRPr="006259CB">
        <w:t xml:space="preserve"> has not been the subject of a bankruptcy petition.  </w:t>
      </w:r>
    </w:p>
    <w:sectPr w:rsidR="004D7942" w:rsidRPr="006259CB" w:rsidSect="00BF28A6">
      <w:headerReference w:type="even" r:id="rId25"/>
      <w:headerReference w:type="default" r:id="rId26"/>
      <w:footerReference w:type="even" r:id="rId27"/>
      <w:footerReference w:type="default" r:id="rId28"/>
      <w:headerReference w:type="first" r:id="rId29"/>
      <w:footerReference w:type="first" r:id="rId30"/>
      <w:pgSz w:w="12240" w:h="15840" w:code="1"/>
      <w:pgMar w:top="1080" w:right="1080" w:bottom="720" w:left="1080" w:header="720"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C03DE" w14:textId="77777777" w:rsidR="00E87E25" w:rsidRDefault="00E87E25" w:rsidP="00BA307E">
      <w:r>
        <w:separator/>
      </w:r>
    </w:p>
    <w:p w14:paraId="306D12F2" w14:textId="77777777" w:rsidR="00E87E25" w:rsidRDefault="00E87E25" w:rsidP="00BA307E"/>
  </w:endnote>
  <w:endnote w:type="continuationSeparator" w:id="0">
    <w:p w14:paraId="40873C6D" w14:textId="77777777" w:rsidR="00E87E25" w:rsidRDefault="00E87E25" w:rsidP="00BA307E">
      <w:r>
        <w:continuationSeparator/>
      </w:r>
    </w:p>
    <w:p w14:paraId="1F25F9DE" w14:textId="77777777" w:rsidR="00E87E25" w:rsidRDefault="00E87E25" w:rsidP="00BA3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el">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DIN">
    <w:altName w:val="Calibri"/>
    <w:charset w:val="00"/>
    <w:family w:val="auto"/>
    <w:pitch w:val="variable"/>
    <w:sig w:usb0="800000A7" w:usb1="00000000" w:usb2="00000000" w:usb3="00000000" w:csb0="00000009"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19F3" w14:textId="77777777" w:rsidR="00603D62" w:rsidRDefault="00603D62" w:rsidP="00BA307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7C25584" w14:textId="77777777" w:rsidR="00603D62" w:rsidRDefault="00603D62" w:rsidP="00BA307E">
    <w:pPr>
      <w:pStyle w:val="Footer"/>
    </w:pPr>
  </w:p>
  <w:p w14:paraId="633418A5" w14:textId="77777777" w:rsidR="00EF62C0" w:rsidRDefault="00EF62C0" w:rsidP="00BA30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291987"/>
      <w:docPartObj>
        <w:docPartGallery w:val="Page Numbers (Bottom of Page)"/>
        <w:docPartUnique/>
      </w:docPartObj>
    </w:sdtPr>
    <w:sdtEndPr>
      <w:rPr>
        <w:noProof/>
      </w:rPr>
    </w:sdtEndPr>
    <w:sdtContent>
      <w:p w14:paraId="1D74D9CA" w14:textId="3BD88686" w:rsidR="00E17BEA" w:rsidRDefault="00E17BEA" w:rsidP="003A3F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ABA1" w14:textId="77777777" w:rsidR="006259CB" w:rsidRDefault="006259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B33D1" w14:textId="77777777" w:rsidR="00E87E25" w:rsidRDefault="00E87E25" w:rsidP="00BA307E">
      <w:r>
        <w:separator/>
      </w:r>
    </w:p>
    <w:p w14:paraId="6FDF9670" w14:textId="77777777" w:rsidR="00E87E25" w:rsidRDefault="00E87E25" w:rsidP="00BA307E"/>
  </w:footnote>
  <w:footnote w:type="continuationSeparator" w:id="0">
    <w:p w14:paraId="33B64218" w14:textId="77777777" w:rsidR="00E87E25" w:rsidRDefault="00E87E25" w:rsidP="00BA307E">
      <w:r>
        <w:continuationSeparator/>
      </w:r>
    </w:p>
    <w:p w14:paraId="72126CDB" w14:textId="77777777" w:rsidR="00E87E25" w:rsidRDefault="00E87E25" w:rsidP="00BA30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3D22F" w14:textId="77777777" w:rsidR="006259CB" w:rsidRDefault="006259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5266" w14:textId="77777777" w:rsidR="00603D62" w:rsidRDefault="00603D62" w:rsidP="006259CB">
    <w:pPr>
      <w:pStyle w:val="Header"/>
      <w:spacing w:after="120"/>
    </w:pPr>
    <w:r>
      <w:rPr>
        <w:noProof/>
      </w:rPr>
      <w:drawing>
        <wp:inline distT="0" distB="0" distL="0" distR="0" wp14:anchorId="777613B3" wp14:editId="07DEAFBE">
          <wp:extent cx="3124200" cy="388089"/>
          <wp:effectExtent l="0" t="0" r="0" b="0"/>
          <wp:docPr id="242427874" name="Picture 242427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kerStreet_Logo_Horiz.gif"/>
                  <pic:cNvPicPr/>
                </pic:nvPicPr>
                <pic:blipFill>
                  <a:blip r:embed="rId1">
                    <a:extLst>
                      <a:ext uri="{28A0092B-C50C-407E-A947-70E740481C1C}">
                        <a14:useLocalDpi xmlns:a14="http://schemas.microsoft.com/office/drawing/2010/main" val="0"/>
                      </a:ext>
                    </a:extLst>
                  </a:blip>
                  <a:stretch>
                    <a:fillRect/>
                  </a:stretch>
                </pic:blipFill>
                <pic:spPr>
                  <a:xfrm>
                    <a:off x="0" y="0"/>
                    <a:ext cx="3134778" cy="389403"/>
                  </a:xfrm>
                  <a:prstGeom prst="rect">
                    <a:avLst/>
                  </a:prstGeom>
                </pic:spPr>
              </pic:pic>
            </a:graphicData>
          </a:graphic>
        </wp:inline>
      </w:drawing>
    </w:r>
  </w:p>
  <w:p w14:paraId="05889CD8" w14:textId="77777777" w:rsidR="00EF62C0" w:rsidRDefault="00EF62C0" w:rsidP="00BA30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1F67" w14:textId="77777777" w:rsidR="006259CB" w:rsidRDefault="00625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5422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4DA46C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53C0C1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3C17F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6CDA78E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A06952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456BE8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3D0A68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CA094B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910F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F3C6D7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90E52"/>
    <w:multiLevelType w:val="multilevel"/>
    <w:tmpl w:val="161A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272FB8"/>
    <w:multiLevelType w:val="hybridMultilevel"/>
    <w:tmpl w:val="BEC2A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327C6A"/>
    <w:multiLevelType w:val="hybridMultilevel"/>
    <w:tmpl w:val="4B125FA2"/>
    <w:lvl w:ilvl="0" w:tplc="0700D93C">
      <w:start w:val="1"/>
      <w:numFmt w:val="decimal"/>
      <w:lvlText w:val="%1."/>
      <w:lvlJc w:val="left"/>
      <w:pPr>
        <w:ind w:left="720" w:hanging="360"/>
      </w:pPr>
      <w:rPr>
        <w:rFonts w:ascii="Ariel" w:hAnsi="Ariel" w:hint="default"/>
        <w:b w:val="0"/>
        <w:i w:val="0"/>
        <w:color w:val="000000" w:themeColor="text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2443AB"/>
    <w:multiLevelType w:val="hybridMultilevel"/>
    <w:tmpl w:val="B8B2F5A4"/>
    <w:lvl w:ilvl="0" w:tplc="BE9ACF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A731E9"/>
    <w:multiLevelType w:val="hybridMultilevel"/>
    <w:tmpl w:val="EFF2DA5A"/>
    <w:lvl w:ilvl="0" w:tplc="A34C0BE0">
      <w:numFmt w:val="bullet"/>
      <w:lvlText w:val="-"/>
      <w:lvlJc w:val="left"/>
      <w:pPr>
        <w:ind w:left="517" w:hanging="360"/>
      </w:pPr>
      <w:rPr>
        <w:rFonts w:ascii="Calibri" w:eastAsia="Times New Roman" w:hAnsi="Calibri" w:cs="Calibri"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16" w15:restartNumberingAfterBreak="0">
    <w:nsid w:val="194A558C"/>
    <w:multiLevelType w:val="hybridMultilevel"/>
    <w:tmpl w:val="6B401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8F3146"/>
    <w:multiLevelType w:val="hybridMultilevel"/>
    <w:tmpl w:val="AA120A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3A5A6D"/>
    <w:multiLevelType w:val="hybridMultilevel"/>
    <w:tmpl w:val="A6AA5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03B39"/>
    <w:multiLevelType w:val="hybridMultilevel"/>
    <w:tmpl w:val="A3B85CFC"/>
    <w:name w:val="WW8Num8332"/>
    <w:lvl w:ilvl="0" w:tplc="BA12C392">
      <w:start w:val="1"/>
      <w:numFmt w:val="decimal"/>
      <w:lvlText w:val="%1."/>
      <w:lvlJc w:val="left"/>
      <w:pPr>
        <w:ind w:left="720" w:hanging="360"/>
      </w:pPr>
      <w:rPr>
        <w:rFonts w:ascii="Arial Narrow" w:hAnsi="Arial Narrow" w:hint="default"/>
        <w:b w:val="0"/>
        <w:i w:val="0"/>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D37EB5"/>
    <w:multiLevelType w:val="hybridMultilevel"/>
    <w:tmpl w:val="0EB2436A"/>
    <w:lvl w:ilvl="0" w:tplc="BC6A9E20">
      <w:start w:val="1"/>
      <w:numFmt w:val="bullet"/>
      <w:pStyle w:val="AAsterisk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1" w15:restartNumberingAfterBreak="0">
    <w:nsid w:val="30FC7C6F"/>
    <w:multiLevelType w:val="hybridMultilevel"/>
    <w:tmpl w:val="E740201E"/>
    <w:lvl w:ilvl="0" w:tplc="7B365A9E">
      <w:start w:val="1"/>
      <w:numFmt w:val="bullet"/>
      <w:lvlText w:val=""/>
      <w:lvlJc w:val="left"/>
      <w:pPr>
        <w:ind w:left="720" w:hanging="360"/>
      </w:pPr>
      <w:rPr>
        <w:rFonts w:ascii="Symbol" w:hAnsi="Symbol" w:hint="default"/>
        <w:b w:val="0"/>
        <w:i w:val="0"/>
        <w:caps w:val="0"/>
        <w:strike w:val="0"/>
        <w:dstrike w:val="0"/>
        <w:vanish w:val="0"/>
        <w:color w:val="000000" w:themeColor="text1"/>
        <w:spacing w:val="0"/>
        <w:w w:val="100"/>
        <w:position w:val="0"/>
        <w:sz w:val="20"/>
        <w:szCs w:val="1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2F47B1F"/>
    <w:multiLevelType w:val="hybridMultilevel"/>
    <w:tmpl w:val="A112B400"/>
    <w:lvl w:ilvl="0" w:tplc="ED4C266A">
      <w:start w:val="4"/>
      <w:numFmt w:val="bullet"/>
      <w:pStyle w:val="Normal1"/>
      <w:lvlText w:val="-"/>
      <w:lvlJc w:val="left"/>
      <w:pPr>
        <w:ind w:left="1350" w:hanging="360"/>
      </w:pPr>
      <w:rPr>
        <w:rFonts w:ascii="Times New Roman" w:hAnsi="Times New Roman" w:hint="default"/>
        <w:b w:val="0"/>
        <w:i w:val="0"/>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652C23"/>
    <w:multiLevelType w:val="hybridMultilevel"/>
    <w:tmpl w:val="D6200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75B6FDE"/>
    <w:multiLevelType w:val="hybridMultilevel"/>
    <w:tmpl w:val="BD166F34"/>
    <w:lvl w:ilvl="0" w:tplc="7B365A9E">
      <w:start w:val="1"/>
      <w:numFmt w:val="bullet"/>
      <w:lvlText w:val=""/>
      <w:lvlJc w:val="left"/>
      <w:pPr>
        <w:ind w:left="720" w:hanging="360"/>
      </w:pPr>
      <w:rPr>
        <w:rFonts w:ascii="Symbol" w:hAnsi="Symbol" w:hint="default"/>
        <w:color w:val="000000" w:themeColor="text1"/>
        <w:sz w:val="20"/>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EF4C6D"/>
    <w:multiLevelType w:val="hybridMultilevel"/>
    <w:tmpl w:val="F5765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773EE3"/>
    <w:multiLevelType w:val="hybridMultilevel"/>
    <w:tmpl w:val="A81CC594"/>
    <w:lvl w:ilvl="0" w:tplc="7B365A9E">
      <w:start w:val="1"/>
      <w:numFmt w:val="bullet"/>
      <w:lvlText w:val=""/>
      <w:lvlJc w:val="left"/>
      <w:pPr>
        <w:ind w:left="1080" w:hanging="360"/>
      </w:pPr>
      <w:rPr>
        <w:rFonts w:ascii="Symbol" w:hAnsi="Symbol" w:hint="default"/>
        <w:color w:val="000000" w:themeColor="text1"/>
        <w:sz w:val="20"/>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DCD13D6"/>
    <w:multiLevelType w:val="hybridMultilevel"/>
    <w:tmpl w:val="7EE452FE"/>
    <w:lvl w:ilvl="0" w:tplc="3B2EA258">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25C0445"/>
    <w:multiLevelType w:val="hybridMultilevel"/>
    <w:tmpl w:val="AC92EAD6"/>
    <w:lvl w:ilvl="0" w:tplc="C7B62E3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097D01"/>
    <w:multiLevelType w:val="hybridMultilevel"/>
    <w:tmpl w:val="D6F2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B32E8C"/>
    <w:multiLevelType w:val="hybridMultilevel"/>
    <w:tmpl w:val="F9164C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33670B"/>
    <w:multiLevelType w:val="hybridMultilevel"/>
    <w:tmpl w:val="F606070C"/>
    <w:lvl w:ilvl="0" w:tplc="7B365A9E">
      <w:start w:val="1"/>
      <w:numFmt w:val="bullet"/>
      <w:lvlText w:val=""/>
      <w:lvlJc w:val="left"/>
      <w:pPr>
        <w:ind w:left="720" w:hanging="360"/>
      </w:pPr>
      <w:rPr>
        <w:rFonts w:ascii="Symbol" w:hAnsi="Symbol" w:hint="default"/>
        <w:color w:val="000000" w:themeColor="text1"/>
        <w:sz w:val="20"/>
        <w:szCs w:val="1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Symbol" w:hAnsi="Symbol"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Symbol" w:hAnsi="Symbol" w:hint="default"/>
      </w:rPr>
    </w:lvl>
  </w:abstractNum>
  <w:abstractNum w:abstractNumId="32" w15:restartNumberingAfterBreak="0">
    <w:nsid w:val="515453DA"/>
    <w:multiLevelType w:val="hybridMultilevel"/>
    <w:tmpl w:val="4F2E0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0B3E65"/>
    <w:multiLevelType w:val="hybridMultilevel"/>
    <w:tmpl w:val="BEAC681A"/>
    <w:lvl w:ilvl="0" w:tplc="7B365A9E">
      <w:start w:val="1"/>
      <w:numFmt w:val="bullet"/>
      <w:lvlText w:val=""/>
      <w:lvlJc w:val="left"/>
      <w:pPr>
        <w:ind w:left="2700" w:hanging="360"/>
      </w:pPr>
      <w:rPr>
        <w:rFonts w:ascii="Symbol" w:hAnsi="Symbol" w:hint="default"/>
        <w:color w:val="000000" w:themeColor="text1"/>
        <w:sz w:val="20"/>
        <w:szCs w:val="14"/>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4" w15:restartNumberingAfterBreak="0">
    <w:nsid w:val="55C06E74"/>
    <w:multiLevelType w:val="hybridMultilevel"/>
    <w:tmpl w:val="6D5E265E"/>
    <w:name w:val="WW8Num83322"/>
    <w:lvl w:ilvl="0" w:tplc="7B365A9E">
      <w:start w:val="1"/>
      <w:numFmt w:val="bullet"/>
      <w:lvlText w:val=""/>
      <w:lvlJc w:val="left"/>
      <w:pPr>
        <w:ind w:left="720" w:hanging="360"/>
      </w:pPr>
      <w:rPr>
        <w:rFonts w:ascii="Symbol" w:hAnsi="Symbol" w:hint="default"/>
        <w:color w:val="000000" w:themeColor="text1"/>
        <w:sz w:val="20"/>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ED33F8"/>
    <w:multiLevelType w:val="hybridMultilevel"/>
    <w:tmpl w:val="D618D34A"/>
    <w:lvl w:ilvl="0" w:tplc="85F21C8C">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5633269B"/>
    <w:multiLevelType w:val="hybridMultilevel"/>
    <w:tmpl w:val="9768DA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3702A4"/>
    <w:multiLevelType w:val="hybridMultilevel"/>
    <w:tmpl w:val="F7C26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7C3BA4"/>
    <w:multiLevelType w:val="hybridMultilevel"/>
    <w:tmpl w:val="5A2EF38A"/>
    <w:lvl w:ilvl="0" w:tplc="ECE4A934">
      <w:start w:val="1"/>
      <w:numFmt w:val="bullet"/>
      <w:lvlText w:val=""/>
      <w:lvlJc w:val="left"/>
      <w:pPr>
        <w:ind w:left="720" w:hanging="360"/>
      </w:pPr>
      <w:rPr>
        <w:rFonts w:ascii="Symbol" w:hAnsi="Symbol" w:hint="default"/>
        <w:b w:val="0"/>
        <w:i w:val="0"/>
        <w:caps w:val="0"/>
        <w:strike w:val="0"/>
        <w:dstrike w:val="0"/>
        <w:vanish w:val="0"/>
        <w:color w:val="000000" w:themeColor="text1"/>
        <w:spacing w:val="0"/>
        <w:w w:val="100"/>
        <w:position w:val="0"/>
        <w:sz w:val="22"/>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2982D10"/>
    <w:multiLevelType w:val="hybridMultilevel"/>
    <w:tmpl w:val="4404AF7C"/>
    <w:lvl w:ilvl="0" w:tplc="548CD1C8">
      <w:start w:val="1"/>
      <w:numFmt w:val="bullet"/>
      <w:lvlText w:val=""/>
      <w:lvlJc w:val="left"/>
      <w:pPr>
        <w:ind w:left="1080" w:hanging="360"/>
      </w:pPr>
      <w:rPr>
        <w:rFonts w:ascii="Wingdings" w:hAnsi="Wingdings" w:hint="default"/>
        <w:b w:val="0"/>
        <w:i w:val="0"/>
        <w:color w:val="000000" w:themeColor="text1"/>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62A938C8"/>
    <w:multiLevelType w:val="hybridMultilevel"/>
    <w:tmpl w:val="0ED6A8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7A094D"/>
    <w:multiLevelType w:val="hybridMultilevel"/>
    <w:tmpl w:val="07BC1C72"/>
    <w:lvl w:ilvl="0" w:tplc="65BC406E">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D5091C"/>
    <w:multiLevelType w:val="hybridMultilevel"/>
    <w:tmpl w:val="A1B08254"/>
    <w:lvl w:ilvl="0" w:tplc="76146DAC">
      <w:start w:val="1"/>
      <w:numFmt w:val="bullet"/>
      <w:pStyle w:val="Bullet"/>
      <w:lvlText w:val=""/>
      <w:lvlJc w:val="left"/>
      <w:pPr>
        <w:ind w:left="1080" w:hanging="360"/>
      </w:pPr>
      <w:rPr>
        <w:rFonts w:ascii="Symbol" w:hAnsi="Symbo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87B7393"/>
    <w:multiLevelType w:val="hybridMultilevel"/>
    <w:tmpl w:val="2B3ACBFE"/>
    <w:lvl w:ilvl="0" w:tplc="CD00F5C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664B27"/>
    <w:multiLevelType w:val="hybridMultilevel"/>
    <w:tmpl w:val="B4A47A40"/>
    <w:lvl w:ilvl="0" w:tplc="836E798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45" w15:restartNumberingAfterBreak="0">
    <w:nsid w:val="6A7670E9"/>
    <w:multiLevelType w:val="hybridMultilevel"/>
    <w:tmpl w:val="6C489E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D86D7E"/>
    <w:multiLevelType w:val="hybridMultilevel"/>
    <w:tmpl w:val="8E1A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5726CF"/>
    <w:multiLevelType w:val="hybridMultilevel"/>
    <w:tmpl w:val="0754913E"/>
    <w:lvl w:ilvl="0" w:tplc="548CD1C8">
      <w:start w:val="1"/>
      <w:numFmt w:val="bullet"/>
      <w:lvlText w:val=""/>
      <w:lvlJc w:val="left"/>
      <w:pPr>
        <w:ind w:left="1080" w:hanging="360"/>
      </w:pPr>
      <w:rPr>
        <w:rFonts w:ascii="Wingdings" w:hAnsi="Wingdings" w:hint="default"/>
        <w:b w:val="0"/>
        <w:i w:val="0"/>
        <w:color w:val="000000" w:themeColor="text1"/>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7A322E13"/>
    <w:multiLevelType w:val="hybridMultilevel"/>
    <w:tmpl w:val="8B140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63789D"/>
    <w:multiLevelType w:val="hybridMultilevel"/>
    <w:tmpl w:val="E8BAAC12"/>
    <w:lvl w:ilvl="0" w:tplc="FFFFFFFF">
      <w:start w:val="1"/>
      <w:numFmt w:val="bullet"/>
      <w:lvlText w:val=""/>
      <w:lvlJc w:val="left"/>
      <w:pPr>
        <w:tabs>
          <w:tab w:val="num" w:pos="1350"/>
        </w:tabs>
        <w:ind w:left="1350" w:hanging="360"/>
      </w:pPr>
      <w:rPr>
        <w:rFonts w:ascii="Symbol" w:hAnsi="Symbol" w:hint="default"/>
        <w:sz w:val="20"/>
        <w:szCs w:val="20"/>
      </w:rPr>
    </w:lvl>
    <w:lvl w:ilvl="1" w:tplc="FFFFFFFF" w:tentative="1">
      <w:start w:val="1"/>
      <w:numFmt w:val="bullet"/>
      <w:lvlText w:val="o"/>
      <w:lvlJc w:val="left"/>
      <w:pPr>
        <w:tabs>
          <w:tab w:val="num" w:pos="2070"/>
        </w:tabs>
        <w:ind w:left="2070" w:hanging="360"/>
      </w:pPr>
      <w:rPr>
        <w:rFonts w:ascii="Courier New" w:hAnsi="Courier New" w:cs="Courier New" w:hint="default"/>
      </w:rPr>
    </w:lvl>
    <w:lvl w:ilvl="2" w:tplc="FFFFFFFF" w:tentative="1">
      <w:start w:val="1"/>
      <w:numFmt w:val="bullet"/>
      <w:lvlText w:val=""/>
      <w:lvlJc w:val="left"/>
      <w:pPr>
        <w:tabs>
          <w:tab w:val="num" w:pos="2790"/>
        </w:tabs>
        <w:ind w:left="2790" w:hanging="360"/>
      </w:pPr>
      <w:rPr>
        <w:rFonts w:ascii="Wingdings" w:hAnsi="Wingdings" w:hint="default"/>
      </w:rPr>
    </w:lvl>
    <w:lvl w:ilvl="3" w:tplc="FFFFFFFF" w:tentative="1">
      <w:start w:val="1"/>
      <w:numFmt w:val="bullet"/>
      <w:lvlText w:val=""/>
      <w:lvlJc w:val="left"/>
      <w:pPr>
        <w:tabs>
          <w:tab w:val="num" w:pos="3510"/>
        </w:tabs>
        <w:ind w:left="3510" w:hanging="360"/>
      </w:pPr>
      <w:rPr>
        <w:rFonts w:ascii="Symbol" w:hAnsi="Symbol" w:hint="default"/>
      </w:rPr>
    </w:lvl>
    <w:lvl w:ilvl="4" w:tplc="FFFFFFFF" w:tentative="1">
      <w:start w:val="1"/>
      <w:numFmt w:val="bullet"/>
      <w:lvlText w:val="o"/>
      <w:lvlJc w:val="left"/>
      <w:pPr>
        <w:tabs>
          <w:tab w:val="num" w:pos="4230"/>
        </w:tabs>
        <w:ind w:left="4230" w:hanging="360"/>
      </w:pPr>
      <w:rPr>
        <w:rFonts w:ascii="Courier New" w:hAnsi="Courier New" w:cs="Courier New" w:hint="default"/>
      </w:rPr>
    </w:lvl>
    <w:lvl w:ilvl="5" w:tplc="FFFFFFFF" w:tentative="1">
      <w:start w:val="1"/>
      <w:numFmt w:val="bullet"/>
      <w:lvlText w:val=""/>
      <w:lvlJc w:val="left"/>
      <w:pPr>
        <w:tabs>
          <w:tab w:val="num" w:pos="4950"/>
        </w:tabs>
        <w:ind w:left="4950" w:hanging="360"/>
      </w:pPr>
      <w:rPr>
        <w:rFonts w:ascii="Wingdings" w:hAnsi="Wingdings" w:hint="default"/>
      </w:rPr>
    </w:lvl>
    <w:lvl w:ilvl="6" w:tplc="FFFFFFFF" w:tentative="1">
      <w:start w:val="1"/>
      <w:numFmt w:val="bullet"/>
      <w:lvlText w:val=""/>
      <w:lvlJc w:val="left"/>
      <w:pPr>
        <w:tabs>
          <w:tab w:val="num" w:pos="5670"/>
        </w:tabs>
        <w:ind w:left="5670" w:hanging="360"/>
      </w:pPr>
      <w:rPr>
        <w:rFonts w:ascii="Symbol" w:hAnsi="Symbol" w:hint="default"/>
      </w:rPr>
    </w:lvl>
    <w:lvl w:ilvl="7" w:tplc="FFFFFFFF" w:tentative="1">
      <w:start w:val="1"/>
      <w:numFmt w:val="bullet"/>
      <w:lvlText w:val="o"/>
      <w:lvlJc w:val="left"/>
      <w:pPr>
        <w:tabs>
          <w:tab w:val="num" w:pos="6390"/>
        </w:tabs>
        <w:ind w:left="6390" w:hanging="360"/>
      </w:pPr>
      <w:rPr>
        <w:rFonts w:ascii="Courier New" w:hAnsi="Courier New" w:cs="Courier New" w:hint="default"/>
      </w:rPr>
    </w:lvl>
    <w:lvl w:ilvl="8" w:tplc="FFFFFFFF" w:tentative="1">
      <w:start w:val="1"/>
      <w:numFmt w:val="bullet"/>
      <w:lvlText w:val=""/>
      <w:lvlJc w:val="left"/>
      <w:pPr>
        <w:tabs>
          <w:tab w:val="num" w:pos="7110"/>
        </w:tabs>
        <w:ind w:left="7110" w:hanging="360"/>
      </w:pPr>
      <w:rPr>
        <w:rFonts w:ascii="Wingdings" w:hAnsi="Wingdings" w:hint="default"/>
      </w:rPr>
    </w:lvl>
  </w:abstractNum>
  <w:num w:numId="1" w16cid:durableId="463699423">
    <w:abstractNumId w:val="36"/>
  </w:num>
  <w:num w:numId="2" w16cid:durableId="1293443665">
    <w:abstractNumId w:val="48"/>
  </w:num>
  <w:num w:numId="3" w16cid:durableId="232352866">
    <w:abstractNumId w:val="12"/>
  </w:num>
  <w:num w:numId="4" w16cid:durableId="227807487">
    <w:abstractNumId w:val="32"/>
  </w:num>
  <w:num w:numId="5" w16cid:durableId="1756432701">
    <w:abstractNumId w:val="49"/>
  </w:num>
  <w:num w:numId="6" w16cid:durableId="1287656649">
    <w:abstractNumId w:val="23"/>
  </w:num>
  <w:num w:numId="7" w16cid:durableId="1940525936">
    <w:abstractNumId w:val="46"/>
  </w:num>
  <w:num w:numId="8" w16cid:durableId="1154489924">
    <w:abstractNumId w:val="25"/>
  </w:num>
  <w:num w:numId="9" w16cid:durableId="1410737457">
    <w:abstractNumId w:val="16"/>
  </w:num>
  <w:num w:numId="10" w16cid:durableId="1716388190">
    <w:abstractNumId w:val="41"/>
  </w:num>
  <w:num w:numId="11" w16cid:durableId="1414277547">
    <w:abstractNumId w:val="40"/>
  </w:num>
  <w:num w:numId="12" w16cid:durableId="92092057">
    <w:abstractNumId w:val="37"/>
  </w:num>
  <w:num w:numId="13" w16cid:durableId="2071494641">
    <w:abstractNumId w:val="45"/>
  </w:num>
  <w:num w:numId="14" w16cid:durableId="680013215">
    <w:abstractNumId w:val="17"/>
  </w:num>
  <w:num w:numId="15" w16cid:durableId="488450352">
    <w:abstractNumId w:val="30"/>
  </w:num>
  <w:num w:numId="16" w16cid:durableId="1219364866">
    <w:abstractNumId w:val="35"/>
  </w:num>
  <w:num w:numId="17" w16cid:durableId="1020354196">
    <w:abstractNumId w:val="44"/>
  </w:num>
  <w:num w:numId="18" w16cid:durableId="2120448941">
    <w:abstractNumId w:val="20"/>
  </w:num>
  <w:num w:numId="19" w16cid:durableId="42605417">
    <w:abstractNumId w:val="10"/>
  </w:num>
  <w:num w:numId="20" w16cid:durableId="147325465">
    <w:abstractNumId w:val="8"/>
  </w:num>
  <w:num w:numId="21" w16cid:durableId="425152624">
    <w:abstractNumId w:val="7"/>
  </w:num>
  <w:num w:numId="22" w16cid:durableId="174272535">
    <w:abstractNumId w:val="6"/>
  </w:num>
  <w:num w:numId="23" w16cid:durableId="1745101992">
    <w:abstractNumId w:val="5"/>
  </w:num>
  <w:num w:numId="24" w16cid:durableId="918637533">
    <w:abstractNumId w:val="9"/>
  </w:num>
  <w:num w:numId="25" w16cid:durableId="918060999">
    <w:abstractNumId w:val="4"/>
  </w:num>
  <w:num w:numId="26" w16cid:durableId="250504939">
    <w:abstractNumId w:val="3"/>
  </w:num>
  <w:num w:numId="27" w16cid:durableId="1224875752">
    <w:abstractNumId w:val="2"/>
  </w:num>
  <w:num w:numId="28" w16cid:durableId="672925367">
    <w:abstractNumId w:val="1"/>
  </w:num>
  <w:num w:numId="29" w16cid:durableId="1223563459">
    <w:abstractNumId w:val="0"/>
  </w:num>
  <w:num w:numId="30" w16cid:durableId="1487697561">
    <w:abstractNumId w:val="14"/>
  </w:num>
  <w:num w:numId="31" w16cid:durableId="2088072216">
    <w:abstractNumId w:val="29"/>
  </w:num>
  <w:num w:numId="32" w16cid:durableId="1283657655">
    <w:abstractNumId w:val="18"/>
  </w:num>
  <w:num w:numId="33" w16cid:durableId="1623414752">
    <w:abstractNumId w:val="11"/>
  </w:num>
  <w:num w:numId="34" w16cid:durableId="941952965">
    <w:abstractNumId w:val="24"/>
  </w:num>
  <w:num w:numId="35" w16cid:durableId="92479517">
    <w:abstractNumId w:val="43"/>
  </w:num>
  <w:num w:numId="36" w16cid:durableId="1117986860">
    <w:abstractNumId w:val="42"/>
  </w:num>
  <w:num w:numId="37" w16cid:durableId="1379816652">
    <w:abstractNumId w:val="33"/>
  </w:num>
  <w:num w:numId="38" w16cid:durableId="1569000205">
    <w:abstractNumId w:val="19"/>
  </w:num>
  <w:num w:numId="39" w16cid:durableId="1926650957">
    <w:abstractNumId w:val="22"/>
  </w:num>
  <w:num w:numId="40" w16cid:durableId="1357148952">
    <w:abstractNumId w:val="38"/>
  </w:num>
  <w:num w:numId="41" w16cid:durableId="144324153">
    <w:abstractNumId w:val="21"/>
  </w:num>
  <w:num w:numId="42" w16cid:durableId="1334334212">
    <w:abstractNumId w:val="31"/>
  </w:num>
  <w:num w:numId="43" w16cid:durableId="67970053">
    <w:abstractNumId w:val="47"/>
  </w:num>
  <w:num w:numId="44" w16cid:durableId="2118669344">
    <w:abstractNumId w:val="39"/>
  </w:num>
  <w:num w:numId="45" w16cid:durableId="677392984">
    <w:abstractNumId w:val="13"/>
  </w:num>
  <w:num w:numId="46" w16cid:durableId="2041473243">
    <w:abstractNumId w:val="34"/>
  </w:num>
  <w:num w:numId="47" w16cid:durableId="639264596">
    <w:abstractNumId w:val="26"/>
  </w:num>
  <w:num w:numId="48" w16cid:durableId="2036417088">
    <w:abstractNumId w:val="15"/>
  </w:num>
  <w:num w:numId="49" w16cid:durableId="737247017">
    <w:abstractNumId w:val="27"/>
  </w:num>
  <w:num w:numId="50" w16cid:durableId="17930141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revisionView w:markup="0"/>
  <w:trackRevisions/>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xBEIjCzMgYWmkpKMUnFpcnJmfB1JgaFYLAKfEYxstAAAA"/>
  </w:docVars>
  <w:rsids>
    <w:rsidRoot w:val="008E39FA"/>
    <w:rsid w:val="000015A5"/>
    <w:rsid w:val="0000164A"/>
    <w:rsid w:val="0000316D"/>
    <w:rsid w:val="00004AA7"/>
    <w:rsid w:val="00004AC9"/>
    <w:rsid w:val="000075FC"/>
    <w:rsid w:val="00010646"/>
    <w:rsid w:val="000118C8"/>
    <w:rsid w:val="00011EFA"/>
    <w:rsid w:val="00013325"/>
    <w:rsid w:val="00014276"/>
    <w:rsid w:val="0001647D"/>
    <w:rsid w:val="000202CA"/>
    <w:rsid w:val="0002314F"/>
    <w:rsid w:val="00023466"/>
    <w:rsid w:val="0002687A"/>
    <w:rsid w:val="0002717B"/>
    <w:rsid w:val="00027D87"/>
    <w:rsid w:val="00033523"/>
    <w:rsid w:val="00034351"/>
    <w:rsid w:val="00041380"/>
    <w:rsid w:val="00046046"/>
    <w:rsid w:val="0004670D"/>
    <w:rsid w:val="000500CF"/>
    <w:rsid w:val="00050A67"/>
    <w:rsid w:val="00051A1B"/>
    <w:rsid w:val="00051A5D"/>
    <w:rsid w:val="00051F1C"/>
    <w:rsid w:val="00052474"/>
    <w:rsid w:val="00053A6C"/>
    <w:rsid w:val="00057204"/>
    <w:rsid w:val="000605F8"/>
    <w:rsid w:val="000609E4"/>
    <w:rsid w:val="00066667"/>
    <w:rsid w:val="000717D7"/>
    <w:rsid w:val="00071A83"/>
    <w:rsid w:val="0007330B"/>
    <w:rsid w:val="0007371A"/>
    <w:rsid w:val="00073A4F"/>
    <w:rsid w:val="00077001"/>
    <w:rsid w:val="00080DFD"/>
    <w:rsid w:val="00081464"/>
    <w:rsid w:val="00083B01"/>
    <w:rsid w:val="000854DF"/>
    <w:rsid w:val="00086030"/>
    <w:rsid w:val="000869FA"/>
    <w:rsid w:val="00086E16"/>
    <w:rsid w:val="00091B2A"/>
    <w:rsid w:val="00091F88"/>
    <w:rsid w:val="00092A02"/>
    <w:rsid w:val="00095068"/>
    <w:rsid w:val="000959BD"/>
    <w:rsid w:val="00095A59"/>
    <w:rsid w:val="0009669E"/>
    <w:rsid w:val="000A081C"/>
    <w:rsid w:val="000A0AFC"/>
    <w:rsid w:val="000A0F5D"/>
    <w:rsid w:val="000A3001"/>
    <w:rsid w:val="000A301E"/>
    <w:rsid w:val="000A3564"/>
    <w:rsid w:val="000A41C2"/>
    <w:rsid w:val="000A4213"/>
    <w:rsid w:val="000B0735"/>
    <w:rsid w:val="000B2CCA"/>
    <w:rsid w:val="000B5854"/>
    <w:rsid w:val="000B5871"/>
    <w:rsid w:val="000B621C"/>
    <w:rsid w:val="000C3749"/>
    <w:rsid w:val="000C481F"/>
    <w:rsid w:val="000C62F5"/>
    <w:rsid w:val="000C7BF4"/>
    <w:rsid w:val="000D1D3A"/>
    <w:rsid w:val="000D265B"/>
    <w:rsid w:val="000D49C0"/>
    <w:rsid w:val="000D544B"/>
    <w:rsid w:val="000E1DA9"/>
    <w:rsid w:val="000E33EF"/>
    <w:rsid w:val="000E45FA"/>
    <w:rsid w:val="000E607A"/>
    <w:rsid w:val="000E7B43"/>
    <w:rsid w:val="000F0301"/>
    <w:rsid w:val="000F0D04"/>
    <w:rsid w:val="000F2020"/>
    <w:rsid w:val="000F39E7"/>
    <w:rsid w:val="000F4966"/>
    <w:rsid w:val="000F619F"/>
    <w:rsid w:val="000F6BBF"/>
    <w:rsid w:val="000F6FAC"/>
    <w:rsid w:val="000F7B3F"/>
    <w:rsid w:val="001004B4"/>
    <w:rsid w:val="0010120A"/>
    <w:rsid w:val="00102173"/>
    <w:rsid w:val="0010229C"/>
    <w:rsid w:val="00102CC7"/>
    <w:rsid w:val="00103505"/>
    <w:rsid w:val="00105253"/>
    <w:rsid w:val="00106407"/>
    <w:rsid w:val="00107B1E"/>
    <w:rsid w:val="00113945"/>
    <w:rsid w:val="00113C28"/>
    <w:rsid w:val="001141F4"/>
    <w:rsid w:val="00116FD6"/>
    <w:rsid w:val="0011783D"/>
    <w:rsid w:val="001215F4"/>
    <w:rsid w:val="00123116"/>
    <w:rsid w:val="00124FC2"/>
    <w:rsid w:val="00125CDB"/>
    <w:rsid w:val="001267AC"/>
    <w:rsid w:val="00130347"/>
    <w:rsid w:val="001307A1"/>
    <w:rsid w:val="00130C97"/>
    <w:rsid w:val="00132310"/>
    <w:rsid w:val="0013292D"/>
    <w:rsid w:val="00133D6F"/>
    <w:rsid w:val="001365A6"/>
    <w:rsid w:val="001365BC"/>
    <w:rsid w:val="0014496A"/>
    <w:rsid w:val="001466ED"/>
    <w:rsid w:val="0014718A"/>
    <w:rsid w:val="00147DFC"/>
    <w:rsid w:val="00147DFF"/>
    <w:rsid w:val="00150E42"/>
    <w:rsid w:val="00153BF7"/>
    <w:rsid w:val="00154E18"/>
    <w:rsid w:val="00155F28"/>
    <w:rsid w:val="001566DC"/>
    <w:rsid w:val="00157785"/>
    <w:rsid w:val="00160E74"/>
    <w:rsid w:val="001631B2"/>
    <w:rsid w:val="001667FA"/>
    <w:rsid w:val="001679A6"/>
    <w:rsid w:val="00167F10"/>
    <w:rsid w:val="00170317"/>
    <w:rsid w:val="001709BB"/>
    <w:rsid w:val="00171D0D"/>
    <w:rsid w:val="00173477"/>
    <w:rsid w:val="0017679B"/>
    <w:rsid w:val="001774DF"/>
    <w:rsid w:val="00180E6D"/>
    <w:rsid w:val="0018131B"/>
    <w:rsid w:val="00182348"/>
    <w:rsid w:val="00183229"/>
    <w:rsid w:val="00185048"/>
    <w:rsid w:val="001856EA"/>
    <w:rsid w:val="00185A6F"/>
    <w:rsid w:val="0019036A"/>
    <w:rsid w:val="00193381"/>
    <w:rsid w:val="00194838"/>
    <w:rsid w:val="00194D08"/>
    <w:rsid w:val="001960F4"/>
    <w:rsid w:val="001A3FBE"/>
    <w:rsid w:val="001A55AF"/>
    <w:rsid w:val="001A6AE0"/>
    <w:rsid w:val="001A798B"/>
    <w:rsid w:val="001B4DD2"/>
    <w:rsid w:val="001B5405"/>
    <w:rsid w:val="001B6AAC"/>
    <w:rsid w:val="001B6F23"/>
    <w:rsid w:val="001C53F0"/>
    <w:rsid w:val="001C6642"/>
    <w:rsid w:val="001D0C1E"/>
    <w:rsid w:val="001D185F"/>
    <w:rsid w:val="001D206A"/>
    <w:rsid w:val="001D2BF4"/>
    <w:rsid w:val="001D2C18"/>
    <w:rsid w:val="001D4B82"/>
    <w:rsid w:val="001E08A1"/>
    <w:rsid w:val="001E44FE"/>
    <w:rsid w:val="001E5871"/>
    <w:rsid w:val="001E61CD"/>
    <w:rsid w:val="001E6D2D"/>
    <w:rsid w:val="001F09F1"/>
    <w:rsid w:val="001F156C"/>
    <w:rsid w:val="001F2A4C"/>
    <w:rsid w:val="001F38BD"/>
    <w:rsid w:val="001F47C2"/>
    <w:rsid w:val="001F76B6"/>
    <w:rsid w:val="001F79AC"/>
    <w:rsid w:val="0020044D"/>
    <w:rsid w:val="00200524"/>
    <w:rsid w:val="00200F6A"/>
    <w:rsid w:val="00200FB0"/>
    <w:rsid w:val="00201088"/>
    <w:rsid w:val="0020148E"/>
    <w:rsid w:val="00202598"/>
    <w:rsid w:val="00202B9C"/>
    <w:rsid w:val="002031C0"/>
    <w:rsid w:val="0020579A"/>
    <w:rsid w:val="00205D72"/>
    <w:rsid w:val="002066CB"/>
    <w:rsid w:val="002072CF"/>
    <w:rsid w:val="00207DEE"/>
    <w:rsid w:val="00211AEF"/>
    <w:rsid w:val="002132A5"/>
    <w:rsid w:val="00214356"/>
    <w:rsid w:val="0021498D"/>
    <w:rsid w:val="00215CF6"/>
    <w:rsid w:val="0022008A"/>
    <w:rsid w:val="00222D0D"/>
    <w:rsid w:val="00223854"/>
    <w:rsid w:val="002278D8"/>
    <w:rsid w:val="00230B8D"/>
    <w:rsid w:val="00231762"/>
    <w:rsid w:val="00234E09"/>
    <w:rsid w:val="0023692C"/>
    <w:rsid w:val="002369FB"/>
    <w:rsid w:val="00236FC2"/>
    <w:rsid w:val="002402EE"/>
    <w:rsid w:val="002406A5"/>
    <w:rsid w:val="002415E0"/>
    <w:rsid w:val="00241C23"/>
    <w:rsid w:val="002423AE"/>
    <w:rsid w:val="00243434"/>
    <w:rsid w:val="00246EAF"/>
    <w:rsid w:val="002476DE"/>
    <w:rsid w:val="002501FE"/>
    <w:rsid w:val="00251153"/>
    <w:rsid w:val="00251939"/>
    <w:rsid w:val="00251EB4"/>
    <w:rsid w:val="0025335B"/>
    <w:rsid w:val="00253B17"/>
    <w:rsid w:val="00256093"/>
    <w:rsid w:val="0026195F"/>
    <w:rsid w:val="00263CE8"/>
    <w:rsid w:val="00267BB8"/>
    <w:rsid w:val="00271876"/>
    <w:rsid w:val="00274BC0"/>
    <w:rsid w:val="002751B8"/>
    <w:rsid w:val="002763C4"/>
    <w:rsid w:val="002831B8"/>
    <w:rsid w:val="00283B4A"/>
    <w:rsid w:val="00287D04"/>
    <w:rsid w:val="00290987"/>
    <w:rsid w:val="00291305"/>
    <w:rsid w:val="00292551"/>
    <w:rsid w:val="00292E76"/>
    <w:rsid w:val="00294C04"/>
    <w:rsid w:val="00296078"/>
    <w:rsid w:val="00296ACB"/>
    <w:rsid w:val="002972AE"/>
    <w:rsid w:val="00297585"/>
    <w:rsid w:val="002A04B3"/>
    <w:rsid w:val="002A20D9"/>
    <w:rsid w:val="002A3091"/>
    <w:rsid w:val="002A33FA"/>
    <w:rsid w:val="002A3D53"/>
    <w:rsid w:val="002A6624"/>
    <w:rsid w:val="002A688C"/>
    <w:rsid w:val="002A6B84"/>
    <w:rsid w:val="002B07B2"/>
    <w:rsid w:val="002B40FA"/>
    <w:rsid w:val="002B710A"/>
    <w:rsid w:val="002C0C28"/>
    <w:rsid w:val="002C1B45"/>
    <w:rsid w:val="002C4EA1"/>
    <w:rsid w:val="002C5920"/>
    <w:rsid w:val="002C5B59"/>
    <w:rsid w:val="002C6F4A"/>
    <w:rsid w:val="002C74C5"/>
    <w:rsid w:val="002C7D22"/>
    <w:rsid w:val="002C7EF2"/>
    <w:rsid w:val="002D0ED9"/>
    <w:rsid w:val="002D1234"/>
    <w:rsid w:val="002D3FB2"/>
    <w:rsid w:val="002D57D0"/>
    <w:rsid w:val="002E1801"/>
    <w:rsid w:val="002E2168"/>
    <w:rsid w:val="002E64F9"/>
    <w:rsid w:val="002E70EE"/>
    <w:rsid w:val="002F0F9E"/>
    <w:rsid w:val="002F2813"/>
    <w:rsid w:val="002F327A"/>
    <w:rsid w:val="002F4132"/>
    <w:rsid w:val="002F45B3"/>
    <w:rsid w:val="002F76D3"/>
    <w:rsid w:val="002F7F48"/>
    <w:rsid w:val="00300927"/>
    <w:rsid w:val="00303346"/>
    <w:rsid w:val="003049E4"/>
    <w:rsid w:val="00306777"/>
    <w:rsid w:val="00313320"/>
    <w:rsid w:val="003139C3"/>
    <w:rsid w:val="003167E4"/>
    <w:rsid w:val="00320887"/>
    <w:rsid w:val="00321031"/>
    <w:rsid w:val="0032129F"/>
    <w:rsid w:val="003220F1"/>
    <w:rsid w:val="00322366"/>
    <w:rsid w:val="00322FA0"/>
    <w:rsid w:val="00323F05"/>
    <w:rsid w:val="00327CF7"/>
    <w:rsid w:val="003314BA"/>
    <w:rsid w:val="003326E3"/>
    <w:rsid w:val="00333AB0"/>
    <w:rsid w:val="00334E41"/>
    <w:rsid w:val="0033625D"/>
    <w:rsid w:val="00340FD5"/>
    <w:rsid w:val="003425DB"/>
    <w:rsid w:val="003435A0"/>
    <w:rsid w:val="0034438F"/>
    <w:rsid w:val="003471A5"/>
    <w:rsid w:val="00347526"/>
    <w:rsid w:val="00347637"/>
    <w:rsid w:val="0035176F"/>
    <w:rsid w:val="0035196A"/>
    <w:rsid w:val="00351B6F"/>
    <w:rsid w:val="00355507"/>
    <w:rsid w:val="00355FF8"/>
    <w:rsid w:val="00357469"/>
    <w:rsid w:val="00360802"/>
    <w:rsid w:val="00360C28"/>
    <w:rsid w:val="0036173E"/>
    <w:rsid w:val="003628D8"/>
    <w:rsid w:val="00362C2D"/>
    <w:rsid w:val="00362D68"/>
    <w:rsid w:val="003647A2"/>
    <w:rsid w:val="00365877"/>
    <w:rsid w:val="00365E5F"/>
    <w:rsid w:val="00366995"/>
    <w:rsid w:val="0036720E"/>
    <w:rsid w:val="003677FB"/>
    <w:rsid w:val="0036792E"/>
    <w:rsid w:val="0037278A"/>
    <w:rsid w:val="00373419"/>
    <w:rsid w:val="00373528"/>
    <w:rsid w:val="003744AC"/>
    <w:rsid w:val="00375263"/>
    <w:rsid w:val="00380795"/>
    <w:rsid w:val="00381296"/>
    <w:rsid w:val="0038492B"/>
    <w:rsid w:val="00385450"/>
    <w:rsid w:val="00390FEC"/>
    <w:rsid w:val="00391549"/>
    <w:rsid w:val="00391C8D"/>
    <w:rsid w:val="003924C6"/>
    <w:rsid w:val="00392E79"/>
    <w:rsid w:val="00393969"/>
    <w:rsid w:val="003948EE"/>
    <w:rsid w:val="00394A1B"/>
    <w:rsid w:val="003A2B54"/>
    <w:rsid w:val="003A3E03"/>
    <w:rsid w:val="003A3F03"/>
    <w:rsid w:val="003A43FC"/>
    <w:rsid w:val="003A4C02"/>
    <w:rsid w:val="003A59F8"/>
    <w:rsid w:val="003A5CDE"/>
    <w:rsid w:val="003A669B"/>
    <w:rsid w:val="003B2A13"/>
    <w:rsid w:val="003B436F"/>
    <w:rsid w:val="003B566D"/>
    <w:rsid w:val="003C1FF2"/>
    <w:rsid w:val="003D07BA"/>
    <w:rsid w:val="003D1598"/>
    <w:rsid w:val="003D4F73"/>
    <w:rsid w:val="003D66E7"/>
    <w:rsid w:val="003E0004"/>
    <w:rsid w:val="003E768A"/>
    <w:rsid w:val="003E77CE"/>
    <w:rsid w:val="003F21F8"/>
    <w:rsid w:val="003F4794"/>
    <w:rsid w:val="003F505A"/>
    <w:rsid w:val="0040243E"/>
    <w:rsid w:val="004033C9"/>
    <w:rsid w:val="00404DEA"/>
    <w:rsid w:val="004058D3"/>
    <w:rsid w:val="00405C27"/>
    <w:rsid w:val="00407F47"/>
    <w:rsid w:val="00412DC8"/>
    <w:rsid w:val="00413F90"/>
    <w:rsid w:val="00415F0B"/>
    <w:rsid w:val="00417533"/>
    <w:rsid w:val="00420FBA"/>
    <w:rsid w:val="00424E89"/>
    <w:rsid w:val="00426616"/>
    <w:rsid w:val="00433D10"/>
    <w:rsid w:val="00436E98"/>
    <w:rsid w:val="004421F1"/>
    <w:rsid w:val="00444BE8"/>
    <w:rsid w:val="00447437"/>
    <w:rsid w:val="0045143E"/>
    <w:rsid w:val="0046082C"/>
    <w:rsid w:val="00460F7D"/>
    <w:rsid w:val="00462560"/>
    <w:rsid w:val="00462B8E"/>
    <w:rsid w:val="00462E0B"/>
    <w:rsid w:val="0046452E"/>
    <w:rsid w:val="0046629A"/>
    <w:rsid w:val="00471096"/>
    <w:rsid w:val="00471110"/>
    <w:rsid w:val="004713C7"/>
    <w:rsid w:val="004717D6"/>
    <w:rsid w:val="00472D6D"/>
    <w:rsid w:val="004745DA"/>
    <w:rsid w:val="0047502B"/>
    <w:rsid w:val="004759D5"/>
    <w:rsid w:val="00476F61"/>
    <w:rsid w:val="00476FC6"/>
    <w:rsid w:val="00482079"/>
    <w:rsid w:val="0048379C"/>
    <w:rsid w:val="004841D5"/>
    <w:rsid w:val="0048579A"/>
    <w:rsid w:val="004859F3"/>
    <w:rsid w:val="004865A2"/>
    <w:rsid w:val="004867B1"/>
    <w:rsid w:val="00486BC9"/>
    <w:rsid w:val="0048713D"/>
    <w:rsid w:val="0048793F"/>
    <w:rsid w:val="00490307"/>
    <w:rsid w:val="00492A0C"/>
    <w:rsid w:val="00492E08"/>
    <w:rsid w:val="00495AF0"/>
    <w:rsid w:val="00495D39"/>
    <w:rsid w:val="004A0D28"/>
    <w:rsid w:val="004A1B0A"/>
    <w:rsid w:val="004A30A4"/>
    <w:rsid w:val="004A50BB"/>
    <w:rsid w:val="004A51CA"/>
    <w:rsid w:val="004A7F51"/>
    <w:rsid w:val="004B0C73"/>
    <w:rsid w:val="004B1947"/>
    <w:rsid w:val="004B296B"/>
    <w:rsid w:val="004B31A1"/>
    <w:rsid w:val="004B701A"/>
    <w:rsid w:val="004D37BF"/>
    <w:rsid w:val="004D7942"/>
    <w:rsid w:val="004E0785"/>
    <w:rsid w:val="004E14C0"/>
    <w:rsid w:val="004E2E12"/>
    <w:rsid w:val="004E37F5"/>
    <w:rsid w:val="004E4E9F"/>
    <w:rsid w:val="004E5AC6"/>
    <w:rsid w:val="004E60F4"/>
    <w:rsid w:val="004E69BD"/>
    <w:rsid w:val="004E6EFD"/>
    <w:rsid w:val="004F2995"/>
    <w:rsid w:val="004F39FD"/>
    <w:rsid w:val="004F670D"/>
    <w:rsid w:val="0050088D"/>
    <w:rsid w:val="00501A09"/>
    <w:rsid w:val="005029AF"/>
    <w:rsid w:val="00503031"/>
    <w:rsid w:val="00503C56"/>
    <w:rsid w:val="005053CC"/>
    <w:rsid w:val="005069EF"/>
    <w:rsid w:val="00510704"/>
    <w:rsid w:val="00513FEE"/>
    <w:rsid w:val="00514802"/>
    <w:rsid w:val="00515F76"/>
    <w:rsid w:val="00516080"/>
    <w:rsid w:val="00521218"/>
    <w:rsid w:val="00522765"/>
    <w:rsid w:val="0052295B"/>
    <w:rsid w:val="00523657"/>
    <w:rsid w:val="0052733B"/>
    <w:rsid w:val="0052753B"/>
    <w:rsid w:val="00527E92"/>
    <w:rsid w:val="00530893"/>
    <w:rsid w:val="00530C66"/>
    <w:rsid w:val="005317BA"/>
    <w:rsid w:val="00531A01"/>
    <w:rsid w:val="005322B6"/>
    <w:rsid w:val="00535DAE"/>
    <w:rsid w:val="00541B82"/>
    <w:rsid w:val="00542DB9"/>
    <w:rsid w:val="00542E32"/>
    <w:rsid w:val="005440B7"/>
    <w:rsid w:val="0054432F"/>
    <w:rsid w:val="005467E5"/>
    <w:rsid w:val="005478AF"/>
    <w:rsid w:val="00550570"/>
    <w:rsid w:val="005506E4"/>
    <w:rsid w:val="005518A2"/>
    <w:rsid w:val="0055450A"/>
    <w:rsid w:val="00554CA0"/>
    <w:rsid w:val="00560D87"/>
    <w:rsid w:val="005623C1"/>
    <w:rsid w:val="00563BB2"/>
    <w:rsid w:val="00566620"/>
    <w:rsid w:val="00567BBA"/>
    <w:rsid w:val="00572846"/>
    <w:rsid w:val="00574DCB"/>
    <w:rsid w:val="00576595"/>
    <w:rsid w:val="00576DA9"/>
    <w:rsid w:val="00577DE6"/>
    <w:rsid w:val="00581545"/>
    <w:rsid w:val="00581889"/>
    <w:rsid w:val="00581B24"/>
    <w:rsid w:val="00584509"/>
    <w:rsid w:val="00587F8A"/>
    <w:rsid w:val="00593727"/>
    <w:rsid w:val="005949CC"/>
    <w:rsid w:val="0059515C"/>
    <w:rsid w:val="00596424"/>
    <w:rsid w:val="005965EC"/>
    <w:rsid w:val="005971B2"/>
    <w:rsid w:val="005A0EB8"/>
    <w:rsid w:val="005A13DE"/>
    <w:rsid w:val="005A4431"/>
    <w:rsid w:val="005A5ACD"/>
    <w:rsid w:val="005A689D"/>
    <w:rsid w:val="005A6993"/>
    <w:rsid w:val="005A7845"/>
    <w:rsid w:val="005B08A8"/>
    <w:rsid w:val="005B5D28"/>
    <w:rsid w:val="005B5F68"/>
    <w:rsid w:val="005B79F7"/>
    <w:rsid w:val="005B7F79"/>
    <w:rsid w:val="005C2FFC"/>
    <w:rsid w:val="005C35D2"/>
    <w:rsid w:val="005C3E8A"/>
    <w:rsid w:val="005C7990"/>
    <w:rsid w:val="005D0A13"/>
    <w:rsid w:val="005D227C"/>
    <w:rsid w:val="005D2D87"/>
    <w:rsid w:val="005D3C03"/>
    <w:rsid w:val="005D730D"/>
    <w:rsid w:val="005E3ABE"/>
    <w:rsid w:val="005F0115"/>
    <w:rsid w:val="005F2C18"/>
    <w:rsid w:val="005F2CB1"/>
    <w:rsid w:val="005F34AF"/>
    <w:rsid w:val="005F4CE3"/>
    <w:rsid w:val="005F59C6"/>
    <w:rsid w:val="005F74F6"/>
    <w:rsid w:val="006006AF"/>
    <w:rsid w:val="00600D16"/>
    <w:rsid w:val="0060112D"/>
    <w:rsid w:val="0060230C"/>
    <w:rsid w:val="0060382E"/>
    <w:rsid w:val="00603C20"/>
    <w:rsid w:val="00603D62"/>
    <w:rsid w:val="00607878"/>
    <w:rsid w:val="006107C8"/>
    <w:rsid w:val="0061095C"/>
    <w:rsid w:val="00611B18"/>
    <w:rsid w:val="00613B2A"/>
    <w:rsid w:val="00614A22"/>
    <w:rsid w:val="00614DA0"/>
    <w:rsid w:val="006174DD"/>
    <w:rsid w:val="00620A45"/>
    <w:rsid w:val="00621ACF"/>
    <w:rsid w:val="00624EAF"/>
    <w:rsid w:val="006258C1"/>
    <w:rsid w:val="006259CB"/>
    <w:rsid w:val="00626529"/>
    <w:rsid w:val="00626969"/>
    <w:rsid w:val="006308B7"/>
    <w:rsid w:val="006308BB"/>
    <w:rsid w:val="00631891"/>
    <w:rsid w:val="006332E7"/>
    <w:rsid w:val="0063380C"/>
    <w:rsid w:val="00634F7A"/>
    <w:rsid w:val="00640E61"/>
    <w:rsid w:val="00642F4C"/>
    <w:rsid w:val="006449E3"/>
    <w:rsid w:val="0064637F"/>
    <w:rsid w:val="00650EA8"/>
    <w:rsid w:val="006510BF"/>
    <w:rsid w:val="006535E3"/>
    <w:rsid w:val="00657224"/>
    <w:rsid w:val="0066001C"/>
    <w:rsid w:val="006614FF"/>
    <w:rsid w:val="006625B8"/>
    <w:rsid w:val="00662C5B"/>
    <w:rsid w:val="0066372B"/>
    <w:rsid w:val="00663C8D"/>
    <w:rsid w:val="00665384"/>
    <w:rsid w:val="00670345"/>
    <w:rsid w:val="00670A6B"/>
    <w:rsid w:val="00672594"/>
    <w:rsid w:val="00674857"/>
    <w:rsid w:val="00674CB0"/>
    <w:rsid w:val="00682A16"/>
    <w:rsid w:val="00684F0E"/>
    <w:rsid w:val="006853E2"/>
    <w:rsid w:val="0068733F"/>
    <w:rsid w:val="00687984"/>
    <w:rsid w:val="006919E6"/>
    <w:rsid w:val="00692F66"/>
    <w:rsid w:val="00693C59"/>
    <w:rsid w:val="00695538"/>
    <w:rsid w:val="00696617"/>
    <w:rsid w:val="00696B54"/>
    <w:rsid w:val="0069700E"/>
    <w:rsid w:val="00697A8A"/>
    <w:rsid w:val="006A2401"/>
    <w:rsid w:val="006A4F20"/>
    <w:rsid w:val="006A69BE"/>
    <w:rsid w:val="006A6E14"/>
    <w:rsid w:val="006A6FD1"/>
    <w:rsid w:val="006A7D82"/>
    <w:rsid w:val="006B2D94"/>
    <w:rsid w:val="006B30F0"/>
    <w:rsid w:val="006B345E"/>
    <w:rsid w:val="006B35C5"/>
    <w:rsid w:val="006B3A44"/>
    <w:rsid w:val="006B6CF9"/>
    <w:rsid w:val="006C1CB6"/>
    <w:rsid w:val="006C2320"/>
    <w:rsid w:val="006C24D2"/>
    <w:rsid w:val="006C2CE2"/>
    <w:rsid w:val="006C2D8F"/>
    <w:rsid w:val="006C3A09"/>
    <w:rsid w:val="006C3BE9"/>
    <w:rsid w:val="006C409A"/>
    <w:rsid w:val="006D3563"/>
    <w:rsid w:val="006D44C9"/>
    <w:rsid w:val="006D6084"/>
    <w:rsid w:val="006D7D82"/>
    <w:rsid w:val="006E0D69"/>
    <w:rsid w:val="006E0D8D"/>
    <w:rsid w:val="006E0F78"/>
    <w:rsid w:val="006E25AB"/>
    <w:rsid w:val="006E4C49"/>
    <w:rsid w:val="006E6BA4"/>
    <w:rsid w:val="006F0B87"/>
    <w:rsid w:val="006F0CFE"/>
    <w:rsid w:val="006F0E94"/>
    <w:rsid w:val="006F1E6A"/>
    <w:rsid w:val="006F3A0A"/>
    <w:rsid w:val="006F6B57"/>
    <w:rsid w:val="0070056E"/>
    <w:rsid w:val="0070198A"/>
    <w:rsid w:val="0070199D"/>
    <w:rsid w:val="00703439"/>
    <w:rsid w:val="007048F0"/>
    <w:rsid w:val="00713FF8"/>
    <w:rsid w:val="00714F60"/>
    <w:rsid w:val="00716DA7"/>
    <w:rsid w:val="00716F92"/>
    <w:rsid w:val="007211B9"/>
    <w:rsid w:val="00723632"/>
    <w:rsid w:val="00724310"/>
    <w:rsid w:val="00729C1D"/>
    <w:rsid w:val="00730FEA"/>
    <w:rsid w:val="00731A38"/>
    <w:rsid w:val="00734652"/>
    <w:rsid w:val="0073577C"/>
    <w:rsid w:val="00736774"/>
    <w:rsid w:val="00737860"/>
    <w:rsid w:val="00740057"/>
    <w:rsid w:val="00743746"/>
    <w:rsid w:val="00743BDA"/>
    <w:rsid w:val="007452EE"/>
    <w:rsid w:val="007453B8"/>
    <w:rsid w:val="007535BD"/>
    <w:rsid w:val="007535CB"/>
    <w:rsid w:val="0076001B"/>
    <w:rsid w:val="00761B42"/>
    <w:rsid w:val="007626E3"/>
    <w:rsid w:val="00762CD4"/>
    <w:rsid w:val="00762FDD"/>
    <w:rsid w:val="007631A5"/>
    <w:rsid w:val="00763880"/>
    <w:rsid w:val="00763C4F"/>
    <w:rsid w:val="00764D11"/>
    <w:rsid w:val="007673A7"/>
    <w:rsid w:val="00771971"/>
    <w:rsid w:val="007731BD"/>
    <w:rsid w:val="007732A2"/>
    <w:rsid w:val="00777383"/>
    <w:rsid w:val="007818D9"/>
    <w:rsid w:val="00781EFD"/>
    <w:rsid w:val="007849C8"/>
    <w:rsid w:val="007856AE"/>
    <w:rsid w:val="00787044"/>
    <w:rsid w:val="00792976"/>
    <w:rsid w:val="00792C42"/>
    <w:rsid w:val="00792EFC"/>
    <w:rsid w:val="00793172"/>
    <w:rsid w:val="007A08BA"/>
    <w:rsid w:val="007A2679"/>
    <w:rsid w:val="007A38B3"/>
    <w:rsid w:val="007A4C28"/>
    <w:rsid w:val="007A5A6C"/>
    <w:rsid w:val="007A7904"/>
    <w:rsid w:val="007A7D71"/>
    <w:rsid w:val="007B1F46"/>
    <w:rsid w:val="007B37C2"/>
    <w:rsid w:val="007B388E"/>
    <w:rsid w:val="007B4EAF"/>
    <w:rsid w:val="007B5297"/>
    <w:rsid w:val="007B76D8"/>
    <w:rsid w:val="007B7DDB"/>
    <w:rsid w:val="007C08C7"/>
    <w:rsid w:val="007C1573"/>
    <w:rsid w:val="007C1A61"/>
    <w:rsid w:val="007C2A1B"/>
    <w:rsid w:val="007C30AF"/>
    <w:rsid w:val="007C3192"/>
    <w:rsid w:val="007C3C4E"/>
    <w:rsid w:val="007C6111"/>
    <w:rsid w:val="007C73FA"/>
    <w:rsid w:val="007D04AD"/>
    <w:rsid w:val="007D0772"/>
    <w:rsid w:val="007D0AA7"/>
    <w:rsid w:val="007D1305"/>
    <w:rsid w:val="007D2B60"/>
    <w:rsid w:val="007D478B"/>
    <w:rsid w:val="007D4BC6"/>
    <w:rsid w:val="007D6DDA"/>
    <w:rsid w:val="007E0A1F"/>
    <w:rsid w:val="007E0CF2"/>
    <w:rsid w:val="007E21C9"/>
    <w:rsid w:val="007E30CC"/>
    <w:rsid w:val="007E3944"/>
    <w:rsid w:val="007E6AF5"/>
    <w:rsid w:val="007E6C32"/>
    <w:rsid w:val="007F2A37"/>
    <w:rsid w:val="007F4AAC"/>
    <w:rsid w:val="007F5FFF"/>
    <w:rsid w:val="007F6BE7"/>
    <w:rsid w:val="007F7ABE"/>
    <w:rsid w:val="0080066A"/>
    <w:rsid w:val="008021F5"/>
    <w:rsid w:val="00802CBD"/>
    <w:rsid w:val="0080724B"/>
    <w:rsid w:val="00810ED3"/>
    <w:rsid w:val="00812A96"/>
    <w:rsid w:val="00816B04"/>
    <w:rsid w:val="00816D87"/>
    <w:rsid w:val="00817F20"/>
    <w:rsid w:val="00820988"/>
    <w:rsid w:val="00825B89"/>
    <w:rsid w:val="008269C9"/>
    <w:rsid w:val="00826EAF"/>
    <w:rsid w:val="00830011"/>
    <w:rsid w:val="0083030E"/>
    <w:rsid w:val="00831D6B"/>
    <w:rsid w:val="008357F8"/>
    <w:rsid w:val="008362A6"/>
    <w:rsid w:val="008403A7"/>
    <w:rsid w:val="0084224D"/>
    <w:rsid w:val="00844421"/>
    <w:rsid w:val="008447CE"/>
    <w:rsid w:val="008451A3"/>
    <w:rsid w:val="00847AC8"/>
    <w:rsid w:val="00850051"/>
    <w:rsid w:val="0085080C"/>
    <w:rsid w:val="0085176C"/>
    <w:rsid w:val="00852E3C"/>
    <w:rsid w:val="00853AAC"/>
    <w:rsid w:val="008552F9"/>
    <w:rsid w:val="00855D51"/>
    <w:rsid w:val="00857239"/>
    <w:rsid w:val="00857B8A"/>
    <w:rsid w:val="00860980"/>
    <w:rsid w:val="00861D98"/>
    <w:rsid w:val="00862399"/>
    <w:rsid w:val="00863959"/>
    <w:rsid w:val="0086417D"/>
    <w:rsid w:val="0086534A"/>
    <w:rsid w:val="00865B50"/>
    <w:rsid w:val="00866D21"/>
    <w:rsid w:val="0087261C"/>
    <w:rsid w:val="00872DAE"/>
    <w:rsid w:val="00873720"/>
    <w:rsid w:val="008749DB"/>
    <w:rsid w:val="00877DA8"/>
    <w:rsid w:val="00877FB5"/>
    <w:rsid w:val="00882C7D"/>
    <w:rsid w:val="00884E68"/>
    <w:rsid w:val="00887C91"/>
    <w:rsid w:val="008927F5"/>
    <w:rsid w:val="00892AA1"/>
    <w:rsid w:val="00893D83"/>
    <w:rsid w:val="00895C36"/>
    <w:rsid w:val="008974EB"/>
    <w:rsid w:val="008A1A17"/>
    <w:rsid w:val="008A3FDB"/>
    <w:rsid w:val="008A6DCC"/>
    <w:rsid w:val="008A7002"/>
    <w:rsid w:val="008B2C66"/>
    <w:rsid w:val="008B674A"/>
    <w:rsid w:val="008B6E48"/>
    <w:rsid w:val="008B6F26"/>
    <w:rsid w:val="008C08D2"/>
    <w:rsid w:val="008C28F1"/>
    <w:rsid w:val="008C4A8C"/>
    <w:rsid w:val="008C4F00"/>
    <w:rsid w:val="008D27A7"/>
    <w:rsid w:val="008D4376"/>
    <w:rsid w:val="008D490D"/>
    <w:rsid w:val="008D78AF"/>
    <w:rsid w:val="008E3694"/>
    <w:rsid w:val="008E39FA"/>
    <w:rsid w:val="008E3F31"/>
    <w:rsid w:val="008E570F"/>
    <w:rsid w:val="008E5946"/>
    <w:rsid w:val="008F20B9"/>
    <w:rsid w:val="008F33EF"/>
    <w:rsid w:val="008F428D"/>
    <w:rsid w:val="008F44DB"/>
    <w:rsid w:val="008F600B"/>
    <w:rsid w:val="00900436"/>
    <w:rsid w:val="00901991"/>
    <w:rsid w:val="00903F9F"/>
    <w:rsid w:val="00910454"/>
    <w:rsid w:val="009105FF"/>
    <w:rsid w:val="00910CD8"/>
    <w:rsid w:val="00911626"/>
    <w:rsid w:val="0091396C"/>
    <w:rsid w:val="0091487F"/>
    <w:rsid w:val="00914BE5"/>
    <w:rsid w:val="00917E48"/>
    <w:rsid w:val="0092047A"/>
    <w:rsid w:val="00920A74"/>
    <w:rsid w:val="009214B8"/>
    <w:rsid w:val="00924979"/>
    <w:rsid w:val="00926437"/>
    <w:rsid w:val="00926D7B"/>
    <w:rsid w:val="009279D7"/>
    <w:rsid w:val="00930314"/>
    <w:rsid w:val="009307EF"/>
    <w:rsid w:val="009326C4"/>
    <w:rsid w:val="00932741"/>
    <w:rsid w:val="00933A89"/>
    <w:rsid w:val="00933AA3"/>
    <w:rsid w:val="00935062"/>
    <w:rsid w:val="0093547C"/>
    <w:rsid w:val="009356BC"/>
    <w:rsid w:val="00936921"/>
    <w:rsid w:val="00942AAC"/>
    <w:rsid w:val="00943459"/>
    <w:rsid w:val="00943D11"/>
    <w:rsid w:val="00943E1C"/>
    <w:rsid w:val="00945BAE"/>
    <w:rsid w:val="00945EB0"/>
    <w:rsid w:val="0094676D"/>
    <w:rsid w:val="00951A64"/>
    <w:rsid w:val="009530EF"/>
    <w:rsid w:val="00954713"/>
    <w:rsid w:val="009547E9"/>
    <w:rsid w:val="009554AD"/>
    <w:rsid w:val="009614AE"/>
    <w:rsid w:val="00961A35"/>
    <w:rsid w:val="00961C2B"/>
    <w:rsid w:val="0096397A"/>
    <w:rsid w:val="00965978"/>
    <w:rsid w:val="00967DAE"/>
    <w:rsid w:val="00967F9A"/>
    <w:rsid w:val="0097115F"/>
    <w:rsid w:val="0097333E"/>
    <w:rsid w:val="00973E57"/>
    <w:rsid w:val="00974334"/>
    <w:rsid w:val="00974407"/>
    <w:rsid w:val="00974F73"/>
    <w:rsid w:val="00976253"/>
    <w:rsid w:val="0097659C"/>
    <w:rsid w:val="00976BC4"/>
    <w:rsid w:val="00982A6C"/>
    <w:rsid w:val="009843AA"/>
    <w:rsid w:val="009870C8"/>
    <w:rsid w:val="009879EA"/>
    <w:rsid w:val="00987FB1"/>
    <w:rsid w:val="00990007"/>
    <w:rsid w:val="009902E5"/>
    <w:rsid w:val="009920AB"/>
    <w:rsid w:val="00992431"/>
    <w:rsid w:val="0099458C"/>
    <w:rsid w:val="009A008F"/>
    <w:rsid w:val="009A3AC6"/>
    <w:rsid w:val="009A3DAF"/>
    <w:rsid w:val="009A579D"/>
    <w:rsid w:val="009A6CB5"/>
    <w:rsid w:val="009B35F7"/>
    <w:rsid w:val="009B395B"/>
    <w:rsid w:val="009B3FB2"/>
    <w:rsid w:val="009B5C4F"/>
    <w:rsid w:val="009C08C3"/>
    <w:rsid w:val="009C124E"/>
    <w:rsid w:val="009C12AE"/>
    <w:rsid w:val="009C2710"/>
    <w:rsid w:val="009C2757"/>
    <w:rsid w:val="009C5DA6"/>
    <w:rsid w:val="009C6929"/>
    <w:rsid w:val="009C69CC"/>
    <w:rsid w:val="009C7FA7"/>
    <w:rsid w:val="009D1E0F"/>
    <w:rsid w:val="009D2626"/>
    <w:rsid w:val="009D5377"/>
    <w:rsid w:val="009D69C1"/>
    <w:rsid w:val="009E7B9E"/>
    <w:rsid w:val="009E7EB2"/>
    <w:rsid w:val="009E7FCB"/>
    <w:rsid w:val="009F0E27"/>
    <w:rsid w:val="009F15C3"/>
    <w:rsid w:val="009F261A"/>
    <w:rsid w:val="009F2E6C"/>
    <w:rsid w:val="009F2EFC"/>
    <w:rsid w:val="009F4577"/>
    <w:rsid w:val="009F457F"/>
    <w:rsid w:val="009F670A"/>
    <w:rsid w:val="00A018CC"/>
    <w:rsid w:val="00A01F37"/>
    <w:rsid w:val="00A026D8"/>
    <w:rsid w:val="00A02CD0"/>
    <w:rsid w:val="00A040DD"/>
    <w:rsid w:val="00A14B38"/>
    <w:rsid w:val="00A15CF0"/>
    <w:rsid w:val="00A204F8"/>
    <w:rsid w:val="00A215AE"/>
    <w:rsid w:val="00A230B9"/>
    <w:rsid w:val="00A23520"/>
    <w:rsid w:val="00A23AEC"/>
    <w:rsid w:val="00A25CA7"/>
    <w:rsid w:val="00A260CD"/>
    <w:rsid w:val="00A2625C"/>
    <w:rsid w:val="00A3017B"/>
    <w:rsid w:val="00A30981"/>
    <w:rsid w:val="00A30F32"/>
    <w:rsid w:val="00A333F3"/>
    <w:rsid w:val="00A3349A"/>
    <w:rsid w:val="00A34AD0"/>
    <w:rsid w:val="00A352A6"/>
    <w:rsid w:val="00A35A61"/>
    <w:rsid w:val="00A3791F"/>
    <w:rsid w:val="00A40953"/>
    <w:rsid w:val="00A41129"/>
    <w:rsid w:val="00A4244B"/>
    <w:rsid w:val="00A43698"/>
    <w:rsid w:val="00A44135"/>
    <w:rsid w:val="00A44E62"/>
    <w:rsid w:val="00A44EDF"/>
    <w:rsid w:val="00A45747"/>
    <w:rsid w:val="00A47E2A"/>
    <w:rsid w:val="00A5124A"/>
    <w:rsid w:val="00A52E30"/>
    <w:rsid w:val="00A52EDC"/>
    <w:rsid w:val="00A54782"/>
    <w:rsid w:val="00A56DFF"/>
    <w:rsid w:val="00A57571"/>
    <w:rsid w:val="00A60277"/>
    <w:rsid w:val="00A603C8"/>
    <w:rsid w:val="00A61F6F"/>
    <w:rsid w:val="00A62A0D"/>
    <w:rsid w:val="00A67CA3"/>
    <w:rsid w:val="00A71568"/>
    <w:rsid w:val="00A71889"/>
    <w:rsid w:val="00A72AA0"/>
    <w:rsid w:val="00A73FB4"/>
    <w:rsid w:val="00A76440"/>
    <w:rsid w:val="00A8025D"/>
    <w:rsid w:val="00A8113C"/>
    <w:rsid w:val="00A813FF"/>
    <w:rsid w:val="00A8279E"/>
    <w:rsid w:val="00A86E82"/>
    <w:rsid w:val="00A93EFA"/>
    <w:rsid w:val="00A940D3"/>
    <w:rsid w:val="00A94183"/>
    <w:rsid w:val="00A9476D"/>
    <w:rsid w:val="00AA0B1E"/>
    <w:rsid w:val="00AA16AE"/>
    <w:rsid w:val="00AA2140"/>
    <w:rsid w:val="00AA3310"/>
    <w:rsid w:val="00AA37ED"/>
    <w:rsid w:val="00AA3A3C"/>
    <w:rsid w:val="00AA4358"/>
    <w:rsid w:val="00AA4A6E"/>
    <w:rsid w:val="00AA4E27"/>
    <w:rsid w:val="00AA5B54"/>
    <w:rsid w:val="00AB0B22"/>
    <w:rsid w:val="00AB16AF"/>
    <w:rsid w:val="00AB402D"/>
    <w:rsid w:val="00AB44C2"/>
    <w:rsid w:val="00AB5D4C"/>
    <w:rsid w:val="00AB6FDD"/>
    <w:rsid w:val="00AC045D"/>
    <w:rsid w:val="00AC2E16"/>
    <w:rsid w:val="00AC61A3"/>
    <w:rsid w:val="00AC6A45"/>
    <w:rsid w:val="00AD064F"/>
    <w:rsid w:val="00AD0E40"/>
    <w:rsid w:val="00AD2FC6"/>
    <w:rsid w:val="00AD77CF"/>
    <w:rsid w:val="00AE0608"/>
    <w:rsid w:val="00AE187D"/>
    <w:rsid w:val="00AE2401"/>
    <w:rsid w:val="00AE2995"/>
    <w:rsid w:val="00AE390B"/>
    <w:rsid w:val="00AE5B28"/>
    <w:rsid w:val="00AE65FB"/>
    <w:rsid w:val="00AE7A1F"/>
    <w:rsid w:val="00AF1239"/>
    <w:rsid w:val="00AF2CC6"/>
    <w:rsid w:val="00AF3736"/>
    <w:rsid w:val="00AF3A74"/>
    <w:rsid w:val="00AF5429"/>
    <w:rsid w:val="00AF665B"/>
    <w:rsid w:val="00B012DC"/>
    <w:rsid w:val="00B0223C"/>
    <w:rsid w:val="00B028B4"/>
    <w:rsid w:val="00B02A96"/>
    <w:rsid w:val="00B034A4"/>
    <w:rsid w:val="00B03BFF"/>
    <w:rsid w:val="00B05037"/>
    <w:rsid w:val="00B0541F"/>
    <w:rsid w:val="00B0754B"/>
    <w:rsid w:val="00B075F7"/>
    <w:rsid w:val="00B07F52"/>
    <w:rsid w:val="00B1154A"/>
    <w:rsid w:val="00B13341"/>
    <w:rsid w:val="00B1448C"/>
    <w:rsid w:val="00B14DCE"/>
    <w:rsid w:val="00B15DAB"/>
    <w:rsid w:val="00B17587"/>
    <w:rsid w:val="00B17602"/>
    <w:rsid w:val="00B20AD6"/>
    <w:rsid w:val="00B235B0"/>
    <w:rsid w:val="00B240CA"/>
    <w:rsid w:val="00B26045"/>
    <w:rsid w:val="00B26EE0"/>
    <w:rsid w:val="00B305B0"/>
    <w:rsid w:val="00B30AD5"/>
    <w:rsid w:val="00B30E36"/>
    <w:rsid w:val="00B3287D"/>
    <w:rsid w:val="00B341F8"/>
    <w:rsid w:val="00B355A1"/>
    <w:rsid w:val="00B363D3"/>
    <w:rsid w:val="00B4260A"/>
    <w:rsid w:val="00B43058"/>
    <w:rsid w:val="00B43F53"/>
    <w:rsid w:val="00B45F89"/>
    <w:rsid w:val="00B517D4"/>
    <w:rsid w:val="00B5196E"/>
    <w:rsid w:val="00B5265B"/>
    <w:rsid w:val="00B53218"/>
    <w:rsid w:val="00B5604A"/>
    <w:rsid w:val="00B601F2"/>
    <w:rsid w:val="00B642CE"/>
    <w:rsid w:val="00B6610D"/>
    <w:rsid w:val="00B66C64"/>
    <w:rsid w:val="00B67CB8"/>
    <w:rsid w:val="00B743E2"/>
    <w:rsid w:val="00B76A06"/>
    <w:rsid w:val="00B807B7"/>
    <w:rsid w:val="00B8092B"/>
    <w:rsid w:val="00B82C6D"/>
    <w:rsid w:val="00B8408A"/>
    <w:rsid w:val="00B92C87"/>
    <w:rsid w:val="00B92D18"/>
    <w:rsid w:val="00B94C99"/>
    <w:rsid w:val="00B95F72"/>
    <w:rsid w:val="00B97BFA"/>
    <w:rsid w:val="00BA1CF9"/>
    <w:rsid w:val="00BA2FEF"/>
    <w:rsid w:val="00BA303B"/>
    <w:rsid w:val="00BA307C"/>
    <w:rsid w:val="00BA307E"/>
    <w:rsid w:val="00BA4A31"/>
    <w:rsid w:val="00BA5B58"/>
    <w:rsid w:val="00BA5DCC"/>
    <w:rsid w:val="00BA5FE5"/>
    <w:rsid w:val="00BA7415"/>
    <w:rsid w:val="00BB08F0"/>
    <w:rsid w:val="00BB4077"/>
    <w:rsid w:val="00BB4B21"/>
    <w:rsid w:val="00BB56A8"/>
    <w:rsid w:val="00BC0D08"/>
    <w:rsid w:val="00BC1757"/>
    <w:rsid w:val="00BC626F"/>
    <w:rsid w:val="00BC7A34"/>
    <w:rsid w:val="00BD1C51"/>
    <w:rsid w:val="00BD2CE0"/>
    <w:rsid w:val="00BD3927"/>
    <w:rsid w:val="00BD46B5"/>
    <w:rsid w:val="00BE16A8"/>
    <w:rsid w:val="00BE17B5"/>
    <w:rsid w:val="00BE508D"/>
    <w:rsid w:val="00BE5258"/>
    <w:rsid w:val="00BE5571"/>
    <w:rsid w:val="00BE5BEA"/>
    <w:rsid w:val="00BE6330"/>
    <w:rsid w:val="00BF0978"/>
    <w:rsid w:val="00BF2477"/>
    <w:rsid w:val="00BF2786"/>
    <w:rsid w:val="00BF28A6"/>
    <w:rsid w:val="00BF3D0F"/>
    <w:rsid w:val="00BF3DF8"/>
    <w:rsid w:val="00BF5AA5"/>
    <w:rsid w:val="00BF797F"/>
    <w:rsid w:val="00C00229"/>
    <w:rsid w:val="00C005B2"/>
    <w:rsid w:val="00C00BB2"/>
    <w:rsid w:val="00C0200E"/>
    <w:rsid w:val="00C029B9"/>
    <w:rsid w:val="00C02E66"/>
    <w:rsid w:val="00C04297"/>
    <w:rsid w:val="00C04675"/>
    <w:rsid w:val="00C06BE2"/>
    <w:rsid w:val="00C105E3"/>
    <w:rsid w:val="00C11148"/>
    <w:rsid w:val="00C112F0"/>
    <w:rsid w:val="00C117E9"/>
    <w:rsid w:val="00C11EB2"/>
    <w:rsid w:val="00C129AB"/>
    <w:rsid w:val="00C14BEF"/>
    <w:rsid w:val="00C179E8"/>
    <w:rsid w:val="00C21432"/>
    <w:rsid w:val="00C21F96"/>
    <w:rsid w:val="00C221A1"/>
    <w:rsid w:val="00C23721"/>
    <w:rsid w:val="00C2531E"/>
    <w:rsid w:val="00C2630B"/>
    <w:rsid w:val="00C30583"/>
    <w:rsid w:val="00C33899"/>
    <w:rsid w:val="00C33F0C"/>
    <w:rsid w:val="00C35CD5"/>
    <w:rsid w:val="00C36C07"/>
    <w:rsid w:val="00C36D48"/>
    <w:rsid w:val="00C43FFA"/>
    <w:rsid w:val="00C450E6"/>
    <w:rsid w:val="00C456C1"/>
    <w:rsid w:val="00C459FB"/>
    <w:rsid w:val="00C46C7A"/>
    <w:rsid w:val="00C53DD4"/>
    <w:rsid w:val="00C5456D"/>
    <w:rsid w:val="00C55896"/>
    <w:rsid w:val="00C56AF6"/>
    <w:rsid w:val="00C5796B"/>
    <w:rsid w:val="00C606BF"/>
    <w:rsid w:val="00C6176D"/>
    <w:rsid w:val="00C6262D"/>
    <w:rsid w:val="00C6306D"/>
    <w:rsid w:val="00C67E4C"/>
    <w:rsid w:val="00C70095"/>
    <w:rsid w:val="00C72489"/>
    <w:rsid w:val="00C7322D"/>
    <w:rsid w:val="00C7362D"/>
    <w:rsid w:val="00C73FBA"/>
    <w:rsid w:val="00C75608"/>
    <w:rsid w:val="00C75DD0"/>
    <w:rsid w:val="00C815C3"/>
    <w:rsid w:val="00C81E2A"/>
    <w:rsid w:val="00C8378E"/>
    <w:rsid w:val="00C839BB"/>
    <w:rsid w:val="00C848BA"/>
    <w:rsid w:val="00C91CAD"/>
    <w:rsid w:val="00C91E9B"/>
    <w:rsid w:val="00C9263D"/>
    <w:rsid w:val="00C961A1"/>
    <w:rsid w:val="00C962DA"/>
    <w:rsid w:val="00C96832"/>
    <w:rsid w:val="00CA3AF1"/>
    <w:rsid w:val="00CA4A75"/>
    <w:rsid w:val="00CA5292"/>
    <w:rsid w:val="00CA5889"/>
    <w:rsid w:val="00CA6C3C"/>
    <w:rsid w:val="00CB1DFC"/>
    <w:rsid w:val="00CB234F"/>
    <w:rsid w:val="00CB34D2"/>
    <w:rsid w:val="00CB5C93"/>
    <w:rsid w:val="00CC06F3"/>
    <w:rsid w:val="00CC0826"/>
    <w:rsid w:val="00CC2CEA"/>
    <w:rsid w:val="00CD6235"/>
    <w:rsid w:val="00CD7471"/>
    <w:rsid w:val="00CE02EB"/>
    <w:rsid w:val="00CE22C0"/>
    <w:rsid w:val="00CE3017"/>
    <w:rsid w:val="00CE354E"/>
    <w:rsid w:val="00CE3A16"/>
    <w:rsid w:val="00CE42A6"/>
    <w:rsid w:val="00CE48DD"/>
    <w:rsid w:val="00CE545E"/>
    <w:rsid w:val="00CE58C9"/>
    <w:rsid w:val="00CF4354"/>
    <w:rsid w:val="00D00281"/>
    <w:rsid w:val="00D002C1"/>
    <w:rsid w:val="00D01921"/>
    <w:rsid w:val="00D0216C"/>
    <w:rsid w:val="00D02D48"/>
    <w:rsid w:val="00D05A38"/>
    <w:rsid w:val="00D07324"/>
    <w:rsid w:val="00D07B59"/>
    <w:rsid w:val="00D10E58"/>
    <w:rsid w:val="00D117D8"/>
    <w:rsid w:val="00D12BA8"/>
    <w:rsid w:val="00D13223"/>
    <w:rsid w:val="00D15DD4"/>
    <w:rsid w:val="00D160AF"/>
    <w:rsid w:val="00D17604"/>
    <w:rsid w:val="00D20929"/>
    <w:rsid w:val="00D2443B"/>
    <w:rsid w:val="00D2650B"/>
    <w:rsid w:val="00D2730F"/>
    <w:rsid w:val="00D3131D"/>
    <w:rsid w:val="00D328FE"/>
    <w:rsid w:val="00D342C5"/>
    <w:rsid w:val="00D36E71"/>
    <w:rsid w:val="00D43F71"/>
    <w:rsid w:val="00D45CA9"/>
    <w:rsid w:val="00D47675"/>
    <w:rsid w:val="00D511E4"/>
    <w:rsid w:val="00D51AA9"/>
    <w:rsid w:val="00D545CF"/>
    <w:rsid w:val="00D54EC8"/>
    <w:rsid w:val="00D56443"/>
    <w:rsid w:val="00D5708C"/>
    <w:rsid w:val="00D57ADE"/>
    <w:rsid w:val="00D6110A"/>
    <w:rsid w:val="00D618A0"/>
    <w:rsid w:val="00D61B4F"/>
    <w:rsid w:val="00D61E0C"/>
    <w:rsid w:val="00D61FF3"/>
    <w:rsid w:val="00D620FA"/>
    <w:rsid w:val="00D625E0"/>
    <w:rsid w:val="00D64135"/>
    <w:rsid w:val="00D65ED7"/>
    <w:rsid w:val="00D6644F"/>
    <w:rsid w:val="00D67E3A"/>
    <w:rsid w:val="00D700B0"/>
    <w:rsid w:val="00D709FF"/>
    <w:rsid w:val="00D70DE1"/>
    <w:rsid w:val="00D73281"/>
    <w:rsid w:val="00D73B00"/>
    <w:rsid w:val="00D73B82"/>
    <w:rsid w:val="00D746A5"/>
    <w:rsid w:val="00D76DCB"/>
    <w:rsid w:val="00D77468"/>
    <w:rsid w:val="00D7791D"/>
    <w:rsid w:val="00D7795F"/>
    <w:rsid w:val="00D839A1"/>
    <w:rsid w:val="00D83A84"/>
    <w:rsid w:val="00D83EBE"/>
    <w:rsid w:val="00D84571"/>
    <w:rsid w:val="00D84A46"/>
    <w:rsid w:val="00D84BAA"/>
    <w:rsid w:val="00D85151"/>
    <w:rsid w:val="00D85924"/>
    <w:rsid w:val="00D85EBA"/>
    <w:rsid w:val="00D8618B"/>
    <w:rsid w:val="00D865EF"/>
    <w:rsid w:val="00D8690B"/>
    <w:rsid w:val="00D874C8"/>
    <w:rsid w:val="00D91604"/>
    <w:rsid w:val="00D92678"/>
    <w:rsid w:val="00D93363"/>
    <w:rsid w:val="00D97445"/>
    <w:rsid w:val="00DA1E00"/>
    <w:rsid w:val="00DA2355"/>
    <w:rsid w:val="00DA293A"/>
    <w:rsid w:val="00DA68F8"/>
    <w:rsid w:val="00DA71F3"/>
    <w:rsid w:val="00DB1213"/>
    <w:rsid w:val="00DB3CA7"/>
    <w:rsid w:val="00DB5247"/>
    <w:rsid w:val="00DC0243"/>
    <w:rsid w:val="00DC0639"/>
    <w:rsid w:val="00DC0D7B"/>
    <w:rsid w:val="00DC5A08"/>
    <w:rsid w:val="00DD1E6F"/>
    <w:rsid w:val="00DD3287"/>
    <w:rsid w:val="00DD6F72"/>
    <w:rsid w:val="00DE08F2"/>
    <w:rsid w:val="00DE0AB3"/>
    <w:rsid w:val="00DE2CA2"/>
    <w:rsid w:val="00DE35DD"/>
    <w:rsid w:val="00DE3752"/>
    <w:rsid w:val="00DE4E69"/>
    <w:rsid w:val="00E01269"/>
    <w:rsid w:val="00E0210C"/>
    <w:rsid w:val="00E02ADB"/>
    <w:rsid w:val="00E03AE6"/>
    <w:rsid w:val="00E04943"/>
    <w:rsid w:val="00E04F30"/>
    <w:rsid w:val="00E05388"/>
    <w:rsid w:val="00E05409"/>
    <w:rsid w:val="00E10197"/>
    <w:rsid w:val="00E10D55"/>
    <w:rsid w:val="00E113EA"/>
    <w:rsid w:val="00E118FB"/>
    <w:rsid w:val="00E13A34"/>
    <w:rsid w:val="00E146A7"/>
    <w:rsid w:val="00E162B8"/>
    <w:rsid w:val="00E17A61"/>
    <w:rsid w:val="00E17BEA"/>
    <w:rsid w:val="00E21256"/>
    <w:rsid w:val="00E21A2F"/>
    <w:rsid w:val="00E22C5D"/>
    <w:rsid w:val="00E22C68"/>
    <w:rsid w:val="00E23D27"/>
    <w:rsid w:val="00E248CD"/>
    <w:rsid w:val="00E24F6E"/>
    <w:rsid w:val="00E26264"/>
    <w:rsid w:val="00E27654"/>
    <w:rsid w:val="00E30FB6"/>
    <w:rsid w:val="00E318A6"/>
    <w:rsid w:val="00E336FB"/>
    <w:rsid w:val="00E35404"/>
    <w:rsid w:val="00E3679A"/>
    <w:rsid w:val="00E37922"/>
    <w:rsid w:val="00E37B85"/>
    <w:rsid w:val="00E43A9F"/>
    <w:rsid w:val="00E43BCD"/>
    <w:rsid w:val="00E43DB3"/>
    <w:rsid w:val="00E444C2"/>
    <w:rsid w:val="00E45A08"/>
    <w:rsid w:val="00E46280"/>
    <w:rsid w:val="00E47B42"/>
    <w:rsid w:val="00E47ECA"/>
    <w:rsid w:val="00E501B8"/>
    <w:rsid w:val="00E5191A"/>
    <w:rsid w:val="00E51A56"/>
    <w:rsid w:val="00E54AD0"/>
    <w:rsid w:val="00E552AF"/>
    <w:rsid w:val="00E5554D"/>
    <w:rsid w:val="00E60857"/>
    <w:rsid w:val="00E60F69"/>
    <w:rsid w:val="00E618B3"/>
    <w:rsid w:val="00E61F07"/>
    <w:rsid w:val="00E666B9"/>
    <w:rsid w:val="00E70DA8"/>
    <w:rsid w:val="00E71C7A"/>
    <w:rsid w:val="00E75AA4"/>
    <w:rsid w:val="00E77D9C"/>
    <w:rsid w:val="00E80F20"/>
    <w:rsid w:val="00E811B6"/>
    <w:rsid w:val="00E8128B"/>
    <w:rsid w:val="00E84ED3"/>
    <w:rsid w:val="00E85385"/>
    <w:rsid w:val="00E85C5C"/>
    <w:rsid w:val="00E86A80"/>
    <w:rsid w:val="00E87E25"/>
    <w:rsid w:val="00E908F5"/>
    <w:rsid w:val="00E90D87"/>
    <w:rsid w:val="00E91392"/>
    <w:rsid w:val="00E91F76"/>
    <w:rsid w:val="00E949AC"/>
    <w:rsid w:val="00EA0126"/>
    <w:rsid w:val="00EA1091"/>
    <w:rsid w:val="00EA4E03"/>
    <w:rsid w:val="00EA56B7"/>
    <w:rsid w:val="00EB0E98"/>
    <w:rsid w:val="00EB2FE8"/>
    <w:rsid w:val="00EB43DB"/>
    <w:rsid w:val="00EB49C5"/>
    <w:rsid w:val="00EB49DF"/>
    <w:rsid w:val="00EB4EBB"/>
    <w:rsid w:val="00EB646C"/>
    <w:rsid w:val="00EB6E9A"/>
    <w:rsid w:val="00EB7B54"/>
    <w:rsid w:val="00EC028F"/>
    <w:rsid w:val="00EC036E"/>
    <w:rsid w:val="00EC0B0E"/>
    <w:rsid w:val="00EC1A31"/>
    <w:rsid w:val="00EC2124"/>
    <w:rsid w:val="00EC23D6"/>
    <w:rsid w:val="00EC3480"/>
    <w:rsid w:val="00EC54CD"/>
    <w:rsid w:val="00EC56C9"/>
    <w:rsid w:val="00ED0E7E"/>
    <w:rsid w:val="00ED15D4"/>
    <w:rsid w:val="00ED202E"/>
    <w:rsid w:val="00ED48C8"/>
    <w:rsid w:val="00ED49F5"/>
    <w:rsid w:val="00ED4AC1"/>
    <w:rsid w:val="00ED5584"/>
    <w:rsid w:val="00EE0A3B"/>
    <w:rsid w:val="00EE204F"/>
    <w:rsid w:val="00EE31D3"/>
    <w:rsid w:val="00EE59F2"/>
    <w:rsid w:val="00EE6329"/>
    <w:rsid w:val="00EE7FFE"/>
    <w:rsid w:val="00EF0120"/>
    <w:rsid w:val="00EF0625"/>
    <w:rsid w:val="00EF13B9"/>
    <w:rsid w:val="00EF188B"/>
    <w:rsid w:val="00EF62C0"/>
    <w:rsid w:val="00F009E6"/>
    <w:rsid w:val="00F00AB7"/>
    <w:rsid w:val="00F0175A"/>
    <w:rsid w:val="00F102DF"/>
    <w:rsid w:val="00F10D1C"/>
    <w:rsid w:val="00F11C91"/>
    <w:rsid w:val="00F1252E"/>
    <w:rsid w:val="00F1296C"/>
    <w:rsid w:val="00F13F76"/>
    <w:rsid w:val="00F143F5"/>
    <w:rsid w:val="00F14D9A"/>
    <w:rsid w:val="00F155BB"/>
    <w:rsid w:val="00F17194"/>
    <w:rsid w:val="00F171DF"/>
    <w:rsid w:val="00F207F4"/>
    <w:rsid w:val="00F213F0"/>
    <w:rsid w:val="00F22088"/>
    <w:rsid w:val="00F223FA"/>
    <w:rsid w:val="00F227E7"/>
    <w:rsid w:val="00F244DE"/>
    <w:rsid w:val="00F24620"/>
    <w:rsid w:val="00F26FD9"/>
    <w:rsid w:val="00F315DA"/>
    <w:rsid w:val="00F31CEA"/>
    <w:rsid w:val="00F33245"/>
    <w:rsid w:val="00F33B52"/>
    <w:rsid w:val="00F358A9"/>
    <w:rsid w:val="00F362B8"/>
    <w:rsid w:val="00F40BC2"/>
    <w:rsid w:val="00F40D8A"/>
    <w:rsid w:val="00F414CD"/>
    <w:rsid w:val="00F42CD7"/>
    <w:rsid w:val="00F43C4C"/>
    <w:rsid w:val="00F46568"/>
    <w:rsid w:val="00F5047A"/>
    <w:rsid w:val="00F50B6E"/>
    <w:rsid w:val="00F55015"/>
    <w:rsid w:val="00F55AD3"/>
    <w:rsid w:val="00F55D52"/>
    <w:rsid w:val="00F570AB"/>
    <w:rsid w:val="00F6089F"/>
    <w:rsid w:val="00F627C9"/>
    <w:rsid w:val="00F65628"/>
    <w:rsid w:val="00F7020F"/>
    <w:rsid w:val="00F7089B"/>
    <w:rsid w:val="00F70BE6"/>
    <w:rsid w:val="00F71AF7"/>
    <w:rsid w:val="00F75BE9"/>
    <w:rsid w:val="00F8124A"/>
    <w:rsid w:val="00F820AF"/>
    <w:rsid w:val="00F87CD8"/>
    <w:rsid w:val="00F90532"/>
    <w:rsid w:val="00F908A2"/>
    <w:rsid w:val="00F90FCB"/>
    <w:rsid w:val="00F9125B"/>
    <w:rsid w:val="00F9413F"/>
    <w:rsid w:val="00F950B7"/>
    <w:rsid w:val="00F968B6"/>
    <w:rsid w:val="00FA2142"/>
    <w:rsid w:val="00FA5852"/>
    <w:rsid w:val="00FA592A"/>
    <w:rsid w:val="00FA6A47"/>
    <w:rsid w:val="00FA7A8F"/>
    <w:rsid w:val="00FB0462"/>
    <w:rsid w:val="00FB07A8"/>
    <w:rsid w:val="00FB190B"/>
    <w:rsid w:val="00FB3384"/>
    <w:rsid w:val="00FB3669"/>
    <w:rsid w:val="00FB38C0"/>
    <w:rsid w:val="00FB5092"/>
    <w:rsid w:val="00FB5C8F"/>
    <w:rsid w:val="00FB7E48"/>
    <w:rsid w:val="00FC11CC"/>
    <w:rsid w:val="00FC38D5"/>
    <w:rsid w:val="00FC39C1"/>
    <w:rsid w:val="00FC5756"/>
    <w:rsid w:val="00FD4A91"/>
    <w:rsid w:val="00FD4F77"/>
    <w:rsid w:val="00FD558B"/>
    <w:rsid w:val="00FD7BFE"/>
    <w:rsid w:val="00FE01DC"/>
    <w:rsid w:val="00FE0300"/>
    <w:rsid w:val="00FE1E30"/>
    <w:rsid w:val="00FE2483"/>
    <w:rsid w:val="00FE5B49"/>
    <w:rsid w:val="00FE6295"/>
    <w:rsid w:val="00FE7C42"/>
    <w:rsid w:val="00FF17FB"/>
    <w:rsid w:val="00FF2226"/>
    <w:rsid w:val="00FF2483"/>
    <w:rsid w:val="00FF53CA"/>
    <w:rsid w:val="00FF71FE"/>
    <w:rsid w:val="00FF79BA"/>
    <w:rsid w:val="016597B2"/>
    <w:rsid w:val="03147200"/>
    <w:rsid w:val="0402413E"/>
    <w:rsid w:val="0478EF32"/>
    <w:rsid w:val="0488AD44"/>
    <w:rsid w:val="0491306B"/>
    <w:rsid w:val="04D49469"/>
    <w:rsid w:val="05489016"/>
    <w:rsid w:val="06F27BA9"/>
    <w:rsid w:val="07BF6727"/>
    <w:rsid w:val="091B8623"/>
    <w:rsid w:val="0A95F65E"/>
    <w:rsid w:val="0AD29081"/>
    <w:rsid w:val="0C27E7FC"/>
    <w:rsid w:val="0D10F24F"/>
    <w:rsid w:val="0D35DE04"/>
    <w:rsid w:val="0E3DC5A4"/>
    <w:rsid w:val="0F13E89C"/>
    <w:rsid w:val="0FF81D0D"/>
    <w:rsid w:val="1083A6EB"/>
    <w:rsid w:val="1276289E"/>
    <w:rsid w:val="12D2C207"/>
    <w:rsid w:val="13B6309A"/>
    <w:rsid w:val="14C2B9F2"/>
    <w:rsid w:val="151ED908"/>
    <w:rsid w:val="1597B89C"/>
    <w:rsid w:val="15E0F802"/>
    <w:rsid w:val="182BC7F6"/>
    <w:rsid w:val="185F28D6"/>
    <w:rsid w:val="1897D2A8"/>
    <w:rsid w:val="19855668"/>
    <w:rsid w:val="19C0FC33"/>
    <w:rsid w:val="19D3417C"/>
    <w:rsid w:val="1A5ED8FD"/>
    <w:rsid w:val="1BAC05AA"/>
    <w:rsid w:val="1CFC4F50"/>
    <w:rsid w:val="1D2FBE28"/>
    <w:rsid w:val="203F02A9"/>
    <w:rsid w:val="207078BE"/>
    <w:rsid w:val="20F68562"/>
    <w:rsid w:val="21FD5452"/>
    <w:rsid w:val="22A8EB8D"/>
    <w:rsid w:val="22B9C016"/>
    <w:rsid w:val="232E93CB"/>
    <w:rsid w:val="2342B6B6"/>
    <w:rsid w:val="2357001B"/>
    <w:rsid w:val="24BE4152"/>
    <w:rsid w:val="2555EFB2"/>
    <w:rsid w:val="2558F9C7"/>
    <w:rsid w:val="26257D88"/>
    <w:rsid w:val="26279F05"/>
    <w:rsid w:val="2672376B"/>
    <w:rsid w:val="26D308B6"/>
    <w:rsid w:val="2749BB74"/>
    <w:rsid w:val="28C99619"/>
    <w:rsid w:val="28CF4B61"/>
    <w:rsid w:val="29B18BE8"/>
    <w:rsid w:val="29EF6831"/>
    <w:rsid w:val="2A8434A6"/>
    <w:rsid w:val="2B115FA7"/>
    <w:rsid w:val="2B6D226D"/>
    <w:rsid w:val="2C297F51"/>
    <w:rsid w:val="2C54DDDE"/>
    <w:rsid w:val="2D6EC730"/>
    <w:rsid w:val="2DC658AD"/>
    <w:rsid w:val="2F71FFBD"/>
    <w:rsid w:val="307C6EE6"/>
    <w:rsid w:val="329BF63B"/>
    <w:rsid w:val="332DA7C8"/>
    <w:rsid w:val="33409B80"/>
    <w:rsid w:val="34095433"/>
    <w:rsid w:val="342CF022"/>
    <w:rsid w:val="34CB68F9"/>
    <w:rsid w:val="35B35630"/>
    <w:rsid w:val="35E13BEA"/>
    <w:rsid w:val="37A8E352"/>
    <w:rsid w:val="38356AD4"/>
    <w:rsid w:val="3A16EEA7"/>
    <w:rsid w:val="3A9C5AE9"/>
    <w:rsid w:val="3B936FD4"/>
    <w:rsid w:val="3B96738A"/>
    <w:rsid w:val="3BC04BE2"/>
    <w:rsid w:val="3BC24119"/>
    <w:rsid w:val="3C14E57C"/>
    <w:rsid w:val="3D8A05BD"/>
    <w:rsid w:val="3E5B77C3"/>
    <w:rsid w:val="403BFE64"/>
    <w:rsid w:val="409EA3FD"/>
    <w:rsid w:val="40B3F4D1"/>
    <w:rsid w:val="40EC358A"/>
    <w:rsid w:val="42E0BF46"/>
    <w:rsid w:val="430FCD88"/>
    <w:rsid w:val="464F1FE2"/>
    <w:rsid w:val="4700BFC4"/>
    <w:rsid w:val="47CA8EE6"/>
    <w:rsid w:val="48A3D706"/>
    <w:rsid w:val="48E5C150"/>
    <w:rsid w:val="491783BD"/>
    <w:rsid w:val="4B578E5A"/>
    <w:rsid w:val="4D01F419"/>
    <w:rsid w:val="4F35E87A"/>
    <w:rsid w:val="4F90CF74"/>
    <w:rsid w:val="504D37EC"/>
    <w:rsid w:val="50641E75"/>
    <w:rsid w:val="51286EA3"/>
    <w:rsid w:val="5151FD07"/>
    <w:rsid w:val="515D7011"/>
    <w:rsid w:val="527F8DD6"/>
    <w:rsid w:val="52CCC294"/>
    <w:rsid w:val="52F3FE52"/>
    <w:rsid w:val="53380116"/>
    <w:rsid w:val="538D6B19"/>
    <w:rsid w:val="53EDC0AC"/>
    <w:rsid w:val="5417E031"/>
    <w:rsid w:val="5525D400"/>
    <w:rsid w:val="55D96E94"/>
    <w:rsid w:val="56019D4A"/>
    <w:rsid w:val="561B94EB"/>
    <w:rsid w:val="57DC6029"/>
    <w:rsid w:val="57FA1DD2"/>
    <w:rsid w:val="5820A730"/>
    <w:rsid w:val="586922C4"/>
    <w:rsid w:val="588D11C2"/>
    <w:rsid w:val="58DCBA86"/>
    <w:rsid w:val="5997F394"/>
    <w:rsid w:val="59C5A26F"/>
    <w:rsid w:val="5AC0CCE0"/>
    <w:rsid w:val="5E9D3D3E"/>
    <w:rsid w:val="5EE3DD6B"/>
    <w:rsid w:val="5FC1DA8B"/>
    <w:rsid w:val="604635E5"/>
    <w:rsid w:val="608A9296"/>
    <w:rsid w:val="61AD5272"/>
    <w:rsid w:val="61C77E1C"/>
    <w:rsid w:val="622E96C9"/>
    <w:rsid w:val="62640D20"/>
    <w:rsid w:val="637B3805"/>
    <w:rsid w:val="64128932"/>
    <w:rsid w:val="64F1B684"/>
    <w:rsid w:val="65E91EA4"/>
    <w:rsid w:val="6696D099"/>
    <w:rsid w:val="686296F2"/>
    <w:rsid w:val="68679209"/>
    <w:rsid w:val="687808A5"/>
    <w:rsid w:val="6974B9D7"/>
    <w:rsid w:val="6A36D25B"/>
    <w:rsid w:val="6AB41994"/>
    <w:rsid w:val="6B978C84"/>
    <w:rsid w:val="6BB8493F"/>
    <w:rsid w:val="6CD31427"/>
    <w:rsid w:val="6D07A018"/>
    <w:rsid w:val="6D382236"/>
    <w:rsid w:val="6DB96A76"/>
    <w:rsid w:val="6EA08E55"/>
    <w:rsid w:val="6F9AB6B1"/>
    <w:rsid w:val="708A8903"/>
    <w:rsid w:val="709CEA67"/>
    <w:rsid w:val="716DD664"/>
    <w:rsid w:val="72CA4E1B"/>
    <w:rsid w:val="736FC64F"/>
    <w:rsid w:val="74492BFC"/>
    <w:rsid w:val="746C10A1"/>
    <w:rsid w:val="75398468"/>
    <w:rsid w:val="75852777"/>
    <w:rsid w:val="76BC1F17"/>
    <w:rsid w:val="76CBCCFC"/>
    <w:rsid w:val="76EA2B32"/>
    <w:rsid w:val="786FEE40"/>
    <w:rsid w:val="78C1C8A4"/>
    <w:rsid w:val="795BFE29"/>
    <w:rsid w:val="7AEB5106"/>
    <w:rsid w:val="7B30F2E2"/>
    <w:rsid w:val="7B3525C5"/>
    <w:rsid w:val="7BC26118"/>
    <w:rsid w:val="7C1AB040"/>
    <w:rsid w:val="7CD6C74D"/>
    <w:rsid w:val="7E6823F4"/>
    <w:rsid w:val="7E7A2CCB"/>
    <w:rsid w:val="7EA26493"/>
    <w:rsid w:val="7EBEDC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B2B809"/>
  <w15:docId w15:val="{B79EF33F-EEA6-4071-BB1A-B77A6D84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5CF6"/>
    <w:pPr>
      <w:jc w:val="both"/>
    </w:pPr>
    <w:rPr>
      <w:rFonts w:ascii="Arial" w:hAnsi="Arial" w:cs="Arial"/>
      <w:color w:val="000000" w:themeColor="text1"/>
    </w:rPr>
  </w:style>
  <w:style w:type="paragraph" w:styleId="Heading1">
    <w:name w:val="heading 1"/>
    <w:aliases w:val="ITEM"/>
    <w:basedOn w:val="Normal"/>
    <w:next w:val="Normal"/>
    <w:qFormat/>
    <w:rsid w:val="0018131B"/>
    <w:pPr>
      <w:keepNext/>
      <w:spacing w:before="240" w:after="60"/>
      <w:outlineLvl w:val="0"/>
    </w:pPr>
    <w:rPr>
      <w:b/>
      <w:bCs/>
      <w:kern w:val="32"/>
      <w:sz w:val="32"/>
      <w:szCs w:val="32"/>
    </w:rPr>
  </w:style>
  <w:style w:type="paragraph" w:styleId="Heading2">
    <w:name w:val="heading 2"/>
    <w:basedOn w:val="Normal"/>
    <w:next w:val="Normal"/>
    <w:qFormat/>
    <w:rsid w:val="00F11C91"/>
    <w:pPr>
      <w:keepNext/>
      <w:outlineLvl w:val="1"/>
    </w:pPr>
    <w:rPr>
      <w:color w:val="6586A4"/>
    </w:rPr>
  </w:style>
  <w:style w:type="paragraph" w:styleId="Heading3">
    <w:name w:val="heading 3"/>
    <w:aliases w:val="Overview"/>
    <w:basedOn w:val="Normal"/>
    <w:next w:val="Normal"/>
    <w:link w:val="Heading3Char"/>
    <w:unhideWhenUsed/>
    <w:qFormat/>
    <w:rsid w:val="00D620FA"/>
    <w:pPr>
      <w:keepNext/>
      <w:keepLines/>
      <w:spacing w:before="40"/>
      <w:outlineLvl w:val="2"/>
    </w:pPr>
    <w:rPr>
      <w:rFonts w:eastAsiaTheme="majorEastAsia"/>
      <w:b/>
      <w:bCs/>
      <w:color w:val="6586A4"/>
      <w:sz w:val="22"/>
      <w:szCs w:val="22"/>
    </w:rPr>
  </w:style>
  <w:style w:type="paragraph" w:styleId="Heading4">
    <w:name w:val="heading 4"/>
    <w:aliases w:val="ITALICS"/>
    <w:basedOn w:val="NormalWeb"/>
    <w:next w:val="Normal"/>
    <w:link w:val="Heading4Char"/>
    <w:unhideWhenUsed/>
    <w:qFormat/>
    <w:rsid w:val="00E80F20"/>
    <w:pPr>
      <w:outlineLvl w:val="3"/>
    </w:pPr>
    <w:rPr>
      <w:rFonts w:ascii="Arial" w:hAnsi="Arial"/>
      <w:color w:val="6586A4"/>
      <w:sz w:val="20"/>
      <w:szCs w:val="20"/>
    </w:rPr>
  </w:style>
  <w:style w:type="paragraph" w:styleId="Heading5">
    <w:name w:val="heading 5"/>
    <w:basedOn w:val="Normal"/>
    <w:next w:val="Normal"/>
    <w:link w:val="Heading5Char"/>
    <w:unhideWhenUsed/>
    <w:qFormat/>
    <w:rsid w:val="008749DB"/>
    <w:pPr>
      <w:keepNext/>
      <w:keepLines/>
      <w:spacing w:before="40"/>
      <w:outlineLvl w:val="4"/>
    </w:pPr>
    <w:rPr>
      <w:rFonts w:eastAsiaTheme="majorEastAsia"/>
      <w:color w:val="6586A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E39FA"/>
    <w:rPr>
      <w:color w:val="0000FF"/>
      <w:u w:val="single"/>
    </w:rPr>
  </w:style>
  <w:style w:type="paragraph" w:customStyle="1" w:styleId="Default">
    <w:name w:val="Default"/>
    <w:rsid w:val="008E39FA"/>
    <w:pPr>
      <w:autoSpaceDE w:val="0"/>
      <w:autoSpaceDN w:val="0"/>
      <w:adjustRightInd w:val="0"/>
    </w:pPr>
    <w:rPr>
      <w:color w:val="000000"/>
      <w:sz w:val="24"/>
      <w:szCs w:val="24"/>
    </w:rPr>
  </w:style>
  <w:style w:type="paragraph" w:customStyle="1" w:styleId="CM78">
    <w:name w:val="CM78"/>
    <w:basedOn w:val="Default"/>
    <w:next w:val="Default"/>
    <w:rsid w:val="004D7942"/>
    <w:pPr>
      <w:spacing w:line="553" w:lineRule="atLeast"/>
    </w:pPr>
    <w:rPr>
      <w:color w:val="auto"/>
    </w:rPr>
  </w:style>
  <w:style w:type="paragraph" w:customStyle="1" w:styleId="CM176">
    <w:name w:val="CM176"/>
    <w:basedOn w:val="Default"/>
    <w:next w:val="Default"/>
    <w:rsid w:val="008D4376"/>
    <w:rPr>
      <w:color w:val="auto"/>
    </w:rPr>
  </w:style>
  <w:style w:type="paragraph" w:styleId="TOC1">
    <w:name w:val="toc 1"/>
    <w:basedOn w:val="Normal"/>
    <w:next w:val="Normal"/>
    <w:autoRedefine/>
    <w:uiPriority w:val="39"/>
    <w:rsid w:val="00051F1C"/>
    <w:pPr>
      <w:tabs>
        <w:tab w:val="right" w:leader="dot" w:pos="9720"/>
      </w:tabs>
      <w:spacing w:before="120"/>
      <w:ind w:left="360" w:right="360"/>
      <w:jc w:val="left"/>
    </w:pPr>
  </w:style>
  <w:style w:type="paragraph" w:customStyle="1" w:styleId="CM82">
    <w:name w:val="CM82"/>
    <w:basedOn w:val="Default"/>
    <w:next w:val="Default"/>
    <w:rsid w:val="00083B01"/>
    <w:pPr>
      <w:spacing w:line="553" w:lineRule="atLeast"/>
    </w:pPr>
    <w:rPr>
      <w:color w:val="auto"/>
    </w:rPr>
  </w:style>
  <w:style w:type="paragraph" w:customStyle="1" w:styleId="CM60">
    <w:name w:val="CM60"/>
    <w:basedOn w:val="Default"/>
    <w:next w:val="Default"/>
    <w:rsid w:val="00B075F7"/>
    <w:pPr>
      <w:spacing w:line="553" w:lineRule="atLeast"/>
    </w:pPr>
    <w:rPr>
      <w:color w:val="auto"/>
    </w:rPr>
  </w:style>
  <w:style w:type="paragraph" w:styleId="BodyText2">
    <w:name w:val="Body Text 2"/>
    <w:basedOn w:val="Normal"/>
    <w:rsid w:val="00A4244B"/>
    <w:pPr>
      <w:widowControl w:val="0"/>
    </w:pPr>
  </w:style>
  <w:style w:type="paragraph" w:styleId="Header">
    <w:name w:val="header"/>
    <w:basedOn w:val="Normal"/>
    <w:link w:val="HeaderChar"/>
    <w:rsid w:val="009870C8"/>
    <w:pPr>
      <w:widowControl w:val="0"/>
      <w:tabs>
        <w:tab w:val="center" w:pos="4320"/>
        <w:tab w:val="right" w:pos="8640"/>
      </w:tabs>
    </w:pPr>
  </w:style>
  <w:style w:type="paragraph" w:customStyle="1" w:styleId="CM148">
    <w:name w:val="CM148"/>
    <w:basedOn w:val="Default"/>
    <w:next w:val="Default"/>
    <w:rsid w:val="00A204F8"/>
    <w:pPr>
      <w:spacing w:line="231" w:lineRule="atLeast"/>
    </w:pPr>
    <w:rPr>
      <w:color w:val="auto"/>
    </w:rPr>
  </w:style>
  <w:style w:type="paragraph" w:styleId="TOC2">
    <w:name w:val="toc 2"/>
    <w:basedOn w:val="Normal"/>
    <w:next w:val="Normal"/>
    <w:autoRedefine/>
    <w:uiPriority w:val="39"/>
    <w:rsid w:val="005D227C"/>
    <w:pPr>
      <w:ind w:left="240"/>
    </w:pPr>
  </w:style>
  <w:style w:type="paragraph" w:styleId="Footer">
    <w:name w:val="footer"/>
    <w:basedOn w:val="Normal"/>
    <w:link w:val="FooterChar"/>
    <w:uiPriority w:val="99"/>
    <w:rsid w:val="00682A16"/>
    <w:pPr>
      <w:tabs>
        <w:tab w:val="center" w:pos="4320"/>
        <w:tab w:val="right" w:pos="8640"/>
      </w:tabs>
    </w:pPr>
  </w:style>
  <w:style w:type="character" w:styleId="PageNumber">
    <w:name w:val="page number"/>
    <w:basedOn w:val="DefaultParagraphFont"/>
    <w:rsid w:val="00682A16"/>
  </w:style>
  <w:style w:type="paragraph" w:styleId="BalloonText">
    <w:name w:val="Balloon Text"/>
    <w:basedOn w:val="Normal"/>
    <w:link w:val="BalloonTextChar"/>
    <w:rsid w:val="001A3FBE"/>
    <w:rPr>
      <w:rFonts w:ascii="Tahoma" w:hAnsi="Tahoma" w:cs="Tahoma"/>
      <w:sz w:val="16"/>
      <w:szCs w:val="16"/>
    </w:rPr>
  </w:style>
  <w:style w:type="character" w:customStyle="1" w:styleId="BalloonTextChar">
    <w:name w:val="Balloon Text Char"/>
    <w:basedOn w:val="DefaultParagraphFont"/>
    <w:link w:val="BalloonText"/>
    <w:rsid w:val="001A3FBE"/>
    <w:rPr>
      <w:rFonts w:ascii="Tahoma" w:hAnsi="Tahoma" w:cs="Tahoma"/>
      <w:sz w:val="16"/>
      <w:szCs w:val="16"/>
    </w:rPr>
  </w:style>
  <w:style w:type="character" w:customStyle="1" w:styleId="companyname">
    <w:name w:val="companyname"/>
    <w:basedOn w:val="DefaultParagraphFont"/>
    <w:rsid w:val="00E60F69"/>
  </w:style>
  <w:style w:type="paragraph" w:customStyle="1" w:styleId="ATitle">
    <w:name w:val="A Title"/>
    <w:basedOn w:val="Normal"/>
    <w:rsid w:val="00695538"/>
    <w:pPr>
      <w:jc w:val="center"/>
    </w:pPr>
    <w:rPr>
      <w:b/>
      <w:color w:val="808080" w:themeColor="background1" w:themeShade="80"/>
      <w:sz w:val="40"/>
      <w:szCs w:val="40"/>
    </w:rPr>
  </w:style>
  <w:style w:type="paragraph" w:customStyle="1" w:styleId="Paragraph">
    <w:name w:val="Paragraph"/>
    <w:basedOn w:val="Normal"/>
    <w:qFormat/>
    <w:rsid w:val="00365E5F"/>
    <w:rPr>
      <w:rFonts w:eastAsia="Arial"/>
      <w:b/>
      <w:bCs/>
      <w:color w:val="6586A4"/>
    </w:rPr>
  </w:style>
  <w:style w:type="paragraph" w:customStyle="1" w:styleId="Item">
    <w:name w:val="Item #"/>
    <w:basedOn w:val="Heading1"/>
    <w:rsid w:val="0085080C"/>
    <w:pPr>
      <w:spacing w:before="0" w:after="0"/>
    </w:pPr>
    <w:rPr>
      <w:color w:val="000000"/>
      <w:sz w:val="22"/>
      <w:szCs w:val="22"/>
    </w:rPr>
  </w:style>
  <w:style w:type="paragraph" w:customStyle="1" w:styleId="ATOC">
    <w:name w:val="A TOC"/>
    <w:rsid w:val="00D2443B"/>
    <w:pPr>
      <w:tabs>
        <w:tab w:val="right" w:leader="dot" w:pos="9466"/>
      </w:tabs>
    </w:pPr>
    <w:rPr>
      <w:rFonts w:ascii="Arial" w:hAnsi="Arial" w:cs="Arial"/>
    </w:rPr>
  </w:style>
  <w:style w:type="paragraph" w:customStyle="1" w:styleId="Bullets">
    <w:name w:val="Bullets"/>
    <w:basedOn w:val="Paragraph"/>
    <w:qFormat/>
    <w:rsid w:val="00B30E36"/>
    <w:pPr>
      <w:numPr>
        <w:numId w:val="17"/>
      </w:numPr>
      <w:autoSpaceDE w:val="0"/>
      <w:autoSpaceDN w:val="0"/>
      <w:adjustRightInd w:val="0"/>
      <w:ind w:right="360"/>
    </w:pPr>
    <w:rPr>
      <w:b w:val="0"/>
      <w:bCs w:val="0"/>
      <w:color w:val="000000" w:themeColor="text1"/>
    </w:rPr>
  </w:style>
  <w:style w:type="paragraph" w:customStyle="1" w:styleId="ASubhead2">
    <w:name w:val="A Subhead 2"/>
    <w:basedOn w:val="Normal"/>
    <w:qFormat/>
    <w:rsid w:val="00F5047A"/>
    <w:pPr>
      <w:spacing w:after="100"/>
    </w:pPr>
    <w:rPr>
      <w:b/>
    </w:rPr>
  </w:style>
  <w:style w:type="paragraph" w:customStyle="1" w:styleId="ATableSubhead">
    <w:name w:val="A Table Subhead"/>
    <w:basedOn w:val="Normal"/>
    <w:rsid w:val="006614FF"/>
    <w:pPr>
      <w:tabs>
        <w:tab w:val="left" w:pos="5400"/>
        <w:tab w:val="right" w:pos="8640"/>
      </w:tabs>
    </w:pPr>
    <w:rPr>
      <w:b/>
      <w:color w:val="6586A4"/>
    </w:rPr>
  </w:style>
  <w:style w:type="paragraph" w:customStyle="1" w:styleId="AAsteriskText">
    <w:name w:val="A Asterisk Text"/>
    <w:basedOn w:val="Paragraph"/>
    <w:rsid w:val="00695538"/>
    <w:pPr>
      <w:numPr>
        <w:numId w:val="18"/>
      </w:numPr>
      <w:ind w:left="180" w:hanging="180"/>
    </w:pPr>
    <w:rPr>
      <w:sz w:val="16"/>
      <w:szCs w:val="16"/>
    </w:rPr>
  </w:style>
  <w:style w:type="character" w:styleId="FollowedHyperlink">
    <w:name w:val="FollowedHyperlink"/>
    <w:basedOn w:val="DefaultParagraphFont"/>
    <w:rsid w:val="00603C20"/>
    <w:rPr>
      <w:color w:val="800080" w:themeColor="followedHyperlink"/>
      <w:u w:val="single"/>
    </w:rPr>
  </w:style>
  <w:style w:type="paragraph" w:styleId="TOCHeading">
    <w:name w:val="TOC Heading"/>
    <w:basedOn w:val="Heading1"/>
    <w:next w:val="Normal"/>
    <w:uiPriority w:val="39"/>
    <w:unhideWhenUsed/>
    <w:qFormat/>
    <w:rsid w:val="002A662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customStyle="1" w:styleId="HeaderChar">
    <w:name w:val="Header Char"/>
    <w:basedOn w:val="DefaultParagraphFont"/>
    <w:link w:val="Header"/>
    <w:rsid w:val="00183229"/>
  </w:style>
  <w:style w:type="character" w:styleId="CommentReference">
    <w:name w:val="annotation reference"/>
    <w:basedOn w:val="DefaultParagraphFont"/>
    <w:uiPriority w:val="99"/>
    <w:unhideWhenUsed/>
    <w:rsid w:val="00183229"/>
    <w:rPr>
      <w:sz w:val="16"/>
      <w:szCs w:val="16"/>
    </w:rPr>
  </w:style>
  <w:style w:type="paragraph" w:styleId="CommentText">
    <w:name w:val="annotation text"/>
    <w:basedOn w:val="Normal"/>
    <w:link w:val="CommentTextChar"/>
    <w:uiPriority w:val="99"/>
    <w:unhideWhenUsed/>
    <w:rsid w:val="00183229"/>
  </w:style>
  <w:style w:type="character" w:customStyle="1" w:styleId="CommentTextChar">
    <w:name w:val="Comment Text Char"/>
    <w:basedOn w:val="DefaultParagraphFont"/>
    <w:link w:val="CommentText"/>
    <w:uiPriority w:val="99"/>
    <w:rsid w:val="00183229"/>
  </w:style>
  <w:style w:type="paragraph" w:styleId="CommentSubject">
    <w:name w:val="annotation subject"/>
    <w:basedOn w:val="CommentText"/>
    <w:next w:val="CommentText"/>
    <w:link w:val="CommentSubjectChar"/>
    <w:rsid w:val="001C6642"/>
    <w:rPr>
      <w:b/>
      <w:bCs/>
    </w:rPr>
  </w:style>
  <w:style w:type="character" w:customStyle="1" w:styleId="CommentSubjectChar">
    <w:name w:val="Comment Subject Char"/>
    <w:basedOn w:val="CommentTextChar"/>
    <w:link w:val="CommentSubject"/>
    <w:rsid w:val="001C6642"/>
    <w:rPr>
      <w:b/>
      <w:bCs/>
    </w:rPr>
  </w:style>
  <w:style w:type="paragraph" w:styleId="ListParagraph">
    <w:name w:val="List Paragraph"/>
    <w:basedOn w:val="Normal"/>
    <w:uiPriority w:val="34"/>
    <w:qFormat/>
    <w:rsid w:val="00F22088"/>
    <w:pPr>
      <w:ind w:left="720"/>
      <w:contextualSpacing/>
    </w:pPr>
  </w:style>
  <w:style w:type="paragraph" w:styleId="Revision">
    <w:name w:val="Revision"/>
    <w:hidden/>
    <w:uiPriority w:val="99"/>
    <w:semiHidden/>
    <w:rsid w:val="00EE0A3B"/>
    <w:rPr>
      <w:sz w:val="24"/>
      <w:szCs w:val="24"/>
    </w:rPr>
  </w:style>
  <w:style w:type="character" w:customStyle="1" w:styleId="printhistred">
    <w:name w:val="printhistred"/>
    <w:basedOn w:val="DefaultParagraphFont"/>
    <w:rsid w:val="002F4132"/>
  </w:style>
  <w:style w:type="character" w:styleId="UnresolvedMention">
    <w:name w:val="Unresolved Mention"/>
    <w:basedOn w:val="DefaultParagraphFont"/>
    <w:uiPriority w:val="99"/>
    <w:semiHidden/>
    <w:unhideWhenUsed/>
    <w:rsid w:val="00CE22C0"/>
    <w:rPr>
      <w:color w:val="605E5C"/>
      <w:shd w:val="clear" w:color="auto" w:fill="E1DFDD"/>
    </w:rPr>
  </w:style>
  <w:style w:type="character" w:styleId="Strong">
    <w:name w:val="Strong"/>
    <w:uiPriority w:val="22"/>
    <w:qFormat/>
    <w:rsid w:val="004E5AC6"/>
    <w:rPr>
      <w:b/>
      <w:bCs/>
    </w:rPr>
  </w:style>
  <w:style w:type="paragraph" w:styleId="BodyText">
    <w:name w:val="Body Text"/>
    <w:basedOn w:val="Normal"/>
    <w:link w:val="BodyTextChar"/>
    <w:unhideWhenUsed/>
    <w:rsid w:val="00B26EE0"/>
    <w:pPr>
      <w:spacing w:after="120"/>
    </w:pPr>
  </w:style>
  <w:style w:type="character" w:customStyle="1" w:styleId="BodyTextChar">
    <w:name w:val="Body Text Char"/>
    <w:basedOn w:val="DefaultParagraphFont"/>
    <w:link w:val="BodyText"/>
    <w:rsid w:val="00B26EE0"/>
    <w:rPr>
      <w:sz w:val="24"/>
      <w:szCs w:val="24"/>
    </w:rPr>
  </w:style>
  <w:style w:type="character" w:customStyle="1" w:styleId="ui-provider">
    <w:name w:val="ui-provider"/>
    <w:basedOn w:val="DefaultParagraphFont"/>
    <w:rsid w:val="00B26EE0"/>
  </w:style>
  <w:style w:type="character" w:customStyle="1" w:styleId="FooterChar">
    <w:name w:val="Footer Char"/>
    <w:basedOn w:val="DefaultParagraphFont"/>
    <w:link w:val="Footer"/>
    <w:uiPriority w:val="99"/>
    <w:rsid w:val="00A44E62"/>
    <w:rPr>
      <w:rFonts w:ascii="Arial" w:hAnsi="Arial" w:cs="Arial"/>
    </w:rPr>
  </w:style>
  <w:style w:type="character" w:styleId="IntenseEmphasis">
    <w:name w:val="Intense Emphasis"/>
    <w:aliases w:val="Italics"/>
    <w:basedOn w:val="DefaultParagraphFont"/>
    <w:uiPriority w:val="21"/>
    <w:qFormat/>
    <w:rsid w:val="00D57ADE"/>
    <w:rPr>
      <w:rFonts w:eastAsiaTheme="minorEastAsia"/>
      <w:i/>
      <w:iCs/>
      <w:color w:val="6586A4"/>
    </w:rPr>
  </w:style>
  <w:style w:type="character" w:styleId="Emphasis">
    <w:name w:val="Emphasis"/>
    <w:aliases w:val="Line"/>
    <w:basedOn w:val="DefaultParagraphFont"/>
    <w:rsid w:val="00381296"/>
    <w:rPr>
      <w:i/>
      <w:iCs/>
    </w:rPr>
  </w:style>
  <w:style w:type="character" w:customStyle="1" w:styleId="Heading3Char">
    <w:name w:val="Heading 3 Char"/>
    <w:aliases w:val="Overview Char"/>
    <w:basedOn w:val="DefaultParagraphFont"/>
    <w:link w:val="Heading3"/>
    <w:rsid w:val="00D620FA"/>
    <w:rPr>
      <w:rFonts w:ascii="Arial" w:eastAsiaTheme="majorEastAsia" w:hAnsi="Arial" w:cs="Arial"/>
      <w:b/>
      <w:bCs/>
      <w:color w:val="6586A4"/>
      <w:sz w:val="22"/>
      <w:szCs w:val="22"/>
    </w:rPr>
  </w:style>
  <w:style w:type="character" w:customStyle="1" w:styleId="Heading4Char">
    <w:name w:val="Heading 4 Char"/>
    <w:aliases w:val="ITALICS Char"/>
    <w:basedOn w:val="DefaultParagraphFont"/>
    <w:link w:val="Heading4"/>
    <w:rsid w:val="00E80F20"/>
    <w:rPr>
      <w:rFonts w:ascii="Arial" w:hAnsi="Arial"/>
      <w:color w:val="6586A4"/>
    </w:rPr>
  </w:style>
  <w:style w:type="character" w:customStyle="1" w:styleId="Heading5Char">
    <w:name w:val="Heading 5 Char"/>
    <w:basedOn w:val="DefaultParagraphFont"/>
    <w:link w:val="Heading5"/>
    <w:rsid w:val="008749DB"/>
    <w:rPr>
      <w:rFonts w:ascii="Arial" w:eastAsiaTheme="majorEastAsia" w:hAnsi="Arial" w:cs="Arial"/>
      <w:color w:val="6586A4"/>
    </w:rPr>
  </w:style>
  <w:style w:type="paragraph" w:customStyle="1" w:styleId="TableParagraph">
    <w:name w:val="Table Paragraph"/>
    <w:basedOn w:val="Normal"/>
    <w:uiPriority w:val="1"/>
    <w:qFormat/>
    <w:rsid w:val="00E336FB"/>
    <w:pPr>
      <w:widowControl w:val="0"/>
      <w:autoSpaceDE w:val="0"/>
      <w:autoSpaceDN w:val="0"/>
      <w:ind w:left="103"/>
      <w:jc w:val="left"/>
    </w:pPr>
    <w:rPr>
      <w:rFonts w:ascii="Calibri" w:eastAsia="Calibri" w:hAnsi="Calibri" w:cs="Calibri"/>
      <w:color w:val="auto"/>
      <w:sz w:val="22"/>
      <w:szCs w:val="22"/>
    </w:rPr>
  </w:style>
  <w:style w:type="paragraph" w:customStyle="1" w:styleId="Bullet">
    <w:name w:val="Bullet"/>
    <w:basedOn w:val="ListParagraph"/>
    <w:link w:val="BulletChar"/>
    <w:qFormat/>
    <w:rsid w:val="009B5C4F"/>
    <w:pPr>
      <w:widowControl w:val="0"/>
      <w:numPr>
        <w:numId w:val="36"/>
      </w:numPr>
      <w:autoSpaceDE w:val="0"/>
      <w:autoSpaceDN w:val="0"/>
      <w:ind w:left="720" w:right="360"/>
      <w:contextualSpacing w:val="0"/>
    </w:pPr>
    <w:rPr>
      <w:rFonts w:ascii="Arial Narrow" w:eastAsia="Arial MT" w:hAnsi="Arial Narrow" w:cs="Arial MT"/>
      <w:bCs/>
      <w:color w:val="010101"/>
      <w:sz w:val="22"/>
      <w:szCs w:val="22"/>
      <w:lang w:bidi="en-US"/>
    </w:rPr>
  </w:style>
  <w:style w:type="character" w:customStyle="1" w:styleId="BulletChar">
    <w:name w:val="Bullet Char"/>
    <w:basedOn w:val="DefaultParagraphFont"/>
    <w:link w:val="Bullet"/>
    <w:rsid w:val="009B5C4F"/>
    <w:rPr>
      <w:rFonts w:ascii="Arial Narrow" w:eastAsia="Arial MT" w:hAnsi="Arial Narrow" w:cs="Arial MT"/>
      <w:bCs/>
      <w:color w:val="010101"/>
      <w:sz w:val="22"/>
      <w:szCs w:val="22"/>
      <w:lang w:bidi="en-US"/>
    </w:rPr>
  </w:style>
  <w:style w:type="paragraph" w:customStyle="1" w:styleId="Normal1">
    <w:name w:val="Normal 1"/>
    <w:basedOn w:val="Normal"/>
    <w:link w:val="Normal1Char"/>
    <w:autoRedefine/>
    <w:qFormat/>
    <w:rsid w:val="00F55D52"/>
    <w:pPr>
      <w:widowControl w:val="0"/>
      <w:numPr>
        <w:numId w:val="39"/>
      </w:numPr>
      <w:autoSpaceDE w:val="0"/>
      <w:autoSpaceDN w:val="0"/>
      <w:adjustRightInd w:val="0"/>
      <w:ind w:left="1440"/>
    </w:pPr>
    <w:rPr>
      <w:rFonts w:ascii="Arial Narrow" w:eastAsia="Calibri" w:hAnsi="Arial Narrow" w:cs="Calibri Light"/>
      <w:spacing w:val="1"/>
      <w:sz w:val="22"/>
      <w:szCs w:val="22"/>
    </w:rPr>
  </w:style>
  <w:style w:type="character" w:customStyle="1" w:styleId="Normal1Char">
    <w:name w:val="Normal 1 Char"/>
    <w:link w:val="Normal1"/>
    <w:rsid w:val="00F55D52"/>
    <w:rPr>
      <w:rFonts w:ascii="Arial Narrow" w:eastAsia="Calibri" w:hAnsi="Arial Narrow" w:cs="Calibri Light"/>
      <w:color w:val="000000" w:themeColor="text1"/>
      <w:spacing w:val="1"/>
      <w:sz w:val="22"/>
      <w:szCs w:val="22"/>
    </w:rPr>
  </w:style>
  <w:style w:type="character" w:styleId="BookTitle">
    <w:name w:val="Book Title"/>
    <w:aliases w:val="Italics 1"/>
    <w:basedOn w:val="IntenseEmphasis"/>
    <w:uiPriority w:val="33"/>
    <w:qFormat/>
    <w:rsid w:val="00BE5258"/>
    <w:rPr>
      <w:rFonts w:eastAsiaTheme="minorEastAsia"/>
      <w:i/>
      <w:iCs/>
      <w:color w:val="2D61B5"/>
      <w:lang w:eastAsia="zh-CN" w:bidi="hi-IN"/>
    </w:rPr>
  </w:style>
  <w:style w:type="character" w:styleId="SubtleEmphasis">
    <w:name w:val="Subtle Emphasis"/>
    <w:uiPriority w:val="19"/>
    <w:qFormat/>
    <w:rsid w:val="009D1E0F"/>
    <w:rPr>
      <w:rFonts w:ascii="DIN" w:hAnsi="DIN"/>
      <w:color w:val="0081C6"/>
      <w:sz w:val="21"/>
      <w:szCs w:val="21"/>
    </w:rPr>
  </w:style>
  <w:style w:type="paragraph" w:styleId="Subtitle">
    <w:name w:val="Subtitle"/>
    <w:basedOn w:val="BodyText"/>
    <w:next w:val="Normal"/>
    <w:link w:val="SubtitleChar"/>
    <w:uiPriority w:val="11"/>
    <w:qFormat/>
    <w:rsid w:val="00462560"/>
    <w:pPr>
      <w:widowControl w:val="0"/>
      <w:suppressAutoHyphens/>
      <w:spacing w:after="0"/>
    </w:pPr>
    <w:rPr>
      <w:rFonts w:ascii="Arial Narrow" w:eastAsia="Arial" w:hAnsi="Arial Narrow"/>
      <w:color w:val="632423"/>
      <w:sz w:val="21"/>
      <w:szCs w:val="21"/>
      <w:lang w:eastAsia="zh-CN" w:bidi="hi-IN"/>
    </w:rPr>
  </w:style>
  <w:style w:type="character" w:customStyle="1" w:styleId="SubtitleChar">
    <w:name w:val="Subtitle Char"/>
    <w:basedOn w:val="DefaultParagraphFont"/>
    <w:link w:val="Subtitle"/>
    <w:uiPriority w:val="11"/>
    <w:rsid w:val="00462560"/>
    <w:rPr>
      <w:rFonts w:ascii="Arial Narrow" w:eastAsia="Arial" w:hAnsi="Arial Narrow" w:cs="Arial"/>
      <w:color w:val="632423"/>
      <w:sz w:val="21"/>
      <w:szCs w:val="21"/>
      <w:lang w:eastAsia="zh-CN" w:bidi="hi-IN"/>
    </w:rPr>
  </w:style>
  <w:style w:type="paragraph" w:styleId="TOC3">
    <w:name w:val="toc 3"/>
    <w:basedOn w:val="Normal"/>
    <w:next w:val="Normal"/>
    <w:autoRedefine/>
    <w:uiPriority w:val="39"/>
    <w:unhideWhenUsed/>
    <w:rsid w:val="008447CE"/>
    <w:pPr>
      <w:spacing w:after="100"/>
      <w:ind w:left="400"/>
    </w:pPr>
  </w:style>
  <w:style w:type="paragraph" w:styleId="NormalWeb">
    <w:name w:val="Normal (Web)"/>
    <w:basedOn w:val="Normal"/>
    <w:uiPriority w:val="99"/>
    <w:semiHidden/>
    <w:unhideWhenUsed/>
    <w:rsid w:val="00D00281"/>
    <w:pPr>
      <w:spacing w:before="100" w:beforeAutospacing="1" w:after="100" w:afterAutospacing="1"/>
      <w:jc w:val="left"/>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4474">
      <w:bodyDiv w:val="1"/>
      <w:marLeft w:val="0"/>
      <w:marRight w:val="0"/>
      <w:marTop w:val="0"/>
      <w:marBottom w:val="0"/>
      <w:divBdr>
        <w:top w:val="none" w:sz="0" w:space="0" w:color="auto"/>
        <w:left w:val="none" w:sz="0" w:space="0" w:color="auto"/>
        <w:bottom w:val="none" w:sz="0" w:space="0" w:color="auto"/>
        <w:right w:val="none" w:sz="0" w:space="0" w:color="auto"/>
      </w:divBdr>
    </w:div>
    <w:div w:id="116608036">
      <w:bodyDiv w:val="1"/>
      <w:marLeft w:val="0"/>
      <w:marRight w:val="0"/>
      <w:marTop w:val="0"/>
      <w:marBottom w:val="0"/>
      <w:divBdr>
        <w:top w:val="none" w:sz="0" w:space="0" w:color="auto"/>
        <w:left w:val="none" w:sz="0" w:space="0" w:color="auto"/>
        <w:bottom w:val="none" w:sz="0" w:space="0" w:color="auto"/>
        <w:right w:val="none" w:sz="0" w:space="0" w:color="auto"/>
      </w:divBdr>
    </w:div>
    <w:div w:id="312101930">
      <w:bodyDiv w:val="1"/>
      <w:marLeft w:val="0"/>
      <w:marRight w:val="0"/>
      <w:marTop w:val="0"/>
      <w:marBottom w:val="0"/>
      <w:divBdr>
        <w:top w:val="none" w:sz="0" w:space="0" w:color="auto"/>
        <w:left w:val="none" w:sz="0" w:space="0" w:color="auto"/>
        <w:bottom w:val="none" w:sz="0" w:space="0" w:color="auto"/>
        <w:right w:val="none" w:sz="0" w:space="0" w:color="auto"/>
      </w:divBdr>
    </w:div>
    <w:div w:id="359742360">
      <w:bodyDiv w:val="1"/>
      <w:marLeft w:val="0"/>
      <w:marRight w:val="0"/>
      <w:marTop w:val="0"/>
      <w:marBottom w:val="0"/>
      <w:divBdr>
        <w:top w:val="none" w:sz="0" w:space="0" w:color="auto"/>
        <w:left w:val="none" w:sz="0" w:space="0" w:color="auto"/>
        <w:bottom w:val="none" w:sz="0" w:space="0" w:color="auto"/>
        <w:right w:val="none" w:sz="0" w:space="0" w:color="auto"/>
      </w:divBdr>
    </w:div>
    <w:div w:id="406273691">
      <w:bodyDiv w:val="1"/>
      <w:marLeft w:val="0"/>
      <w:marRight w:val="0"/>
      <w:marTop w:val="0"/>
      <w:marBottom w:val="0"/>
      <w:divBdr>
        <w:top w:val="none" w:sz="0" w:space="0" w:color="auto"/>
        <w:left w:val="none" w:sz="0" w:space="0" w:color="auto"/>
        <w:bottom w:val="none" w:sz="0" w:space="0" w:color="auto"/>
        <w:right w:val="none" w:sz="0" w:space="0" w:color="auto"/>
      </w:divBdr>
    </w:div>
    <w:div w:id="425005209">
      <w:bodyDiv w:val="1"/>
      <w:marLeft w:val="0"/>
      <w:marRight w:val="0"/>
      <w:marTop w:val="0"/>
      <w:marBottom w:val="0"/>
      <w:divBdr>
        <w:top w:val="none" w:sz="0" w:space="0" w:color="auto"/>
        <w:left w:val="none" w:sz="0" w:space="0" w:color="auto"/>
        <w:bottom w:val="none" w:sz="0" w:space="0" w:color="auto"/>
        <w:right w:val="none" w:sz="0" w:space="0" w:color="auto"/>
      </w:divBdr>
    </w:div>
    <w:div w:id="439187233">
      <w:bodyDiv w:val="1"/>
      <w:marLeft w:val="0"/>
      <w:marRight w:val="0"/>
      <w:marTop w:val="0"/>
      <w:marBottom w:val="0"/>
      <w:divBdr>
        <w:top w:val="none" w:sz="0" w:space="0" w:color="auto"/>
        <w:left w:val="none" w:sz="0" w:space="0" w:color="auto"/>
        <w:bottom w:val="none" w:sz="0" w:space="0" w:color="auto"/>
        <w:right w:val="none" w:sz="0" w:space="0" w:color="auto"/>
      </w:divBdr>
    </w:div>
    <w:div w:id="458571644">
      <w:bodyDiv w:val="1"/>
      <w:marLeft w:val="0"/>
      <w:marRight w:val="0"/>
      <w:marTop w:val="0"/>
      <w:marBottom w:val="0"/>
      <w:divBdr>
        <w:top w:val="none" w:sz="0" w:space="0" w:color="auto"/>
        <w:left w:val="none" w:sz="0" w:space="0" w:color="auto"/>
        <w:bottom w:val="none" w:sz="0" w:space="0" w:color="auto"/>
        <w:right w:val="none" w:sz="0" w:space="0" w:color="auto"/>
      </w:divBdr>
      <w:divsChild>
        <w:div w:id="749695939">
          <w:marLeft w:val="0"/>
          <w:marRight w:val="0"/>
          <w:marTop w:val="0"/>
          <w:marBottom w:val="0"/>
          <w:divBdr>
            <w:top w:val="none" w:sz="0" w:space="0" w:color="auto"/>
            <w:left w:val="none" w:sz="0" w:space="0" w:color="auto"/>
            <w:bottom w:val="none" w:sz="0" w:space="0" w:color="auto"/>
            <w:right w:val="none" w:sz="0" w:space="0" w:color="auto"/>
          </w:divBdr>
          <w:divsChild>
            <w:div w:id="261963254">
              <w:marLeft w:val="0"/>
              <w:marRight w:val="0"/>
              <w:marTop w:val="0"/>
              <w:marBottom w:val="0"/>
              <w:divBdr>
                <w:top w:val="none" w:sz="0" w:space="0" w:color="auto"/>
                <w:left w:val="none" w:sz="0" w:space="0" w:color="auto"/>
                <w:bottom w:val="none" w:sz="0" w:space="0" w:color="auto"/>
                <w:right w:val="none" w:sz="0" w:space="0" w:color="auto"/>
              </w:divBdr>
              <w:divsChild>
                <w:div w:id="2004503351">
                  <w:marLeft w:val="0"/>
                  <w:marRight w:val="0"/>
                  <w:marTop w:val="0"/>
                  <w:marBottom w:val="0"/>
                  <w:divBdr>
                    <w:top w:val="none" w:sz="0" w:space="0" w:color="auto"/>
                    <w:left w:val="none" w:sz="0" w:space="0" w:color="auto"/>
                    <w:bottom w:val="none" w:sz="0" w:space="0" w:color="auto"/>
                    <w:right w:val="none" w:sz="0" w:space="0" w:color="auto"/>
                  </w:divBdr>
                  <w:divsChild>
                    <w:div w:id="619141393">
                      <w:marLeft w:val="0"/>
                      <w:marRight w:val="0"/>
                      <w:marTop w:val="0"/>
                      <w:marBottom w:val="0"/>
                      <w:divBdr>
                        <w:top w:val="none" w:sz="0" w:space="0" w:color="auto"/>
                        <w:left w:val="none" w:sz="0" w:space="0" w:color="auto"/>
                        <w:bottom w:val="none" w:sz="0" w:space="0" w:color="auto"/>
                        <w:right w:val="none" w:sz="0" w:space="0" w:color="auto"/>
                      </w:divBdr>
                      <w:divsChild>
                        <w:div w:id="1500609292">
                          <w:marLeft w:val="0"/>
                          <w:marRight w:val="0"/>
                          <w:marTop w:val="0"/>
                          <w:marBottom w:val="0"/>
                          <w:divBdr>
                            <w:top w:val="none" w:sz="0" w:space="0" w:color="auto"/>
                            <w:left w:val="none" w:sz="0" w:space="0" w:color="auto"/>
                            <w:bottom w:val="none" w:sz="0" w:space="0" w:color="auto"/>
                            <w:right w:val="none" w:sz="0" w:space="0" w:color="auto"/>
                          </w:divBdr>
                          <w:divsChild>
                            <w:div w:id="2074698724">
                              <w:marLeft w:val="0"/>
                              <w:marRight w:val="0"/>
                              <w:marTop w:val="0"/>
                              <w:marBottom w:val="0"/>
                              <w:divBdr>
                                <w:top w:val="none" w:sz="0" w:space="0" w:color="auto"/>
                                <w:left w:val="none" w:sz="0" w:space="0" w:color="auto"/>
                                <w:bottom w:val="none" w:sz="0" w:space="0" w:color="auto"/>
                                <w:right w:val="none" w:sz="0" w:space="0" w:color="auto"/>
                              </w:divBdr>
                              <w:divsChild>
                                <w:div w:id="1259145620">
                                  <w:marLeft w:val="0"/>
                                  <w:marRight w:val="0"/>
                                  <w:marTop w:val="0"/>
                                  <w:marBottom w:val="0"/>
                                  <w:divBdr>
                                    <w:top w:val="none" w:sz="0" w:space="0" w:color="auto"/>
                                    <w:left w:val="none" w:sz="0" w:space="0" w:color="auto"/>
                                    <w:bottom w:val="none" w:sz="0" w:space="0" w:color="auto"/>
                                    <w:right w:val="none" w:sz="0" w:space="0" w:color="auto"/>
                                  </w:divBdr>
                                  <w:divsChild>
                                    <w:div w:id="14797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037272">
      <w:bodyDiv w:val="1"/>
      <w:marLeft w:val="0"/>
      <w:marRight w:val="0"/>
      <w:marTop w:val="0"/>
      <w:marBottom w:val="0"/>
      <w:divBdr>
        <w:top w:val="none" w:sz="0" w:space="0" w:color="auto"/>
        <w:left w:val="none" w:sz="0" w:space="0" w:color="auto"/>
        <w:bottom w:val="none" w:sz="0" w:space="0" w:color="auto"/>
        <w:right w:val="none" w:sz="0" w:space="0" w:color="auto"/>
      </w:divBdr>
    </w:div>
    <w:div w:id="657266944">
      <w:bodyDiv w:val="1"/>
      <w:marLeft w:val="0"/>
      <w:marRight w:val="0"/>
      <w:marTop w:val="0"/>
      <w:marBottom w:val="0"/>
      <w:divBdr>
        <w:top w:val="none" w:sz="0" w:space="0" w:color="auto"/>
        <w:left w:val="none" w:sz="0" w:space="0" w:color="auto"/>
        <w:bottom w:val="none" w:sz="0" w:space="0" w:color="auto"/>
        <w:right w:val="none" w:sz="0" w:space="0" w:color="auto"/>
      </w:divBdr>
    </w:div>
    <w:div w:id="770005011">
      <w:bodyDiv w:val="1"/>
      <w:marLeft w:val="0"/>
      <w:marRight w:val="0"/>
      <w:marTop w:val="0"/>
      <w:marBottom w:val="0"/>
      <w:divBdr>
        <w:top w:val="none" w:sz="0" w:space="0" w:color="auto"/>
        <w:left w:val="none" w:sz="0" w:space="0" w:color="auto"/>
        <w:bottom w:val="none" w:sz="0" w:space="0" w:color="auto"/>
        <w:right w:val="none" w:sz="0" w:space="0" w:color="auto"/>
      </w:divBdr>
    </w:div>
    <w:div w:id="906064034">
      <w:bodyDiv w:val="1"/>
      <w:marLeft w:val="0"/>
      <w:marRight w:val="0"/>
      <w:marTop w:val="0"/>
      <w:marBottom w:val="0"/>
      <w:divBdr>
        <w:top w:val="none" w:sz="0" w:space="0" w:color="auto"/>
        <w:left w:val="none" w:sz="0" w:space="0" w:color="auto"/>
        <w:bottom w:val="none" w:sz="0" w:space="0" w:color="auto"/>
        <w:right w:val="none" w:sz="0" w:space="0" w:color="auto"/>
      </w:divBdr>
    </w:div>
    <w:div w:id="1061363007">
      <w:bodyDiv w:val="1"/>
      <w:marLeft w:val="0"/>
      <w:marRight w:val="0"/>
      <w:marTop w:val="0"/>
      <w:marBottom w:val="0"/>
      <w:divBdr>
        <w:top w:val="none" w:sz="0" w:space="0" w:color="auto"/>
        <w:left w:val="none" w:sz="0" w:space="0" w:color="auto"/>
        <w:bottom w:val="none" w:sz="0" w:space="0" w:color="auto"/>
        <w:right w:val="none" w:sz="0" w:space="0" w:color="auto"/>
      </w:divBdr>
    </w:div>
    <w:div w:id="1126896383">
      <w:bodyDiv w:val="1"/>
      <w:marLeft w:val="0"/>
      <w:marRight w:val="0"/>
      <w:marTop w:val="0"/>
      <w:marBottom w:val="0"/>
      <w:divBdr>
        <w:top w:val="none" w:sz="0" w:space="0" w:color="auto"/>
        <w:left w:val="none" w:sz="0" w:space="0" w:color="auto"/>
        <w:bottom w:val="none" w:sz="0" w:space="0" w:color="auto"/>
        <w:right w:val="none" w:sz="0" w:space="0" w:color="auto"/>
      </w:divBdr>
    </w:div>
    <w:div w:id="1254437551">
      <w:bodyDiv w:val="1"/>
      <w:marLeft w:val="0"/>
      <w:marRight w:val="0"/>
      <w:marTop w:val="0"/>
      <w:marBottom w:val="0"/>
      <w:divBdr>
        <w:top w:val="none" w:sz="0" w:space="0" w:color="auto"/>
        <w:left w:val="none" w:sz="0" w:space="0" w:color="auto"/>
        <w:bottom w:val="none" w:sz="0" w:space="0" w:color="auto"/>
        <w:right w:val="none" w:sz="0" w:space="0" w:color="auto"/>
      </w:divBdr>
    </w:div>
    <w:div w:id="1631667720">
      <w:bodyDiv w:val="1"/>
      <w:marLeft w:val="0"/>
      <w:marRight w:val="0"/>
      <w:marTop w:val="0"/>
      <w:marBottom w:val="0"/>
      <w:divBdr>
        <w:top w:val="none" w:sz="0" w:space="0" w:color="auto"/>
        <w:left w:val="none" w:sz="0" w:space="0" w:color="auto"/>
        <w:bottom w:val="none" w:sz="0" w:space="0" w:color="auto"/>
        <w:right w:val="none" w:sz="0" w:space="0" w:color="auto"/>
      </w:divBdr>
    </w:div>
    <w:div w:id="1637101337">
      <w:bodyDiv w:val="1"/>
      <w:marLeft w:val="0"/>
      <w:marRight w:val="0"/>
      <w:marTop w:val="0"/>
      <w:marBottom w:val="0"/>
      <w:divBdr>
        <w:top w:val="none" w:sz="0" w:space="0" w:color="auto"/>
        <w:left w:val="none" w:sz="0" w:space="0" w:color="auto"/>
        <w:bottom w:val="none" w:sz="0" w:space="0" w:color="auto"/>
        <w:right w:val="none" w:sz="0" w:space="0" w:color="auto"/>
      </w:divBdr>
    </w:div>
    <w:div w:id="1653093419">
      <w:bodyDiv w:val="1"/>
      <w:marLeft w:val="0"/>
      <w:marRight w:val="0"/>
      <w:marTop w:val="0"/>
      <w:marBottom w:val="0"/>
      <w:divBdr>
        <w:top w:val="none" w:sz="0" w:space="0" w:color="auto"/>
        <w:left w:val="none" w:sz="0" w:space="0" w:color="auto"/>
        <w:bottom w:val="none" w:sz="0" w:space="0" w:color="auto"/>
        <w:right w:val="none" w:sz="0" w:space="0" w:color="auto"/>
      </w:divBdr>
    </w:div>
    <w:div w:id="1660305036">
      <w:bodyDiv w:val="1"/>
      <w:marLeft w:val="0"/>
      <w:marRight w:val="0"/>
      <w:marTop w:val="0"/>
      <w:marBottom w:val="0"/>
      <w:divBdr>
        <w:top w:val="none" w:sz="0" w:space="0" w:color="auto"/>
        <w:left w:val="none" w:sz="0" w:space="0" w:color="auto"/>
        <w:bottom w:val="none" w:sz="0" w:space="0" w:color="auto"/>
        <w:right w:val="none" w:sz="0" w:space="0" w:color="auto"/>
      </w:divBdr>
    </w:div>
    <w:div w:id="2013407848">
      <w:bodyDiv w:val="1"/>
      <w:marLeft w:val="0"/>
      <w:marRight w:val="0"/>
      <w:marTop w:val="0"/>
      <w:marBottom w:val="0"/>
      <w:divBdr>
        <w:top w:val="none" w:sz="0" w:space="0" w:color="auto"/>
        <w:left w:val="none" w:sz="0" w:space="0" w:color="auto"/>
        <w:bottom w:val="none" w:sz="0" w:space="0" w:color="auto"/>
        <w:right w:val="none" w:sz="0" w:space="0" w:color="auto"/>
      </w:divBdr>
    </w:div>
    <w:div w:id="206728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kerStreetAdvisors.com" TargetMode="External"/><Relationship Id="rId18" Type="http://schemas.openxmlformats.org/officeDocument/2006/relationships/hyperlink" Target="http://www.schwab.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seic.com/" TargetMode="Externa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s://brokercheck.finra.org/firm/summary/7784"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mg.com" TargetMode="External"/><Relationship Id="rId20" Type="http://schemas.openxmlformats.org/officeDocument/2006/relationships/hyperlink" Target="https://www.sipc.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www.seic.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dviserinfo.sec.gov/" TargetMode="External"/><Relationship Id="rId23" Type="http://schemas.openxmlformats.org/officeDocument/2006/relationships/hyperlink" Target="http://www.schwab.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finra.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viserinfo.sec.gov" TargetMode="External"/><Relationship Id="rId22" Type="http://schemas.openxmlformats.org/officeDocument/2006/relationships/hyperlink" Target="https://brokercheck.finra.org/firm/summary/7784"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076AF5B0459D4BBC8DFB910EDEBB6B" ma:contentTypeVersion="8" ma:contentTypeDescription="Create a new document." ma:contentTypeScope="" ma:versionID="728e813ea757bca31177b461778edbf1">
  <xsd:schema xmlns:xsd="http://www.w3.org/2001/XMLSchema" xmlns:xs="http://www.w3.org/2001/XMLSchema" xmlns:p="http://schemas.microsoft.com/office/2006/metadata/properties" xmlns:ns2="467a24be-6c48-4702-ad23-91394b1cd091" xmlns:ns3="66f69c53-0ac7-4ad2-b892-3c2e37690c66" targetNamespace="http://schemas.microsoft.com/office/2006/metadata/properties" ma:root="true" ma:fieldsID="629023875c76caeb6b5ef2424fb9aaf2" ns2:_="" ns3:_="">
    <xsd:import namespace="467a24be-6c48-4702-ad23-91394b1cd091"/>
    <xsd:import namespace="66f69c53-0ac7-4ad2-b892-3c2e37690c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a24be-6c48-4702-ad23-91394b1cd0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f69c53-0ac7-4ad2-b892-3c2e37690c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E6A63A-EC17-4144-A4BB-AE7EB2AA7A1E}">
  <ds:schemaRefs>
    <ds:schemaRef ds:uri="http://schemas.microsoft.com/sharepoint/v3/contenttype/forms"/>
  </ds:schemaRefs>
</ds:datastoreItem>
</file>

<file path=customXml/itemProps2.xml><?xml version="1.0" encoding="utf-8"?>
<ds:datastoreItem xmlns:ds="http://schemas.openxmlformats.org/officeDocument/2006/customXml" ds:itemID="{97C36F20-3BA8-41C8-B5C4-50CE5C153FA1}">
  <ds:schemaRefs>
    <ds:schemaRef ds:uri="http://schemas.openxmlformats.org/officeDocument/2006/bibliography"/>
  </ds:schemaRefs>
</ds:datastoreItem>
</file>

<file path=customXml/itemProps3.xml><?xml version="1.0" encoding="utf-8"?>
<ds:datastoreItem xmlns:ds="http://schemas.openxmlformats.org/officeDocument/2006/customXml" ds:itemID="{A722A552-4E0E-4E41-96E5-C4379329C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a24be-6c48-4702-ad23-91394b1cd091"/>
    <ds:schemaRef ds:uri="66f69c53-0ac7-4ad2-b892-3c2e37690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9F3949-0D60-4C67-8A80-FBA486CEF18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8f18cb5-2b1f-4258-ba62-77bebf17d6f0}" enabled="1" method="Standard" siteId="{60436191-a420-448f-b3e5-9d00da0b2a58}" removed="0"/>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18061</Words>
  <Characters>104575</Characters>
  <Application>Microsoft Office Word</Application>
  <DocSecurity>0</DocSecurity>
  <Lines>2134</Lines>
  <Paragraphs>1085</Paragraphs>
  <ScaleCrop>false</ScaleCrop>
  <Company/>
  <LinksUpToDate>false</LinksUpToDate>
  <CharactersWithSpaces>121551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Bonvechio</dc:creator>
  <cp:keywords/>
  <cp:lastModifiedBy>Henry Tran</cp:lastModifiedBy>
  <cp:revision>3</cp:revision>
  <dcterms:created xsi:type="dcterms:W3CDTF">2026-03-31T21:36:00Z</dcterms:created>
  <dcterms:modified xsi:type="dcterms:W3CDTF">2026-03-31T21:37:00Z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0x010100A9076AF5B0459D4BBC8DFB910EDEBB6B</vt:lpwstr>
  </property>
</Properties>
</file>