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5AEF" w:rsidRDefault="00655AEF">
      <w:pPr>
        <w:pBdr>
          <w:top w:val="nil"/>
          <w:left w:val="nil"/>
          <w:bottom w:val="nil"/>
          <w:right w:val="nil"/>
          <w:between w:val="nil"/>
        </w:pBdr>
        <w:rPr>
          <w:color w:val="000000"/>
          <w:sz w:val="24"/>
          <w:szCs w:val="24"/>
        </w:rPr>
      </w:pPr>
    </w:p>
    <w:p w14:paraId="00000002" w14:textId="77777777" w:rsidR="00655AEF" w:rsidRDefault="00000000">
      <w:pPr>
        <w:pBdr>
          <w:top w:val="nil"/>
          <w:left w:val="nil"/>
          <w:bottom w:val="nil"/>
          <w:right w:val="nil"/>
          <w:between w:val="nil"/>
        </w:pBdr>
        <w:ind w:left="379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D7BA54B" wp14:editId="4B810862">
            <wp:extent cx="1662329" cy="1295400"/>
            <wp:effectExtent l="0" t="0" r="0" b="0"/>
            <wp:docPr id="6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662329" cy="1295400"/>
                    </a:xfrm>
                    <a:prstGeom prst="rect">
                      <a:avLst/>
                    </a:prstGeom>
                    <a:ln/>
                  </pic:spPr>
                </pic:pic>
              </a:graphicData>
            </a:graphic>
          </wp:inline>
        </w:drawing>
      </w:r>
    </w:p>
    <w:p w14:paraId="00000003" w14:textId="77777777" w:rsidR="00655AEF" w:rsidRDefault="00000000">
      <w:pPr>
        <w:pStyle w:val="Title"/>
        <w:spacing w:line="259" w:lineRule="auto"/>
        <w:ind w:left="0" w:right="0" w:firstLine="0"/>
      </w:pPr>
      <w:r>
        <w:rPr>
          <w:color w:val="0D0D0D"/>
        </w:rPr>
        <w:t xml:space="preserve">MASINDE MULIRO UNIVERSITY OF SCIENCE AND TECHNOLOGY –MMUST AND IMMUNIFY –LIFE </w:t>
      </w:r>
    </w:p>
    <w:p w14:paraId="00000004" w14:textId="77777777" w:rsidR="00655AEF" w:rsidRDefault="00000000">
      <w:pPr>
        <w:spacing w:before="294" w:line="259" w:lineRule="auto"/>
        <w:ind w:left="320" w:right="1037"/>
        <w:jc w:val="center"/>
        <w:rPr>
          <w:sz w:val="32"/>
          <w:szCs w:val="32"/>
        </w:rPr>
      </w:pPr>
      <w:r>
        <w:rPr>
          <w:color w:val="0D0D0D"/>
          <w:sz w:val="32"/>
          <w:szCs w:val="32"/>
        </w:rPr>
        <w:t>School of Nursing, Midwifery and Paramedical Sciences (SONMAPS)</w:t>
      </w:r>
    </w:p>
    <w:p w14:paraId="00000005" w14:textId="77777777" w:rsidR="00655AEF" w:rsidRDefault="00000000">
      <w:pPr>
        <w:spacing w:line="363" w:lineRule="auto"/>
        <w:ind w:left="323" w:right="1037"/>
        <w:jc w:val="center"/>
        <w:rPr>
          <w:sz w:val="32"/>
          <w:szCs w:val="32"/>
        </w:rPr>
      </w:pPr>
      <w:r>
        <w:rPr>
          <w:color w:val="0D0D0D"/>
          <w:sz w:val="32"/>
          <w:szCs w:val="32"/>
        </w:rPr>
        <w:t>and</w:t>
      </w:r>
    </w:p>
    <w:p w14:paraId="00000006" w14:textId="77777777" w:rsidR="00655AEF" w:rsidRDefault="00000000">
      <w:pPr>
        <w:spacing w:before="28"/>
        <w:ind w:left="323" w:right="1037"/>
        <w:jc w:val="center"/>
        <w:rPr>
          <w:sz w:val="32"/>
          <w:szCs w:val="32"/>
        </w:rPr>
      </w:pPr>
      <w:r>
        <w:rPr>
          <w:color w:val="0D0D0D"/>
          <w:sz w:val="32"/>
          <w:szCs w:val="32"/>
        </w:rPr>
        <w:t>School of Medicine (SOM)</w:t>
      </w:r>
    </w:p>
    <w:p w14:paraId="00000007" w14:textId="77777777" w:rsidR="00655AEF" w:rsidRDefault="00655AEF">
      <w:pPr>
        <w:pBdr>
          <w:top w:val="nil"/>
          <w:left w:val="nil"/>
          <w:bottom w:val="nil"/>
          <w:right w:val="nil"/>
          <w:between w:val="nil"/>
        </w:pBdr>
        <w:spacing w:before="59"/>
        <w:rPr>
          <w:color w:val="000000"/>
          <w:sz w:val="32"/>
          <w:szCs w:val="32"/>
        </w:rPr>
      </w:pPr>
    </w:p>
    <w:p w14:paraId="00000008" w14:textId="77777777" w:rsidR="00655AEF" w:rsidRDefault="00000000">
      <w:pPr>
        <w:spacing w:line="237" w:lineRule="auto"/>
        <w:ind w:left="568" w:right="1270"/>
        <w:jc w:val="center"/>
        <w:rPr>
          <w:b/>
          <w:sz w:val="28"/>
          <w:szCs w:val="28"/>
        </w:rPr>
      </w:pPr>
      <w:r>
        <w:rPr>
          <w:b/>
          <w:color w:val="0D0D0D"/>
          <w:sz w:val="28"/>
          <w:szCs w:val="28"/>
        </w:rPr>
        <w:t>Evaluation of Reward System on HIV Treatment Outcomes of Patients with Suspected Treatment Failure at Kakamega County, Kenya</w:t>
      </w:r>
    </w:p>
    <w:p w14:paraId="00000009" w14:textId="77777777" w:rsidR="00655AEF" w:rsidRDefault="00000000">
      <w:pPr>
        <w:spacing w:before="303"/>
        <w:ind w:left="329" w:right="1037"/>
        <w:jc w:val="center"/>
        <w:rPr>
          <w:b/>
          <w:sz w:val="28"/>
          <w:szCs w:val="28"/>
        </w:rPr>
      </w:pPr>
      <w:r>
        <w:rPr>
          <w:b/>
          <w:color w:val="0D0D0D"/>
          <w:sz w:val="28"/>
          <w:szCs w:val="28"/>
        </w:rPr>
        <w:t>By</w:t>
      </w:r>
    </w:p>
    <w:p w14:paraId="0000000A" w14:textId="77777777" w:rsidR="00655AEF" w:rsidRDefault="00000000">
      <w:pPr>
        <w:spacing w:before="25"/>
        <w:ind w:left="559"/>
        <w:rPr>
          <w:b/>
          <w:sz w:val="28"/>
          <w:szCs w:val="28"/>
        </w:rPr>
      </w:pPr>
      <w:r>
        <w:rPr>
          <w:b/>
          <w:color w:val="0D0D0D"/>
          <w:sz w:val="28"/>
          <w:szCs w:val="28"/>
        </w:rPr>
        <w:t>Investigators</w:t>
      </w:r>
    </w:p>
    <w:p w14:paraId="0000000B" w14:textId="77777777" w:rsidR="00655AEF" w:rsidRDefault="00000000">
      <w:pPr>
        <w:pBdr>
          <w:top w:val="nil"/>
          <w:left w:val="nil"/>
          <w:bottom w:val="nil"/>
          <w:right w:val="nil"/>
          <w:between w:val="nil"/>
        </w:pBdr>
        <w:tabs>
          <w:tab w:val="left" w:pos="3449"/>
          <w:tab w:val="left" w:pos="4169"/>
        </w:tabs>
        <w:spacing w:before="21" w:line="254" w:lineRule="auto"/>
        <w:ind w:left="559" w:right="829"/>
        <w:jc w:val="both"/>
        <w:rPr>
          <w:color w:val="0D0D0D"/>
          <w:sz w:val="24"/>
          <w:szCs w:val="24"/>
        </w:rPr>
      </w:pPr>
      <w:r>
        <w:rPr>
          <w:color w:val="0D0D0D"/>
          <w:sz w:val="24"/>
          <w:szCs w:val="24"/>
        </w:rPr>
        <w:t>Guy Newing</w:t>
      </w:r>
      <w:r>
        <w:rPr>
          <w:color w:val="0D0D0D"/>
          <w:sz w:val="24"/>
          <w:szCs w:val="24"/>
        </w:rPr>
        <w:tab/>
      </w:r>
      <w:r>
        <w:rPr>
          <w:color w:val="0D0D0D"/>
          <w:sz w:val="24"/>
          <w:szCs w:val="24"/>
        </w:rPr>
        <w:tab/>
      </w:r>
      <w:r>
        <w:rPr>
          <w:color w:val="0D0D0D"/>
          <w:sz w:val="24"/>
          <w:szCs w:val="24"/>
        </w:rPr>
        <w:tab/>
        <w:t xml:space="preserve">(Immunify –Life PI) </w:t>
      </w:r>
    </w:p>
    <w:p w14:paraId="0000000C" w14:textId="77777777" w:rsidR="00655AEF" w:rsidRDefault="00000000">
      <w:pPr>
        <w:pBdr>
          <w:top w:val="nil"/>
          <w:left w:val="nil"/>
          <w:bottom w:val="nil"/>
          <w:right w:val="nil"/>
          <w:between w:val="nil"/>
        </w:pBdr>
        <w:tabs>
          <w:tab w:val="left" w:pos="3449"/>
          <w:tab w:val="left" w:pos="4169"/>
        </w:tabs>
        <w:spacing w:before="21" w:line="254" w:lineRule="auto"/>
        <w:ind w:left="559" w:right="829"/>
        <w:jc w:val="both"/>
        <w:rPr>
          <w:color w:val="000000"/>
          <w:sz w:val="24"/>
          <w:szCs w:val="24"/>
        </w:rPr>
      </w:pPr>
      <w:r>
        <w:rPr>
          <w:color w:val="0D0D0D"/>
          <w:sz w:val="24"/>
          <w:szCs w:val="24"/>
        </w:rPr>
        <w:t>Dr. Tecla Sum</w:t>
      </w:r>
      <w:r>
        <w:rPr>
          <w:color w:val="0D0D0D"/>
          <w:sz w:val="24"/>
          <w:szCs w:val="24"/>
        </w:rPr>
        <w:tab/>
      </w:r>
      <w:r>
        <w:rPr>
          <w:color w:val="0D0D0D"/>
          <w:sz w:val="24"/>
          <w:szCs w:val="24"/>
        </w:rPr>
        <w:tab/>
      </w:r>
      <w:r>
        <w:rPr>
          <w:color w:val="0D0D0D"/>
          <w:sz w:val="24"/>
          <w:szCs w:val="24"/>
        </w:rPr>
        <w:tab/>
        <w:t>(MMUST-PI)</w:t>
      </w:r>
    </w:p>
    <w:p w14:paraId="0000000D" w14:textId="77777777" w:rsidR="00655AEF" w:rsidRDefault="00000000">
      <w:pPr>
        <w:pBdr>
          <w:top w:val="nil"/>
          <w:left w:val="nil"/>
          <w:bottom w:val="nil"/>
          <w:right w:val="nil"/>
          <w:between w:val="nil"/>
        </w:pBdr>
        <w:tabs>
          <w:tab w:val="left" w:pos="3449"/>
          <w:tab w:val="left" w:pos="4169"/>
        </w:tabs>
        <w:spacing w:before="1" w:line="256" w:lineRule="auto"/>
        <w:ind w:left="559" w:right="829" w:firstLine="8"/>
        <w:jc w:val="both"/>
        <w:rPr>
          <w:color w:val="0D0D0D"/>
          <w:sz w:val="24"/>
          <w:szCs w:val="24"/>
        </w:rPr>
      </w:pPr>
      <w:r>
        <w:rPr>
          <w:color w:val="0D0D0D"/>
          <w:sz w:val="24"/>
          <w:szCs w:val="24"/>
        </w:rPr>
        <w:t>Daniel Kenny</w:t>
      </w:r>
      <w:r>
        <w:rPr>
          <w:color w:val="0D0D0D"/>
          <w:sz w:val="24"/>
          <w:szCs w:val="24"/>
        </w:rPr>
        <w:tab/>
      </w:r>
      <w:r>
        <w:rPr>
          <w:color w:val="0D0D0D"/>
          <w:sz w:val="24"/>
          <w:szCs w:val="24"/>
        </w:rPr>
        <w:tab/>
      </w:r>
      <w:r>
        <w:rPr>
          <w:color w:val="0D0D0D"/>
          <w:sz w:val="24"/>
          <w:szCs w:val="24"/>
        </w:rPr>
        <w:tab/>
        <w:t xml:space="preserve">(Immunify –Life Co-Investigator) </w:t>
      </w:r>
    </w:p>
    <w:p w14:paraId="0000000E" w14:textId="77777777" w:rsidR="00655AEF" w:rsidRDefault="00000000">
      <w:pPr>
        <w:pBdr>
          <w:top w:val="nil"/>
          <w:left w:val="nil"/>
          <w:bottom w:val="nil"/>
          <w:right w:val="nil"/>
          <w:between w:val="nil"/>
        </w:pBdr>
        <w:tabs>
          <w:tab w:val="left" w:pos="3449"/>
          <w:tab w:val="left" w:pos="4169"/>
        </w:tabs>
        <w:spacing w:before="1" w:line="256" w:lineRule="auto"/>
        <w:ind w:left="559" w:right="829" w:firstLine="8"/>
        <w:jc w:val="both"/>
        <w:rPr>
          <w:color w:val="000000"/>
          <w:sz w:val="24"/>
          <w:szCs w:val="24"/>
        </w:rPr>
      </w:pPr>
      <w:r>
        <w:rPr>
          <w:color w:val="0D0D0D"/>
          <w:sz w:val="24"/>
          <w:szCs w:val="24"/>
        </w:rPr>
        <w:t>Dr. Benard Wesonga</w:t>
      </w:r>
      <w:r>
        <w:rPr>
          <w:color w:val="0D0D0D"/>
          <w:sz w:val="24"/>
          <w:szCs w:val="24"/>
        </w:rPr>
        <w:tab/>
      </w:r>
      <w:r>
        <w:rPr>
          <w:color w:val="0D0D0D"/>
          <w:sz w:val="24"/>
          <w:szCs w:val="24"/>
        </w:rPr>
        <w:tab/>
      </w:r>
      <w:r>
        <w:rPr>
          <w:color w:val="0D0D0D"/>
          <w:sz w:val="24"/>
          <w:szCs w:val="24"/>
        </w:rPr>
        <w:tab/>
        <w:t>(MMUST- CO- PI)</w:t>
      </w:r>
    </w:p>
    <w:p w14:paraId="0000000F" w14:textId="77777777" w:rsidR="00655AEF" w:rsidRDefault="00000000">
      <w:pPr>
        <w:pBdr>
          <w:top w:val="nil"/>
          <w:left w:val="nil"/>
          <w:bottom w:val="nil"/>
          <w:right w:val="nil"/>
          <w:between w:val="nil"/>
        </w:pBdr>
        <w:tabs>
          <w:tab w:val="left" w:pos="3449"/>
        </w:tabs>
        <w:spacing w:line="254" w:lineRule="auto"/>
        <w:ind w:left="559" w:right="829"/>
        <w:jc w:val="both"/>
        <w:rPr>
          <w:color w:val="0D0D0D"/>
          <w:sz w:val="24"/>
          <w:szCs w:val="24"/>
        </w:rPr>
      </w:pPr>
      <w:r>
        <w:rPr>
          <w:color w:val="0D0D0D"/>
          <w:sz w:val="24"/>
          <w:szCs w:val="24"/>
        </w:rPr>
        <w:t>Sarah Morgan</w:t>
      </w:r>
      <w:r>
        <w:rPr>
          <w:color w:val="0D0D0D"/>
          <w:sz w:val="24"/>
          <w:szCs w:val="24"/>
        </w:rPr>
        <w:tab/>
      </w:r>
      <w:r>
        <w:rPr>
          <w:color w:val="0D0D0D"/>
          <w:sz w:val="24"/>
          <w:szCs w:val="24"/>
        </w:rPr>
        <w:tab/>
      </w:r>
      <w:r>
        <w:rPr>
          <w:color w:val="0D0D0D"/>
          <w:sz w:val="24"/>
          <w:szCs w:val="24"/>
        </w:rPr>
        <w:tab/>
        <w:t>(Immunify –Life – CO- Investigator)</w:t>
      </w:r>
    </w:p>
    <w:p w14:paraId="00000010" w14:textId="77777777" w:rsidR="00655AEF" w:rsidRDefault="00000000">
      <w:pPr>
        <w:pBdr>
          <w:top w:val="nil"/>
          <w:left w:val="nil"/>
          <w:bottom w:val="nil"/>
          <w:right w:val="nil"/>
          <w:between w:val="nil"/>
        </w:pBdr>
        <w:tabs>
          <w:tab w:val="left" w:pos="3449"/>
        </w:tabs>
        <w:spacing w:line="254" w:lineRule="auto"/>
        <w:ind w:left="559" w:right="829"/>
        <w:jc w:val="both"/>
        <w:rPr>
          <w:color w:val="000000"/>
          <w:sz w:val="24"/>
          <w:szCs w:val="24"/>
        </w:rPr>
      </w:pPr>
      <w:r>
        <w:rPr>
          <w:color w:val="0D0D0D"/>
          <w:sz w:val="24"/>
          <w:szCs w:val="24"/>
        </w:rPr>
        <w:t>Dr. Odoyo Collins</w:t>
      </w:r>
      <w:r>
        <w:rPr>
          <w:color w:val="0D0D0D"/>
          <w:sz w:val="24"/>
          <w:szCs w:val="24"/>
        </w:rPr>
        <w:tab/>
      </w:r>
      <w:r>
        <w:rPr>
          <w:color w:val="0D0D0D"/>
          <w:sz w:val="24"/>
          <w:szCs w:val="24"/>
        </w:rPr>
        <w:tab/>
      </w:r>
      <w:r>
        <w:rPr>
          <w:color w:val="0D0D0D"/>
          <w:sz w:val="24"/>
          <w:szCs w:val="24"/>
        </w:rPr>
        <w:tab/>
        <w:t>(MMUST- CO-Investigator)</w:t>
      </w:r>
    </w:p>
    <w:p w14:paraId="00000011" w14:textId="77777777" w:rsidR="00655AEF" w:rsidRDefault="00000000">
      <w:pPr>
        <w:pBdr>
          <w:top w:val="nil"/>
          <w:left w:val="nil"/>
          <w:bottom w:val="nil"/>
          <w:right w:val="nil"/>
          <w:between w:val="nil"/>
        </w:pBdr>
        <w:tabs>
          <w:tab w:val="left" w:pos="3449"/>
        </w:tabs>
        <w:spacing w:line="254" w:lineRule="auto"/>
        <w:ind w:left="559" w:right="829"/>
        <w:jc w:val="both"/>
        <w:rPr>
          <w:color w:val="0D0D0D"/>
          <w:sz w:val="24"/>
          <w:szCs w:val="24"/>
        </w:rPr>
      </w:pPr>
      <w:r>
        <w:rPr>
          <w:color w:val="0D0D0D"/>
          <w:sz w:val="24"/>
          <w:szCs w:val="24"/>
        </w:rPr>
        <w:t>Professor John K. Thuo</w:t>
      </w:r>
      <w:r>
        <w:rPr>
          <w:color w:val="0D0D0D"/>
          <w:sz w:val="24"/>
          <w:szCs w:val="24"/>
        </w:rPr>
        <w:tab/>
      </w:r>
      <w:r>
        <w:rPr>
          <w:color w:val="0D0D0D"/>
          <w:sz w:val="24"/>
          <w:szCs w:val="24"/>
        </w:rPr>
        <w:tab/>
      </w:r>
      <w:r>
        <w:rPr>
          <w:color w:val="0D0D0D"/>
          <w:sz w:val="24"/>
          <w:szCs w:val="24"/>
        </w:rPr>
        <w:tab/>
        <w:t>(MMUST- CO-Investigator)</w:t>
      </w:r>
    </w:p>
    <w:p w14:paraId="00000012" w14:textId="77777777" w:rsidR="00655AEF" w:rsidRDefault="00000000">
      <w:pPr>
        <w:pBdr>
          <w:top w:val="nil"/>
          <w:left w:val="nil"/>
          <w:bottom w:val="nil"/>
          <w:right w:val="nil"/>
          <w:between w:val="nil"/>
        </w:pBdr>
        <w:tabs>
          <w:tab w:val="left" w:pos="3449"/>
        </w:tabs>
        <w:spacing w:line="254" w:lineRule="auto"/>
        <w:ind w:left="559" w:right="829"/>
        <w:jc w:val="both"/>
        <w:rPr>
          <w:color w:val="000000"/>
          <w:sz w:val="24"/>
          <w:szCs w:val="24"/>
        </w:rPr>
      </w:pPr>
      <w:r>
        <w:rPr>
          <w:color w:val="0D0D0D"/>
          <w:sz w:val="24"/>
          <w:szCs w:val="24"/>
        </w:rPr>
        <w:t xml:space="preserve">Prof. Charles Mutai </w:t>
      </w:r>
      <w:r>
        <w:rPr>
          <w:color w:val="0D0D0D"/>
          <w:sz w:val="24"/>
          <w:szCs w:val="24"/>
        </w:rPr>
        <w:tab/>
      </w:r>
      <w:r>
        <w:rPr>
          <w:color w:val="0D0D0D"/>
          <w:sz w:val="24"/>
          <w:szCs w:val="24"/>
        </w:rPr>
        <w:tab/>
      </w:r>
      <w:r>
        <w:rPr>
          <w:color w:val="0D0D0D"/>
          <w:sz w:val="24"/>
          <w:szCs w:val="24"/>
        </w:rPr>
        <w:tab/>
        <w:t>(MMUST- CO-Investigator)</w:t>
      </w:r>
    </w:p>
    <w:p w14:paraId="00000013" w14:textId="77777777" w:rsidR="00655AEF" w:rsidRDefault="00000000">
      <w:pPr>
        <w:pBdr>
          <w:top w:val="nil"/>
          <w:left w:val="nil"/>
          <w:bottom w:val="nil"/>
          <w:right w:val="nil"/>
          <w:between w:val="nil"/>
        </w:pBdr>
        <w:tabs>
          <w:tab w:val="left" w:pos="3449"/>
        </w:tabs>
        <w:spacing w:line="254" w:lineRule="auto"/>
        <w:ind w:left="559" w:right="829"/>
        <w:jc w:val="both"/>
        <w:rPr>
          <w:color w:val="0D0D0D"/>
          <w:sz w:val="24"/>
          <w:szCs w:val="24"/>
        </w:rPr>
      </w:pPr>
      <w:r>
        <w:rPr>
          <w:color w:val="0D0D0D"/>
          <w:sz w:val="24"/>
          <w:szCs w:val="24"/>
        </w:rPr>
        <w:t>Prof. Otuya Willis</w:t>
      </w:r>
      <w:r>
        <w:rPr>
          <w:color w:val="0D0D0D"/>
          <w:sz w:val="24"/>
          <w:szCs w:val="24"/>
        </w:rPr>
        <w:tab/>
      </w:r>
      <w:r>
        <w:rPr>
          <w:color w:val="0D0D0D"/>
          <w:sz w:val="24"/>
          <w:szCs w:val="24"/>
        </w:rPr>
        <w:tab/>
      </w:r>
      <w:r>
        <w:rPr>
          <w:color w:val="0D0D0D"/>
          <w:sz w:val="24"/>
          <w:szCs w:val="24"/>
        </w:rPr>
        <w:tab/>
        <w:t>(MMUST- CO-Investigator)</w:t>
      </w:r>
    </w:p>
    <w:p w14:paraId="00000014" w14:textId="77777777" w:rsidR="00655AEF" w:rsidRDefault="00000000">
      <w:pPr>
        <w:pBdr>
          <w:top w:val="nil"/>
          <w:left w:val="nil"/>
          <w:bottom w:val="nil"/>
          <w:right w:val="nil"/>
          <w:between w:val="nil"/>
        </w:pBdr>
        <w:tabs>
          <w:tab w:val="left" w:pos="3449"/>
        </w:tabs>
        <w:spacing w:line="254" w:lineRule="auto"/>
        <w:ind w:left="559" w:right="829"/>
        <w:rPr>
          <w:color w:val="0D0D0D"/>
          <w:sz w:val="24"/>
          <w:szCs w:val="24"/>
        </w:rPr>
      </w:pPr>
      <w:r>
        <w:rPr>
          <w:color w:val="0D0D0D"/>
          <w:sz w:val="24"/>
          <w:szCs w:val="24"/>
        </w:rPr>
        <w:t>Dr. Consolata Ngala</w:t>
      </w:r>
      <w:r>
        <w:rPr>
          <w:color w:val="0D0D0D"/>
          <w:sz w:val="24"/>
          <w:szCs w:val="24"/>
        </w:rPr>
        <w:tab/>
      </w:r>
      <w:r>
        <w:rPr>
          <w:color w:val="0D0D0D"/>
          <w:sz w:val="24"/>
          <w:szCs w:val="24"/>
        </w:rPr>
        <w:tab/>
      </w:r>
      <w:r>
        <w:rPr>
          <w:color w:val="0D0D0D"/>
          <w:sz w:val="24"/>
          <w:szCs w:val="24"/>
        </w:rPr>
        <w:tab/>
        <w:t xml:space="preserve">(MMUST- CO-Investigator) </w:t>
      </w:r>
    </w:p>
    <w:p w14:paraId="00000015" w14:textId="77777777" w:rsidR="00655AEF" w:rsidRDefault="00000000">
      <w:pPr>
        <w:pBdr>
          <w:top w:val="nil"/>
          <w:left w:val="nil"/>
          <w:bottom w:val="nil"/>
          <w:right w:val="nil"/>
          <w:between w:val="nil"/>
        </w:pBdr>
        <w:tabs>
          <w:tab w:val="left" w:pos="3449"/>
        </w:tabs>
        <w:spacing w:line="254" w:lineRule="auto"/>
        <w:ind w:left="559" w:right="829"/>
        <w:rPr>
          <w:color w:val="0D0D0D"/>
          <w:sz w:val="24"/>
          <w:szCs w:val="24"/>
        </w:rPr>
      </w:pPr>
      <w:r>
        <w:rPr>
          <w:color w:val="0D0D0D"/>
          <w:sz w:val="24"/>
          <w:szCs w:val="24"/>
        </w:rPr>
        <w:t>Dr. Mike Ekisa</w:t>
      </w:r>
      <w:r>
        <w:rPr>
          <w:color w:val="0D0D0D"/>
          <w:sz w:val="24"/>
          <w:szCs w:val="24"/>
        </w:rPr>
        <w:tab/>
      </w:r>
      <w:r>
        <w:rPr>
          <w:color w:val="0D0D0D"/>
          <w:sz w:val="24"/>
          <w:szCs w:val="24"/>
        </w:rPr>
        <w:tab/>
      </w:r>
      <w:r>
        <w:rPr>
          <w:color w:val="0D0D0D"/>
          <w:sz w:val="24"/>
          <w:szCs w:val="24"/>
        </w:rPr>
        <w:tab/>
        <w:t xml:space="preserve">(AMPATH - CO-Investigator) </w:t>
      </w:r>
    </w:p>
    <w:p w14:paraId="00000016" w14:textId="77777777" w:rsidR="00655AEF" w:rsidRDefault="00000000">
      <w:pPr>
        <w:pBdr>
          <w:top w:val="nil"/>
          <w:left w:val="nil"/>
          <w:bottom w:val="nil"/>
          <w:right w:val="nil"/>
          <w:between w:val="nil"/>
        </w:pBdr>
        <w:tabs>
          <w:tab w:val="left" w:pos="3449"/>
        </w:tabs>
        <w:spacing w:line="254" w:lineRule="auto"/>
        <w:ind w:left="559" w:right="829"/>
        <w:rPr>
          <w:color w:val="0D0D0D"/>
          <w:sz w:val="24"/>
          <w:szCs w:val="24"/>
        </w:rPr>
      </w:pPr>
      <w:r>
        <w:rPr>
          <w:color w:val="0D0D0D"/>
          <w:sz w:val="24"/>
          <w:szCs w:val="24"/>
        </w:rPr>
        <w:t>Prof Mengech Gladys</w:t>
      </w:r>
      <w:r>
        <w:rPr>
          <w:color w:val="0D0D0D"/>
          <w:sz w:val="24"/>
          <w:szCs w:val="24"/>
        </w:rPr>
        <w:tab/>
      </w:r>
      <w:r>
        <w:rPr>
          <w:color w:val="0D0D0D"/>
          <w:sz w:val="24"/>
          <w:szCs w:val="24"/>
        </w:rPr>
        <w:tab/>
      </w:r>
      <w:r>
        <w:rPr>
          <w:color w:val="0D0D0D"/>
          <w:sz w:val="24"/>
          <w:szCs w:val="24"/>
        </w:rPr>
        <w:tab/>
        <w:t>(MMUST- CO-Investigator)</w:t>
      </w:r>
    </w:p>
    <w:p w14:paraId="00000017" w14:textId="77777777" w:rsidR="00655AEF" w:rsidRDefault="00000000">
      <w:pPr>
        <w:pBdr>
          <w:top w:val="nil"/>
          <w:left w:val="nil"/>
          <w:bottom w:val="nil"/>
          <w:right w:val="nil"/>
          <w:between w:val="nil"/>
        </w:pBdr>
        <w:tabs>
          <w:tab w:val="left" w:pos="3449"/>
        </w:tabs>
        <w:spacing w:line="254" w:lineRule="auto"/>
        <w:ind w:left="559" w:right="829"/>
        <w:jc w:val="both"/>
        <w:rPr>
          <w:color w:val="000000"/>
          <w:sz w:val="24"/>
          <w:szCs w:val="24"/>
        </w:rPr>
      </w:pPr>
      <w:r>
        <w:rPr>
          <w:color w:val="0D0D0D"/>
          <w:sz w:val="24"/>
          <w:szCs w:val="24"/>
        </w:rPr>
        <w:t>Dr. Okwiri Dinnah</w:t>
      </w:r>
      <w:r>
        <w:rPr>
          <w:color w:val="0D0D0D"/>
          <w:sz w:val="24"/>
          <w:szCs w:val="24"/>
        </w:rPr>
        <w:tab/>
      </w:r>
      <w:r>
        <w:rPr>
          <w:color w:val="0D0D0D"/>
          <w:sz w:val="24"/>
          <w:szCs w:val="24"/>
        </w:rPr>
        <w:tab/>
      </w:r>
      <w:r>
        <w:rPr>
          <w:color w:val="0D0D0D"/>
          <w:sz w:val="24"/>
          <w:szCs w:val="24"/>
        </w:rPr>
        <w:tab/>
        <w:t>(MMUST- CO-Investigator)</w:t>
      </w:r>
    </w:p>
    <w:p w14:paraId="00000018" w14:textId="77777777" w:rsidR="00655AEF" w:rsidRDefault="00655AEF">
      <w:pPr>
        <w:pBdr>
          <w:top w:val="nil"/>
          <w:left w:val="nil"/>
          <w:bottom w:val="nil"/>
          <w:right w:val="nil"/>
          <w:between w:val="nil"/>
        </w:pBdr>
        <w:rPr>
          <w:color w:val="000000"/>
          <w:sz w:val="24"/>
          <w:szCs w:val="24"/>
        </w:rPr>
      </w:pPr>
    </w:p>
    <w:p w14:paraId="00000019" w14:textId="77777777" w:rsidR="00655AEF" w:rsidRDefault="00655AEF">
      <w:pPr>
        <w:pBdr>
          <w:top w:val="nil"/>
          <w:left w:val="nil"/>
          <w:bottom w:val="nil"/>
          <w:right w:val="nil"/>
          <w:between w:val="nil"/>
        </w:pBdr>
        <w:spacing w:before="70"/>
        <w:rPr>
          <w:color w:val="000000"/>
          <w:sz w:val="24"/>
          <w:szCs w:val="24"/>
        </w:rPr>
      </w:pPr>
    </w:p>
    <w:p w14:paraId="0000001A" w14:textId="77777777" w:rsidR="00655AEF" w:rsidRDefault="00000000">
      <w:pPr>
        <w:spacing w:before="1"/>
        <w:ind w:left="336" w:right="1037"/>
        <w:jc w:val="center"/>
        <w:rPr>
          <w:b/>
          <w:sz w:val="28"/>
          <w:szCs w:val="28"/>
        </w:rPr>
      </w:pPr>
      <w:proofErr w:type="gramStart"/>
      <w:r>
        <w:rPr>
          <w:b/>
          <w:color w:val="0D0D0D"/>
          <w:sz w:val="28"/>
          <w:szCs w:val="28"/>
        </w:rPr>
        <w:t>July,</w:t>
      </w:r>
      <w:proofErr w:type="gramEnd"/>
      <w:r>
        <w:rPr>
          <w:b/>
          <w:color w:val="0D0D0D"/>
          <w:sz w:val="28"/>
          <w:szCs w:val="28"/>
        </w:rPr>
        <w:t xml:space="preserve"> 2025</w:t>
      </w:r>
    </w:p>
    <w:p w14:paraId="0000001B" w14:textId="77777777" w:rsidR="00655AEF" w:rsidRDefault="00000000">
      <w:pPr>
        <w:keepNext/>
        <w:keepLines/>
        <w:widowControl/>
        <w:pBdr>
          <w:top w:val="nil"/>
          <w:left w:val="nil"/>
          <w:bottom w:val="nil"/>
          <w:right w:val="nil"/>
          <w:between w:val="nil"/>
        </w:pBdr>
        <w:spacing w:before="480" w:line="276" w:lineRule="auto"/>
        <w:jc w:val="center"/>
        <w:rPr>
          <w:b/>
          <w:color w:val="000000"/>
          <w:sz w:val="32"/>
          <w:szCs w:val="32"/>
        </w:rPr>
      </w:pPr>
      <w:r>
        <w:rPr>
          <w:b/>
          <w:color w:val="000000"/>
          <w:sz w:val="32"/>
          <w:szCs w:val="32"/>
        </w:rPr>
        <w:t>Table of Contents</w:t>
      </w:r>
    </w:p>
    <w:sdt>
      <w:sdtPr>
        <w:id w:val="-1291313466"/>
        <w:docPartObj>
          <w:docPartGallery w:val="Table of Contents"/>
          <w:docPartUnique/>
        </w:docPartObj>
      </w:sdtPr>
      <w:sdtContent>
        <w:p w14:paraId="0000001C"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4pya94zc12nj">
            <w:r>
              <w:rPr>
                <w:color w:val="000000"/>
              </w:rPr>
              <w:t>List of Tables</w:t>
            </w:r>
            <w:r>
              <w:rPr>
                <w:color w:val="000000"/>
              </w:rPr>
              <w:tab/>
              <w:t>4</w:t>
            </w:r>
          </w:hyperlink>
          <w:r>
            <w:fldChar w:fldCharType="begin"/>
          </w:r>
          <w:r>
            <w:instrText xml:space="preserve"> HYPERLINK \l "_heading=h.4pya94zc12nj" </w:instrText>
          </w:r>
          <w:r>
            <w:fldChar w:fldCharType="separate"/>
          </w:r>
        </w:p>
        <w:p w14:paraId="0000001D"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wn3zwz25mvvb">
            <w:r>
              <w:rPr>
                <w:color w:val="000000"/>
              </w:rPr>
              <w:t>List of Figures</w:t>
            </w:r>
            <w:r>
              <w:rPr>
                <w:color w:val="000000"/>
              </w:rPr>
              <w:tab/>
              <w:t>5</w:t>
            </w:r>
          </w:hyperlink>
          <w:r>
            <w:fldChar w:fldCharType="begin"/>
          </w:r>
          <w:r>
            <w:instrText xml:space="preserve"> HYPERLINK \l "_heading=h.wn3zwz25mvvb" </w:instrText>
          </w:r>
          <w:r>
            <w:fldChar w:fldCharType="separate"/>
          </w:r>
        </w:p>
        <w:p w14:paraId="0000001E"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z0lao4f61t8p">
            <w:r>
              <w:rPr>
                <w:color w:val="000000"/>
              </w:rPr>
              <w:t>Acknowledgement</w:t>
            </w:r>
            <w:r>
              <w:rPr>
                <w:color w:val="000000"/>
              </w:rPr>
              <w:tab/>
              <w:t>6</w:t>
            </w:r>
          </w:hyperlink>
          <w:r>
            <w:fldChar w:fldCharType="begin"/>
          </w:r>
          <w:r>
            <w:instrText xml:space="preserve"> HYPERLINK \l "_heading=h.z0lao4f61t8p" </w:instrText>
          </w:r>
          <w:r>
            <w:fldChar w:fldCharType="separate"/>
          </w:r>
        </w:p>
        <w:p w14:paraId="0000001F"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ckbqfrs6qkuo">
            <w:r>
              <w:rPr>
                <w:color w:val="000000"/>
              </w:rPr>
              <w:t>Operational Definition</w:t>
            </w:r>
            <w:r>
              <w:rPr>
                <w:color w:val="000000"/>
              </w:rPr>
              <w:tab/>
              <w:t>7</w:t>
            </w:r>
          </w:hyperlink>
          <w:r>
            <w:fldChar w:fldCharType="begin"/>
          </w:r>
          <w:r>
            <w:instrText xml:space="preserve"> HYPERLINK \l "_heading=h.ckbqfrs6qkuo" </w:instrText>
          </w:r>
          <w:r>
            <w:fldChar w:fldCharType="separate"/>
          </w:r>
        </w:p>
        <w:p w14:paraId="00000020"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qi7nhw7s16ws">
            <w:r>
              <w:rPr>
                <w:color w:val="000000"/>
              </w:rPr>
              <w:t>Acronyms and Abbreviations</w:t>
            </w:r>
            <w:r>
              <w:rPr>
                <w:color w:val="000000"/>
              </w:rPr>
              <w:tab/>
              <w:t>8</w:t>
            </w:r>
          </w:hyperlink>
          <w:r>
            <w:fldChar w:fldCharType="begin"/>
          </w:r>
          <w:r>
            <w:instrText xml:space="preserve"> HYPERLINK \l "_heading=h.qi7nhw7s16ws" </w:instrText>
          </w:r>
          <w:r>
            <w:fldChar w:fldCharType="separate"/>
          </w:r>
        </w:p>
        <w:p w14:paraId="00000021"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l2ftpxpm4vk">
            <w:r>
              <w:rPr>
                <w:color w:val="000000"/>
              </w:rPr>
              <w:t>Executive Summary</w:t>
            </w:r>
            <w:r>
              <w:rPr>
                <w:color w:val="000000"/>
              </w:rPr>
              <w:tab/>
              <w:t>9</w:t>
            </w:r>
          </w:hyperlink>
          <w:r>
            <w:fldChar w:fldCharType="begin"/>
          </w:r>
          <w:r>
            <w:instrText xml:space="preserve"> HYPERLINK \l "_heading=h.l2ftpxpm4vk" </w:instrText>
          </w:r>
          <w:r>
            <w:fldChar w:fldCharType="separate"/>
          </w:r>
        </w:p>
        <w:p w14:paraId="00000022"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glqafjsxhpnd">
            <w:r>
              <w:rPr>
                <w:color w:val="000000"/>
              </w:rPr>
              <w:t>CHAPTER ONE</w:t>
            </w:r>
            <w:r>
              <w:rPr>
                <w:color w:val="000000"/>
              </w:rPr>
              <w:tab/>
              <w:t>10</w:t>
            </w:r>
          </w:hyperlink>
          <w:r>
            <w:fldChar w:fldCharType="begin"/>
          </w:r>
          <w:r>
            <w:instrText xml:space="preserve"> HYPERLINK \l "_heading=h.glqafjsxhpnd" </w:instrText>
          </w:r>
          <w:r>
            <w:fldChar w:fldCharType="separate"/>
          </w:r>
        </w:p>
        <w:p w14:paraId="00000023"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vic0o85qzxzp">
            <w:r>
              <w:rPr>
                <w:color w:val="000000"/>
              </w:rPr>
              <w:t>INTRODUCTION</w:t>
            </w:r>
            <w:r>
              <w:rPr>
                <w:color w:val="000000"/>
              </w:rPr>
              <w:tab/>
              <w:t>10</w:t>
            </w:r>
          </w:hyperlink>
          <w:r>
            <w:fldChar w:fldCharType="begin"/>
          </w:r>
          <w:r>
            <w:instrText xml:space="preserve"> HYPERLINK \l "_heading=h.vic0o85qzxzp" </w:instrText>
          </w:r>
          <w:r>
            <w:fldChar w:fldCharType="separate"/>
          </w:r>
        </w:p>
        <w:p w14:paraId="00000024"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44nicktb2v28">
            <w:r>
              <w:rPr>
                <w:color w:val="000000"/>
              </w:rPr>
              <w:t>1.1.</w:t>
            </w:r>
          </w:hyperlink>
          <w:hyperlink w:anchor="_heading=h.44nicktb2v28">
            <w:r>
              <w:rPr>
                <w:rFonts w:ascii="Calibri" w:eastAsia="Calibri" w:hAnsi="Calibri" w:cs="Calibri"/>
                <w:color w:val="000000"/>
              </w:rPr>
              <w:tab/>
            </w:r>
          </w:hyperlink>
          <w:r>
            <w:fldChar w:fldCharType="begin"/>
          </w:r>
          <w:r>
            <w:instrText xml:space="preserve"> PAGEREF _heading=h.44nicktb2v28 \h </w:instrText>
          </w:r>
          <w:r>
            <w:fldChar w:fldCharType="separate"/>
          </w:r>
          <w:r>
            <w:rPr>
              <w:color w:val="000000"/>
            </w:rPr>
            <w:t>Overview</w:t>
          </w:r>
          <w:r>
            <w:rPr>
              <w:color w:val="000000"/>
            </w:rPr>
            <w:tab/>
            <w:t>10</w:t>
          </w:r>
          <w:hyperlink w:anchor="_heading=h.44nicktb2v28" w:history="1"/>
        </w:p>
        <w:p w14:paraId="00000025"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d7q4sbbmhxah">
            <w:r>
              <w:rPr>
                <w:color w:val="000000"/>
              </w:rPr>
              <w:t>1.2.</w:t>
            </w:r>
          </w:hyperlink>
          <w:hyperlink w:anchor="_heading=h.d7q4sbbmhxah">
            <w:r>
              <w:rPr>
                <w:rFonts w:ascii="Calibri" w:eastAsia="Calibri" w:hAnsi="Calibri" w:cs="Calibri"/>
                <w:color w:val="000000"/>
              </w:rPr>
              <w:tab/>
            </w:r>
          </w:hyperlink>
          <w:r>
            <w:fldChar w:fldCharType="begin"/>
          </w:r>
          <w:r>
            <w:instrText xml:space="preserve"> PAGEREF _heading=h.d7q4sbbmhxah \h </w:instrText>
          </w:r>
          <w:r>
            <w:fldChar w:fldCharType="separate"/>
          </w:r>
          <w:r>
            <w:rPr>
              <w:color w:val="000000"/>
            </w:rPr>
            <w:t>Background on Disease and Literature Review</w:t>
          </w:r>
          <w:r>
            <w:rPr>
              <w:color w:val="000000"/>
            </w:rPr>
            <w:tab/>
            <w:t>10</w:t>
          </w:r>
          <w:hyperlink w:anchor="_heading=h.d7q4sbbmhxah" w:history="1"/>
        </w:p>
        <w:p w14:paraId="00000026"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1p6ntwvjmmu">
            <w:r>
              <w:rPr>
                <w:color w:val="000000"/>
              </w:rPr>
              <w:t>1.3.</w:t>
            </w:r>
          </w:hyperlink>
          <w:hyperlink w:anchor="_heading=h.1p6ntwvjmmu">
            <w:r>
              <w:rPr>
                <w:rFonts w:ascii="Calibri" w:eastAsia="Calibri" w:hAnsi="Calibri" w:cs="Calibri"/>
                <w:color w:val="000000"/>
              </w:rPr>
              <w:tab/>
            </w:r>
          </w:hyperlink>
          <w:r>
            <w:fldChar w:fldCharType="begin"/>
          </w:r>
          <w:r>
            <w:instrText xml:space="preserve"> PAGEREF _heading=h.1p6ntwvjmmu \h </w:instrText>
          </w:r>
          <w:r>
            <w:fldChar w:fldCharType="separate"/>
          </w:r>
          <w:r>
            <w:rPr>
              <w:color w:val="000000"/>
            </w:rPr>
            <w:t>Problem Statement</w:t>
          </w:r>
          <w:r>
            <w:rPr>
              <w:color w:val="000000"/>
            </w:rPr>
            <w:tab/>
            <w:t>12</w:t>
          </w:r>
          <w:hyperlink w:anchor="_heading=h.1p6ntwvjmmu" w:history="1"/>
        </w:p>
        <w:p w14:paraId="00000027"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el1mc3h8670">
            <w:r>
              <w:rPr>
                <w:color w:val="000000"/>
              </w:rPr>
              <w:t>1.4.</w:t>
            </w:r>
          </w:hyperlink>
          <w:hyperlink w:anchor="_heading=h.el1mc3h8670">
            <w:r>
              <w:rPr>
                <w:rFonts w:ascii="Calibri" w:eastAsia="Calibri" w:hAnsi="Calibri" w:cs="Calibri"/>
                <w:color w:val="000000"/>
              </w:rPr>
              <w:tab/>
            </w:r>
          </w:hyperlink>
          <w:r>
            <w:fldChar w:fldCharType="begin"/>
          </w:r>
          <w:r>
            <w:instrText xml:space="preserve"> PAGEREF _heading=h.el1mc3h8670 \h </w:instrText>
          </w:r>
          <w:r>
            <w:fldChar w:fldCharType="separate"/>
          </w:r>
          <w:r>
            <w:rPr>
              <w:color w:val="000000"/>
            </w:rPr>
            <w:t>Study Objectives</w:t>
          </w:r>
          <w:r>
            <w:rPr>
              <w:color w:val="000000"/>
            </w:rPr>
            <w:tab/>
            <w:t>13</w:t>
          </w:r>
          <w:hyperlink w:anchor="_heading=h.el1mc3h8670" w:history="1"/>
        </w:p>
        <w:p w14:paraId="00000028"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7t8qu138b7sq">
            <w:r>
              <w:rPr>
                <w:color w:val="000000"/>
              </w:rPr>
              <w:t>1.4.1.</w:t>
            </w:r>
          </w:hyperlink>
          <w:hyperlink w:anchor="_heading=h.7t8qu138b7sq">
            <w:r>
              <w:rPr>
                <w:rFonts w:ascii="Calibri" w:eastAsia="Calibri" w:hAnsi="Calibri" w:cs="Calibri"/>
                <w:color w:val="000000"/>
              </w:rPr>
              <w:tab/>
            </w:r>
          </w:hyperlink>
          <w:r>
            <w:fldChar w:fldCharType="begin"/>
          </w:r>
          <w:r>
            <w:instrText xml:space="preserve"> PAGEREF _heading=h.7t8qu138b7sq \h </w:instrText>
          </w:r>
          <w:r>
            <w:fldChar w:fldCharType="separate"/>
          </w:r>
          <w:r>
            <w:rPr>
              <w:color w:val="000000"/>
            </w:rPr>
            <w:t>Broad objective</w:t>
          </w:r>
          <w:r>
            <w:rPr>
              <w:color w:val="000000"/>
            </w:rPr>
            <w:tab/>
            <w:t>13</w:t>
          </w:r>
          <w:hyperlink w:anchor="_heading=h.7t8qu138b7sq" w:history="1"/>
        </w:p>
        <w:p w14:paraId="00000029"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e1w6l7sy1q2v">
            <w:r>
              <w:rPr>
                <w:color w:val="000000"/>
              </w:rPr>
              <w:t>1.4.2.</w:t>
            </w:r>
          </w:hyperlink>
          <w:hyperlink w:anchor="_heading=h.e1w6l7sy1q2v">
            <w:r>
              <w:rPr>
                <w:rFonts w:ascii="Calibri" w:eastAsia="Calibri" w:hAnsi="Calibri" w:cs="Calibri"/>
                <w:color w:val="000000"/>
              </w:rPr>
              <w:tab/>
            </w:r>
          </w:hyperlink>
          <w:r>
            <w:fldChar w:fldCharType="begin"/>
          </w:r>
          <w:r>
            <w:instrText xml:space="preserve"> PAGEREF _heading=h.e1w6l7sy1q2v \h </w:instrText>
          </w:r>
          <w:r>
            <w:fldChar w:fldCharType="separate"/>
          </w:r>
          <w:r>
            <w:rPr>
              <w:color w:val="000000"/>
            </w:rPr>
            <w:t>Specific Objectives</w:t>
          </w:r>
          <w:r>
            <w:rPr>
              <w:color w:val="000000"/>
            </w:rPr>
            <w:tab/>
            <w:t>13</w:t>
          </w:r>
          <w:hyperlink w:anchor="_heading=h.e1w6l7sy1q2v" w:history="1"/>
        </w:p>
        <w:p w14:paraId="0000002A"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ueo7exv9976r">
            <w:r>
              <w:rPr>
                <w:color w:val="000000"/>
              </w:rPr>
              <w:t>1.4.3.</w:t>
            </w:r>
          </w:hyperlink>
          <w:hyperlink w:anchor="_heading=h.ueo7exv9976r">
            <w:r>
              <w:rPr>
                <w:rFonts w:ascii="Calibri" w:eastAsia="Calibri" w:hAnsi="Calibri" w:cs="Calibri"/>
                <w:color w:val="000000"/>
              </w:rPr>
              <w:tab/>
            </w:r>
          </w:hyperlink>
          <w:r>
            <w:fldChar w:fldCharType="begin"/>
          </w:r>
          <w:r>
            <w:instrText xml:space="preserve"> PAGEREF _heading=h.ueo7exv9976r \h </w:instrText>
          </w:r>
          <w:r>
            <w:fldChar w:fldCharType="separate"/>
          </w:r>
          <w:r>
            <w:rPr>
              <w:color w:val="000000"/>
            </w:rPr>
            <w:t>Research Questions</w:t>
          </w:r>
          <w:r>
            <w:rPr>
              <w:color w:val="000000"/>
            </w:rPr>
            <w:tab/>
            <w:t>13</w:t>
          </w:r>
          <w:hyperlink w:anchor="_heading=h.ueo7exv9976r" w:history="1"/>
        </w:p>
        <w:p w14:paraId="0000002B"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nncvv0jtllw3">
            <w:r>
              <w:rPr>
                <w:color w:val="000000"/>
              </w:rPr>
              <w:t>1.5.</w:t>
            </w:r>
          </w:hyperlink>
          <w:hyperlink w:anchor="_heading=h.nncvv0jtllw3">
            <w:r>
              <w:rPr>
                <w:rFonts w:ascii="Calibri" w:eastAsia="Calibri" w:hAnsi="Calibri" w:cs="Calibri"/>
                <w:color w:val="000000"/>
              </w:rPr>
              <w:tab/>
            </w:r>
          </w:hyperlink>
          <w:r>
            <w:fldChar w:fldCharType="begin"/>
          </w:r>
          <w:r>
            <w:instrText xml:space="preserve"> PAGEREF _heading=h.nncvv0jtllw3 \h </w:instrText>
          </w:r>
          <w:r>
            <w:fldChar w:fldCharType="separate"/>
          </w:r>
          <w:r>
            <w:rPr>
              <w:color w:val="000000"/>
            </w:rPr>
            <w:t>Study Rationale and justification.</w:t>
          </w:r>
          <w:r>
            <w:rPr>
              <w:color w:val="000000"/>
            </w:rPr>
            <w:tab/>
            <w:t>13</w:t>
          </w:r>
          <w:hyperlink w:anchor="_heading=h.nncvv0jtllw3" w:history="1"/>
        </w:p>
        <w:p w14:paraId="0000002C"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tl7tneyuhne5">
            <w:r>
              <w:rPr>
                <w:color w:val="000000"/>
              </w:rPr>
              <w:t>CHAPTER TWO</w:t>
            </w:r>
            <w:r>
              <w:rPr>
                <w:color w:val="000000"/>
              </w:rPr>
              <w:tab/>
              <w:t>14</w:t>
            </w:r>
          </w:hyperlink>
          <w:r>
            <w:fldChar w:fldCharType="begin"/>
          </w:r>
          <w:r>
            <w:instrText xml:space="preserve"> HYPERLINK \l "_heading=h.tl7tneyuhne5" </w:instrText>
          </w:r>
          <w:r>
            <w:fldChar w:fldCharType="separate"/>
          </w:r>
        </w:p>
        <w:p w14:paraId="0000002D"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w9n6nqb9qv9z">
            <w:r>
              <w:rPr>
                <w:color w:val="000000"/>
              </w:rPr>
              <w:t>RESEARCH METHODOLOGY</w:t>
            </w:r>
            <w:r>
              <w:rPr>
                <w:color w:val="000000"/>
              </w:rPr>
              <w:tab/>
              <w:t>14</w:t>
            </w:r>
          </w:hyperlink>
          <w:r>
            <w:fldChar w:fldCharType="begin"/>
          </w:r>
          <w:r>
            <w:instrText xml:space="preserve"> HYPERLINK \l "_heading=h.w9n6nqb9qv9z" </w:instrText>
          </w:r>
          <w:r>
            <w:fldChar w:fldCharType="separate"/>
          </w:r>
        </w:p>
        <w:p w14:paraId="0000002E"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vhlkvzn7pbxx">
            <w:r>
              <w:rPr>
                <w:color w:val="000000"/>
              </w:rPr>
              <w:t>2.1.</w:t>
            </w:r>
          </w:hyperlink>
          <w:hyperlink w:anchor="_heading=h.vhlkvzn7pbxx">
            <w:r>
              <w:rPr>
                <w:rFonts w:ascii="Calibri" w:eastAsia="Calibri" w:hAnsi="Calibri" w:cs="Calibri"/>
                <w:color w:val="000000"/>
              </w:rPr>
              <w:tab/>
            </w:r>
          </w:hyperlink>
          <w:r>
            <w:fldChar w:fldCharType="begin"/>
          </w:r>
          <w:r>
            <w:instrText xml:space="preserve"> PAGEREF _heading=h.vhlkvzn7pbxx \h </w:instrText>
          </w:r>
          <w:r>
            <w:fldChar w:fldCharType="separate"/>
          </w:r>
          <w:r>
            <w:rPr>
              <w:color w:val="000000"/>
            </w:rPr>
            <w:t>Overview</w:t>
          </w:r>
          <w:r>
            <w:rPr>
              <w:color w:val="000000"/>
            </w:rPr>
            <w:tab/>
            <w:t>14</w:t>
          </w:r>
          <w:hyperlink w:anchor="_heading=h.vhlkvzn7pbxx" w:history="1"/>
        </w:p>
        <w:p w14:paraId="0000002F"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icqijuefims1">
            <w:r>
              <w:rPr>
                <w:color w:val="000000"/>
              </w:rPr>
              <w:t>2.2.</w:t>
            </w:r>
          </w:hyperlink>
          <w:hyperlink w:anchor="_heading=h.icqijuefims1">
            <w:r>
              <w:rPr>
                <w:rFonts w:ascii="Calibri" w:eastAsia="Calibri" w:hAnsi="Calibri" w:cs="Calibri"/>
                <w:color w:val="000000"/>
              </w:rPr>
              <w:tab/>
            </w:r>
          </w:hyperlink>
          <w:r>
            <w:fldChar w:fldCharType="begin"/>
          </w:r>
          <w:r>
            <w:instrText xml:space="preserve"> PAGEREF _heading=h.icqijuefims1 \h </w:instrText>
          </w:r>
          <w:r>
            <w:fldChar w:fldCharType="separate"/>
          </w:r>
          <w:r>
            <w:rPr>
              <w:color w:val="000000"/>
            </w:rPr>
            <w:t>Study design</w:t>
          </w:r>
          <w:r>
            <w:rPr>
              <w:color w:val="000000"/>
            </w:rPr>
            <w:tab/>
            <w:t>14</w:t>
          </w:r>
          <w:hyperlink w:anchor="_heading=h.icqijuefims1" w:history="1"/>
        </w:p>
        <w:p w14:paraId="00000030"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owciejn3a3t7">
            <w:r>
              <w:rPr>
                <w:color w:val="000000"/>
              </w:rPr>
              <w:t>2.2.1.</w:t>
            </w:r>
          </w:hyperlink>
          <w:hyperlink w:anchor="_heading=h.owciejn3a3t7">
            <w:r>
              <w:rPr>
                <w:rFonts w:ascii="Calibri" w:eastAsia="Calibri" w:hAnsi="Calibri" w:cs="Calibri"/>
                <w:color w:val="000000"/>
              </w:rPr>
              <w:tab/>
            </w:r>
          </w:hyperlink>
          <w:r>
            <w:fldChar w:fldCharType="begin"/>
          </w:r>
          <w:r>
            <w:instrText xml:space="preserve"> PAGEREF _heading=h.owciejn3a3t7 \h </w:instrText>
          </w:r>
          <w:r>
            <w:fldChar w:fldCharType="separate"/>
          </w:r>
          <w:r>
            <w:rPr>
              <w:color w:val="000000"/>
            </w:rPr>
            <w:t>Patient indicators</w:t>
          </w:r>
          <w:r>
            <w:rPr>
              <w:color w:val="000000"/>
            </w:rPr>
            <w:tab/>
            <w:t>14</w:t>
          </w:r>
          <w:hyperlink w:anchor="_heading=h.owciejn3a3t7" w:history="1"/>
        </w:p>
        <w:p w14:paraId="00000031" w14:textId="77777777" w:rsidR="00655AEF" w:rsidRDefault="00000000">
          <w:pPr>
            <w:pBdr>
              <w:top w:val="nil"/>
              <w:left w:val="nil"/>
              <w:bottom w:val="nil"/>
              <w:right w:val="nil"/>
              <w:between w:val="nil"/>
            </w:pBdr>
            <w:tabs>
              <w:tab w:val="right" w:pos="9350"/>
            </w:tabs>
            <w:spacing w:after="100"/>
            <w:ind w:left="440"/>
            <w:rPr>
              <w:rFonts w:ascii="Calibri" w:eastAsia="Calibri" w:hAnsi="Calibri" w:cs="Calibri"/>
              <w:color w:val="000000"/>
            </w:rPr>
          </w:pPr>
          <w:r>
            <w:fldChar w:fldCharType="end"/>
          </w:r>
          <w:hyperlink w:anchor="_heading=h.6fl02p74w32n">
            <w:r>
              <w:rPr>
                <w:color w:val="000000"/>
              </w:rPr>
              <w:t>Design of the scoring criteria:</w:t>
            </w:r>
            <w:r>
              <w:rPr>
                <w:color w:val="000000"/>
              </w:rPr>
              <w:tab/>
              <w:t>14</w:t>
            </w:r>
          </w:hyperlink>
          <w:r>
            <w:fldChar w:fldCharType="begin"/>
          </w:r>
          <w:r>
            <w:instrText xml:space="preserve"> HYPERLINK \l "_heading=h.6fl02p74w32n" </w:instrText>
          </w:r>
          <w:r>
            <w:fldChar w:fldCharType="separate"/>
          </w:r>
        </w:p>
        <w:p w14:paraId="00000032"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osv2n5h2ydkk">
            <w:r>
              <w:rPr>
                <w:color w:val="000000"/>
              </w:rPr>
              <w:t>2.3.</w:t>
            </w:r>
          </w:hyperlink>
          <w:hyperlink w:anchor="_heading=h.osv2n5h2ydkk">
            <w:r>
              <w:rPr>
                <w:rFonts w:ascii="Calibri" w:eastAsia="Calibri" w:hAnsi="Calibri" w:cs="Calibri"/>
                <w:color w:val="000000"/>
              </w:rPr>
              <w:tab/>
            </w:r>
          </w:hyperlink>
          <w:r>
            <w:fldChar w:fldCharType="begin"/>
          </w:r>
          <w:r>
            <w:instrText xml:space="preserve"> PAGEREF _heading=h.osv2n5h2ydkk \h </w:instrText>
          </w:r>
          <w:r>
            <w:fldChar w:fldCharType="separate"/>
          </w:r>
          <w:r>
            <w:rPr>
              <w:color w:val="000000"/>
            </w:rPr>
            <w:t>Sampling</w:t>
          </w:r>
          <w:r>
            <w:rPr>
              <w:color w:val="000000"/>
            </w:rPr>
            <w:tab/>
            <w:t>15</w:t>
          </w:r>
          <w:hyperlink w:anchor="_heading=h.osv2n5h2ydkk" w:history="1"/>
        </w:p>
        <w:p w14:paraId="00000033"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ads5ygf33wvk">
            <w:r>
              <w:rPr>
                <w:color w:val="000000"/>
              </w:rPr>
              <w:t>2.4.</w:t>
            </w:r>
          </w:hyperlink>
          <w:hyperlink w:anchor="_heading=h.ads5ygf33wvk">
            <w:r>
              <w:rPr>
                <w:rFonts w:ascii="Calibri" w:eastAsia="Calibri" w:hAnsi="Calibri" w:cs="Calibri"/>
                <w:color w:val="000000"/>
              </w:rPr>
              <w:tab/>
            </w:r>
          </w:hyperlink>
          <w:r>
            <w:fldChar w:fldCharType="begin"/>
          </w:r>
          <w:r>
            <w:instrText xml:space="preserve"> PAGEREF _heading=h.ads5ygf33wvk \h </w:instrText>
          </w:r>
          <w:r>
            <w:fldChar w:fldCharType="separate"/>
          </w:r>
          <w:r>
            <w:rPr>
              <w:color w:val="000000"/>
            </w:rPr>
            <w:t>Inclusion and Exclusion Criteria</w:t>
          </w:r>
          <w:r>
            <w:rPr>
              <w:color w:val="000000"/>
            </w:rPr>
            <w:tab/>
            <w:t>18</w:t>
          </w:r>
          <w:hyperlink w:anchor="_heading=h.ads5ygf33wvk" w:history="1"/>
        </w:p>
        <w:p w14:paraId="00000034"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c3bnpkqysp22">
            <w:r>
              <w:rPr>
                <w:color w:val="000000"/>
              </w:rPr>
              <w:t>2.4.1.</w:t>
            </w:r>
          </w:hyperlink>
          <w:hyperlink w:anchor="_heading=h.c3bnpkqysp22">
            <w:r>
              <w:rPr>
                <w:rFonts w:ascii="Calibri" w:eastAsia="Calibri" w:hAnsi="Calibri" w:cs="Calibri"/>
                <w:color w:val="000000"/>
              </w:rPr>
              <w:tab/>
            </w:r>
          </w:hyperlink>
          <w:r>
            <w:fldChar w:fldCharType="begin"/>
          </w:r>
          <w:r>
            <w:instrText xml:space="preserve"> PAGEREF _heading=h.c3bnpkqysp22 \h </w:instrText>
          </w:r>
          <w:r>
            <w:fldChar w:fldCharType="separate"/>
          </w:r>
          <w:r>
            <w:rPr>
              <w:color w:val="000000"/>
            </w:rPr>
            <w:t>Inclusion Criteria:</w:t>
          </w:r>
          <w:r>
            <w:rPr>
              <w:color w:val="000000"/>
            </w:rPr>
            <w:tab/>
            <w:t>18</w:t>
          </w:r>
          <w:hyperlink w:anchor="_heading=h.c3bnpkqysp22" w:history="1"/>
        </w:p>
        <w:p w14:paraId="00000035"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na6jk4itutl">
            <w:r>
              <w:rPr>
                <w:color w:val="000000"/>
              </w:rPr>
              <w:t>2.4.2.</w:t>
            </w:r>
          </w:hyperlink>
          <w:hyperlink w:anchor="_heading=h.na6jk4itutl">
            <w:r>
              <w:rPr>
                <w:rFonts w:ascii="Calibri" w:eastAsia="Calibri" w:hAnsi="Calibri" w:cs="Calibri"/>
                <w:color w:val="000000"/>
              </w:rPr>
              <w:tab/>
            </w:r>
          </w:hyperlink>
          <w:r>
            <w:fldChar w:fldCharType="begin"/>
          </w:r>
          <w:r>
            <w:instrText xml:space="preserve"> PAGEREF _heading=h.na6jk4itutl \h </w:instrText>
          </w:r>
          <w:r>
            <w:fldChar w:fldCharType="separate"/>
          </w:r>
          <w:r>
            <w:rPr>
              <w:color w:val="000000"/>
            </w:rPr>
            <w:t>Exclusion criteria:</w:t>
          </w:r>
          <w:r>
            <w:rPr>
              <w:color w:val="000000"/>
            </w:rPr>
            <w:tab/>
            <w:t>18</w:t>
          </w:r>
          <w:hyperlink w:anchor="_heading=h.na6jk4itutl" w:history="1"/>
        </w:p>
        <w:p w14:paraId="00000036"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c1de7q7t35jk">
            <w:r>
              <w:rPr>
                <w:color w:val="000000"/>
              </w:rPr>
              <w:t>2.5.</w:t>
            </w:r>
          </w:hyperlink>
          <w:hyperlink w:anchor="_heading=h.c1de7q7t35jk">
            <w:r>
              <w:rPr>
                <w:rFonts w:ascii="Calibri" w:eastAsia="Calibri" w:hAnsi="Calibri" w:cs="Calibri"/>
                <w:color w:val="000000"/>
              </w:rPr>
              <w:tab/>
            </w:r>
          </w:hyperlink>
          <w:r>
            <w:fldChar w:fldCharType="begin"/>
          </w:r>
          <w:r>
            <w:instrText xml:space="preserve"> PAGEREF _heading=h.c1de7q7t35jk \h </w:instrText>
          </w:r>
          <w:r>
            <w:fldChar w:fldCharType="separate"/>
          </w:r>
          <w:r>
            <w:rPr>
              <w:color w:val="000000"/>
            </w:rPr>
            <w:t>Enrollment</w:t>
          </w:r>
          <w:r>
            <w:rPr>
              <w:color w:val="000000"/>
            </w:rPr>
            <w:tab/>
            <w:t>18</w:t>
          </w:r>
          <w:hyperlink w:anchor="_heading=h.c1de7q7t35jk" w:history="1"/>
        </w:p>
        <w:p w14:paraId="00000037"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rzm6no1oompi">
            <w:r>
              <w:rPr>
                <w:color w:val="000000"/>
              </w:rPr>
              <w:t>2.6.</w:t>
            </w:r>
          </w:hyperlink>
          <w:hyperlink w:anchor="_heading=h.rzm6no1oompi">
            <w:r>
              <w:rPr>
                <w:rFonts w:ascii="Calibri" w:eastAsia="Calibri" w:hAnsi="Calibri" w:cs="Calibri"/>
                <w:color w:val="000000"/>
              </w:rPr>
              <w:tab/>
            </w:r>
          </w:hyperlink>
          <w:r>
            <w:fldChar w:fldCharType="begin"/>
          </w:r>
          <w:r>
            <w:instrText xml:space="preserve"> PAGEREF _heading=h.rzm6no1oompi \h </w:instrText>
          </w:r>
          <w:r>
            <w:fldChar w:fldCharType="separate"/>
          </w:r>
          <w:r>
            <w:rPr>
              <w:color w:val="000000"/>
            </w:rPr>
            <w:t>Intervention</w:t>
          </w:r>
          <w:r>
            <w:rPr>
              <w:color w:val="000000"/>
            </w:rPr>
            <w:tab/>
            <w:t>18</w:t>
          </w:r>
          <w:hyperlink w:anchor="_heading=h.rzm6no1oompi" w:history="1"/>
        </w:p>
        <w:p w14:paraId="00000038"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c68kc91hfzvv">
            <w:r>
              <w:rPr>
                <w:color w:val="000000"/>
              </w:rPr>
              <w:t>2.7.</w:t>
            </w:r>
          </w:hyperlink>
          <w:hyperlink w:anchor="_heading=h.c68kc91hfzvv">
            <w:r>
              <w:rPr>
                <w:rFonts w:ascii="Calibri" w:eastAsia="Calibri" w:hAnsi="Calibri" w:cs="Calibri"/>
                <w:color w:val="000000"/>
              </w:rPr>
              <w:tab/>
            </w:r>
          </w:hyperlink>
          <w:r>
            <w:fldChar w:fldCharType="begin"/>
          </w:r>
          <w:r>
            <w:instrText xml:space="preserve"> PAGEREF _heading=h.c68kc91hfzvv \h </w:instrText>
          </w:r>
          <w:r>
            <w:fldChar w:fldCharType="separate"/>
          </w:r>
          <w:r>
            <w:rPr>
              <w:color w:val="000000"/>
            </w:rPr>
            <w:t>Research Assistants</w:t>
          </w:r>
          <w:r>
            <w:rPr>
              <w:color w:val="000000"/>
            </w:rPr>
            <w:tab/>
            <w:t>19</w:t>
          </w:r>
          <w:hyperlink w:anchor="_heading=h.c68kc91hfzvv" w:history="1"/>
        </w:p>
        <w:p w14:paraId="00000039"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6qi13zrxc007">
            <w:r>
              <w:rPr>
                <w:color w:val="000000"/>
              </w:rPr>
              <w:t>2.8.</w:t>
            </w:r>
          </w:hyperlink>
          <w:hyperlink w:anchor="_heading=h.6qi13zrxc007">
            <w:r>
              <w:rPr>
                <w:rFonts w:ascii="Calibri" w:eastAsia="Calibri" w:hAnsi="Calibri" w:cs="Calibri"/>
                <w:color w:val="000000"/>
              </w:rPr>
              <w:tab/>
            </w:r>
          </w:hyperlink>
          <w:r>
            <w:fldChar w:fldCharType="begin"/>
          </w:r>
          <w:r>
            <w:instrText xml:space="preserve"> PAGEREF _heading=h.6qi13zrxc007 \h </w:instrText>
          </w:r>
          <w:r>
            <w:fldChar w:fldCharType="separate"/>
          </w:r>
          <w:r>
            <w:rPr>
              <w:color w:val="000000"/>
            </w:rPr>
            <w:t>Ethical considerations</w:t>
          </w:r>
          <w:r>
            <w:rPr>
              <w:color w:val="000000"/>
            </w:rPr>
            <w:tab/>
            <w:t>19</w:t>
          </w:r>
          <w:hyperlink w:anchor="_heading=h.6qi13zrxc007" w:history="1"/>
        </w:p>
        <w:p w14:paraId="0000003A"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jke1ej7yivrh">
            <w:r>
              <w:rPr>
                <w:color w:val="000000"/>
              </w:rPr>
              <w:t>2.8.1.</w:t>
            </w:r>
          </w:hyperlink>
          <w:hyperlink w:anchor="_heading=h.jke1ej7yivrh">
            <w:r>
              <w:rPr>
                <w:rFonts w:ascii="Calibri" w:eastAsia="Calibri" w:hAnsi="Calibri" w:cs="Calibri"/>
                <w:color w:val="000000"/>
              </w:rPr>
              <w:tab/>
            </w:r>
          </w:hyperlink>
          <w:r>
            <w:fldChar w:fldCharType="begin"/>
          </w:r>
          <w:r>
            <w:instrText xml:space="preserve"> PAGEREF _heading=h.jke1ej7yivrh \h </w:instrText>
          </w:r>
          <w:r>
            <w:fldChar w:fldCharType="separate"/>
          </w:r>
          <w:r>
            <w:rPr>
              <w:color w:val="000000"/>
            </w:rPr>
            <w:t>Autonomy-Informed consent</w:t>
          </w:r>
          <w:r>
            <w:rPr>
              <w:color w:val="000000"/>
            </w:rPr>
            <w:tab/>
            <w:t>19</w:t>
          </w:r>
          <w:hyperlink w:anchor="_heading=h.jke1ej7yivrh" w:history="1"/>
        </w:p>
        <w:p w14:paraId="0000003B"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scz1cwcmr555">
            <w:r>
              <w:rPr>
                <w:color w:val="000000"/>
              </w:rPr>
              <w:t>2.8.2.</w:t>
            </w:r>
          </w:hyperlink>
          <w:hyperlink w:anchor="_heading=h.scz1cwcmr555">
            <w:r>
              <w:rPr>
                <w:rFonts w:ascii="Calibri" w:eastAsia="Calibri" w:hAnsi="Calibri" w:cs="Calibri"/>
                <w:color w:val="000000"/>
              </w:rPr>
              <w:tab/>
            </w:r>
          </w:hyperlink>
          <w:r>
            <w:fldChar w:fldCharType="begin"/>
          </w:r>
          <w:r>
            <w:instrText xml:space="preserve"> PAGEREF _heading=h.scz1cwcmr555 \h </w:instrText>
          </w:r>
          <w:r>
            <w:fldChar w:fldCharType="separate"/>
          </w:r>
          <w:r>
            <w:rPr>
              <w:color w:val="000000"/>
            </w:rPr>
            <w:t>Beneficence and Minimizing harm</w:t>
          </w:r>
          <w:r>
            <w:rPr>
              <w:color w:val="000000"/>
            </w:rPr>
            <w:tab/>
            <w:t>19</w:t>
          </w:r>
          <w:hyperlink w:anchor="_heading=h.scz1cwcmr555" w:history="1"/>
        </w:p>
        <w:p w14:paraId="0000003C"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lastRenderedPageBreak/>
            <w:fldChar w:fldCharType="end"/>
          </w:r>
          <w:hyperlink w:anchor="_heading=h.hjpm6o1rf7v">
            <w:r>
              <w:rPr>
                <w:color w:val="000000"/>
              </w:rPr>
              <w:t>2.8.3.</w:t>
            </w:r>
          </w:hyperlink>
          <w:hyperlink w:anchor="_heading=h.hjpm6o1rf7v">
            <w:r>
              <w:rPr>
                <w:rFonts w:ascii="Calibri" w:eastAsia="Calibri" w:hAnsi="Calibri" w:cs="Calibri"/>
                <w:color w:val="000000"/>
              </w:rPr>
              <w:tab/>
            </w:r>
          </w:hyperlink>
          <w:r>
            <w:fldChar w:fldCharType="begin"/>
          </w:r>
          <w:r>
            <w:instrText xml:space="preserve"> PAGEREF _heading=h.hjpm6o1rf7v \h </w:instrText>
          </w:r>
          <w:r>
            <w:fldChar w:fldCharType="separate"/>
          </w:r>
          <w:r>
            <w:rPr>
              <w:color w:val="000000"/>
            </w:rPr>
            <w:t>Justice</w:t>
          </w:r>
          <w:r>
            <w:rPr>
              <w:color w:val="000000"/>
            </w:rPr>
            <w:tab/>
            <w:t>20</w:t>
          </w:r>
          <w:hyperlink w:anchor="_heading=h.hjpm6o1rf7v" w:history="1"/>
        </w:p>
        <w:p w14:paraId="0000003D"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31zdhork49x4">
            <w:r>
              <w:rPr>
                <w:color w:val="000000"/>
              </w:rPr>
              <w:t>2.8.4.</w:t>
            </w:r>
          </w:hyperlink>
          <w:hyperlink w:anchor="_heading=h.31zdhork49x4">
            <w:r>
              <w:rPr>
                <w:rFonts w:ascii="Calibri" w:eastAsia="Calibri" w:hAnsi="Calibri" w:cs="Calibri"/>
                <w:color w:val="000000"/>
              </w:rPr>
              <w:tab/>
            </w:r>
          </w:hyperlink>
          <w:r>
            <w:fldChar w:fldCharType="begin"/>
          </w:r>
          <w:r>
            <w:instrText xml:space="preserve"> PAGEREF _heading=h.31zdhork49x4 \h </w:instrText>
          </w:r>
          <w:r>
            <w:fldChar w:fldCharType="separate"/>
          </w:r>
          <w:r>
            <w:rPr>
              <w:color w:val="000000"/>
            </w:rPr>
            <w:t>Confidentiality</w:t>
          </w:r>
          <w:r>
            <w:rPr>
              <w:color w:val="000000"/>
            </w:rPr>
            <w:tab/>
            <w:t>20</w:t>
          </w:r>
          <w:hyperlink w:anchor="_heading=h.31zdhork49x4" w:history="1"/>
        </w:p>
        <w:p w14:paraId="0000003E"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oxqae3ozgh6e">
            <w:r>
              <w:rPr>
                <w:color w:val="000000"/>
              </w:rPr>
              <w:t>2.8.5.</w:t>
            </w:r>
          </w:hyperlink>
          <w:hyperlink w:anchor="_heading=h.oxqae3ozgh6e">
            <w:r>
              <w:rPr>
                <w:rFonts w:ascii="Calibri" w:eastAsia="Calibri" w:hAnsi="Calibri" w:cs="Calibri"/>
                <w:color w:val="000000"/>
              </w:rPr>
              <w:tab/>
            </w:r>
          </w:hyperlink>
          <w:r>
            <w:fldChar w:fldCharType="begin"/>
          </w:r>
          <w:r>
            <w:instrText xml:space="preserve"> PAGEREF _heading=h.oxqae3ozgh6e \h </w:instrText>
          </w:r>
          <w:r>
            <w:fldChar w:fldCharType="separate"/>
          </w:r>
          <w:r>
            <w:rPr>
              <w:color w:val="000000"/>
            </w:rPr>
            <w:t>Community considerations</w:t>
          </w:r>
          <w:r>
            <w:rPr>
              <w:color w:val="000000"/>
            </w:rPr>
            <w:tab/>
            <w:t>20</w:t>
          </w:r>
          <w:hyperlink w:anchor="_heading=h.oxqae3ozgh6e" w:history="1"/>
        </w:p>
        <w:p w14:paraId="0000003F"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vo8ylloodpt">
            <w:r>
              <w:rPr>
                <w:color w:val="000000"/>
              </w:rPr>
              <w:t>2.8.6.</w:t>
            </w:r>
          </w:hyperlink>
          <w:hyperlink w:anchor="_heading=h.vo8ylloodpt">
            <w:r>
              <w:rPr>
                <w:rFonts w:ascii="Calibri" w:eastAsia="Calibri" w:hAnsi="Calibri" w:cs="Calibri"/>
                <w:color w:val="000000"/>
              </w:rPr>
              <w:tab/>
            </w:r>
          </w:hyperlink>
          <w:r>
            <w:fldChar w:fldCharType="begin"/>
          </w:r>
          <w:r>
            <w:instrText xml:space="preserve"> PAGEREF _heading=h.vo8ylloodpt \h </w:instrText>
          </w:r>
          <w:r>
            <w:fldChar w:fldCharType="separate"/>
          </w:r>
          <w:r>
            <w:rPr>
              <w:color w:val="000000"/>
            </w:rPr>
            <w:t>Prevention of COVID-19 virus infection in investigation personnel</w:t>
          </w:r>
          <w:r>
            <w:rPr>
              <w:color w:val="000000"/>
            </w:rPr>
            <w:tab/>
            <w:t>20</w:t>
          </w:r>
          <w:hyperlink w:anchor="_heading=h.vo8ylloodpt" w:history="1"/>
        </w:p>
        <w:p w14:paraId="00000040"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dkfvf5sxrwye">
            <w:r>
              <w:rPr>
                <w:color w:val="000000"/>
              </w:rPr>
              <w:t>CHAPTER THREE</w:t>
            </w:r>
            <w:r>
              <w:rPr>
                <w:color w:val="000000"/>
              </w:rPr>
              <w:tab/>
              <w:t>21</w:t>
            </w:r>
          </w:hyperlink>
          <w:r>
            <w:fldChar w:fldCharType="begin"/>
          </w:r>
          <w:r>
            <w:instrText xml:space="preserve"> HYPERLINK \l "_heading=h.dkfvf5sxrwye" </w:instrText>
          </w:r>
          <w:r>
            <w:fldChar w:fldCharType="separate"/>
          </w:r>
        </w:p>
        <w:p w14:paraId="00000041"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fuz8katm7ntf">
            <w:r>
              <w:rPr>
                <w:color w:val="000000"/>
              </w:rPr>
              <w:t>DATA PRESENTATION ANALYSIS AND DISCUSSIONS</w:t>
            </w:r>
            <w:r>
              <w:rPr>
                <w:color w:val="000000"/>
              </w:rPr>
              <w:tab/>
              <w:t>21</w:t>
            </w:r>
          </w:hyperlink>
          <w:r>
            <w:fldChar w:fldCharType="begin"/>
          </w:r>
          <w:r>
            <w:instrText xml:space="preserve"> HYPERLINK \l "_heading=h.fuz8katm7ntf" </w:instrText>
          </w:r>
          <w:r>
            <w:fldChar w:fldCharType="separate"/>
          </w:r>
        </w:p>
        <w:p w14:paraId="00000042"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tp0xkadiqpe5">
            <w:r>
              <w:rPr>
                <w:color w:val="000000"/>
              </w:rPr>
              <w:t>3.1.</w:t>
            </w:r>
          </w:hyperlink>
          <w:hyperlink w:anchor="_heading=h.tp0xkadiqpe5">
            <w:r>
              <w:rPr>
                <w:rFonts w:ascii="Calibri" w:eastAsia="Calibri" w:hAnsi="Calibri" w:cs="Calibri"/>
                <w:color w:val="000000"/>
              </w:rPr>
              <w:tab/>
            </w:r>
          </w:hyperlink>
          <w:r>
            <w:fldChar w:fldCharType="begin"/>
          </w:r>
          <w:r>
            <w:instrText xml:space="preserve"> PAGEREF _heading=h.tp0xkadiqpe5 \h </w:instrText>
          </w:r>
          <w:r>
            <w:fldChar w:fldCharType="separate"/>
          </w:r>
          <w:r>
            <w:rPr>
              <w:color w:val="000000"/>
            </w:rPr>
            <w:t>Overview</w:t>
          </w:r>
          <w:r>
            <w:rPr>
              <w:color w:val="000000"/>
            </w:rPr>
            <w:tab/>
            <w:t>21</w:t>
          </w:r>
          <w:hyperlink w:anchor="_heading=h.tp0xkadiqpe5" w:history="1"/>
        </w:p>
        <w:p w14:paraId="00000043"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91p95rxyrznz">
            <w:r>
              <w:rPr>
                <w:color w:val="000000"/>
              </w:rPr>
              <w:t>3.2.</w:t>
            </w:r>
          </w:hyperlink>
          <w:hyperlink w:anchor="_heading=h.91p95rxyrznz">
            <w:r>
              <w:rPr>
                <w:rFonts w:ascii="Calibri" w:eastAsia="Calibri" w:hAnsi="Calibri" w:cs="Calibri"/>
                <w:color w:val="000000"/>
              </w:rPr>
              <w:tab/>
            </w:r>
          </w:hyperlink>
          <w:r>
            <w:fldChar w:fldCharType="begin"/>
          </w:r>
          <w:r>
            <w:instrText xml:space="preserve"> PAGEREF _heading=h.91p95rxyrznz \h </w:instrText>
          </w:r>
          <w:r>
            <w:fldChar w:fldCharType="separate"/>
          </w:r>
          <w:r>
            <w:rPr>
              <w:color w:val="000000"/>
            </w:rPr>
            <w:t>Findings</w:t>
          </w:r>
          <w:r>
            <w:rPr>
              <w:color w:val="000000"/>
            </w:rPr>
            <w:tab/>
            <w:t>22</w:t>
          </w:r>
          <w:hyperlink w:anchor="_heading=h.91p95rxyrznz" w:history="1"/>
        </w:p>
        <w:p w14:paraId="00000044"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wiuyvvh3fvvu">
            <w:r>
              <w:rPr>
                <w:color w:val="000000"/>
              </w:rPr>
              <w:t>3.2.1.</w:t>
            </w:r>
          </w:hyperlink>
          <w:hyperlink w:anchor="_heading=h.wiuyvvh3fvvu">
            <w:r>
              <w:rPr>
                <w:rFonts w:ascii="Calibri" w:eastAsia="Calibri" w:hAnsi="Calibri" w:cs="Calibri"/>
                <w:color w:val="000000"/>
              </w:rPr>
              <w:tab/>
            </w:r>
          </w:hyperlink>
          <w:r>
            <w:fldChar w:fldCharType="begin"/>
          </w:r>
          <w:r>
            <w:instrText xml:space="preserve"> PAGEREF _heading=h.wiuyvvh3fvvu \h </w:instrText>
          </w:r>
          <w:r>
            <w:fldChar w:fldCharType="separate"/>
          </w:r>
          <w:r>
            <w:rPr>
              <w:color w:val="000000"/>
            </w:rPr>
            <w:t>Occupational Status of Study Participants</w:t>
          </w:r>
          <w:r>
            <w:rPr>
              <w:color w:val="000000"/>
            </w:rPr>
            <w:tab/>
            <w:t>22</w:t>
          </w:r>
          <w:hyperlink w:anchor="_heading=h.wiuyvvh3fvvu" w:history="1"/>
        </w:p>
        <w:p w14:paraId="00000045"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5a2r0r6koxpo">
            <w:r>
              <w:rPr>
                <w:color w:val="000000"/>
              </w:rPr>
              <w:t>3.2.2.</w:t>
            </w:r>
          </w:hyperlink>
          <w:hyperlink w:anchor="_heading=h.5a2r0r6koxpo">
            <w:r>
              <w:rPr>
                <w:rFonts w:ascii="Calibri" w:eastAsia="Calibri" w:hAnsi="Calibri" w:cs="Calibri"/>
                <w:color w:val="000000"/>
              </w:rPr>
              <w:tab/>
            </w:r>
          </w:hyperlink>
          <w:r>
            <w:fldChar w:fldCharType="begin"/>
          </w:r>
          <w:r>
            <w:instrText xml:space="preserve"> PAGEREF _heading=h.5a2r0r6koxpo \h </w:instrText>
          </w:r>
          <w:r>
            <w:fldChar w:fldCharType="separate"/>
          </w:r>
          <w:r>
            <w:rPr>
              <w:color w:val="000000"/>
            </w:rPr>
            <w:t>Participants’ Housing Types</w:t>
          </w:r>
          <w:r>
            <w:rPr>
              <w:color w:val="000000"/>
            </w:rPr>
            <w:tab/>
            <w:t>23</w:t>
          </w:r>
          <w:hyperlink w:anchor="_heading=h.5a2r0r6koxpo" w:history="1"/>
        </w:p>
        <w:p w14:paraId="00000046"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s9pfpjl9x15v">
            <w:r>
              <w:rPr>
                <w:color w:val="000000"/>
              </w:rPr>
              <w:t>3.2.3.</w:t>
            </w:r>
          </w:hyperlink>
          <w:hyperlink w:anchor="_heading=h.s9pfpjl9x15v">
            <w:r>
              <w:rPr>
                <w:rFonts w:ascii="Calibri" w:eastAsia="Calibri" w:hAnsi="Calibri" w:cs="Calibri"/>
                <w:color w:val="000000"/>
              </w:rPr>
              <w:tab/>
            </w:r>
          </w:hyperlink>
          <w:r>
            <w:fldChar w:fldCharType="begin"/>
          </w:r>
          <w:r>
            <w:instrText xml:space="preserve"> PAGEREF _heading=h.s9pfpjl9x15v \h </w:instrText>
          </w:r>
          <w:r>
            <w:fldChar w:fldCharType="separate"/>
          </w:r>
          <w:r>
            <w:rPr>
              <w:color w:val="000000"/>
            </w:rPr>
            <w:t>Marital Status and Implications for HIV Treatment</w:t>
          </w:r>
          <w:r>
            <w:rPr>
              <w:color w:val="000000"/>
            </w:rPr>
            <w:tab/>
            <w:t>25</w:t>
          </w:r>
          <w:hyperlink w:anchor="_heading=h.s9pfpjl9x15v" w:history="1"/>
        </w:p>
        <w:p w14:paraId="00000047"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7r7kg63lo69c">
            <w:r>
              <w:rPr>
                <w:color w:val="000000"/>
              </w:rPr>
              <w:t>3.2.4.</w:t>
            </w:r>
          </w:hyperlink>
          <w:hyperlink w:anchor="_heading=h.7r7kg63lo69c">
            <w:r>
              <w:rPr>
                <w:rFonts w:ascii="Calibri" w:eastAsia="Calibri" w:hAnsi="Calibri" w:cs="Calibri"/>
                <w:color w:val="000000"/>
              </w:rPr>
              <w:tab/>
            </w:r>
          </w:hyperlink>
          <w:r>
            <w:fldChar w:fldCharType="begin"/>
          </w:r>
          <w:r>
            <w:instrText xml:space="preserve"> PAGEREF _heading=h.7r7kg63lo69c \h </w:instrText>
          </w:r>
          <w:r>
            <w:fldChar w:fldCharType="separate"/>
          </w:r>
          <w:r>
            <w:rPr>
              <w:color w:val="000000"/>
            </w:rPr>
            <w:t>Average Household Income</w:t>
          </w:r>
          <w:r>
            <w:rPr>
              <w:color w:val="000000"/>
            </w:rPr>
            <w:tab/>
            <w:t>28</w:t>
          </w:r>
          <w:hyperlink w:anchor="_heading=h.7r7kg63lo69c" w:history="1"/>
        </w:p>
        <w:p w14:paraId="00000048"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t6ysa7j33k74">
            <w:r>
              <w:rPr>
                <w:color w:val="000000"/>
              </w:rPr>
              <w:t>3.2.5.</w:t>
            </w:r>
          </w:hyperlink>
          <w:hyperlink w:anchor="_heading=h.t6ysa7j33k74">
            <w:r>
              <w:rPr>
                <w:rFonts w:ascii="Calibri" w:eastAsia="Calibri" w:hAnsi="Calibri" w:cs="Calibri"/>
                <w:color w:val="000000"/>
              </w:rPr>
              <w:tab/>
            </w:r>
          </w:hyperlink>
          <w:r>
            <w:fldChar w:fldCharType="begin"/>
          </w:r>
          <w:r>
            <w:instrText xml:space="preserve"> PAGEREF _heading=h.t6ysa7j33k74 \h </w:instrText>
          </w:r>
          <w:r>
            <w:fldChar w:fldCharType="separate"/>
          </w:r>
          <w:r>
            <w:rPr>
              <w:color w:val="000000"/>
            </w:rPr>
            <w:t>Average Expenditure and its Implications</w:t>
          </w:r>
          <w:r>
            <w:rPr>
              <w:color w:val="000000"/>
            </w:rPr>
            <w:tab/>
            <w:t>30</w:t>
          </w:r>
          <w:hyperlink w:anchor="_heading=h.t6ysa7j33k74" w:history="1"/>
        </w:p>
        <w:p w14:paraId="00000049"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retyxv9p3bcc">
            <w:r>
              <w:rPr>
                <w:color w:val="000000"/>
              </w:rPr>
              <w:t>3.2.6.</w:t>
            </w:r>
          </w:hyperlink>
          <w:hyperlink w:anchor="_heading=h.retyxv9p3bcc">
            <w:r>
              <w:rPr>
                <w:rFonts w:ascii="Calibri" w:eastAsia="Calibri" w:hAnsi="Calibri" w:cs="Calibri"/>
                <w:color w:val="000000"/>
              </w:rPr>
              <w:tab/>
            </w:r>
          </w:hyperlink>
          <w:r>
            <w:fldChar w:fldCharType="begin"/>
          </w:r>
          <w:r>
            <w:instrText xml:space="preserve"> PAGEREF _heading=h.retyxv9p3bcc \h </w:instrText>
          </w:r>
          <w:r>
            <w:fldChar w:fldCharType="separate"/>
          </w:r>
          <w:r>
            <w:rPr>
              <w:color w:val="000000"/>
            </w:rPr>
            <w:t>Education Level of Study Participants</w:t>
          </w:r>
          <w:r>
            <w:rPr>
              <w:color w:val="000000"/>
            </w:rPr>
            <w:tab/>
            <w:t>32</w:t>
          </w:r>
          <w:hyperlink w:anchor="_heading=h.retyxv9p3bcc" w:history="1"/>
        </w:p>
        <w:p w14:paraId="0000004A"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e8so15jmgxc5">
            <w:r>
              <w:rPr>
                <w:color w:val="000000"/>
              </w:rPr>
              <w:t>3.2.7.</w:t>
            </w:r>
          </w:hyperlink>
          <w:hyperlink w:anchor="_heading=h.e8so15jmgxc5">
            <w:r>
              <w:rPr>
                <w:rFonts w:ascii="Calibri" w:eastAsia="Calibri" w:hAnsi="Calibri" w:cs="Calibri"/>
                <w:color w:val="000000"/>
              </w:rPr>
              <w:tab/>
            </w:r>
          </w:hyperlink>
          <w:r>
            <w:fldChar w:fldCharType="begin"/>
          </w:r>
          <w:r>
            <w:instrText xml:space="preserve"> PAGEREF _heading=h.e8so15jmgxc5 \h </w:instrText>
          </w:r>
          <w:r>
            <w:fldChar w:fldCharType="separate"/>
          </w:r>
          <w:r>
            <w:rPr>
              <w:color w:val="000000"/>
            </w:rPr>
            <w:t>Household Size</w:t>
          </w:r>
          <w:r>
            <w:rPr>
              <w:color w:val="000000"/>
            </w:rPr>
            <w:tab/>
            <w:t>35</w:t>
          </w:r>
          <w:hyperlink w:anchor="_heading=h.e8so15jmgxc5" w:history="1"/>
        </w:p>
        <w:p w14:paraId="0000004B"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8r3jgaec6jal">
            <w:r>
              <w:rPr>
                <w:color w:val="000000"/>
              </w:rPr>
              <w:t>3.2.8.</w:t>
            </w:r>
          </w:hyperlink>
          <w:hyperlink w:anchor="_heading=h.8r3jgaec6jal">
            <w:r>
              <w:rPr>
                <w:rFonts w:ascii="Calibri" w:eastAsia="Calibri" w:hAnsi="Calibri" w:cs="Calibri"/>
                <w:color w:val="000000"/>
              </w:rPr>
              <w:tab/>
            </w:r>
          </w:hyperlink>
          <w:r>
            <w:fldChar w:fldCharType="begin"/>
          </w:r>
          <w:r>
            <w:instrText xml:space="preserve"> PAGEREF _heading=h.8r3jgaec6jal \h </w:instrText>
          </w:r>
          <w:r>
            <w:fldChar w:fldCharType="separate"/>
          </w:r>
          <w:r>
            <w:rPr>
              <w:color w:val="000000"/>
            </w:rPr>
            <w:t>House Characteristics and Socioeconomic Status</w:t>
          </w:r>
          <w:r>
            <w:rPr>
              <w:color w:val="000000"/>
            </w:rPr>
            <w:tab/>
            <w:t>37</w:t>
          </w:r>
          <w:hyperlink w:anchor="_heading=h.8r3jgaec6jal" w:history="1"/>
        </w:p>
        <w:p w14:paraId="0000004C"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x750cp2vd2iu">
            <w:r>
              <w:rPr>
                <w:color w:val="000000"/>
              </w:rPr>
              <w:t>3.2.9.</w:t>
            </w:r>
          </w:hyperlink>
          <w:hyperlink w:anchor="_heading=h.x750cp2vd2iu">
            <w:r>
              <w:rPr>
                <w:rFonts w:ascii="Calibri" w:eastAsia="Calibri" w:hAnsi="Calibri" w:cs="Calibri"/>
                <w:color w:val="000000"/>
              </w:rPr>
              <w:tab/>
            </w:r>
          </w:hyperlink>
          <w:r>
            <w:fldChar w:fldCharType="begin"/>
          </w:r>
          <w:r>
            <w:instrText xml:space="preserve"> PAGEREF _heading=h.x750cp2vd2iu \h </w:instrText>
          </w:r>
          <w:r>
            <w:fldChar w:fldCharType="separate"/>
          </w:r>
          <w:r>
            <w:rPr>
              <w:color w:val="000000"/>
            </w:rPr>
            <w:t>NHIF Insurance Cover</w:t>
          </w:r>
          <w:r>
            <w:rPr>
              <w:color w:val="000000"/>
            </w:rPr>
            <w:tab/>
            <w:t>38</w:t>
          </w:r>
          <w:hyperlink w:anchor="_heading=h.x750cp2vd2iu" w:history="1"/>
        </w:p>
        <w:p w14:paraId="0000004D"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s9cencj6nz7v">
            <w:r>
              <w:rPr>
                <w:color w:val="000000"/>
              </w:rPr>
              <w:t>3.2.10.</w:t>
            </w:r>
          </w:hyperlink>
          <w:hyperlink w:anchor="_heading=h.s9cencj6nz7v">
            <w:r>
              <w:rPr>
                <w:rFonts w:ascii="Calibri" w:eastAsia="Calibri" w:hAnsi="Calibri" w:cs="Calibri"/>
                <w:color w:val="000000"/>
              </w:rPr>
              <w:tab/>
            </w:r>
          </w:hyperlink>
          <w:r>
            <w:fldChar w:fldCharType="begin"/>
          </w:r>
          <w:r>
            <w:instrText xml:space="preserve"> PAGEREF _heading=h.s9cencj6nz7v \h </w:instrText>
          </w:r>
          <w:r>
            <w:fldChar w:fldCharType="separate"/>
          </w:r>
          <w:r>
            <w:rPr>
              <w:color w:val="000000"/>
            </w:rPr>
            <w:t>Other Active Insurance Cover</w:t>
          </w:r>
          <w:r>
            <w:rPr>
              <w:color w:val="000000"/>
            </w:rPr>
            <w:tab/>
            <w:t>41</w:t>
          </w:r>
          <w:hyperlink w:anchor="_heading=h.s9cencj6nz7v" w:history="1"/>
        </w:p>
        <w:p w14:paraId="0000004E"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rmpawmq8f6dx">
            <w:r>
              <w:rPr>
                <w:color w:val="000000"/>
              </w:rPr>
              <w:t>3.2.11.</w:t>
            </w:r>
          </w:hyperlink>
          <w:hyperlink w:anchor="_heading=h.rmpawmq8f6dx">
            <w:r>
              <w:rPr>
                <w:rFonts w:ascii="Calibri" w:eastAsia="Calibri" w:hAnsi="Calibri" w:cs="Calibri"/>
                <w:color w:val="000000"/>
              </w:rPr>
              <w:tab/>
            </w:r>
          </w:hyperlink>
          <w:r>
            <w:fldChar w:fldCharType="begin"/>
          </w:r>
          <w:r>
            <w:instrText xml:space="preserve"> PAGEREF _heading=h.rmpawmq8f6dx \h </w:instrText>
          </w:r>
          <w:r>
            <w:fldChar w:fldCharType="separate"/>
          </w:r>
          <w:r>
            <w:rPr>
              <w:color w:val="000000"/>
            </w:rPr>
            <w:t>Clinic Intervention Group and Clinic Control Group</w:t>
          </w:r>
          <w:r>
            <w:rPr>
              <w:color w:val="000000"/>
            </w:rPr>
            <w:tab/>
            <w:t>43</w:t>
          </w:r>
          <w:hyperlink w:anchor="_heading=h.rmpawmq8f6dx" w:history="1"/>
        </w:p>
        <w:p w14:paraId="0000004F"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upkt2xsorhz4">
            <w:r>
              <w:rPr>
                <w:color w:val="000000"/>
              </w:rPr>
              <w:t>3.2.12.</w:t>
            </w:r>
          </w:hyperlink>
          <w:hyperlink w:anchor="_heading=h.upkt2xsorhz4">
            <w:r>
              <w:rPr>
                <w:rFonts w:ascii="Calibri" w:eastAsia="Calibri" w:hAnsi="Calibri" w:cs="Calibri"/>
                <w:color w:val="000000"/>
              </w:rPr>
              <w:tab/>
            </w:r>
          </w:hyperlink>
          <w:r>
            <w:fldChar w:fldCharType="begin"/>
          </w:r>
          <w:r>
            <w:instrText xml:space="preserve"> PAGEREF _heading=h.upkt2xsorhz4 \h </w:instrText>
          </w:r>
          <w:r>
            <w:fldChar w:fldCharType="separate"/>
          </w:r>
          <w:r>
            <w:rPr>
              <w:color w:val="000000"/>
            </w:rPr>
            <w:t>Reasons for Antiretroviral Drug Substitution</w:t>
          </w:r>
          <w:r>
            <w:rPr>
              <w:color w:val="000000"/>
            </w:rPr>
            <w:tab/>
            <w:t>45</w:t>
          </w:r>
          <w:hyperlink w:anchor="_heading=h.upkt2xsorhz4" w:history="1"/>
        </w:p>
        <w:p w14:paraId="00000050"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sb7iizzhpflr">
            <w:r>
              <w:rPr>
                <w:color w:val="000000"/>
              </w:rPr>
              <w:t>3.2.13.</w:t>
            </w:r>
          </w:hyperlink>
          <w:hyperlink w:anchor="_heading=h.sb7iizzhpflr">
            <w:r>
              <w:rPr>
                <w:rFonts w:ascii="Calibri" w:eastAsia="Calibri" w:hAnsi="Calibri" w:cs="Calibri"/>
                <w:color w:val="000000"/>
              </w:rPr>
              <w:tab/>
            </w:r>
          </w:hyperlink>
          <w:r>
            <w:fldChar w:fldCharType="begin"/>
          </w:r>
          <w:r>
            <w:instrText xml:space="preserve"> PAGEREF _heading=h.sb7iizzhpflr \h </w:instrText>
          </w:r>
          <w:r>
            <w:fldChar w:fldCharType="separate"/>
          </w:r>
          <w:r>
            <w:rPr>
              <w:color w:val="000000"/>
            </w:rPr>
            <w:t>Reasons for HIV Treatment Switch</w:t>
          </w:r>
          <w:r>
            <w:rPr>
              <w:color w:val="000000"/>
            </w:rPr>
            <w:tab/>
            <w:t>48</w:t>
          </w:r>
          <w:hyperlink w:anchor="_heading=h.sb7iizzhpflr" w:history="1"/>
        </w:p>
        <w:p w14:paraId="00000051"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a4u786n0vw9j">
            <w:r>
              <w:rPr>
                <w:color w:val="000000"/>
              </w:rPr>
              <w:t>3.2.14.</w:t>
            </w:r>
          </w:hyperlink>
          <w:hyperlink w:anchor="_heading=h.a4u786n0vw9j">
            <w:r>
              <w:rPr>
                <w:rFonts w:ascii="Calibri" w:eastAsia="Calibri" w:hAnsi="Calibri" w:cs="Calibri"/>
                <w:color w:val="000000"/>
              </w:rPr>
              <w:tab/>
            </w:r>
          </w:hyperlink>
          <w:r>
            <w:fldChar w:fldCharType="begin"/>
          </w:r>
          <w:r>
            <w:instrText xml:space="preserve"> PAGEREF _heading=h.a4u786n0vw9j \h </w:instrText>
          </w:r>
          <w:r>
            <w:fldChar w:fldCharType="separate"/>
          </w:r>
          <w:r>
            <w:rPr>
              <w:color w:val="000000"/>
            </w:rPr>
            <w:t>Reasons for HIV Treatment Switch by Clinic category group</w:t>
          </w:r>
          <w:r>
            <w:rPr>
              <w:color w:val="000000"/>
            </w:rPr>
            <w:tab/>
            <w:t>50</w:t>
          </w:r>
          <w:hyperlink w:anchor="_heading=h.a4u786n0vw9j" w:history="1"/>
        </w:p>
        <w:p w14:paraId="00000052"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4ttkowt7drmd">
            <w:r>
              <w:rPr>
                <w:color w:val="000000"/>
              </w:rPr>
              <w:t>3.1.1.</w:t>
            </w:r>
          </w:hyperlink>
          <w:hyperlink w:anchor="_heading=h.4ttkowt7drmd">
            <w:r>
              <w:rPr>
                <w:rFonts w:ascii="Calibri" w:eastAsia="Calibri" w:hAnsi="Calibri" w:cs="Calibri"/>
                <w:color w:val="000000"/>
              </w:rPr>
              <w:tab/>
            </w:r>
          </w:hyperlink>
          <w:r>
            <w:fldChar w:fldCharType="begin"/>
          </w:r>
          <w:r>
            <w:instrText xml:space="preserve"> PAGEREF _heading=h.4ttkowt7drmd \h </w:instrText>
          </w:r>
          <w:r>
            <w:fldChar w:fldCharType="separate"/>
          </w:r>
          <w:r>
            <w:rPr>
              <w:color w:val="000000"/>
            </w:rPr>
            <w:t>End of Follow-up Reasons for Patients on HIV Treatment</w:t>
          </w:r>
          <w:r>
            <w:rPr>
              <w:color w:val="000000"/>
            </w:rPr>
            <w:tab/>
            <w:t>51</w:t>
          </w:r>
          <w:hyperlink w:anchor="_heading=h.4ttkowt7drmd" w:history="1"/>
        </w:p>
        <w:p w14:paraId="00000053"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ycrijs8c1dgn">
            <w:r>
              <w:rPr>
                <w:color w:val="000000"/>
              </w:rPr>
              <w:t>3.1.2.</w:t>
            </w:r>
          </w:hyperlink>
          <w:hyperlink w:anchor="_heading=h.ycrijs8c1dgn">
            <w:r>
              <w:rPr>
                <w:rFonts w:ascii="Calibri" w:eastAsia="Calibri" w:hAnsi="Calibri" w:cs="Calibri"/>
                <w:color w:val="000000"/>
              </w:rPr>
              <w:tab/>
            </w:r>
          </w:hyperlink>
          <w:r>
            <w:fldChar w:fldCharType="begin"/>
          </w:r>
          <w:r>
            <w:instrText xml:space="preserve"> PAGEREF _heading=h.ycrijs8c1dgn \h </w:instrText>
          </w:r>
          <w:r>
            <w:fldChar w:fldCharType="separate"/>
          </w:r>
          <w:r>
            <w:rPr>
              <w:color w:val="000000"/>
            </w:rPr>
            <w:t>Reasons for Stopping HIV Treatment</w:t>
          </w:r>
          <w:r>
            <w:rPr>
              <w:color w:val="000000"/>
            </w:rPr>
            <w:tab/>
            <w:t>54</w:t>
          </w:r>
          <w:hyperlink w:anchor="_heading=h.ycrijs8c1dgn" w:history="1"/>
        </w:p>
        <w:p w14:paraId="00000054"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bz8apo8qqjf">
            <w:r>
              <w:rPr>
                <w:color w:val="000000"/>
              </w:rPr>
              <w:t>3.1.3.</w:t>
            </w:r>
          </w:hyperlink>
          <w:hyperlink w:anchor="_heading=h.bz8apo8qqjf">
            <w:r>
              <w:rPr>
                <w:rFonts w:ascii="Calibri" w:eastAsia="Calibri" w:hAnsi="Calibri" w:cs="Calibri"/>
                <w:color w:val="000000"/>
              </w:rPr>
              <w:tab/>
            </w:r>
          </w:hyperlink>
          <w:r>
            <w:fldChar w:fldCharType="begin"/>
          </w:r>
          <w:r>
            <w:instrText xml:space="preserve"> PAGEREF _heading=h.bz8apo8qqjf \h </w:instrText>
          </w:r>
          <w:r>
            <w:fldChar w:fldCharType="separate"/>
          </w:r>
          <w:r>
            <w:rPr>
              <w:color w:val="000000"/>
            </w:rPr>
            <w:t>Reasons for Stopping HIV Treatment per study arms</w:t>
          </w:r>
          <w:r>
            <w:rPr>
              <w:color w:val="000000"/>
            </w:rPr>
            <w:tab/>
            <w:t>56</w:t>
          </w:r>
          <w:hyperlink w:anchor="_heading=h.bz8apo8qqjf" w:history="1"/>
        </w:p>
        <w:p w14:paraId="00000055"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mag0m2q5dvic">
            <w:r>
              <w:rPr>
                <w:color w:val="000000"/>
              </w:rPr>
              <w:t>3.1.</w:t>
            </w:r>
          </w:hyperlink>
          <w:hyperlink w:anchor="_heading=h.mag0m2q5dvic">
            <w:r>
              <w:rPr>
                <w:rFonts w:ascii="Calibri" w:eastAsia="Calibri" w:hAnsi="Calibri" w:cs="Calibri"/>
                <w:color w:val="000000"/>
              </w:rPr>
              <w:tab/>
            </w:r>
          </w:hyperlink>
          <w:r>
            <w:fldChar w:fldCharType="begin"/>
          </w:r>
          <w:r>
            <w:instrText xml:space="preserve"> PAGEREF _heading=h.mag0m2q5dvic \h </w:instrText>
          </w:r>
          <w:r>
            <w:fldChar w:fldCharType="separate"/>
          </w:r>
          <w:r>
            <w:rPr>
              <w:color w:val="000000"/>
            </w:rPr>
            <w:t>Discussion on Evidence of Suspected Treatment Failure among HIV Patients in Kakamega County</w:t>
          </w:r>
          <w:r>
            <w:rPr>
              <w:color w:val="000000"/>
            </w:rPr>
            <w:tab/>
            <w:t>58</w:t>
          </w:r>
          <w:hyperlink w:anchor="_heading=h.mag0m2q5dvic" w:history="1"/>
        </w:p>
        <w:p w14:paraId="00000056"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ckwa5xbxkhg8">
            <w:r>
              <w:rPr>
                <w:color w:val="000000"/>
              </w:rPr>
              <w:t>3.1.1.</w:t>
            </w:r>
          </w:hyperlink>
          <w:hyperlink w:anchor="_heading=h.ckwa5xbxkhg8">
            <w:r>
              <w:rPr>
                <w:rFonts w:ascii="Calibri" w:eastAsia="Calibri" w:hAnsi="Calibri" w:cs="Calibri"/>
                <w:color w:val="000000"/>
              </w:rPr>
              <w:tab/>
            </w:r>
          </w:hyperlink>
          <w:r>
            <w:fldChar w:fldCharType="begin"/>
          </w:r>
          <w:r>
            <w:instrText xml:space="preserve"> PAGEREF _heading=h.ckwa5xbxkhg8 \h </w:instrText>
          </w:r>
          <w:r>
            <w:fldChar w:fldCharType="separate"/>
          </w:r>
          <w:r>
            <w:rPr>
              <w:color w:val="000000"/>
            </w:rPr>
            <w:t>Evidence of Adherence Concerns</w:t>
          </w:r>
          <w:r>
            <w:rPr>
              <w:color w:val="000000"/>
            </w:rPr>
            <w:tab/>
            <w:t>58</w:t>
          </w:r>
          <w:hyperlink w:anchor="_heading=h.ckwa5xbxkhg8" w:history="1"/>
        </w:p>
        <w:p w14:paraId="00000057"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9dd2wcpde8jg">
            <w:r>
              <w:rPr>
                <w:color w:val="000000"/>
              </w:rPr>
              <w:t>3.1.2.</w:t>
            </w:r>
          </w:hyperlink>
          <w:hyperlink w:anchor="_heading=h.9dd2wcpde8jg">
            <w:r>
              <w:rPr>
                <w:rFonts w:ascii="Calibri" w:eastAsia="Calibri" w:hAnsi="Calibri" w:cs="Calibri"/>
                <w:color w:val="000000"/>
              </w:rPr>
              <w:tab/>
            </w:r>
          </w:hyperlink>
          <w:r>
            <w:fldChar w:fldCharType="begin"/>
          </w:r>
          <w:r>
            <w:instrText xml:space="preserve"> PAGEREF _heading=h.9dd2wcpde8jg \h </w:instrText>
          </w:r>
          <w:r>
            <w:fldChar w:fldCharType="separate"/>
          </w:r>
          <w:r>
            <w:rPr>
              <w:color w:val="000000"/>
            </w:rPr>
            <w:t>Evidence of Adherence Concerns in the Control vs. Treatment</w:t>
          </w:r>
          <w:r>
            <w:rPr>
              <w:color w:val="000000"/>
            </w:rPr>
            <w:tab/>
            <w:t>60</w:t>
          </w:r>
          <w:hyperlink w:anchor="_heading=h.9dd2wcpde8jg" w:history="1"/>
        </w:p>
        <w:p w14:paraId="00000058"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tdn4a7vidg8w">
            <w:r>
              <w:rPr>
                <w:color w:val="000000"/>
              </w:rPr>
              <w:t>3.1.3.</w:t>
            </w:r>
          </w:hyperlink>
          <w:hyperlink w:anchor="_heading=h.tdn4a7vidg8w">
            <w:r>
              <w:rPr>
                <w:rFonts w:ascii="Calibri" w:eastAsia="Calibri" w:hAnsi="Calibri" w:cs="Calibri"/>
                <w:color w:val="000000"/>
              </w:rPr>
              <w:tab/>
            </w:r>
          </w:hyperlink>
          <w:r>
            <w:fldChar w:fldCharType="begin"/>
          </w:r>
          <w:r>
            <w:instrText xml:space="preserve"> PAGEREF _heading=h.tdn4a7vidg8w \h </w:instrText>
          </w:r>
          <w:r>
            <w:fldChar w:fldCharType="separate"/>
          </w:r>
          <w:r>
            <w:rPr>
              <w:color w:val="000000"/>
            </w:rPr>
            <w:t>Likely Root Cause of Severe side effects</w:t>
          </w:r>
          <w:r>
            <w:rPr>
              <w:color w:val="000000"/>
            </w:rPr>
            <w:tab/>
            <w:t>62</w:t>
          </w:r>
          <w:hyperlink w:anchor="_heading=h.tdn4a7vidg8w" w:history="1"/>
        </w:p>
        <w:p w14:paraId="00000059"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7blidvw9s1dc">
            <w:r>
              <w:rPr>
                <w:color w:val="000000"/>
              </w:rPr>
              <w:t>3.2.</w:t>
            </w:r>
          </w:hyperlink>
          <w:hyperlink w:anchor="_heading=h.7blidvw9s1dc">
            <w:r>
              <w:rPr>
                <w:rFonts w:ascii="Calibri" w:eastAsia="Calibri" w:hAnsi="Calibri" w:cs="Calibri"/>
                <w:color w:val="000000"/>
              </w:rPr>
              <w:tab/>
            </w:r>
          </w:hyperlink>
          <w:r>
            <w:fldChar w:fldCharType="begin"/>
          </w:r>
          <w:r>
            <w:instrText xml:space="preserve"> PAGEREF _heading=h.7blidvw9s1dc \h </w:instrText>
          </w:r>
          <w:r>
            <w:fldChar w:fldCharType="separate"/>
          </w:r>
          <w:r>
            <w:rPr>
              <w:color w:val="000000"/>
            </w:rPr>
            <w:t>Discussions</w:t>
          </w:r>
          <w:r>
            <w:rPr>
              <w:color w:val="000000"/>
            </w:rPr>
            <w:tab/>
            <w:t>66</w:t>
          </w:r>
          <w:hyperlink w:anchor="_heading=h.7blidvw9s1dc" w:history="1"/>
        </w:p>
        <w:p w14:paraId="0000005A" w14:textId="77777777" w:rsidR="00655AEF" w:rsidRDefault="00000000">
          <w:pPr>
            <w:pBdr>
              <w:top w:val="nil"/>
              <w:left w:val="nil"/>
              <w:bottom w:val="nil"/>
              <w:right w:val="nil"/>
              <w:between w:val="nil"/>
            </w:pBdr>
            <w:tabs>
              <w:tab w:val="left" w:pos="1320"/>
              <w:tab w:val="right" w:pos="9350"/>
            </w:tabs>
            <w:spacing w:after="100"/>
            <w:ind w:left="440"/>
            <w:rPr>
              <w:rFonts w:ascii="Calibri" w:eastAsia="Calibri" w:hAnsi="Calibri" w:cs="Calibri"/>
              <w:color w:val="000000"/>
            </w:rPr>
          </w:pPr>
          <w:r>
            <w:fldChar w:fldCharType="end"/>
          </w:r>
          <w:hyperlink w:anchor="_heading=h.a1je48w3rsky">
            <w:r>
              <w:rPr>
                <w:color w:val="000000"/>
              </w:rPr>
              <w:t>3.2.1.</w:t>
            </w:r>
          </w:hyperlink>
          <w:hyperlink w:anchor="_heading=h.a1je48w3rsky">
            <w:r>
              <w:rPr>
                <w:rFonts w:ascii="Calibri" w:eastAsia="Calibri" w:hAnsi="Calibri" w:cs="Calibri"/>
                <w:color w:val="000000"/>
              </w:rPr>
              <w:tab/>
            </w:r>
          </w:hyperlink>
          <w:r>
            <w:fldChar w:fldCharType="begin"/>
          </w:r>
          <w:r>
            <w:instrText xml:space="preserve"> PAGEREF _heading=h.a1je48w3rsky \h </w:instrText>
          </w:r>
          <w:r>
            <w:fldChar w:fldCharType="separate"/>
          </w:r>
          <w:r>
            <w:rPr>
              <w:color w:val="000000"/>
            </w:rPr>
            <w:t>Exploratory Study</w:t>
          </w:r>
          <w:r>
            <w:rPr>
              <w:color w:val="000000"/>
            </w:rPr>
            <w:tab/>
            <w:t>66</w:t>
          </w:r>
          <w:hyperlink w:anchor="_heading=h.a1je48w3rsky" w:history="1"/>
        </w:p>
        <w:p w14:paraId="0000005B"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e6wgp5zf6n9g">
            <w:r>
              <w:rPr>
                <w:color w:val="000000"/>
              </w:rPr>
              <w:t>3.3.</w:t>
            </w:r>
          </w:hyperlink>
          <w:hyperlink w:anchor="_heading=h.e6wgp5zf6n9g">
            <w:r>
              <w:rPr>
                <w:rFonts w:ascii="Calibri" w:eastAsia="Calibri" w:hAnsi="Calibri" w:cs="Calibri"/>
                <w:color w:val="000000"/>
              </w:rPr>
              <w:tab/>
            </w:r>
          </w:hyperlink>
          <w:r>
            <w:fldChar w:fldCharType="begin"/>
          </w:r>
          <w:r>
            <w:instrText xml:space="preserve"> PAGEREF _heading=h.e6wgp5zf6n9g \h </w:instrText>
          </w:r>
          <w:r>
            <w:fldChar w:fldCharType="separate"/>
          </w:r>
          <w:r>
            <w:rPr>
              <w:color w:val="000000"/>
            </w:rPr>
            <w:t>Factors Hindering Retention of HIV/AIDS Clients with Suspected Treatment Failure at Kakamega County (Objective 2)</w:t>
          </w:r>
          <w:r>
            <w:rPr>
              <w:color w:val="000000"/>
            </w:rPr>
            <w:tab/>
            <w:t>67</w:t>
          </w:r>
          <w:hyperlink w:anchor="_heading=h.e6wgp5zf6n9g" w:history="1"/>
        </w:p>
        <w:p w14:paraId="0000005C"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rwnhyyuedhyq">
            <w:r>
              <w:rPr>
                <w:color w:val="000000"/>
              </w:rPr>
              <w:t>3.4.</w:t>
            </w:r>
          </w:hyperlink>
          <w:hyperlink w:anchor="_heading=h.rwnhyyuedhyq">
            <w:r>
              <w:rPr>
                <w:rFonts w:ascii="Calibri" w:eastAsia="Calibri" w:hAnsi="Calibri" w:cs="Calibri"/>
                <w:color w:val="000000"/>
              </w:rPr>
              <w:tab/>
            </w:r>
          </w:hyperlink>
          <w:r>
            <w:fldChar w:fldCharType="begin"/>
          </w:r>
          <w:r>
            <w:instrText xml:space="preserve"> PAGEREF _heading=h.rwnhyyuedhyq \h </w:instrText>
          </w:r>
          <w:r>
            <w:fldChar w:fldCharType="separate"/>
          </w:r>
          <w:r>
            <w:rPr>
              <w:color w:val="000000"/>
            </w:rPr>
            <w:t>Factors Promoting Retention of HIV/AIDS Clients with Suspected Treatment Failure at Kakamega County (Objective 3)</w:t>
          </w:r>
          <w:r>
            <w:rPr>
              <w:color w:val="000000"/>
            </w:rPr>
            <w:tab/>
            <w:t>70</w:t>
          </w:r>
          <w:hyperlink w:anchor="_heading=h.rwnhyyuedhyq" w:history="1"/>
        </w:p>
        <w:p w14:paraId="0000005D" w14:textId="77777777" w:rsidR="00655AEF" w:rsidRDefault="00000000">
          <w:pPr>
            <w:pBdr>
              <w:top w:val="nil"/>
              <w:left w:val="nil"/>
              <w:bottom w:val="nil"/>
              <w:right w:val="nil"/>
              <w:between w:val="nil"/>
            </w:pBdr>
            <w:tabs>
              <w:tab w:val="left" w:pos="880"/>
              <w:tab w:val="right" w:pos="9350"/>
            </w:tabs>
            <w:spacing w:after="100"/>
            <w:ind w:left="220"/>
            <w:rPr>
              <w:rFonts w:ascii="Calibri" w:eastAsia="Calibri" w:hAnsi="Calibri" w:cs="Calibri"/>
              <w:color w:val="000000"/>
            </w:rPr>
          </w:pPr>
          <w:r>
            <w:fldChar w:fldCharType="end"/>
          </w:r>
          <w:hyperlink w:anchor="_heading=h.j08erpi9wn5x">
            <w:r>
              <w:rPr>
                <w:color w:val="000000"/>
              </w:rPr>
              <w:t>3.5.</w:t>
            </w:r>
          </w:hyperlink>
          <w:hyperlink w:anchor="_heading=h.j08erpi9wn5x">
            <w:r>
              <w:rPr>
                <w:rFonts w:ascii="Calibri" w:eastAsia="Calibri" w:hAnsi="Calibri" w:cs="Calibri"/>
                <w:color w:val="000000"/>
              </w:rPr>
              <w:tab/>
            </w:r>
          </w:hyperlink>
          <w:r>
            <w:fldChar w:fldCharType="begin"/>
          </w:r>
          <w:r>
            <w:instrText xml:space="preserve"> PAGEREF _heading=h.j08erpi9wn5x \h </w:instrText>
          </w:r>
          <w:r>
            <w:fldChar w:fldCharType="separate"/>
          </w:r>
          <w:r>
            <w:rPr>
              <w:color w:val="000000"/>
            </w:rPr>
            <w:t xml:space="preserve">Developing an Integrated System for Improving Treatment Adherence for HIV/AIDS </w:t>
          </w:r>
          <w:r>
            <w:rPr>
              <w:color w:val="000000"/>
            </w:rPr>
            <w:lastRenderedPageBreak/>
            <w:t>Clients with Suspected Treatment Failure at Kakamega County (Objective 4)</w:t>
          </w:r>
          <w:r>
            <w:rPr>
              <w:color w:val="000000"/>
            </w:rPr>
            <w:tab/>
            <w:t>74</w:t>
          </w:r>
          <w:hyperlink w:anchor="_heading=h.j08erpi9wn5x" w:history="1"/>
        </w:p>
        <w:p w14:paraId="0000005E"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brt9osr4mny1">
            <w:r>
              <w:rPr>
                <w:color w:val="000000"/>
              </w:rPr>
              <w:t>REFERENCES</w:t>
            </w:r>
            <w:r>
              <w:rPr>
                <w:color w:val="000000"/>
              </w:rPr>
              <w:tab/>
              <w:t>78</w:t>
            </w:r>
          </w:hyperlink>
          <w:r>
            <w:fldChar w:fldCharType="begin"/>
          </w:r>
          <w:r>
            <w:instrText xml:space="preserve"> HYPERLINK \l "_heading=h.brt9osr4mny1" </w:instrText>
          </w:r>
          <w:r>
            <w:fldChar w:fldCharType="separate"/>
          </w:r>
        </w:p>
        <w:p w14:paraId="0000005F" w14:textId="77777777" w:rsidR="00655AEF" w:rsidRDefault="00000000">
          <w:pPr>
            <w:pBdr>
              <w:top w:val="nil"/>
              <w:left w:val="nil"/>
              <w:bottom w:val="nil"/>
              <w:right w:val="nil"/>
              <w:between w:val="nil"/>
            </w:pBdr>
            <w:tabs>
              <w:tab w:val="right" w:pos="9350"/>
            </w:tabs>
            <w:spacing w:after="100"/>
            <w:rPr>
              <w:rFonts w:ascii="Calibri" w:eastAsia="Calibri" w:hAnsi="Calibri" w:cs="Calibri"/>
              <w:color w:val="000000"/>
            </w:rPr>
          </w:pPr>
          <w:r>
            <w:fldChar w:fldCharType="end"/>
          </w:r>
          <w:hyperlink w:anchor="_heading=h.vrqf4n6sxodw">
            <w:r>
              <w:rPr>
                <w:color w:val="000000"/>
              </w:rPr>
              <w:t>APPPENDICES</w:t>
            </w:r>
            <w:r>
              <w:rPr>
                <w:color w:val="000000"/>
              </w:rPr>
              <w:tab/>
              <w:t>79</w:t>
            </w:r>
          </w:hyperlink>
          <w:r>
            <w:fldChar w:fldCharType="begin"/>
          </w:r>
          <w:r>
            <w:instrText xml:space="preserve"> HYPERLINK \l "_heading=h.vrqf4n6sxodw" </w:instrText>
          </w:r>
          <w:r>
            <w:fldChar w:fldCharType="separate"/>
          </w:r>
        </w:p>
        <w:p w14:paraId="00000060" w14:textId="77777777" w:rsidR="00655AEF" w:rsidRDefault="00000000">
          <w:r>
            <w:fldChar w:fldCharType="end"/>
          </w:r>
          <w:r>
            <w:fldChar w:fldCharType="end"/>
          </w:r>
        </w:p>
      </w:sdtContent>
    </w:sdt>
    <w:p w14:paraId="00000061" w14:textId="77777777" w:rsidR="00655AEF" w:rsidRDefault="00655AEF"/>
    <w:p w14:paraId="00000062" w14:textId="77777777" w:rsidR="00655AEF" w:rsidRDefault="00000000">
      <w:pPr>
        <w:pStyle w:val="Heading1"/>
        <w:jc w:val="center"/>
      </w:pPr>
      <w:bookmarkStart w:id="0" w:name="_heading=h.4pya94zc12nj" w:colFirst="0" w:colLast="0"/>
      <w:bookmarkEnd w:id="0"/>
      <w:r>
        <w:t>List of Tables</w:t>
      </w:r>
    </w:p>
    <w:sdt>
      <w:sdtPr>
        <w:id w:val="-188070308"/>
        <w:docPartObj>
          <w:docPartGallery w:val="Table of Contents"/>
          <w:docPartUnique/>
        </w:docPartObj>
      </w:sdtPr>
      <w:sdtContent>
        <w:p w14:paraId="00000063"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i7lwuc24cfgp">
            <w:r>
              <w:rPr>
                <w:color w:val="000000"/>
              </w:rPr>
              <w:t>Table 1: Retention rates (12 months) in 2020</w:t>
            </w:r>
            <w:r>
              <w:rPr>
                <w:color w:val="000000"/>
              </w:rPr>
              <w:tab/>
              <w:t>16</w:t>
            </w:r>
          </w:hyperlink>
          <w:r>
            <w:fldChar w:fldCharType="begin"/>
          </w:r>
          <w:r>
            <w:instrText xml:space="preserve"> HYPERLINK \l "_heading=h.i7lwuc24cfgp" </w:instrText>
          </w:r>
          <w:r>
            <w:fldChar w:fldCharType="separate"/>
          </w:r>
        </w:p>
        <w:p w14:paraId="00000064"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v14dkduhkhjg">
            <w:r>
              <w:rPr>
                <w:color w:val="000000"/>
              </w:rPr>
              <w:t>Table 2: Sampled sub counties and participants</w:t>
            </w:r>
            <w:r>
              <w:rPr>
                <w:color w:val="000000"/>
              </w:rPr>
              <w:tab/>
              <w:t>17</w:t>
            </w:r>
          </w:hyperlink>
          <w:r>
            <w:fldChar w:fldCharType="begin"/>
          </w:r>
          <w:r>
            <w:instrText xml:space="preserve"> HYPERLINK \l "_heading=h.v14dkduhkhjg" </w:instrText>
          </w:r>
          <w:r>
            <w:fldChar w:fldCharType="separate"/>
          </w:r>
        </w:p>
        <w:p w14:paraId="00000065"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wrcpnhfhnx96">
            <w:r>
              <w:rPr>
                <w:color w:val="000000"/>
              </w:rPr>
              <w:t>Table 3: Respondents’ occupation</w:t>
            </w:r>
            <w:r>
              <w:rPr>
                <w:color w:val="000000"/>
              </w:rPr>
              <w:tab/>
              <w:t>23</w:t>
            </w:r>
          </w:hyperlink>
          <w:r>
            <w:fldChar w:fldCharType="begin"/>
          </w:r>
          <w:r>
            <w:instrText xml:space="preserve"> HYPERLINK \l "_heading=h.wrcpnhfhnx96" </w:instrText>
          </w:r>
          <w:r>
            <w:fldChar w:fldCharType="separate"/>
          </w:r>
        </w:p>
        <w:p w14:paraId="00000066"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bbhk375uj8s7">
            <w:r>
              <w:rPr>
                <w:color w:val="000000"/>
              </w:rPr>
              <w:t>Table 4: Housing types</w:t>
            </w:r>
            <w:r>
              <w:rPr>
                <w:color w:val="000000"/>
              </w:rPr>
              <w:tab/>
              <w:t>25</w:t>
            </w:r>
          </w:hyperlink>
          <w:r>
            <w:fldChar w:fldCharType="begin"/>
          </w:r>
          <w:r>
            <w:instrText xml:space="preserve"> HYPERLINK \l "_heading=h.bbhk375uj8s7" </w:instrText>
          </w:r>
          <w:r>
            <w:fldChar w:fldCharType="separate"/>
          </w:r>
        </w:p>
        <w:p w14:paraId="00000067"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2ocrflourr6e">
            <w:r>
              <w:rPr>
                <w:color w:val="000000"/>
              </w:rPr>
              <w:t>Table 5: Marital Status</w:t>
            </w:r>
            <w:r>
              <w:rPr>
                <w:color w:val="000000"/>
              </w:rPr>
              <w:tab/>
              <w:t>27</w:t>
            </w:r>
          </w:hyperlink>
          <w:r>
            <w:fldChar w:fldCharType="begin"/>
          </w:r>
          <w:r>
            <w:instrText xml:space="preserve"> HYPERLINK \l "_heading=h.2ocrflourr6e" </w:instrText>
          </w:r>
          <w:r>
            <w:fldChar w:fldCharType="separate"/>
          </w:r>
        </w:p>
        <w:p w14:paraId="00000068"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gugoojyqblpn">
            <w:r>
              <w:rPr>
                <w:color w:val="000000"/>
              </w:rPr>
              <w:t>Table 6: Average Household Income</w:t>
            </w:r>
            <w:r>
              <w:rPr>
                <w:color w:val="000000"/>
              </w:rPr>
              <w:tab/>
              <w:t>29</w:t>
            </w:r>
          </w:hyperlink>
          <w:r>
            <w:fldChar w:fldCharType="begin"/>
          </w:r>
          <w:r>
            <w:instrText xml:space="preserve"> HYPERLINK \l "_heading=h.gugoojyqblpn" </w:instrText>
          </w:r>
          <w:r>
            <w:fldChar w:fldCharType="separate"/>
          </w:r>
        </w:p>
        <w:p w14:paraId="00000069"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38zjbaooyj73">
            <w:r>
              <w:rPr>
                <w:color w:val="000000"/>
              </w:rPr>
              <w:t>Table 7: Average Expenditure</w:t>
            </w:r>
            <w:r>
              <w:rPr>
                <w:color w:val="000000"/>
              </w:rPr>
              <w:tab/>
              <w:t>32</w:t>
            </w:r>
          </w:hyperlink>
          <w:r>
            <w:fldChar w:fldCharType="begin"/>
          </w:r>
          <w:r>
            <w:instrText xml:space="preserve"> HYPERLINK \l "_heading=h.38zjbaooyj73" </w:instrText>
          </w:r>
          <w:r>
            <w:fldChar w:fldCharType="separate"/>
          </w:r>
        </w:p>
        <w:p w14:paraId="0000006A"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tspyih379hz5">
            <w:r>
              <w:rPr>
                <w:color w:val="000000"/>
              </w:rPr>
              <w:t>Table 8: Education Level</w:t>
            </w:r>
            <w:r>
              <w:rPr>
                <w:color w:val="000000"/>
              </w:rPr>
              <w:tab/>
              <w:t>34</w:t>
            </w:r>
          </w:hyperlink>
          <w:r>
            <w:fldChar w:fldCharType="begin"/>
          </w:r>
          <w:r>
            <w:instrText xml:space="preserve"> HYPERLINK \l "_heading=h.tspyih379hz5" </w:instrText>
          </w:r>
          <w:r>
            <w:fldChar w:fldCharType="separate"/>
          </w:r>
        </w:p>
        <w:p w14:paraId="0000006B"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3uzuy9ka61r1">
            <w:r>
              <w:rPr>
                <w:color w:val="000000"/>
              </w:rPr>
              <w:t>Table 9: Household Size</w:t>
            </w:r>
            <w:r>
              <w:rPr>
                <w:color w:val="000000"/>
              </w:rPr>
              <w:tab/>
              <w:t>36</w:t>
            </w:r>
          </w:hyperlink>
          <w:r>
            <w:fldChar w:fldCharType="begin"/>
          </w:r>
          <w:r>
            <w:instrText xml:space="preserve"> HYPERLINK \l "_heading=h.3uzuy9ka61r1" </w:instrText>
          </w:r>
          <w:r>
            <w:fldChar w:fldCharType="separate"/>
          </w:r>
        </w:p>
        <w:p w14:paraId="0000006C"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sno3ghqxmkx3">
            <w:r>
              <w:rPr>
                <w:color w:val="000000"/>
              </w:rPr>
              <w:t>Table 10: House Characteristics</w:t>
            </w:r>
            <w:r>
              <w:rPr>
                <w:color w:val="000000"/>
              </w:rPr>
              <w:tab/>
              <w:t>38</w:t>
            </w:r>
          </w:hyperlink>
          <w:r>
            <w:fldChar w:fldCharType="begin"/>
          </w:r>
          <w:r>
            <w:instrText xml:space="preserve"> HYPERLINK \l "_heading=h.sno3ghqxmkx3" </w:instrText>
          </w:r>
          <w:r>
            <w:fldChar w:fldCharType="separate"/>
          </w:r>
        </w:p>
        <w:p w14:paraId="0000006D"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y2d1mox87dkh">
            <w:r>
              <w:rPr>
                <w:color w:val="000000"/>
              </w:rPr>
              <w:t>Table 11: NHIF insurance cover</w:t>
            </w:r>
            <w:r>
              <w:rPr>
                <w:color w:val="000000"/>
              </w:rPr>
              <w:tab/>
              <w:t>40</w:t>
            </w:r>
          </w:hyperlink>
          <w:r>
            <w:fldChar w:fldCharType="begin"/>
          </w:r>
          <w:r>
            <w:instrText xml:space="preserve"> HYPERLINK \l "_heading=h.y2d1mox87dkh" </w:instrText>
          </w:r>
          <w:r>
            <w:fldChar w:fldCharType="separate"/>
          </w:r>
        </w:p>
        <w:p w14:paraId="0000006E"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1qwobauheibw">
            <w:r>
              <w:rPr>
                <w:color w:val="000000"/>
              </w:rPr>
              <w:t>Table 12: Other active insurance cover</w:t>
            </w:r>
            <w:r>
              <w:rPr>
                <w:color w:val="000000"/>
              </w:rPr>
              <w:tab/>
              <w:t>42</w:t>
            </w:r>
          </w:hyperlink>
          <w:r>
            <w:fldChar w:fldCharType="begin"/>
          </w:r>
          <w:r>
            <w:instrText xml:space="preserve"> HYPERLINK \l "_heading=h.1qwobauheibw" </w:instrText>
          </w:r>
          <w:r>
            <w:fldChar w:fldCharType="separate"/>
          </w:r>
        </w:p>
        <w:p w14:paraId="0000006F"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bnhb8e4l7lgy">
            <w:r>
              <w:rPr>
                <w:color w:val="000000"/>
              </w:rPr>
              <w:t>Table 13: Clinical intervention and control group</w:t>
            </w:r>
            <w:r>
              <w:rPr>
                <w:color w:val="000000"/>
              </w:rPr>
              <w:tab/>
              <w:t>44</w:t>
            </w:r>
          </w:hyperlink>
          <w:r>
            <w:fldChar w:fldCharType="begin"/>
          </w:r>
          <w:r>
            <w:instrText xml:space="preserve"> HYPERLINK \l "_heading=h.bnhb8e4l7lgy" </w:instrText>
          </w:r>
          <w:r>
            <w:fldChar w:fldCharType="separate"/>
          </w:r>
        </w:p>
        <w:p w14:paraId="00000070"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c8a2pwd765qx">
            <w:r>
              <w:rPr>
                <w:color w:val="000000"/>
              </w:rPr>
              <w:t>Table 14: Reasons for drug substitute</w:t>
            </w:r>
            <w:r>
              <w:rPr>
                <w:color w:val="000000"/>
              </w:rPr>
              <w:tab/>
              <w:t>47</w:t>
            </w:r>
          </w:hyperlink>
          <w:r>
            <w:fldChar w:fldCharType="begin"/>
          </w:r>
          <w:r>
            <w:instrText xml:space="preserve"> HYPERLINK \l "_heading=h.c8a2pwd765qx" </w:instrText>
          </w:r>
          <w:r>
            <w:fldChar w:fldCharType="separate"/>
          </w:r>
        </w:p>
        <w:p w14:paraId="00000071"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luf9zm9d9yh">
            <w:r>
              <w:rPr>
                <w:color w:val="000000"/>
              </w:rPr>
              <w:t>Table 15: Reasons for treatment switch</w:t>
            </w:r>
            <w:r>
              <w:rPr>
                <w:color w:val="000000"/>
              </w:rPr>
              <w:tab/>
              <w:t>49</w:t>
            </w:r>
          </w:hyperlink>
          <w:r>
            <w:fldChar w:fldCharType="begin"/>
          </w:r>
          <w:r>
            <w:instrText xml:space="preserve"> HYPERLINK \l "_heading=h.luf9zm9d9yh" </w:instrText>
          </w:r>
          <w:r>
            <w:fldChar w:fldCharType="separate"/>
          </w:r>
        </w:p>
        <w:p w14:paraId="00000072"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9poig8fejvhl">
            <w:r>
              <w:rPr>
                <w:color w:val="000000"/>
              </w:rPr>
              <w:t>Table 16: Reason for switching treatment</w:t>
            </w:r>
            <w:r>
              <w:rPr>
                <w:color w:val="000000"/>
              </w:rPr>
              <w:tab/>
              <w:t>50</w:t>
            </w:r>
          </w:hyperlink>
          <w:r>
            <w:fldChar w:fldCharType="begin"/>
          </w:r>
          <w:r>
            <w:instrText xml:space="preserve"> HYPERLINK \l "_heading=h.9poig8fejvhl" </w:instrText>
          </w:r>
          <w:r>
            <w:fldChar w:fldCharType="separate"/>
          </w:r>
        </w:p>
        <w:p w14:paraId="00000073"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j24ti5fza5ck">
            <w:r>
              <w:rPr>
                <w:color w:val="000000"/>
              </w:rPr>
              <w:t>Table 17: Reason for switching treatment</w:t>
            </w:r>
            <w:r>
              <w:rPr>
                <w:color w:val="000000"/>
              </w:rPr>
              <w:tab/>
              <w:t>51</w:t>
            </w:r>
          </w:hyperlink>
          <w:r>
            <w:fldChar w:fldCharType="begin"/>
          </w:r>
          <w:r>
            <w:instrText xml:space="preserve"> HYPERLINK \l "_heading=h.j24ti5fza5ck" </w:instrText>
          </w:r>
          <w:r>
            <w:fldChar w:fldCharType="separate"/>
          </w:r>
        </w:p>
        <w:p w14:paraId="00000074"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jccihnxii971">
            <w:r>
              <w:rPr>
                <w:color w:val="000000"/>
              </w:rPr>
              <w:t>Table 18: End of Follow-up Reasons</w:t>
            </w:r>
            <w:r>
              <w:rPr>
                <w:color w:val="000000"/>
              </w:rPr>
              <w:tab/>
              <w:t>53</w:t>
            </w:r>
          </w:hyperlink>
          <w:r>
            <w:fldChar w:fldCharType="begin"/>
          </w:r>
          <w:r>
            <w:instrText xml:space="preserve"> HYPERLINK \l "_heading=h.jccihnxii971" </w:instrText>
          </w:r>
          <w:r>
            <w:fldChar w:fldCharType="separate"/>
          </w:r>
        </w:p>
        <w:p w14:paraId="00000075"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lkuda4pxs6pc">
            <w:r>
              <w:rPr>
                <w:color w:val="000000"/>
              </w:rPr>
              <w:t>Table 19: Reason for stopping treatment</w:t>
            </w:r>
            <w:r>
              <w:rPr>
                <w:color w:val="000000"/>
              </w:rPr>
              <w:tab/>
              <w:t>55</w:t>
            </w:r>
          </w:hyperlink>
          <w:r>
            <w:fldChar w:fldCharType="begin"/>
          </w:r>
          <w:r>
            <w:instrText xml:space="preserve"> HYPERLINK \l "_heading=h.lkuda4pxs6pc" </w:instrText>
          </w:r>
          <w:r>
            <w:fldChar w:fldCharType="separate"/>
          </w:r>
        </w:p>
        <w:p w14:paraId="00000076"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d3j8tgoq3l45">
            <w:r>
              <w:rPr>
                <w:color w:val="000000"/>
              </w:rPr>
              <w:t>Table 20: Cross tabulation for reasons for stopping treatment</w:t>
            </w:r>
            <w:r>
              <w:rPr>
                <w:color w:val="000000"/>
              </w:rPr>
              <w:tab/>
              <w:t>57</w:t>
            </w:r>
          </w:hyperlink>
          <w:r>
            <w:fldChar w:fldCharType="begin"/>
          </w:r>
          <w:r>
            <w:instrText xml:space="preserve"> HYPERLINK \l "_heading=h.d3j8tgoq3l45" </w:instrText>
          </w:r>
          <w:r>
            <w:fldChar w:fldCharType="separate"/>
          </w:r>
        </w:p>
        <w:p w14:paraId="00000077"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h7ijk4rpfihx">
            <w:r>
              <w:rPr>
                <w:color w:val="000000"/>
              </w:rPr>
              <w:t>Table 21: Cross tabulation for reasons for stopping treatment</w:t>
            </w:r>
            <w:r>
              <w:rPr>
                <w:color w:val="000000"/>
              </w:rPr>
              <w:tab/>
              <w:t>58</w:t>
            </w:r>
          </w:hyperlink>
          <w:r>
            <w:fldChar w:fldCharType="begin"/>
          </w:r>
          <w:r>
            <w:instrText xml:space="preserve"> HYPERLINK \l "_heading=h.h7ijk4rpfihx" </w:instrText>
          </w:r>
          <w:r>
            <w:fldChar w:fldCharType="separate"/>
          </w:r>
        </w:p>
        <w:p w14:paraId="00000078"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4gyix35q2lnn">
            <w:r>
              <w:rPr>
                <w:color w:val="000000"/>
              </w:rPr>
              <w:t>Table 22: Evidence of Adherence Concerns</w:t>
            </w:r>
            <w:r>
              <w:rPr>
                <w:color w:val="000000"/>
              </w:rPr>
              <w:tab/>
              <w:t>60</w:t>
            </w:r>
          </w:hyperlink>
          <w:r>
            <w:fldChar w:fldCharType="begin"/>
          </w:r>
          <w:r>
            <w:instrText xml:space="preserve"> HYPERLINK \l "_heading=h.4gyix35q2lnn" </w:instrText>
          </w:r>
          <w:r>
            <w:fldChar w:fldCharType="separate"/>
          </w:r>
        </w:p>
        <w:p w14:paraId="00000079"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v7mdc353i8ck">
            <w:r>
              <w:rPr>
                <w:color w:val="000000"/>
              </w:rPr>
              <w:t>Table 23: Evidence of Adherence Concerns b.</w:t>
            </w:r>
            <w:r>
              <w:rPr>
                <w:color w:val="000000"/>
              </w:rPr>
              <w:tab/>
              <w:t>61</w:t>
            </w:r>
          </w:hyperlink>
          <w:r>
            <w:fldChar w:fldCharType="begin"/>
          </w:r>
          <w:r>
            <w:instrText xml:space="preserve"> HYPERLINK \l "_heading=h.v7mdc353i8ck" </w:instrText>
          </w:r>
          <w:r>
            <w:fldChar w:fldCharType="separate"/>
          </w:r>
        </w:p>
        <w:p w14:paraId="0000007A"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yabhrqub5lcq">
            <w:r>
              <w:rPr>
                <w:color w:val="000000"/>
              </w:rPr>
              <w:t>Table 25: Likely Root Cause of Severe side effects</w:t>
            </w:r>
            <w:r>
              <w:rPr>
                <w:color w:val="000000"/>
              </w:rPr>
              <w:tab/>
              <w:t>65</w:t>
            </w:r>
          </w:hyperlink>
          <w:r>
            <w:fldChar w:fldCharType="begin"/>
          </w:r>
          <w:r>
            <w:instrText xml:space="preserve"> HYPERLINK \l "_heading=h.yabhrqub5lcq" </w:instrText>
          </w:r>
          <w:r>
            <w:fldChar w:fldCharType="separate"/>
          </w:r>
        </w:p>
        <w:p w14:paraId="0000007B" w14:textId="77777777" w:rsidR="00655AEF" w:rsidRDefault="00000000">
          <w:r>
            <w:fldChar w:fldCharType="end"/>
          </w:r>
          <w:r>
            <w:fldChar w:fldCharType="end"/>
          </w:r>
        </w:p>
      </w:sdtContent>
    </w:sdt>
    <w:p w14:paraId="0000007C" w14:textId="77777777" w:rsidR="00655AEF" w:rsidRDefault="00655AEF"/>
    <w:p w14:paraId="0000007D" w14:textId="77777777" w:rsidR="00655AEF" w:rsidRDefault="00655AEF"/>
    <w:p w14:paraId="0000007E" w14:textId="77777777" w:rsidR="00655AEF" w:rsidRDefault="00655AEF"/>
    <w:p w14:paraId="0000007F" w14:textId="77777777" w:rsidR="00655AEF" w:rsidRDefault="00655AEF"/>
    <w:p w14:paraId="00000080" w14:textId="77777777" w:rsidR="00655AEF" w:rsidRDefault="00655AEF"/>
    <w:p w14:paraId="00000081" w14:textId="77777777" w:rsidR="00655AEF" w:rsidRDefault="00655AEF"/>
    <w:p w14:paraId="00000082" w14:textId="77777777" w:rsidR="00655AEF" w:rsidRDefault="00655AEF"/>
    <w:p w14:paraId="00000083" w14:textId="77777777" w:rsidR="00655AEF" w:rsidRDefault="00655AEF"/>
    <w:p w14:paraId="00000084" w14:textId="77777777" w:rsidR="00655AEF" w:rsidRDefault="00655AEF"/>
    <w:p w14:paraId="00000085" w14:textId="77777777" w:rsidR="00655AEF" w:rsidRDefault="00655AEF"/>
    <w:p w14:paraId="00000086" w14:textId="77777777" w:rsidR="00655AEF" w:rsidRDefault="00655AEF"/>
    <w:p w14:paraId="00000087" w14:textId="77777777" w:rsidR="00655AEF" w:rsidRDefault="00655AEF"/>
    <w:p w14:paraId="00000088" w14:textId="77777777" w:rsidR="00655AEF" w:rsidRDefault="00655AEF"/>
    <w:p w14:paraId="00000089" w14:textId="77777777" w:rsidR="00655AEF" w:rsidRDefault="00655AEF"/>
    <w:p w14:paraId="0000008A" w14:textId="77777777" w:rsidR="00655AEF" w:rsidRDefault="00655AEF"/>
    <w:p w14:paraId="0000008B" w14:textId="77777777" w:rsidR="00655AEF" w:rsidRDefault="00655AEF"/>
    <w:p w14:paraId="0000008C" w14:textId="77777777" w:rsidR="00655AEF" w:rsidRDefault="00655AEF"/>
    <w:p w14:paraId="0000008D" w14:textId="77777777" w:rsidR="00655AEF" w:rsidRDefault="00655AEF"/>
    <w:p w14:paraId="0000008E" w14:textId="77777777" w:rsidR="00655AEF" w:rsidRDefault="00655AEF"/>
    <w:p w14:paraId="0000008F" w14:textId="77777777" w:rsidR="00655AEF" w:rsidRDefault="00655AEF"/>
    <w:p w14:paraId="00000090" w14:textId="77777777" w:rsidR="00655AEF" w:rsidRDefault="00655AEF"/>
    <w:p w14:paraId="00000091" w14:textId="77777777" w:rsidR="00655AEF" w:rsidRDefault="00655AEF"/>
    <w:p w14:paraId="00000092" w14:textId="77777777" w:rsidR="00655AEF" w:rsidRDefault="00655AEF"/>
    <w:p w14:paraId="00000093" w14:textId="77777777" w:rsidR="00655AEF" w:rsidRDefault="00655AEF"/>
    <w:p w14:paraId="00000094" w14:textId="77777777" w:rsidR="00655AEF" w:rsidRDefault="00655AEF"/>
    <w:p w14:paraId="00000095" w14:textId="77777777" w:rsidR="00655AEF" w:rsidRDefault="00000000">
      <w:pPr>
        <w:pStyle w:val="Heading1"/>
        <w:jc w:val="center"/>
      </w:pPr>
      <w:bookmarkStart w:id="1" w:name="_heading=h.wn3zwz25mvvb" w:colFirst="0" w:colLast="0"/>
      <w:bookmarkEnd w:id="1"/>
      <w:r>
        <w:t>List of Figures</w:t>
      </w:r>
    </w:p>
    <w:sdt>
      <w:sdtPr>
        <w:id w:val="-375827105"/>
        <w:docPartObj>
          <w:docPartGallery w:val="Table of Contents"/>
          <w:docPartUnique/>
        </w:docPartObj>
      </w:sdtPr>
      <w:sdtContent>
        <w:p w14:paraId="00000096"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au4e6xmnzh0k">
            <w:r>
              <w:rPr>
                <w:color w:val="000000"/>
              </w:rPr>
              <w:t>Figure 1: Housing types</w:t>
            </w:r>
            <w:r>
              <w:rPr>
                <w:color w:val="000000"/>
              </w:rPr>
              <w:tab/>
              <w:t>25</w:t>
            </w:r>
          </w:hyperlink>
          <w:r>
            <w:fldChar w:fldCharType="begin"/>
          </w:r>
          <w:r>
            <w:instrText xml:space="preserve"> HYPERLINK \l "_heading=h.au4e6xmnzh0k" </w:instrText>
          </w:r>
          <w:r>
            <w:fldChar w:fldCharType="separate"/>
          </w:r>
        </w:p>
        <w:p w14:paraId="00000097"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mvwry78rd5am">
            <w:r>
              <w:rPr>
                <w:color w:val="000000"/>
              </w:rPr>
              <w:t>Figure 2: Marital Status</w:t>
            </w:r>
            <w:r>
              <w:rPr>
                <w:color w:val="000000"/>
              </w:rPr>
              <w:tab/>
              <w:t>28</w:t>
            </w:r>
          </w:hyperlink>
          <w:r>
            <w:fldChar w:fldCharType="begin"/>
          </w:r>
          <w:r>
            <w:instrText xml:space="preserve"> HYPERLINK \l "_heading=h.mvwry78rd5am" </w:instrText>
          </w:r>
          <w:r>
            <w:fldChar w:fldCharType="separate"/>
          </w:r>
        </w:p>
        <w:p w14:paraId="00000098"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gh45qcnucdp">
            <w:r>
              <w:rPr>
                <w:color w:val="000000"/>
              </w:rPr>
              <w:t>Figure 3: Average Household Income</w:t>
            </w:r>
            <w:r>
              <w:rPr>
                <w:color w:val="000000"/>
              </w:rPr>
              <w:tab/>
              <w:t>30</w:t>
            </w:r>
          </w:hyperlink>
          <w:r>
            <w:fldChar w:fldCharType="begin"/>
          </w:r>
          <w:r>
            <w:instrText xml:space="preserve"> HYPERLINK \l "_heading=h.gh45qcnucdp" </w:instrText>
          </w:r>
          <w:r>
            <w:fldChar w:fldCharType="separate"/>
          </w:r>
        </w:p>
        <w:p w14:paraId="00000099"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abx5bco763g9">
            <w:r>
              <w:rPr>
                <w:color w:val="000000"/>
              </w:rPr>
              <w:t>Figure 4: Average Expenditure</w:t>
            </w:r>
            <w:r>
              <w:rPr>
                <w:color w:val="000000"/>
              </w:rPr>
              <w:tab/>
              <w:t>32</w:t>
            </w:r>
          </w:hyperlink>
          <w:r>
            <w:fldChar w:fldCharType="begin"/>
          </w:r>
          <w:r>
            <w:instrText xml:space="preserve"> HYPERLINK \l "_heading=h.abx5bco763g9" </w:instrText>
          </w:r>
          <w:r>
            <w:fldChar w:fldCharType="separate"/>
          </w:r>
        </w:p>
        <w:p w14:paraId="0000009A"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stj9rl56ybhi">
            <w:r>
              <w:rPr>
                <w:color w:val="000000"/>
              </w:rPr>
              <w:t>Figure 5: Education Level</w:t>
            </w:r>
            <w:r>
              <w:rPr>
                <w:color w:val="000000"/>
              </w:rPr>
              <w:tab/>
              <w:t>34</w:t>
            </w:r>
          </w:hyperlink>
          <w:r>
            <w:fldChar w:fldCharType="begin"/>
          </w:r>
          <w:r>
            <w:instrText xml:space="preserve"> HYPERLINK \l "_heading=h.stj9rl56ybhi" </w:instrText>
          </w:r>
          <w:r>
            <w:fldChar w:fldCharType="separate"/>
          </w:r>
        </w:p>
        <w:p w14:paraId="0000009B"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vsvzmjsft3tl">
            <w:r>
              <w:rPr>
                <w:color w:val="000000"/>
              </w:rPr>
              <w:t>Figure 6: Household Size</w:t>
            </w:r>
            <w:r>
              <w:rPr>
                <w:color w:val="000000"/>
              </w:rPr>
              <w:tab/>
              <w:t>37</w:t>
            </w:r>
          </w:hyperlink>
          <w:r>
            <w:fldChar w:fldCharType="begin"/>
          </w:r>
          <w:r>
            <w:instrText xml:space="preserve"> HYPERLINK \l "_heading=h.vsvzmjsft3tl" </w:instrText>
          </w:r>
          <w:r>
            <w:fldChar w:fldCharType="separate"/>
          </w:r>
        </w:p>
        <w:p w14:paraId="0000009C"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c95aj0mfrpan">
            <w:r>
              <w:rPr>
                <w:color w:val="000000"/>
              </w:rPr>
              <w:t>Figure 7: NHIF insurance cover</w:t>
            </w:r>
            <w:r>
              <w:rPr>
                <w:color w:val="000000"/>
              </w:rPr>
              <w:tab/>
              <w:t>41</w:t>
            </w:r>
          </w:hyperlink>
          <w:r>
            <w:fldChar w:fldCharType="begin"/>
          </w:r>
          <w:r>
            <w:instrText xml:space="preserve"> HYPERLINK \l "_heading=h.c95aj0mfrpan" </w:instrText>
          </w:r>
          <w:r>
            <w:fldChar w:fldCharType="separate"/>
          </w:r>
        </w:p>
        <w:p w14:paraId="0000009D"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gr3wejlxi1bi">
            <w:r>
              <w:rPr>
                <w:color w:val="000000"/>
              </w:rPr>
              <w:t>Figure 8: Other active insurance cover</w:t>
            </w:r>
            <w:r>
              <w:rPr>
                <w:color w:val="000000"/>
              </w:rPr>
              <w:tab/>
              <w:t>43</w:t>
            </w:r>
          </w:hyperlink>
          <w:r>
            <w:fldChar w:fldCharType="begin"/>
          </w:r>
          <w:r>
            <w:instrText xml:space="preserve"> HYPERLINK \l "_heading=h.gr3wejlxi1bi" </w:instrText>
          </w:r>
          <w:r>
            <w:fldChar w:fldCharType="separate"/>
          </w:r>
        </w:p>
        <w:p w14:paraId="0000009E"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hkikta82api0">
            <w:r>
              <w:rPr>
                <w:color w:val="000000"/>
              </w:rPr>
              <w:t>Figure 9: Clinical intervention and control group</w:t>
            </w:r>
            <w:r>
              <w:rPr>
                <w:color w:val="000000"/>
              </w:rPr>
              <w:tab/>
              <w:t>45</w:t>
            </w:r>
          </w:hyperlink>
          <w:r>
            <w:fldChar w:fldCharType="begin"/>
          </w:r>
          <w:r>
            <w:instrText xml:space="preserve"> HYPERLINK \l "_heading=h.hkikta82api0" </w:instrText>
          </w:r>
          <w:r>
            <w:fldChar w:fldCharType="separate"/>
          </w:r>
        </w:p>
        <w:p w14:paraId="0000009F"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5p4gq7luxky5">
            <w:r>
              <w:rPr>
                <w:color w:val="000000"/>
              </w:rPr>
              <w:t>Figure 10: Reasons for drug substitute</w:t>
            </w:r>
            <w:r>
              <w:rPr>
                <w:color w:val="000000"/>
              </w:rPr>
              <w:tab/>
              <w:t>47</w:t>
            </w:r>
          </w:hyperlink>
          <w:r>
            <w:fldChar w:fldCharType="begin"/>
          </w:r>
          <w:r>
            <w:instrText xml:space="preserve"> HYPERLINK \l "_heading=h.5p4gq7luxky5" </w:instrText>
          </w:r>
          <w:r>
            <w:fldChar w:fldCharType="separate"/>
          </w:r>
        </w:p>
        <w:p w14:paraId="000000A0"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vcf3jpcm7z0">
            <w:r>
              <w:rPr>
                <w:color w:val="000000"/>
              </w:rPr>
              <w:t>Figure 11: Reasons for drug substitute</w:t>
            </w:r>
            <w:r>
              <w:rPr>
                <w:color w:val="000000"/>
              </w:rPr>
              <w:tab/>
              <w:t>48</w:t>
            </w:r>
          </w:hyperlink>
          <w:r>
            <w:fldChar w:fldCharType="begin"/>
          </w:r>
          <w:r>
            <w:instrText xml:space="preserve"> HYPERLINK \l "_heading=h.vcf3jpcm7z0" </w:instrText>
          </w:r>
          <w:r>
            <w:fldChar w:fldCharType="separate"/>
          </w:r>
        </w:p>
        <w:p w14:paraId="000000A1"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q63fe8ilwoq0">
            <w:r>
              <w:rPr>
                <w:color w:val="000000"/>
              </w:rPr>
              <w:t>Figure 12: Reasons for treatment switch</w:t>
            </w:r>
            <w:r>
              <w:rPr>
                <w:color w:val="000000"/>
              </w:rPr>
              <w:tab/>
              <w:t>50</w:t>
            </w:r>
          </w:hyperlink>
          <w:r>
            <w:fldChar w:fldCharType="begin"/>
          </w:r>
          <w:r>
            <w:instrText xml:space="preserve"> HYPERLINK \l "_heading=h.q63fe8ilwoq0" </w:instrText>
          </w:r>
          <w:r>
            <w:fldChar w:fldCharType="separate"/>
          </w:r>
        </w:p>
        <w:p w14:paraId="000000A2"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1vjuf4kab8n8">
            <w:r>
              <w:rPr>
                <w:color w:val="000000"/>
              </w:rPr>
              <w:t>Figure 13: End of Follow-up Reasons</w:t>
            </w:r>
            <w:r>
              <w:rPr>
                <w:color w:val="000000"/>
              </w:rPr>
              <w:tab/>
              <w:t>53</w:t>
            </w:r>
          </w:hyperlink>
          <w:r>
            <w:fldChar w:fldCharType="begin"/>
          </w:r>
          <w:r>
            <w:instrText xml:space="preserve"> HYPERLINK \l "_heading=h.1vjuf4kab8n8" </w:instrText>
          </w:r>
          <w:r>
            <w:fldChar w:fldCharType="separate"/>
          </w:r>
        </w:p>
        <w:p w14:paraId="000000A3"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391bs9ovh5t4">
            <w:r>
              <w:rPr>
                <w:color w:val="000000"/>
              </w:rPr>
              <w:t>Figure 14: Treatment_2 Reason for stopping treatment</w:t>
            </w:r>
            <w:r>
              <w:rPr>
                <w:color w:val="000000"/>
              </w:rPr>
              <w:tab/>
              <w:t>56</w:t>
            </w:r>
          </w:hyperlink>
          <w:r>
            <w:fldChar w:fldCharType="begin"/>
          </w:r>
          <w:r>
            <w:instrText xml:space="preserve"> HYPERLINK \l "_heading=h.391bs9ovh5t4" </w:instrText>
          </w:r>
          <w:r>
            <w:fldChar w:fldCharType="separate"/>
          </w:r>
        </w:p>
        <w:p w14:paraId="000000A4"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hwz66ir6vydh">
            <w:r>
              <w:rPr>
                <w:color w:val="000000"/>
              </w:rPr>
              <w:t>Figure 15: Evidence of Adherence Concerns a.</w:t>
            </w:r>
            <w:r>
              <w:rPr>
                <w:color w:val="000000"/>
              </w:rPr>
              <w:tab/>
              <w:t>60</w:t>
            </w:r>
          </w:hyperlink>
          <w:r>
            <w:fldChar w:fldCharType="begin"/>
          </w:r>
          <w:r>
            <w:instrText xml:space="preserve"> HYPERLINK \l "_heading=h.hwz66ir6vydh" </w:instrText>
          </w:r>
          <w:r>
            <w:fldChar w:fldCharType="separate"/>
          </w:r>
        </w:p>
        <w:p w14:paraId="000000A5"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7p1eogmd021q">
            <w:r>
              <w:rPr>
                <w:color w:val="000000"/>
              </w:rPr>
              <w:t>Figure 16: Evidence of Adherence Concerns b.</w:t>
            </w:r>
            <w:r>
              <w:rPr>
                <w:color w:val="000000"/>
              </w:rPr>
              <w:tab/>
              <w:t>62</w:t>
            </w:r>
          </w:hyperlink>
          <w:r>
            <w:fldChar w:fldCharType="begin"/>
          </w:r>
          <w:r>
            <w:instrText xml:space="preserve"> HYPERLINK \l "_heading=h.7p1eogmd021q" </w:instrText>
          </w:r>
          <w:r>
            <w:fldChar w:fldCharType="separate"/>
          </w:r>
        </w:p>
        <w:p w14:paraId="000000A6"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mdeuw2kln782">
            <w:r>
              <w:rPr>
                <w:color w:val="000000"/>
              </w:rPr>
              <w:t>Figure 17: Likely Root Cause of  Severe side effects</w:t>
            </w:r>
            <w:r>
              <w:rPr>
                <w:color w:val="000000"/>
              </w:rPr>
              <w:tab/>
              <w:t>66</w:t>
            </w:r>
          </w:hyperlink>
          <w:r>
            <w:fldChar w:fldCharType="begin"/>
          </w:r>
          <w:r>
            <w:instrText xml:space="preserve"> HYPERLINK \l "_heading=h.mdeuw2kln782" </w:instrText>
          </w:r>
          <w:r>
            <w:fldChar w:fldCharType="separate"/>
          </w:r>
        </w:p>
        <w:p w14:paraId="000000A7"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o15ghp1czbur">
            <w:r>
              <w:rPr>
                <w:color w:val="000000"/>
              </w:rPr>
              <w:t>Figure 18: Factors Hindering Retention of HIV/AIDS Clients with Suspected Treatment Failure</w:t>
            </w:r>
            <w:r>
              <w:rPr>
                <w:color w:val="000000"/>
              </w:rPr>
              <w:tab/>
              <w:t>70</w:t>
            </w:r>
          </w:hyperlink>
          <w:r>
            <w:fldChar w:fldCharType="begin"/>
          </w:r>
          <w:r>
            <w:instrText xml:space="preserve"> HYPERLINK \l "_heading=h.o15ghp1czbur" </w:instrText>
          </w:r>
          <w:r>
            <w:fldChar w:fldCharType="separate"/>
          </w:r>
        </w:p>
        <w:p w14:paraId="000000A8"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mjhm85s7muu5">
            <w:r>
              <w:rPr>
                <w:color w:val="000000"/>
              </w:rPr>
              <w:t>Figure 19: Factors Promoting Retention of HIV/AIDS Clients with Suspected Treatment Failure</w:t>
            </w:r>
            <w:r>
              <w:rPr>
                <w:color w:val="000000"/>
              </w:rPr>
              <w:tab/>
              <w:t>74</w:t>
            </w:r>
          </w:hyperlink>
          <w:r>
            <w:fldChar w:fldCharType="begin"/>
          </w:r>
          <w:r>
            <w:instrText xml:space="preserve"> HYPERLINK \l "_heading=h.mjhm85s7muu5" </w:instrText>
          </w:r>
          <w:r>
            <w:fldChar w:fldCharType="separate"/>
          </w:r>
        </w:p>
        <w:p w14:paraId="000000A9" w14:textId="77777777" w:rsidR="00655AEF" w:rsidRDefault="00000000">
          <w:pPr>
            <w:pBdr>
              <w:top w:val="nil"/>
              <w:left w:val="nil"/>
              <w:bottom w:val="nil"/>
              <w:right w:val="nil"/>
              <w:between w:val="nil"/>
            </w:pBdr>
            <w:tabs>
              <w:tab w:val="right" w:pos="9350"/>
            </w:tabs>
            <w:rPr>
              <w:rFonts w:ascii="Calibri" w:eastAsia="Calibri" w:hAnsi="Calibri" w:cs="Calibri"/>
              <w:color w:val="000000"/>
            </w:rPr>
          </w:pPr>
          <w:r>
            <w:fldChar w:fldCharType="end"/>
          </w:r>
          <w:hyperlink w:anchor="_heading=h.v894oqrbmbl1">
            <w:r>
              <w:rPr>
                <w:color w:val="000000"/>
              </w:rPr>
              <w:t>Figure 20: Constructs of an Integrated System for Improving Treatment Adherence for HIV/AIDS Clients with Suspected Treatment Failure</w:t>
            </w:r>
            <w:r>
              <w:rPr>
                <w:color w:val="000000"/>
              </w:rPr>
              <w:tab/>
              <w:t>77</w:t>
            </w:r>
          </w:hyperlink>
          <w:r>
            <w:fldChar w:fldCharType="begin"/>
          </w:r>
          <w:r>
            <w:instrText xml:space="preserve"> HYPERLINK \l "_heading=h.v894oqrbmbl1" </w:instrText>
          </w:r>
          <w:r>
            <w:fldChar w:fldCharType="separate"/>
          </w:r>
        </w:p>
        <w:p w14:paraId="000000AA" w14:textId="77777777" w:rsidR="00655AEF" w:rsidRDefault="00000000">
          <w:r>
            <w:fldChar w:fldCharType="end"/>
          </w:r>
          <w:r>
            <w:fldChar w:fldCharType="end"/>
          </w:r>
        </w:p>
      </w:sdtContent>
    </w:sdt>
    <w:p w14:paraId="000000AB" w14:textId="77777777" w:rsidR="00655AEF" w:rsidRDefault="00655AEF"/>
    <w:p w14:paraId="000000AC" w14:textId="77777777" w:rsidR="00655AEF" w:rsidRDefault="00655AEF"/>
    <w:p w14:paraId="000000AD" w14:textId="77777777" w:rsidR="00655AEF" w:rsidRDefault="00655AEF"/>
    <w:p w14:paraId="000000AE" w14:textId="77777777" w:rsidR="00655AEF" w:rsidRDefault="00655AEF"/>
    <w:p w14:paraId="000000AF" w14:textId="77777777" w:rsidR="00655AEF" w:rsidRDefault="00655AEF"/>
    <w:p w14:paraId="000000B0" w14:textId="77777777" w:rsidR="00655AEF" w:rsidRDefault="00655AEF"/>
    <w:p w14:paraId="000000B1" w14:textId="77777777" w:rsidR="00655AEF" w:rsidRDefault="00655AEF"/>
    <w:p w14:paraId="000000B2" w14:textId="77777777" w:rsidR="00655AEF" w:rsidRDefault="00655AEF"/>
    <w:p w14:paraId="000000B3" w14:textId="77777777" w:rsidR="00655AEF" w:rsidRDefault="00655AEF"/>
    <w:p w14:paraId="000000B4" w14:textId="77777777" w:rsidR="00655AEF" w:rsidRDefault="00655AEF"/>
    <w:p w14:paraId="000000B5" w14:textId="77777777" w:rsidR="00655AEF" w:rsidRDefault="00655AEF"/>
    <w:p w14:paraId="000000B6" w14:textId="77777777" w:rsidR="00655AEF" w:rsidRDefault="00655AEF"/>
    <w:p w14:paraId="000000B7" w14:textId="77777777" w:rsidR="00655AEF" w:rsidRDefault="00655AEF"/>
    <w:p w14:paraId="000000B8" w14:textId="77777777" w:rsidR="00655AEF" w:rsidRDefault="00655AEF"/>
    <w:p w14:paraId="000000B9" w14:textId="77777777" w:rsidR="00655AEF" w:rsidRDefault="00655AEF"/>
    <w:p w14:paraId="000000BA" w14:textId="77777777" w:rsidR="00655AEF" w:rsidRDefault="00655AEF"/>
    <w:p w14:paraId="000000BB" w14:textId="77777777" w:rsidR="00655AEF" w:rsidRDefault="00655AEF"/>
    <w:p w14:paraId="000000BC" w14:textId="77777777" w:rsidR="00655AEF" w:rsidRDefault="00655AEF"/>
    <w:p w14:paraId="000000BD" w14:textId="77777777" w:rsidR="00655AEF" w:rsidRDefault="00655AEF"/>
    <w:p w14:paraId="000000BE" w14:textId="77777777" w:rsidR="00655AEF" w:rsidRDefault="00655AEF"/>
    <w:p w14:paraId="000000BF" w14:textId="77777777" w:rsidR="00655AEF" w:rsidRDefault="00655AEF"/>
    <w:p w14:paraId="000000C0" w14:textId="77777777" w:rsidR="00655AEF" w:rsidRDefault="00655AEF"/>
    <w:p w14:paraId="000000C1" w14:textId="77777777" w:rsidR="00655AEF" w:rsidRDefault="00655AEF"/>
    <w:p w14:paraId="000000C2" w14:textId="77777777" w:rsidR="00655AEF" w:rsidRDefault="00655AEF"/>
    <w:p w14:paraId="000000C3" w14:textId="77777777" w:rsidR="00655AEF" w:rsidRDefault="00655AEF"/>
    <w:p w14:paraId="000000C4" w14:textId="77777777" w:rsidR="00655AEF" w:rsidRDefault="00655AEF"/>
    <w:p w14:paraId="000000C5" w14:textId="77777777" w:rsidR="00655AEF" w:rsidRDefault="00000000">
      <w:pPr>
        <w:pStyle w:val="Heading1"/>
        <w:jc w:val="center"/>
      </w:pPr>
      <w:bookmarkStart w:id="2" w:name="_heading=h.z0lao4f61t8p" w:colFirst="0" w:colLast="0"/>
      <w:bookmarkEnd w:id="2"/>
      <w:r>
        <w:t>Acknowledgement</w:t>
      </w:r>
    </w:p>
    <w:p w14:paraId="000000C6" w14:textId="77777777" w:rsidR="00655AEF" w:rsidRDefault="00000000">
      <w:pPr>
        <w:spacing w:after="240" w:line="360" w:lineRule="auto"/>
        <w:jc w:val="both"/>
        <w:rPr>
          <w:sz w:val="24"/>
          <w:szCs w:val="24"/>
        </w:rPr>
      </w:pPr>
      <w:r>
        <w:rPr>
          <w:sz w:val="24"/>
          <w:szCs w:val="24"/>
        </w:rPr>
        <w:t>The successful conceptualization and development of this study, “Evaluation of Reward System on HIV Treatment Outcomes of Patients with Suspected Treatment Failure at Kakamega County, Kenya,” would not have been possible without the invaluable support and contributions of numerous individuals and organizations.</w:t>
      </w:r>
    </w:p>
    <w:p w14:paraId="000000C7" w14:textId="77777777" w:rsidR="00655AEF" w:rsidRDefault="00000000">
      <w:pPr>
        <w:spacing w:after="240" w:line="360" w:lineRule="auto"/>
        <w:jc w:val="both"/>
        <w:rPr>
          <w:sz w:val="24"/>
          <w:szCs w:val="24"/>
        </w:rPr>
      </w:pPr>
      <w:r>
        <w:rPr>
          <w:sz w:val="24"/>
          <w:szCs w:val="24"/>
        </w:rPr>
        <w:t>First and foremost, we extend our sincere gratitude to the patients living with HIV in Kakamega County who generously agreed to participate in this study. Their willingness to share their experiences and engage with the proposed interventions is fundamental to understanding and improving HIV treatment outcomes. Their courage and resilience serve as the driving force behind this research.</w:t>
      </w:r>
    </w:p>
    <w:p w14:paraId="000000C8" w14:textId="77777777" w:rsidR="00655AEF" w:rsidRDefault="00000000">
      <w:pPr>
        <w:spacing w:after="240" w:line="360" w:lineRule="auto"/>
        <w:jc w:val="both"/>
        <w:rPr>
          <w:sz w:val="24"/>
          <w:szCs w:val="24"/>
        </w:rPr>
      </w:pPr>
      <w:r>
        <w:rPr>
          <w:sz w:val="24"/>
          <w:szCs w:val="24"/>
        </w:rPr>
        <w:t xml:space="preserve">We acknowledge the unwavering commitment and immense support of the following organizations:- Immunify-Life Organization led by Mr. Guy Newing and Ms. Sara Morgan who were instrumental in funding   and organizing this project; The Masinde Muliro University of Science and Technology Management and the research team that hosted and led the operations of this project; The County Government of Kakamega and its Department of Health Services for their dedication to addressing the HIV pandemic and their collaboration in facilitating this research within their healthcare facilities. The </w:t>
      </w:r>
      <w:r>
        <w:rPr>
          <w:rFonts w:ascii="Times New Roman" w:eastAsia="Times New Roman" w:hAnsi="Times New Roman" w:cs="Times New Roman"/>
          <w:sz w:val="24"/>
          <w:szCs w:val="24"/>
        </w:rPr>
        <w:t xml:space="preserve">Academic Model Providing Access to Healthcare (AMPATH) that was very key in identification and management of our patients. </w:t>
      </w:r>
      <w:r>
        <w:rPr>
          <w:sz w:val="24"/>
          <w:szCs w:val="24"/>
        </w:rPr>
        <w:t>Their partnership remains essential for the successful implementation and potential scaling up of the immunify-Life integrated system.</w:t>
      </w:r>
    </w:p>
    <w:p w14:paraId="000000C9" w14:textId="77777777" w:rsidR="00655AEF" w:rsidRDefault="00000000">
      <w:pPr>
        <w:spacing w:after="240" w:line="360" w:lineRule="auto"/>
        <w:jc w:val="both"/>
        <w:rPr>
          <w:sz w:val="24"/>
          <w:szCs w:val="24"/>
        </w:rPr>
      </w:pPr>
      <w:r>
        <w:rPr>
          <w:sz w:val="24"/>
          <w:szCs w:val="24"/>
        </w:rPr>
        <w:t xml:space="preserve">Our deep appreciation goes to USAID-PEPFAR and MTRH-AMPATHPlus, whose sustained efforts and significant investments in HIV care and treatment programs across Kenya, and specifically in Kakamega County, created the enabling environment for </w:t>
      </w:r>
      <w:r>
        <w:rPr>
          <w:sz w:val="24"/>
          <w:szCs w:val="24"/>
        </w:rPr>
        <w:lastRenderedPageBreak/>
        <w:t>studies such as this. Their foundational work in providing ART and support services was critical to the context of our research.</w:t>
      </w:r>
    </w:p>
    <w:p w14:paraId="000000CA" w14:textId="77777777" w:rsidR="00655AEF" w:rsidRDefault="00000000">
      <w:pPr>
        <w:spacing w:after="240" w:line="360" w:lineRule="auto"/>
        <w:jc w:val="both"/>
        <w:rPr>
          <w:sz w:val="24"/>
          <w:szCs w:val="24"/>
        </w:rPr>
      </w:pPr>
      <w:r>
        <w:rPr>
          <w:sz w:val="24"/>
          <w:szCs w:val="24"/>
        </w:rPr>
        <w:t>We are profoundly grateful to the healthcare providers and staff across the health facilities in Kakamega County. Their tireless dedication, expertise, and frontline efforts in patient care were indispensable, and their insights were crucial to the success of this study.</w:t>
      </w:r>
    </w:p>
    <w:p w14:paraId="000000CB" w14:textId="77777777" w:rsidR="00655AEF" w:rsidRDefault="00000000">
      <w:pPr>
        <w:spacing w:after="240" w:line="360" w:lineRule="auto"/>
        <w:jc w:val="both"/>
        <w:rPr>
          <w:sz w:val="24"/>
          <w:szCs w:val="24"/>
        </w:rPr>
      </w:pPr>
      <w:r>
        <w:rPr>
          <w:sz w:val="24"/>
          <w:szCs w:val="24"/>
        </w:rPr>
        <w:t>Finally, we express our gratitude to the academic and research institutions that would guide and support this endeavor, along with the ethical review committees whose oversight ensured the highest standards of research integrity and participant protection.</w:t>
      </w:r>
    </w:p>
    <w:p w14:paraId="000000CC" w14:textId="77777777" w:rsidR="00655AEF" w:rsidRDefault="00655AEF">
      <w:pPr>
        <w:spacing w:after="240" w:line="360" w:lineRule="auto"/>
        <w:jc w:val="both"/>
        <w:rPr>
          <w:sz w:val="24"/>
          <w:szCs w:val="24"/>
        </w:rPr>
      </w:pPr>
    </w:p>
    <w:p w14:paraId="000000CD" w14:textId="77777777" w:rsidR="00655AEF" w:rsidRDefault="00000000">
      <w:pPr>
        <w:pStyle w:val="Heading1"/>
        <w:jc w:val="center"/>
      </w:pPr>
      <w:bookmarkStart w:id="3" w:name="_heading=h.ckbqfrs6qkuo" w:colFirst="0" w:colLast="0"/>
      <w:bookmarkEnd w:id="3"/>
      <w:r>
        <w:t>Operational Definition</w:t>
      </w:r>
    </w:p>
    <w:p w14:paraId="000000CE" w14:textId="77777777" w:rsidR="00655AEF" w:rsidRDefault="00000000">
      <w:pPr>
        <w:spacing w:after="240" w:line="360" w:lineRule="auto"/>
        <w:jc w:val="both"/>
        <w:rPr>
          <w:sz w:val="24"/>
          <w:szCs w:val="24"/>
        </w:rPr>
      </w:pPr>
      <w:bookmarkStart w:id="4" w:name="_heading=h.lb9fqlmk1ubt" w:colFirst="0" w:colLast="0"/>
      <w:bookmarkEnd w:id="4"/>
      <w:r>
        <w:rPr>
          <w:b/>
          <w:sz w:val="24"/>
          <w:szCs w:val="24"/>
        </w:rPr>
        <w:t xml:space="preserve">HIV/AIDS: </w:t>
      </w:r>
      <w:r>
        <w:rPr>
          <w:sz w:val="24"/>
          <w:szCs w:val="24"/>
        </w:rPr>
        <w:t xml:space="preserve">Refers to a spectrum of conditions caused by the Human Immunodeficiency Virus (HIV), which attacks the body’s immune system. If left untreated, HIV can progress to </w:t>
      </w:r>
      <w:proofErr w:type="gramStart"/>
      <w:r>
        <w:rPr>
          <w:sz w:val="24"/>
          <w:szCs w:val="24"/>
        </w:rPr>
        <w:t>Acquired Immunodeficiency Syndrome</w:t>
      </w:r>
      <w:proofErr w:type="gramEnd"/>
      <w:r>
        <w:rPr>
          <w:sz w:val="24"/>
          <w:szCs w:val="24"/>
        </w:rPr>
        <w:t xml:space="preserve"> (AIDS), the most advanced stage of the infection, where the immune system becomes severely weakened, making the body vulnerable to opportunistic infections and certain cancers.</w:t>
      </w:r>
    </w:p>
    <w:p w14:paraId="000000CF" w14:textId="77777777" w:rsidR="00655AEF" w:rsidRDefault="00000000">
      <w:pPr>
        <w:spacing w:after="240" w:line="360" w:lineRule="auto"/>
        <w:jc w:val="both"/>
        <w:rPr>
          <w:sz w:val="24"/>
          <w:szCs w:val="24"/>
        </w:rPr>
      </w:pPr>
      <w:r>
        <w:rPr>
          <w:b/>
          <w:sz w:val="24"/>
          <w:szCs w:val="24"/>
        </w:rPr>
        <w:t>Reward:</w:t>
      </w:r>
      <w:r>
        <w:rPr>
          <w:sz w:val="24"/>
          <w:szCs w:val="24"/>
        </w:rPr>
        <w:t xml:space="preserve"> Comprise of transport, food and watches/alarms given to patients to facilitate access to care and comply on treatment.</w:t>
      </w:r>
    </w:p>
    <w:p w14:paraId="000000D0" w14:textId="77777777" w:rsidR="00655AEF" w:rsidRDefault="00000000">
      <w:pPr>
        <w:spacing w:after="240" w:line="360" w:lineRule="auto"/>
        <w:jc w:val="both"/>
        <w:rPr>
          <w:b/>
          <w:sz w:val="24"/>
          <w:szCs w:val="24"/>
        </w:rPr>
      </w:pPr>
      <w:r>
        <w:rPr>
          <w:b/>
          <w:sz w:val="24"/>
          <w:szCs w:val="24"/>
        </w:rPr>
        <w:t xml:space="preserve">Suspected Treatment Failure: </w:t>
      </w:r>
      <w:r>
        <w:rPr>
          <w:sz w:val="24"/>
          <w:szCs w:val="24"/>
        </w:rPr>
        <w:t>Refers to a situation where a patient shows signs that a medical treatment; typically for chronic conditions like HIV, tuberculosis, or cancer; is not working effectively. This may be indicated by persistent or worsening symptoms, laboratory markers (e.g., rising viral load), or clinical deterioration, suggesting that the therapy may not be achieving its intended outcomes and further evaluation is needed.</w:t>
      </w:r>
    </w:p>
    <w:p w14:paraId="000000D1" w14:textId="77777777" w:rsidR="00655AEF" w:rsidRDefault="00000000">
      <w:pPr>
        <w:spacing w:after="240" w:line="360" w:lineRule="auto"/>
        <w:jc w:val="both"/>
        <w:rPr>
          <w:sz w:val="24"/>
          <w:szCs w:val="24"/>
        </w:rPr>
      </w:pPr>
      <w:r>
        <w:rPr>
          <w:b/>
          <w:sz w:val="24"/>
          <w:szCs w:val="24"/>
        </w:rPr>
        <w:t xml:space="preserve">Token Reward System: </w:t>
      </w:r>
      <w:r>
        <w:rPr>
          <w:sz w:val="24"/>
          <w:szCs w:val="24"/>
        </w:rPr>
        <w:t>is a behavioral reinforcement strategy where individuals earn tokens (such as points, stars, or digital credits) for displaying desired behaviors.</w:t>
      </w:r>
    </w:p>
    <w:p w14:paraId="000000D2" w14:textId="77777777" w:rsidR="00655AEF" w:rsidRDefault="00655AEF">
      <w:pPr>
        <w:spacing w:after="240" w:line="360" w:lineRule="auto"/>
        <w:jc w:val="both"/>
        <w:rPr>
          <w:sz w:val="24"/>
          <w:szCs w:val="24"/>
        </w:rPr>
      </w:pPr>
    </w:p>
    <w:p w14:paraId="000000D3" w14:textId="77777777" w:rsidR="00655AEF" w:rsidRDefault="00655AEF">
      <w:pPr>
        <w:spacing w:after="240" w:line="360" w:lineRule="auto"/>
        <w:jc w:val="both"/>
        <w:rPr>
          <w:sz w:val="24"/>
          <w:szCs w:val="24"/>
        </w:rPr>
      </w:pPr>
    </w:p>
    <w:p w14:paraId="000000D4" w14:textId="77777777" w:rsidR="00655AEF" w:rsidRDefault="00655AEF">
      <w:pPr>
        <w:spacing w:after="240" w:line="360" w:lineRule="auto"/>
        <w:jc w:val="both"/>
        <w:rPr>
          <w:sz w:val="24"/>
          <w:szCs w:val="24"/>
        </w:rPr>
      </w:pPr>
    </w:p>
    <w:p w14:paraId="000000D5" w14:textId="77777777" w:rsidR="00655AEF" w:rsidRDefault="00655AEF">
      <w:pPr>
        <w:spacing w:after="240" w:line="360" w:lineRule="auto"/>
        <w:jc w:val="both"/>
        <w:rPr>
          <w:sz w:val="24"/>
          <w:szCs w:val="24"/>
        </w:rPr>
      </w:pPr>
    </w:p>
    <w:p w14:paraId="000000D6" w14:textId="77777777" w:rsidR="00655AEF" w:rsidRDefault="00655AEF">
      <w:pPr>
        <w:spacing w:after="240" w:line="360" w:lineRule="auto"/>
        <w:jc w:val="both"/>
        <w:rPr>
          <w:sz w:val="24"/>
          <w:szCs w:val="24"/>
        </w:rPr>
      </w:pPr>
    </w:p>
    <w:p w14:paraId="000000D7" w14:textId="77777777" w:rsidR="00655AEF" w:rsidRDefault="00655AEF">
      <w:pPr>
        <w:spacing w:after="240" w:line="360" w:lineRule="auto"/>
        <w:jc w:val="both"/>
        <w:rPr>
          <w:sz w:val="24"/>
          <w:szCs w:val="24"/>
        </w:rPr>
      </w:pPr>
    </w:p>
    <w:p w14:paraId="000000D8" w14:textId="77777777" w:rsidR="00655AEF" w:rsidRDefault="00655AEF">
      <w:pPr>
        <w:spacing w:after="240" w:line="360" w:lineRule="auto"/>
        <w:jc w:val="both"/>
        <w:rPr>
          <w:sz w:val="24"/>
          <w:szCs w:val="24"/>
        </w:rPr>
      </w:pPr>
    </w:p>
    <w:p w14:paraId="000000D9" w14:textId="77777777" w:rsidR="00655AEF" w:rsidRDefault="00000000">
      <w:pPr>
        <w:pStyle w:val="Heading1"/>
        <w:jc w:val="center"/>
      </w:pPr>
      <w:bookmarkStart w:id="5" w:name="_heading=h.qi7nhw7s16ws" w:colFirst="0" w:colLast="0"/>
      <w:bookmarkEnd w:id="5"/>
      <w:r>
        <w:t>Acronyms and Abbreviations</w:t>
      </w:r>
    </w:p>
    <w:p w14:paraId="000000DA" w14:textId="77777777" w:rsidR="00655AEF" w:rsidRDefault="00000000">
      <w:pPr>
        <w:spacing w:line="360" w:lineRule="auto"/>
        <w:jc w:val="both"/>
        <w:rPr>
          <w:sz w:val="24"/>
          <w:szCs w:val="24"/>
        </w:rPr>
      </w:pPr>
      <w:r>
        <w:rPr>
          <w:b/>
          <w:sz w:val="24"/>
          <w:szCs w:val="24"/>
        </w:rPr>
        <w:t>3TC:</w:t>
      </w:r>
      <w:r>
        <w:rPr>
          <w:sz w:val="24"/>
          <w:szCs w:val="24"/>
        </w:rPr>
        <w:t xml:space="preserve"> </w:t>
      </w:r>
      <w:r>
        <w:rPr>
          <w:sz w:val="24"/>
          <w:szCs w:val="24"/>
        </w:rPr>
        <w:tab/>
      </w:r>
      <w:r>
        <w:rPr>
          <w:sz w:val="24"/>
          <w:szCs w:val="24"/>
        </w:rPr>
        <w:tab/>
      </w:r>
      <w:r>
        <w:rPr>
          <w:sz w:val="24"/>
          <w:szCs w:val="24"/>
        </w:rPr>
        <w:tab/>
      </w:r>
      <w:r>
        <w:rPr>
          <w:sz w:val="24"/>
          <w:szCs w:val="24"/>
        </w:rPr>
        <w:tab/>
        <w:t>Lamivudine</w:t>
      </w:r>
    </w:p>
    <w:p w14:paraId="000000DB" w14:textId="77777777" w:rsidR="00655AEF" w:rsidRDefault="00000000">
      <w:pPr>
        <w:spacing w:line="360" w:lineRule="auto"/>
        <w:jc w:val="both"/>
        <w:rPr>
          <w:sz w:val="24"/>
          <w:szCs w:val="24"/>
        </w:rPr>
      </w:pPr>
      <w:r>
        <w:rPr>
          <w:b/>
          <w:sz w:val="24"/>
          <w:szCs w:val="24"/>
        </w:rPr>
        <w:t>AMPATH:</w:t>
      </w:r>
      <w:r>
        <w:rPr>
          <w:sz w:val="24"/>
          <w:szCs w:val="24"/>
        </w:rPr>
        <w:t xml:space="preserve"> </w:t>
      </w:r>
      <w:r>
        <w:rPr>
          <w:sz w:val="24"/>
          <w:szCs w:val="24"/>
        </w:rPr>
        <w:tab/>
      </w:r>
      <w:r>
        <w:rPr>
          <w:sz w:val="24"/>
          <w:szCs w:val="24"/>
        </w:rPr>
        <w:tab/>
      </w:r>
      <w:r>
        <w:rPr>
          <w:sz w:val="24"/>
          <w:szCs w:val="24"/>
        </w:rPr>
        <w:tab/>
        <w:t>Academic Model Providing Access to Healthcare</w:t>
      </w:r>
    </w:p>
    <w:p w14:paraId="000000DC" w14:textId="77777777" w:rsidR="00655AEF" w:rsidRDefault="00000000">
      <w:pPr>
        <w:spacing w:line="360" w:lineRule="auto"/>
        <w:jc w:val="both"/>
        <w:rPr>
          <w:sz w:val="24"/>
          <w:szCs w:val="24"/>
        </w:rPr>
      </w:pPr>
      <w:r>
        <w:rPr>
          <w:b/>
          <w:sz w:val="24"/>
          <w:szCs w:val="24"/>
        </w:rPr>
        <w:t>ART:</w:t>
      </w:r>
      <w:r>
        <w:rPr>
          <w:sz w:val="24"/>
          <w:szCs w:val="24"/>
        </w:rPr>
        <w:t xml:space="preserve"> </w:t>
      </w:r>
      <w:r>
        <w:rPr>
          <w:sz w:val="24"/>
          <w:szCs w:val="24"/>
        </w:rPr>
        <w:tab/>
      </w:r>
      <w:r>
        <w:rPr>
          <w:sz w:val="24"/>
          <w:szCs w:val="24"/>
        </w:rPr>
        <w:tab/>
      </w:r>
      <w:r>
        <w:rPr>
          <w:sz w:val="24"/>
          <w:szCs w:val="24"/>
        </w:rPr>
        <w:tab/>
      </w:r>
      <w:r>
        <w:rPr>
          <w:sz w:val="24"/>
          <w:szCs w:val="24"/>
        </w:rPr>
        <w:tab/>
        <w:t>Anti Retrovirals Treatment</w:t>
      </w:r>
    </w:p>
    <w:p w14:paraId="000000DD" w14:textId="77777777" w:rsidR="00655AEF" w:rsidRDefault="00000000">
      <w:pPr>
        <w:spacing w:line="360" w:lineRule="auto"/>
        <w:jc w:val="both"/>
        <w:rPr>
          <w:sz w:val="24"/>
          <w:szCs w:val="24"/>
        </w:rPr>
      </w:pPr>
      <w:r>
        <w:rPr>
          <w:b/>
          <w:sz w:val="24"/>
          <w:szCs w:val="24"/>
        </w:rPr>
        <w:t>AZT:</w:t>
      </w:r>
      <w:r>
        <w:rPr>
          <w:sz w:val="24"/>
          <w:szCs w:val="24"/>
        </w:rPr>
        <w:t xml:space="preserve"> </w:t>
      </w:r>
      <w:r>
        <w:rPr>
          <w:sz w:val="24"/>
          <w:szCs w:val="24"/>
        </w:rPr>
        <w:tab/>
      </w:r>
      <w:r>
        <w:rPr>
          <w:sz w:val="24"/>
          <w:szCs w:val="24"/>
        </w:rPr>
        <w:tab/>
      </w:r>
      <w:r>
        <w:rPr>
          <w:sz w:val="24"/>
          <w:szCs w:val="24"/>
        </w:rPr>
        <w:tab/>
      </w:r>
      <w:r>
        <w:rPr>
          <w:sz w:val="24"/>
          <w:szCs w:val="24"/>
        </w:rPr>
        <w:tab/>
        <w:t>Zidovudine</w:t>
      </w:r>
    </w:p>
    <w:p w14:paraId="000000DE" w14:textId="77777777" w:rsidR="00655AEF" w:rsidRDefault="00000000">
      <w:pPr>
        <w:spacing w:line="360" w:lineRule="auto"/>
        <w:jc w:val="both"/>
        <w:rPr>
          <w:sz w:val="24"/>
          <w:szCs w:val="24"/>
        </w:rPr>
      </w:pPr>
      <w:r>
        <w:rPr>
          <w:b/>
          <w:sz w:val="24"/>
          <w:szCs w:val="24"/>
        </w:rPr>
        <w:t>CHW:</w:t>
      </w:r>
      <w:r>
        <w:rPr>
          <w:sz w:val="24"/>
          <w:szCs w:val="24"/>
        </w:rPr>
        <w:t xml:space="preserve"> </w:t>
      </w:r>
      <w:r>
        <w:rPr>
          <w:sz w:val="24"/>
          <w:szCs w:val="24"/>
        </w:rPr>
        <w:tab/>
      </w:r>
      <w:r>
        <w:rPr>
          <w:sz w:val="24"/>
          <w:szCs w:val="24"/>
        </w:rPr>
        <w:tab/>
      </w:r>
      <w:r>
        <w:rPr>
          <w:sz w:val="24"/>
          <w:szCs w:val="24"/>
        </w:rPr>
        <w:tab/>
        <w:t>Community Health Worker</w:t>
      </w:r>
    </w:p>
    <w:p w14:paraId="000000DF" w14:textId="77777777" w:rsidR="00655AEF" w:rsidRDefault="00000000">
      <w:pPr>
        <w:spacing w:line="360" w:lineRule="auto"/>
        <w:jc w:val="both"/>
        <w:rPr>
          <w:sz w:val="24"/>
          <w:szCs w:val="24"/>
        </w:rPr>
      </w:pPr>
      <w:r>
        <w:rPr>
          <w:b/>
          <w:sz w:val="24"/>
          <w:szCs w:val="24"/>
        </w:rPr>
        <w:t>d4T:</w:t>
      </w:r>
      <w:r>
        <w:rPr>
          <w:sz w:val="24"/>
          <w:szCs w:val="24"/>
        </w:rPr>
        <w:t xml:space="preserve"> </w:t>
      </w:r>
      <w:r>
        <w:rPr>
          <w:sz w:val="24"/>
          <w:szCs w:val="24"/>
        </w:rPr>
        <w:tab/>
      </w:r>
      <w:r>
        <w:rPr>
          <w:sz w:val="24"/>
          <w:szCs w:val="24"/>
        </w:rPr>
        <w:tab/>
      </w:r>
      <w:r>
        <w:rPr>
          <w:sz w:val="24"/>
          <w:szCs w:val="24"/>
        </w:rPr>
        <w:tab/>
      </w:r>
      <w:r>
        <w:rPr>
          <w:sz w:val="24"/>
          <w:szCs w:val="24"/>
        </w:rPr>
        <w:tab/>
        <w:t>Stavudine</w:t>
      </w:r>
    </w:p>
    <w:p w14:paraId="000000E0" w14:textId="77777777" w:rsidR="00655AEF" w:rsidRDefault="00000000">
      <w:pPr>
        <w:spacing w:line="360" w:lineRule="auto"/>
        <w:jc w:val="both"/>
        <w:rPr>
          <w:sz w:val="24"/>
          <w:szCs w:val="24"/>
        </w:rPr>
      </w:pPr>
      <w:r>
        <w:rPr>
          <w:b/>
          <w:sz w:val="24"/>
          <w:szCs w:val="24"/>
        </w:rPr>
        <w:t>DHIs:</w:t>
      </w:r>
      <w:r>
        <w:rPr>
          <w:sz w:val="24"/>
          <w:szCs w:val="24"/>
        </w:rPr>
        <w:t xml:space="preserve"> </w:t>
      </w:r>
      <w:r>
        <w:rPr>
          <w:sz w:val="24"/>
          <w:szCs w:val="24"/>
        </w:rPr>
        <w:tab/>
      </w:r>
      <w:r>
        <w:rPr>
          <w:sz w:val="24"/>
          <w:szCs w:val="24"/>
        </w:rPr>
        <w:tab/>
      </w:r>
      <w:r>
        <w:rPr>
          <w:sz w:val="24"/>
          <w:szCs w:val="24"/>
        </w:rPr>
        <w:tab/>
        <w:t>Digital Health Interventions</w:t>
      </w:r>
    </w:p>
    <w:p w14:paraId="000000E1" w14:textId="77777777" w:rsidR="00655AEF" w:rsidRDefault="00000000">
      <w:pPr>
        <w:spacing w:line="360" w:lineRule="auto"/>
        <w:jc w:val="both"/>
        <w:rPr>
          <w:sz w:val="24"/>
          <w:szCs w:val="24"/>
        </w:rPr>
      </w:pPr>
      <w:r>
        <w:rPr>
          <w:b/>
          <w:sz w:val="24"/>
          <w:szCs w:val="24"/>
        </w:rPr>
        <w:t>DTG:</w:t>
      </w:r>
      <w:r>
        <w:rPr>
          <w:sz w:val="24"/>
          <w:szCs w:val="24"/>
        </w:rPr>
        <w:t xml:space="preserve"> </w:t>
      </w:r>
      <w:r>
        <w:rPr>
          <w:sz w:val="24"/>
          <w:szCs w:val="24"/>
        </w:rPr>
        <w:tab/>
      </w:r>
      <w:r>
        <w:rPr>
          <w:sz w:val="24"/>
          <w:szCs w:val="24"/>
        </w:rPr>
        <w:tab/>
      </w:r>
      <w:r>
        <w:rPr>
          <w:sz w:val="24"/>
          <w:szCs w:val="24"/>
        </w:rPr>
        <w:tab/>
      </w:r>
      <w:r>
        <w:rPr>
          <w:sz w:val="24"/>
          <w:szCs w:val="24"/>
        </w:rPr>
        <w:tab/>
        <w:t>Dolutegravir</w:t>
      </w:r>
    </w:p>
    <w:p w14:paraId="000000E2" w14:textId="77777777" w:rsidR="00655AEF" w:rsidRDefault="00000000">
      <w:pPr>
        <w:spacing w:line="360" w:lineRule="auto"/>
        <w:jc w:val="both"/>
        <w:rPr>
          <w:sz w:val="24"/>
          <w:szCs w:val="24"/>
        </w:rPr>
      </w:pPr>
      <w:r>
        <w:rPr>
          <w:b/>
          <w:sz w:val="24"/>
          <w:szCs w:val="24"/>
        </w:rPr>
        <w:t>EFV:</w:t>
      </w:r>
      <w:r>
        <w:rPr>
          <w:sz w:val="24"/>
          <w:szCs w:val="24"/>
        </w:rPr>
        <w:t xml:space="preserve"> </w:t>
      </w:r>
      <w:r>
        <w:rPr>
          <w:sz w:val="24"/>
          <w:szCs w:val="24"/>
        </w:rPr>
        <w:tab/>
      </w:r>
      <w:r>
        <w:rPr>
          <w:sz w:val="24"/>
          <w:szCs w:val="24"/>
        </w:rPr>
        <w:tab/>
      </w:r>
      <w:r>
        <w:rPr>
          <w:sz w:val="24"/>
          <w:szCs w:val="24"/>
        </w:rPr>
        <w:tab/>
      </w:r>
      <w:r>
        <w:rPr>
          <w:sz w:val="24"/>
          <w:szCs w:val="24"/>
        </w:rPr>
        <w:tab/>
        <w:t>Efavirenz</w:t>
      </w:r>
    </w:p>
    <w:p w14:paraId="000000E3" w14:textId="77777777" w:rsidR="00655AEF" w:rsidRDefault="00000000">
      <w:pPr>
        <w:spacing w:line="360" w:lineRule="auto"/>
        <w:jc w:val="both"/>
        <w:rPr>
          <w:sz w:val="24"/>
          <w:szCs w:val="24"/>
        </w:rPr>
      </w:pPr>
      <w:r>
        <w:rPr>
          <w:b/>
          <w:sz w:val="24"/>
          <w:szCs w:val="24"/>
        </w:rPr>
        <w:t>EMRs:</w:t>
      </w:r>
      <w:r>
        <w:rPr>
          <w:sz w:val="24"/>
          <w:szCs w:val="24"/>
        </w:rPr>
        <w:t xml:space="preserve"> </w:t>
      </w:r>
      <w:r>
        <w:rPr>
          <w:sz w:val="24"/>
          <w:szCs w:val="24"/>
        </w:rPr>
        <w:tab/>
      </w:r>
      <w:r>
        <w:rPr>
          <w:sz w:val="24"/>
          <w:szCs w:val="24"/>
        </w:rPr>
        <w:tab/>
      </w:r>
      <w:r>
        <w:rPr>
          <w:sz w:val="24"/>
          <w:szCs w:val="24"/>
        </w:rPr>
        <w:tab/>
        <w:t>Electronic Medical Records</w:t>
      </w:r>
    </w:p>
    <w:p w14:paraId="000000E4" w14:textId="77777777" w:rsidR="00655AEF" w:rsidRDefault="00000000">
      <w:pPr>
        <w:spacing w:line="360" w:lineRule="auto"/>
        <w:jc w:val="both"/>
        <w:rPr>
          <w:sz w:val="24"/>
          <w:szCs w:val="24"/>
        </w:rPr>
      </w:pPr>
      <w:r>
        <w:rPr>
          <w:b/>
          <w:sz w:val="24"/>
          <w:szCs w:val="24"/>
        </w:rPr>
        <w:t>FTC:</w:t>
      </w:r>
      <w:r>
        <w:rPr>
          <w:sz w:val="24"/>
          <w:szCs w:val="24"/>
        </w:rPr>
        <w:t xml:space="preserve"> </w:t>
      </w:r>
      <w:r>
        <w:rPr>
          <w:sz w:val="24"/>
          <w:szCs w:val="24"/>
        </w:rPr>
        <w:tab/>
      </w:r>
      <w:r>
        <w:rPr>
          <w:sz w:val="24"/>
          <w:szCs w:val="24"/>
        </w:rPr>
        <w:tab/>
      </w:r>
      <w:r>
        <w:rPr>
          <w:sz w:val="24"/>
          <w:szCs w:val="24"/>
        </w:rPr>
        <w:tab/>
      </w:r>
      <w:r>
        <w:rPr>
          <w:sz w:val="24"/>
          <w:szCs w:val="24"/>
        </w:rPr>
        <w:tab/>
        <w:t>Emtricitabine</w:t>
      </w:r>
    </w:p>
    <w:p w14:paraId="000000E5" w14:textId="77777777" w:rsidR="00655AEF" w:rsidRDefault="00000000">
      <w:pPr>
        <w:spacing w:line="360" w:lineRule="auto"/>
        <w:jc w:val="both"/>
        <w:rPr>
          <w:sz w:val="24"/>
          <w:szCs w:val="24"/>
        </w:rPr>
      </w:pPr>
      <w:r>
        <w:rPr>
          <w:b/>
          <w:sz w:val="24"/>
          <w:szCs w:val="24"/>
        </w:rPr>
        <w:t>HIV:</w:t>
      </w:r>
      <w:r>
        <w:rPr>
          <w:sz w:val="24"/>
          <w:szCs w:val="24"/>
        </w:rPr>
        <w:t xml:space="preserve"> </w:t>
      </w:r>
      <w:r>
        <w:rPr>
          <w:sz w:val="24"/>
          <w:szCs w:val="24"/>
        </w:rPr>
        <w:tab/>
      </w:r>
      <w:r>
        <w:rPr>
          <w:sz w:val="24"/>
          <w:szCs w:val="24"/>
        </w:rPr>
        <w:tab/>
      </w:r>
      <w:r>
        <w:rPr>
          <w:sz w:val="24"/>
          <w:szCs w:val="24"/>
        </w:rPr>
        <w:tab/>
      </w:r>
      <w:r>
        <w:rPr>
          <w:sz w:val="24"/>
          <w:szCs w:val="24"/>
        </w:rPr>
        <w:tab/>
        <w:t>Human Immunodeficiency Virus</w:t>
      </w:r>
    </w:p>
    <w:p w14:paraId="000000E6" w14:textId="77777777" w:rsidR="00655AEF" w:rsidRDefault="00000000">
      <w:pPr>
        <w:spacing w:line="360" w:lineRule="auto"/>
        <w:jc w:val="both"/>
        <w:rPr>
          <w:sz w:val="24"/>
          <w:szCs w:val="24"/>
        </w:rPr>
      </w:pPr>
      <w:r>
        <w:rPr>
          <w:b/>
          <w:sz w:val="24"/>
          <w:szCs w:val="24"/>
        </w:rPr>
        <w:t>INSTI:</w:t>
      </w:r>
      <w:r>
        <w:rPr>
          <w:sz w:val="24"/>
          <w:szCs w:val="24"/>
        </w:rPr>
        <w:t xml:space="preserve"> </w:t>
      </w:r>
      <w:r>
        <w:rPr>
          <w:sz w:val="24"/>
          <w:szCs w:val="24"/>
        </w:rPr>
        <w:tab/>
      </w:r>
      <w:r>
        <w:rPr>
          <w:sz w:val="24"/>
          <w:szCs w:val="24"/>
        </w:rPr>
        <w:tab/>
      </w:r>
      <w:r>
        <w:rPr>
          <w:sz w:val="24"/>
          <w:szCs w:val="24"/>
        </w:rPr>
        <w:tab/>
        <w:t>Integrase Inhibitor</w:t>
      </w:r>
    </w:p>
    <w:p w14:paraId="000000E7" w14:textId="77777777" w:rsidR="00655AEF" w:rsidRDefault="00000000">
      <w:pPr>
        <w:spacing w:line="360" w:lineRule="auto"/>
        <w:jc w:val="both"/>
        <w:rPr>
          <w:sz w:val="24"/>
          <w:szCs w:val="24"/>
        </w:rPr>
      </w:pPr>
      <w:r>
        <w:rPr>
          <w:b/>
          <w:sz w:val="24"/>
          <w:szCs w:val="24"/>
        </w:rPr>
        <w:t>LDL:</w:t>
      </w:r>
      <w:r>
        <w:rPr>
          <w:sz w:val="24"/>
          <w:szCs w:val="24"/>
        </w:rPr>
        <w:t xml:space="preserve"> </w:t>
      </w:r>
      <w:r>
        <w:rPr>
          <w:sz w:val="24"/>
          <w:szCs w:val="24"/>
        </w:rPr>
        <w:tab/>
      </w:r>
      <w:r>
        <w:rPr>
          <w:sz w:val="24"/>
          <w:szCs w:val="24"/>
        </w:rPr>
        <w:tab/>
      </w:r>
      <w:r>
        <w:rPr>
          <w:sz w:val="24"/>
          <w:szCs w:val="24"/>
        </w:rPr>
        <w:tab/>
      </w:r>
      <w:r>
        <w:rPr>
          <w:sz w:val="24"/>
          <w:szCs w:val="24"/>
        </w:rPr>
        <w:tab/>
        <w:t>Low Density Lipoprotein</w:t>
      </w:r>
    </w:p>
    <w:p w14:paraId="000000E8" w14:textId="77777777" w:rsidR="00655AEF" w:rsidRDefault="00000000">
      <w:pPr>
        <w:spacing w:line="360" w:lineRule="auto"/>
        <w:jc w:val="both"/>
        <w:rPr>
          <w:sz w:val="24"/>
          <w:szCs w:val="24"/>
        </w:rPr>
      </w:pPr>
      <w:r>
        <w:rPr>
          <w:b/>
          <w:sz w:val="24"/>
          <w:szCs w:val="24"/>
        </w:rPr>
        <w:t>MTRH:</w:t>
      </w:r>
      <w:r>
        <w:rPr>
          <w:sz w:val="24"/>
          <w:szCs w:val="24"/>
        </w:rPr>
        <w:t xml:space="preserve"> </w:t>
      </w:r>
      <w:r>
        <w:rPr>
          <w:sz w:val="24"/>
          <w:szCs w:val="24"/>
        </w:rPr>
        <w:tab/>
      </w:r>
      <w:r>
        <w:rPr>
          <w:sz w:val="24"/>
          <w:szCs w:val="24"/>
        </w:rPr>
        <w:tab/>
      </w:r>
      <w:r>
        <w:rPr>
          <w:sz w:val="24"/>
          <w:szCs w:val="24"/>
        </w:rPr>
        <w:tab/>
        <w:t>Moi Teaching and Referral Hospital</w:t>
      </w:r>
    </w:p>
    <w:p w14:paraId="000000E9" w14:textId="77777777" w:rsidR="00655AEF" w:rsidRDefault="00000000">
      <w:pPr>
        <w:spacing w:line="360" w:lineRule="auto"/>
        <w:jc w:val="both"/>
        <w:rPr>
          <w:sz w:val="24"/>
          <w:szCs w:val="24"/>
        </w:rPr>
      </w:pPr>
      <w:r>
        <w:rPr>
          <w:b/>
          <w:sz w:val="24"/>
          <w:szCs w:val="24"/>
        </w:rPr>
        <w:t>NNRTI:</w:t>
      </w:r>
      <w:r>
        <w:rPr>
          <w:sz w:val="24"/>
          <w:szCs w:val="24"/>
        </w:rPr>
        <w:t xml:space="preserve"> </w:t>
      </w:r>
      <w:r>
        <w:rPr>
          <w:sz w:val="24"/>
          <w:szCs w:val="24"/>
        </w:rPr>
        <w:tab/>
      </w:r>
      <w:r>
        <w:rPr>
          <w:sz w:val="24"/>
          <w:szCs w:val="24"/>
        </w:rPr>
        <w:tab/>
      </w:r>
      <w:r>
        <w:rPr>
          <w:sz w:val="24"/>
          <w:szCs w:val="24"/>
        </w:rPr>
        <w:tab/>
        <w:t>Nonnucleoside Reverse-transcriptase Inhibitor</w:t>
      </w:r>
    </w:p>
    <w:p w14:paraId="000000EA" w14:textId="77777777" w:rsidR="00655AEF" w:rsidRDefault="00000000">
      <w:pPr>
        <w:spacing w:line="360" w:lineRule="auto"/>
        <w:jc w:val="both"/>
        <w:rPr>
          <w:sz w:val="24"/>
          <w:szCs w:val="24"/>
        </w:rPr>
      </w:pPr>
      <w:r>
        <w:rPr>
          <w:b/>
          <w:sz w:val="24"/>
          <w:szCs w:val="24"/>
        </w:rPr>
        <w:t>NRTIs:</w:t>
      </w:r>
      <w:r>
        <w:rPr>
          <w:sz w:val="24"/>
          <w:szCs w:val="24"/>
        </w:rPr>
        <w:t xml:space="preserve"> </w:t>
      </w:r>
      <w:r>
        <w:rPr>
          <w:sz w:val="24"/>
          <w:szCs w:val="24"/>
        </w:rPr>
        <w:tab/>
      </w:r>
      <w:r>
        <w:rPr>
          <w:sz w:val="24"/>
          <w:szCs w:val="24"/>
        </w:rPr>
        <w:tab/>
      </w:r>
      <w:r>
        <w:rPr>
          <w:sz w:val="24"/>
          <w:szCs w:val="24"/>
        </w:rPr>
        <w:tab/>
        <w:t>Nucleoside Reverse-Transcriptase Inhibitors</w:t>
      </w:r>
    </w:p>
    <w:p w14:paraId="000000EB" w14:textId="77777777" w:rsidR="00655AEF" w:rsidRDefault="00000000">
      <w:pPr>
        <w:spacing w:line="360" w:lineRule="auto"/>
        <w:jc w:val="both"/>
        <w:rPr>
          <w:sz w:val="24"/>
          <w:szCs w:val="24"/>
        </w:rPr>
      </w:pPr>
      <w:r>
        <w:rPr>
          <w:b/>
          <w:sz w:val="24"/>
          <w:szCs w:val="24"/>
        </w:rPr>
        <w:t>NVP:</w:t>
      </w:r>
      <w:r>
        <w:rPr>
          <w:sz w:val="24"/>
          <w:szCs w:val="24"/>
        </w:rPr>
        <w:t xml:space="preserve"> </w:t>
      </w:r>
      <w:r>
        <w:rPr>
          <w:sz w:val="24"/>
          <w:szCs w:val="24"/>
        </w:rPr>
        <w:tab/>
      </w:r>
      <w:r>
        <w:rPr>
          <w:sz w:val="24"/>
          <w:szCs w:val="24"/>
        </w:rPr>
        <w:tab/>
      </w:r>
      <w:r>
        <w:rPr>
          <w:sz w:val="24"/>
          <w:szCs w:val="24"/>
        </w:rPr>
        <w:tab/>
      </w:r>
      <w:r>
        <w:rPr>
          <w:sz w:val="24"/>
          <w:szCs w:val="24"/>
        </w:rPr>
        <w:tab/>
        <w:t>Nevirapine</w:t>
      </w:r>
    </w:p>
    <w:p w14:paraId="000000EC" w14:textId="77777777" w:rsidR="00655AEF" w:rsidRDefault="00000000">
      <w:pPr>
        <w:spacing w:line="360" w:lineRule="auto"/>
        <w:jc w:val="both"/>
        <w:rPr>
          <w:sz w:val="24"/>
          <w:szCs w:val="24"/>
        </w:rPr>
      </w:pPr>
      <w:r>
        <w:rPr>
          <w:b/>
          <w:sz w:val="24"/>
          <w:szCs w:val="24"/>
        </w:rPr>
        <w:t>PEPFAR:</w:t>
      </w:r>
      <w:r>
        <w:rPr>
          <w:sz w:val="24"/>
          <w:szCs w:val="24"/>
        </w:rPr>
        <w:t xml:space="preserve"> </w:t>
      </w:r>
      <w:r>
        <w:rPr>
          <w:sz w:val="24"/>
          <w:szCs w:val="24"/>
        </w:rPr>
        <w:tab/>
      </w:r>
      <w:r>
        <w:rPr>
          <w:sz w:val="24"/>
          <w:szCs w:val="24"/>
        </w:rPr>
        <w:tab/>
      </w:r>
      <w:r>
        <w:rPr>
          <w:sz w:val="24"/>
          <w:szCs w:val="24"/>
        </w:rPr>
        <w:tab/>
        <w:t>U.S. President's Emergency Plan for AIDS Relief</w:t>
      </w:r>
    </w:p>
    <w:p w14:paraId="000000ED" w14:textId="77777777" w:rsidR="00655AEF" w:rsidRDefault="00000000">
      <w:pPr>
        <w:spacing w:line="360" w:lineRule="auto"/>
        <w:jc w:val="both"/>
        <w:rPr>
          <w:sz w:val="24"/>
          <w:szCs w:val="24"/>
        </w:rPr>
      </w:pPr>
      <w:r>
        <w:rPr>
          <w:b/>
          <w:sz w:val="24"/>
          <w:szCs w:val="24"/>
        </w:rPr>
        <w:t>PLWHIV:</w:t>
      </w:r>
      <w:r>
        <w:rPr>
          <w:sz w:val="24"/>
          <w:szCs w:val="24"/>
        </w:rPr>
        <w:t xml:space="preserve"> </w:t>
      </w:r>
      <w:r>
        <w:rPr>
          <w:sz w:val="24"/>
          <w:szCs w:val="24"/>
        </w:rPr>
        <w:tab/>
      </w:r>
      <w:r>
        <w:rPr>
          <w:sz w:val="24"/>
          <w:szCs w:val="24"/>
        </w:rPr>
        <w:tab/>
      </w:r>
      <w:r>
        <w:rPr>
          <w:sz w:val="24"/>
          <w:szCs w:val="24"/>
        </w:rPr>
        <w:tab/>
        <w:t>People Living With HIV</w:t>
      </w:r>
    </w:p>
    <w:p w14:paraId="000000EE" w14:textId="77777777" w:rsidR="00655AEF" w:rsidRDefault="00000000">
      <w:pPr>
        <w:spacing w:line="360" w:lineRule="auto"/>
        <w:jc w:val="both"/>
        <w:rPr>
          <w:sz w:val="24"/>
          <w:szCs w:val="24"/>
        </w:rPr>
      </w:pPr>
      <w:r>
        <w:rPr>
          <w:b/>
          <w:sz w:val="24"/>
          <w:szCs w:val="24"/>
        </w:rPr>
        <w:t>TDF:</w:t>
      </w:r>
      <w:r>
        <w:rPr>
          <w:sz w:val="24"/>
          <w:szCs w:val="24"/>
        </w:rPr>
        <w:t xml:space="preserve"> </w:t>
      </w:r>
      <w:r>
        <w:rPr>
          <w:sz w:val="24"/>
          <w:szCs w:val="24"/>
        </w:rPr>
        <w:tab/>
      </w:r>
      <w:r>
        <w:rPr>
          <w:sz w:val="24"/>
          <w:szCs w:val="24"/>
        </w:rPr>
        <w:tab/>
      </w:r>
      <w:r>
        <w:rPr>
          <w:sz w:val="24"/>
          <w:szCs w:val="24"/>
        </w:rPr>
        <w:tab/>
      </w:r>
      <w:r>
        <w:rPr>
          <w:sz w:val="24"/>
          <w:szCs w:val="24"/>
        </w:rPr>
        <w:tab/>
        <w:t>Tenofovir Disoproxil Fumarate</w:t>
      </w:r>
    </w:p>
    <w:p w14:paraId="000000EF" w14:textId="77777777" w:rsidR="00655AEF" w:rsidRDefault="00000000">
      <w:pPr>
        <w:spacing w:line="360" w:lineRule="auto"/>
        <w:jc w:val="both"/>
        <w:rPr>
          <w:sz w:val="24"/>
          <w:szCs w:val="24"/>
        </w:rPr>
      </w:pPr>
      <w:r>
        <w:rPr>
          <w:b/>
          <w:sz w:val="24"/>
          <w:szCs w:val="24"/>
        </w:rPr>
        <w:t>UNAIDS:</w:t>
      </w:r>
      <w:r>
        <w:rPr>
          <w:sz w:val="24"/>
          <w:szCs w:val="24"/>
        </w:rPr>
        <w:t xml:space="preserve"> </w:t>
      </w:r>
      <w:r>
        <w:rPr>
          <w:sz w:val="24"/>
          <w:szCs w:val="24"/>
        </w:rPr>
        <w:tab/>
      </w:r>
      <w:r>
        <w:rPr>
          <w:sz w:val="24"/>
          <w:szCs w:val="24"/>
        </w:rPr>
        <w:tab/>
      </w:r>
      <w:r>
        <w:rPr>
          <w:sz w:val="24"/>
          <w:szCs w:val="24"/>
        </w:rPr>
        <w:tab/>
        <w:t>Joint United Nations Programme on HIV/AIDS</w:t>
      </w:r>
    </w:p>
    <w:p w14:paraId="000000F0" w14:textId="77777777" w:rsidR="00655AEF" w:rsidRDefault="00000000">
      <w:pPr>
        <w:spacing w:line="360" w:lineRule="auto"/>
        <w:jc w:val="both"/>
        <w:rPr>
          <w:sz w:val="24"/>
          <w:szCs w:val="24"/>
        </w:rPr>
      </w:pPr>
      <w:r>
        <w:rPr>
          <w:b/>
          <w:sz w:val="24"/>
          <w:szCs w:val="24"/>
        </w:rPr>
        <w:lastRenderedPageBreak/>
        <w:t>USAID:</w:t>
      </w:r>
      <w:r>
        <w:rPr>
          <w:sz w:val="24"/>
          <w:szCs w:val="24"/>
        </w:rPr>
        <w:t xml:space="preserve"> </w:t>
      </w:r>
      <w:r>
        <w:rPr>
          <w:sz w:val="24"/>
          <w:szCs w:val="24"/>
        </w:rPr>
        <w:tab/>
      </w:r>
      <w:r>
        <w:rPr>
          <w:sz w:val="24"/>
          <w:szCs w:val="24"/>
        </w:rPr>
        <w:tab/>
      </w:r>
      <w:r>
        <w:rPr>
          <w:sz w:val="24"/>
          <w:szCs w:val="24"/>
        </w:rPr>
        <w:tab/>
        <w:t>United States Agency for International Development</w:t>
      </w:r>
    </w:p>
    <w:p w14:paraId="000000F1" w14:textId="77777777" w:rsidR="00655AEF" w:rsidRDefault="00000000">
      <w:pPr>
        <w:spacing w:line="360" w:lineRule="auto"/>
        <w:jc w:val="both"/>
        <w:rPr>
          <w:sz w:val="24"/>
          <w:szCs w:val="24"/>
        </w:rPr>
      </w:pPr>
      <w:r>
        <w:rPr>
          <w:b/>
          <w:sz w:val="24"/>
          <w:szCs w:val="24"/>
        </w:rPr>
        <w:t>VL:</w:t>
      </w:r>
      <w:r>
        <w:rPr>
          <w:sz w:val="24"/>
          <w:szCs w:val="24"/>
        </w:rPr>
        <w:t xml:space="preserve"> </w:t>
      </w:r>
      <w:r>
        <w:rPr>
          <w:sz w:val="24"/>
          <w:szCs w:val="24"/>
        </w:rPr>
        <w:tab/>
      </w:r>
      <w:r>
        <w:rPr>
          <w:sz w:val="24"/>
          <w:szCs w:val="24"/>
        </w:rPr>
        <w:tab/>
      </w:r>
      <w:r>
        <w:rPr>
          <w:sz w:val="24"/>
          <w:szCs w:val="24"/>
        </w:rPr>
        <w:tab/>
      </w:r>
      <w:r>
        <w:rPr>
          <w:sz w:val="24"/>
          <w:szCs w:val="24"/>
        </w:rPr>
        <w:tab/>
        <w:t>Viral Load</w:t>
      </w:r>
    </w:p>
    <w:p w14:paraId="000000F2" w14:textId="77777777" w:rsidR="00655AEF" w:rsidRDefault="00000000">
      <w:pPr>
        <w:spacing w:line="360" w:lineRule="auto"/>
        <w:jc w:val="both"/>
        <w:rPr>
          <w:sz w:val="24"/>
          <w:szCs w:val="24"/>
        </w:rPr>
      </w:pPr>
      <w:r>
        <w:rPr>
          <w:b/>
          <w:sz w:val="24"/>
          <w:szCs w:val="24"/>
        </w:rPr>
        <w:t>WHO:</w:t>
      </w:r>
      <w:r>
        <w:rPr>
          <w:sz w:val="24"/>
          <w:szCs w:val="24"/>
        </w:rPr>
        <w:t xml:space="preserve"> </w:t>
      </w:r>
      <w:r>
        <w:rPr>
          <w:sz w:val="24"/>
          <w:szCs w:val="24"/>
        </w:rPr>
        <w:tab/>
      </w:r>
      <w:r>
        <w:rPr>
          <w:sz w:val="24"/>
          <w:szCs w:val="24"/>
        </w:rPr>
        <w:tab/>
      </w:r>
      <w:r>
        <w:rPr>
          <w:sz w:val="24"/>
          <w:szCs w:val="24"/>
        </w:rPr>
        <w:tab/>
        <w:t>World Health Organization</w:t>
      </w:r>
    </w:p>
    <w:p w14:paraId="000000F3" w14:textId="77777777" w:rsidR="00655AEF" w:rsidRDefault="00655AEF"/>
    <w:p w14:paraId="000000F4" w14:textId="77777777" w:rsidR="00655AEF" w:rsidRDefault="00655AEF"/>
    <w:p w14:paraId="000000F5" w14:textId="77777777" w:rsidR="00655AEF" w:rsidRDefault="00655AEF"/>
    <w:p w14:paraId="000000F6" w14:textId="77777777" w:rsidR="00655AEF" w:rsidRDefault="00655AEF"/>
    <w:p w14:paraId="000000F7" w14:textId="77777777" w:rsidR="00655AEF" w:rsidRDefault="00655AEF"/>
    <w:p w14:paraId="000000F8" w14:textId="77777777" w:rsidR="00655AEF" w:rsidRDefault="00655AEF"/>
    <w:p w14:paraId="000000F9" w14:textId="77777777" w:rsidR="00655AEF" w:rsidRDefault="00655AEF"/>
    <w:p w14:paraId="000000FA" w14:textId="77777777" w:rsidR="00655AEF" w:rsidRDefault="00655AEF"/>
    <w:p w14:paraId="000000FB" w14:textId="77777777" w:rsidR="00655AEF" w:rsidRDefault="00655AEF"/>
    <w:p w14:paraId="000000FC" w14:textId="77777777" w:rsidR="00655AEF" w:rsidRDefault="00000000">
      <w:pPr>
        <w:pStyle w:val="Heading1"/>
        <w:jc w:val="center"/>
      </w:pPr>
      <w:bookmarkStart w:id="6" w:name="_heading=h.l2ftpxpm4vk" w:colFirst="0" w:colLast="0"/>
      <w:bookmarkEnd w:id="6"/>
      <w:r>
        <w:t>Executive Summary</w:t>
      </w:r>
    </w:p>
    <w:p w14:paraId="000000FD" w14:textId="77777777" w:rsidR="00655AEF" w:rsidRDefault="00000000">
      <w:pPr>
        <w:spacing w:after="240" w:line="360" w:lineRule="auto"/>
        <w:jc w:val="both"/>
        <w:rPr>
          <w:sz w:val="24"/>
          <w:szCs w:val="24"/>
        </w:rPr>
      </w:pPr>
      <w:r>
        <w:rPr>
          <w:sz w:val="24"/>
          <w:szCs w:val="24"/>
        </w:rPr>
        <w:t>Kenya faces a significant HIV burden with 1.5 million people living with HIV, and while national ART coverage is 75% for adults, adherence and viral suppression remain challenging, with only 68% of patients virally suppressed. Kakamega County, with a higher prevalence of 5.9%, mirrors these challenges, particularly concerning patient retention and treatment failure, evidenced by significant AIDS-related deaths in 2013 and a 78% retention rate. Severe side effects, drug stock-outs, and patient financial constraints are identified as key drivers of treatment failure, exacerbated by inadequate tracking systems and a near-total lack of health insurance coverage (99.4% of patients having no other insurance).</w:t>
      </w:r>
    </w:p>
    <w:p w14:paraId="000000FE" w14:textId="77777777" w:rsidR="00655AEF" w:rsidRDefault="00000000">
      <w:pPr>
        <w:spacing w:after="240" w:line="360" w:lineRule="auto"/>
        <w:jc w:val="both"/>
        <w:rPr>
          <w:sz w:val="24"/>
          <w:szCs w:val="24"/>
        </w:rPr>
      </w:pPr>
      <w:r>
        <w:rPr>
          <w:sz w:val="24"/>
          <w:szCs w:val="24"/>
        </w:rPr>
        <w:t>This study evaluated the effectiveness of a reward system on HIV treatment outcomes for patients with suspected treatment failure in Kakamega County. Its broad objective was to determine if incentivizing positive outcomes could improve adherence, viral suppression, and retention in care. Specifically, the study: evaluated the outcomes of a reward system on clients with suspected treatment failure, identified factors hindering retention of these clients, identified factors promoting retention of these clients, and developed an integrated system for improving adherence for this patient group.</w:t>
      </w:r>
    </w:p>
    <w:p w14:paraId="000000FF" w14:textId="77777777" w:rsidR="00655AEF" w:rsidRDefault="00000000">
      <w:pPr>
        <w:spacing w:after="240" w:line="360" w:lineRule="auto"/>
        <w:jc w:val="both"/>
        <w:rPr>
          <w:sz w:val="24"/>
          <w:szCs w:val="24"/>
        </w:rPr>
      </w:pPr>
      <w:r>
        <w:rPr>
          <w:sz w:val="24"/>
          <w:szCs w:val="24"/>
        </w:rPr>
        <w:t xml:space="preserve">Utilizing a quasi-experimental design with mixed methods, the study compared a treatment group receiving rewards with a control group. Key patient indicators included viral load (gold standard for treatment failure, with &gt;1000 copies/mL indicating suspected failure), CD4 counts, clinic appointment attendance, missed pills, and clinical </w:t>
      </w:r>
      <w:r>
        <w:rPr>
          <w:sz w:val="24"/>
          <w:szCs w:val="24"/>
        </w:rPr>
        <w:lastRenderedPageBreak/>
        <w:t>presentation. Rewards were provided at month 3 based on successful outcomes. The study involved a sample size of 513 patients, drawn from 4 randomly selected sub-counties in Kakamega, ensuring geographical diversity.</w:t>
      </w:r>
    </w:p>
    <w:p w14:paraId="00000100" w14:textId="77777777" w:rsidR="00655AEF" w:rsidRDefault="00000000">
      <w:pPr>
        <w:spacing w:after="240" w:line="360" w:lineRule="auto"/>
        <w:jc w:val="both"/>
        <w:rPr>
          <w:sz w:val="24"/>
          <w:szCs w:val="24"/>
        </w:rPr>
      </w:pPr>
      <w:r>
        <w:rPr>
          <w:sz w:val="24"/>
          <w:szCs w:val="24"/>
        </w:rPr>
        <w:t>The findings from this research were expected to critically inform future HIV strategic directions in Kenya. By focusing on a reward system within an integrated care framework, the study was seeking to enhance patient tracking, improving access and equity in service delivery, strengthening ART uptake and adherence advocacy, and ultimately improving the quality of care and health outcomes for people living with HIV in Kakamega County.</w:t>
      </w:r>
    </w:p>
    <w:p w14:paraId="00000101" w14:textId="77777777" w:rsidR="00655AEF" w:rsidRDefault="00000000">
      <w:pPr>
        <w:pStyle w:val="Heading1"/>
        <w:spacing w:before="0" w:after="240" w:line="360" w:lineRule="auto"/>
        <w:jc w:val="center"/>
      </w:pPr>
      <w:bookmarkStart w:id="7" w:name="_heading=h.glqafjsxhpnd" w:colFirst="0" w:colLast="0"/>
      <w:bookmarkEnd w:id="7"/>
      <w:r>
        <w:t>CHAPTER ONE</w:t>
      </w:r>
    </w:p>
    <w:p w14:paraId="00000102" w14:textId="77777777" w:rsidR="00655AEF" w:rsidRDefault="00000000">
      <w:pPr>
        <w:pStyle w:val="Heading1"/>
        <w:spacing w:before="0" w:after="240" w:line="360" w:lineRule="auto"/>
        <w:jc w:val="center"/>
      </w:pPr>
      <w:bookmarkStart w:id="8" w:name="_heading=h.vic0o85qzxzp" w:colFirst="0" w:colLast="0"/>
      <w:bookmarkEnd w:id="8"/>
      <w:r>
        <w:t>INTRODUCTION</w:t>
      </w:r>
    </w:p>
    <w:p w14:paraId="00000103" w14:textId="77777777" w:rsidR="00655AEF" w:rsidRDefault="00000000">
      <w:pPr>
        <w:pStyle w:val="Heading2"/>
        <w:keepNext w:val="0"/>
        <w:keepLines w:val="0"/>
        <w:numPr>
          <w:ilvl w:val="1"/>
          <w:numId w:val="1"/>
        </w:numPr>
        <w:spacing w:before="0"/>
      </w:pPr>
      <w:bookmarkStart w:id="9" w:name="_heading=h.44nicktb2v28" w:colFirst="0" w:colLast="0"/>
      <w:bookmarkEnd w:id="9"/>
      <w:r>
        <w:t>Overview</w:t>
      </w:r>
    </w:p>
    <w:p w14:paraId="00000104" w14:textId="77777777" w:rsidR="00655AEF" w:rsidRDefault="00000000">
      <w:pPr>
        <w:spacing w:after="240" w:line="360" w:lineRule="auto"/>
        <w:jc w:val="both"/>
        <w:rPr>
          <w:sz w:val="24"/>
          <w:szCs w:val="24"/>
        </w:rPr>
      </w:pPr>
      <w:r>
        <w:rPr>
          <w:sz w:val="24"/>
          <w:szCs w:val="24"/>
        </w:rPr>
        <w:t>This chapter provides a comprehensive overview of the study, “Evaluation of Reward System on HIV Treatment Outcomes of Patients with Suspected Treatment Failure at Kakamega County, Kenya.” It begins by establishing the global and national context of the HIV epidemic, highlighting the significant progress made in treatment and prevention alongside persistent challenges, particularly concerning treatment adherence and viral suppression. The chapter then narrows its focus to the specific situation in Kakamega County, detailing its unique epidemiological profile and the local impact of HIV/AIDS. Following this contextual background, the chapter articulates the problem statement, outlining the critical gaps in achieving optimal HIV treatment outcomes that this study aims to address. It further specifies the study’s broad and specific objectives, followed by the precise research questions that guided the investigation. Finally, the chapter concludes with a justification and rationale for the study, emphasizing its contributions to policy, practice, and the overall improvement of health outcomes for people living with HIV in the region.</w:t>
      </w:r>
    </w:p>
    <w:p w14:paraId="00000105" w14:textId="77777777" w:rsidR="00655AEF" w:rsidRDefault="00000000">
      <w:pPr>
        <w:pStyle w:val="Heading2"/>
        <w:keepNext w:val="0"/>
        <w:keepLines w:val="0"/>
        <w:numPr>
          <w:ilvl w:val="1"/>
          <w:numId w:val="1"/>
        </w:numPr>
        <w:spacing w:before="0"/>
      </w:pPr>
      <w:bookmarkStart w:id="10" w:name="_heading=h.d7q4sbbmhxah" w:colFirst="0" w:colLast="0"/>
      <w:bookmarkEnd w:id="10"/>
      <w:r>
        <w:t>Background on Disease and Literature Review</w:t>
      </w:r>
    </w:p>
    <w:p w14:paraId="00000106" w14:textId="77777777" w:rsidR="00655AEF" w:rsidRDefault="00000000">
      <w:pPr>
        <w:spacing w:after="240" w:line="360" w:lineRule="auto"/>
        <w:jc w:val="both"/>
        <w:rPr>
          <w:sz w:val="24"/>
          <w:szCs w:val="24"/>
        </w:rPr>
      </w:pPr>
      <w:r>
        <w:rPr>
          <w:sz w:val="24"/>
          <w:szCs w:val="24"/>
        </w:rPr>
        <w:t xml:space="preserve">According to UNAIDS, 2020 Kenya has about 1.5 million people living with HIV with an adult (15-49 years) prevalence rate of 4.5% and 42,000 annual new infections. There are </w:t>
      </w:r>
      <w:r>
        <w:rPr>
          <w:sz w:val="24"/>
          <w:szCs w:val="24"/>
        </w:rPr>
        <w:lastRenderedPageBreak/>
        <w:t xml:space="preserve">21,000 HIV related deaths </w:t>
      </w:r>
      <w:proofErr w:type="gramStart"/>
      <w:r>
        <w:rPr>
          <w:sz w:val="24"/>
          <w:szCs w:val="24"/>
        </w:rPr>
        <w:t>due to the fact that</w:t>
      </w:r>
      <w:proofErr w:type="gramEnd"/>
      <w:r>
        <w:rPr>
          <w:sz w:val="24"/>
          <w:szCs w:val="24"/>
        </w:rPr>
        <w:t xml:space="preserve"> 75% adults and 61% children are on Anti Retrovirals Treatment (ART). The HIV epidemic affects most of its general population, but groups of men who have sex with men, women, sex workers and people who inject drugs are still more vulnerable to infection. In 2018, 69% of adults living with HIV in Kenya were accessing treatment. However, treatment coverage among children aged under 15 was lower, at 61%. Although awareness of HIV and AIDS is high in Kenya, many people living with HIV </w:t>
      </w:r>
      <w:proofErr w:type="gramStart"/>
      <w:r>
        <w:rPr>
          <w:sz w:val="24"/>
          <w:szCs w:val="24"/>
        </w:rPr>
        <w:t>face</w:t>
      </w:r>
      <w:proofErr w:type="gramEnd"/>
      <w:r>
        <w:rPr>
          <w:sz w:val="24"/>
          <w:szCs w:val="24"/>
        </w:rPr>
        <w:t xml:space="preserve"> high levels of stigma and discrimination which prevent people accessing HIV services.</w:t>
      </w:r>
    </w:p>
    <w:p w14:paraId="00000107" w14:textId="77777777" w:rsidR="00655AEF" w:rsidRDefault="00000000">
      <w:pPr>
        <w:spacing w:after="240" w:line="360" w:lineRule="auto"/>
        <w:jc w:val="both"/>
        <w:rPr>
          <w:sz w:val="24"/>
          <w:szCs w:val="24"/>
        </w:rPr>
      </w:pPr>
      <w:r>
        <w:rPr>
          <w:sz w:val="24"/>
          <w:szCs w:val="24"/>
        </w:rPr>
        <w:t>Kakamega County has a prevalence of 5.9 % with 57,952 people infected, of whom children constitute 16%. The HIV prevalence among women stands at 7.3% and men at 4.4%, with 154 new adult infections in 2013. Of the 2,754 pregnant women living with HIV in the County, 76% did not deliver in a health facility. Approximately 1,605 adults and 462 children died of AIDS-related conditions in 2013 in the County (HIV Strategic Plan -2016-20). As of December 2020, the number of people living with HIV (PLWHIV) was estimated at 46374 with 96% (44778) on Antiretroviral therapy (ART).</w:t>
      </w:r>
    </w:p>
    <w:p w14:paraId="00000108" w14:textId="77777777" w:rsidR="00655AEF" w:rsidRDefault="00000000">
      <w:pPr>
        <w:spacing w:after="240" w:line="360" w:lineRule="auto"/>
        <w:jc w:val="both"/>
        <w:rPr>
          <w:sz w:val="24"/>
          <w:szCs w:val="24"/>
        </w:rPr>
      </w:pPr>
      <w:r>
        <w:rPr>
          <w:sz w:val="24"/>
          <w:szCs w:val="24"/>
        </w:rPr>
        <w:t xml:space="preserve">Antiretroviral drugs have been shown to substantially reduce AIDS related deaths. If used properly ART can also lower a person’s viral load and prevent onward transmission of HIV (Kenya county HIV profiles, 2014). Recommended First-line ART for adults (including lactating and pregnant women) consists of two nucleoside reverse- transcriptase inhibitors (NRTIs) plus a nonnucleoside reverse-transcriptase inhibitor (NNRTI) or an integrase inhibitor (INSTI). T DF + 3TC (or FTC) + EFV as a fixed-dose combination is preferred option to initiate ART in Kenya and by extension, Kakamega. However, the following combinations are used in cases of un availability, toxicity or contraindications: AZT + 3TC + EFV, AZT + 3TC + NVP or TDF + 3TC (or FTC) + NVP (3TC -lamivudine, AZT- zidovudine, d4T- stavudine, DTG- dolutegravir, EFV- efavirenz, FTC- emtricitabine, NVP- nevirapine, TDF- tenofovir) Viral load is the gold standard for measuring treatment failure. Viral failure is defined by a persistently detectable viral load exceeding 1000 copies/mL (that is, two consecutive viral load measurements within a 3-month interval with adherence support between measurements) after at least 6 months of starting a new ART regimen. In cases or situations where viral load is not routinely </w:t>
      </w:r>
      <w:r>
        <w:rPr>
          <w:sz w:val="24"/>
          <w:szCs w:val="24"/>
        </w:rPr>
        <w:lastRenderedPageBreak/>
        <w:t xml:space="preserve">available, CD4 </w:t>
      </w:r>
      <w:proofErr w:type="gramStart"/>
      <w:r>
        <w:rPr>
          <w:sz w:val="24"/>
          <w:szCs w:val="24"/>
        </w:rPr>
        <w:t>count</w:t>
      </w:r>
      <w:proofErr w:type="gramEnd"/>
      <w:r>
        <w:rPr>
          <w:sz w:val="24"/>
          <w:szCs w:val="24"/>
        </w:rPr>
        <w:t xml:space="preserve"> and clinical monitoring should be used to diagnose treatment failure (WHO, 2016).</w:t>
      </w:r>
    </w:p>
    <w:p w14:paraId="00000109" w14:textId="77777777" w:rsidR="00655AEF" w:rsidRDefault="00000000">
      <w:pPr>
        <w:spacing w:after="240" w:line="360" w:lineRule="auto"/>
        <w:jc w:val="both"/>
        <w:rPr>
          <w:sz w:val="24"/>
          <w:szCs w:val="24"/>
        </w:rPr>
      </w:pPr>
      <w:r>
        <w:rPr>
          <w:sz w:val="24"/>
          <w:szCs w:val="24"/>
        </w:rPr>
        <w:t>In Kakamega HIV, AIDS and Sexually Transmitted Infections Management ACT provides an opportunity for direct partnership in a first of its kind Government-to- Government HIV funding. USAID-PEPFAR supports MTRH-AMPATHPlus to provide care for over 39,000 people living with HIV in Kakamega County. In the USA, HIV test sites offering financial incentives, patients were offered $125 gift cards if they accessed linkage to care. In intervention treatment sites, patients could earn $70 gift cards quarterly if they accessed antiretroviral treatments and remained virally suppressed (Journal of the American Medical Association). The financial incentives did drive the number of patients accessing viral suppression treatment. By study’s end, the proportion of patients accessing the treatment increased by 3.8 percent.</w:t>
      </w:r>
    </w:p>
    <w:p w14:paraId="0000010A" w14:textId="77777777" w:rsidR="00655AEF" w:rsidRDefault="00000000">
      <w:pPr>
        <w:pStyle w:val="Heading2"/>
        <w:keepNext w:val="0"/>
        <w:keepLines w:val="0"/>
        <w:numPr>
          <w:ilvl w:val="1"/>
          <w:numId w:val="1"/>
        </w:numPr>
        <w:spacing w:before="0"/>
      </w:pPr>
      <w:bookmarkStart w:id="11" w:name="_heading=h.1p6ntwvjmmu" w:colFirst="0" w:colLast="0"/>
      <w:bookmarkEnd w:id="11"/>
      <w:r>
        <w:t>Problem Statement</w:t>
      </w:r>
    </w:p>
    <w:p w14:paraId="0000010B" w14:textId="77777777" w:rsidR="00655AEF" w:rsidRDefault="00000000">
      <w:pPr>
        <w:spacing w:after="240" w:line="360" w:lineRule="auto"/>
        <w:jc w:val="both"/>
        <w:rPr>
          <w:sz w:val="24"/>
          <w:szCs w:val="24"/>
        </w:rPr>
      </w:pPr>
      <w:r>
        <w:rPr>
          <w:sz w:val="24"/>
          <w:szCs w:val="24"/>
        </w:rPr>
        <w:t>The Joint United Nations Programme on HIV/AIDS (UNAIDS) in 2014, set global targets to be achieved by every country in 2020. By 2020, 90% of all people living with HIV should know their HIV status, 90% of all people with diagnosed HIV infection should be on sustained antiretroviral therapy (ART). 90% of all people receiving antiretroviral therapy should have viral suppression. In Kenya (2021), 90% know their status but only 74% are on ART, and 68% are virally suppressed. This points to challenges in retention on treatment and adherence and hence treatment failures. In Kakamega, retention stands at 78% and out of this 93% are suppressed, pointing to the fact, success of HIV programme rests on the retention rates.</w:t>
      </w:r>
    </w:p>
    <w:p w14:paraId="0000010C" w14:textId="77777777" w:rsidR="00655AEF" w:rsidRDefault="00000000">
      <w:pPr>
        <w:spacing w:after="240" w:line="360" w:lineRule="auto"/>
        <w:jc w:val="both"/>
        <w:rPr>
          <w:sz w:val="24"/>
          <w:szCs w:val="24"/>
        </w:rPr>
      </w:pPr>
      <w:r>
        <w:rPr>
          <w:sz w:val="24"/>
          <w:szCs w:val="24"/>
        </w:rPr>
        <w:t>Approximately 1,605 adults and 462 children died of AIDS-related conditions in 2013 in Kakamega County. Studies done in Kenya have found that retention is associated with socio economic status and tracking. This means the low socioeconomic status and inadequate systems to track patients between clinics are hampering efforts to accurately estimate retention in care in resource-limited settings, like Kakamega.</w:t>
      </w:r>
    </w:p>
    <w:p w14:paraId="0000010D" w14:textId="77777777" w:rsidR="00655AEF" w:rsidRDefault="00000000">
      <w:pPr>
        <w:spacing w:after="240" w:line="360" w:lineRule="auto"/>
        <w:jc w:val="both"/>
        <w:rPr>
          <w:sz w:val="24"/>
          <w:szCs w:val="24"/>
        </w:rPr>
      </w:pPr>
      <w:r>
        <w:rPr>
          <w:sz w:val="24"/>
          <w:szCs w:val="24"/>
        </w:rPr>
        <w:t xml:space="preserve">In poor African countries to include Kenya, Asia and South America, antiquated health management systems, tracking and managing chronic diseases such as HIV&amp;AIDS is </w:t>
      </w:r>
      <w:r>
        <w:rPr>
          <w:sz w:val="24"/>
          <w:szCs w:val="24"/>
        </w:rPr>
        <w:lastRenderedPageBreak/>
        <w:t>difficult and unreliable. In addition, hundreds of billions of dollars are donated for healthcare each year, but much of this investment is wasted, stolen or mismanaged because of paper based tracking systems.</w:t>
      </w:r>
    </w:p>
    <w:p w14:paraId="0000010E" w14:textId="77777777" w:rsidR="00655AEF" w:rsidRDefault="00000000">
      <w:pPr>
        <w:pStyle w:val="Heading2"/>
        <w:keepNext w:val="0"/>
        <w:keepLines w:val="0"/>
        <w:numPr>
          <w:ilvl w:val="1"/>
          <w:numId w:val="1"/>
        </w:numPr>
        <w:spacing w:before="0"/>
      </w:pPr>
      <w:bookmarkStart w:id="12" w:name="_heading=h.el1mc3h8670" w:colFirst="0" w:colLast="0"/>
      <w:bookmarkEnd w:id="12"/>
      <w:r>
        <w:t xml:space="preserve">Study Objectives </w:t>
      </w:r>
    </w:p>
    <w:p w14:paraId="0000010F" w14:textId="77777777" w:rsidR="00655AEF" w:rsidRDefault="00000000">
      <w:pPr>
        <w:pStyle w:val="Heading3"/>
        <w:numPr>
          <w:ilvl w:val="2"/>
          <w:numId w:val="1"/>
        </w:numPr>
        <w:rPr>
          <w:sz w:val="24"/>
          <w:szCs w:val="24"/>
        </w:rPr>
      </w:pPr>
      <w:bookmarkStart w:id="13" w:name="_heading=h.7t8qu138b7sq" w:colFirst="0" w:colLast="0"/>
      <w:bookmarkEnd w:id="13"/>
      <w:r>
        <w:rPr>
          <w:sz w:val="24"/>
          <w:szCs w:val="24"/>
        </w:rPr>
        <w:t>Broad objective</w:t>
      </w:r>
    </w:p>
    <w:p w14:paraId="00000110" w14:textId="77777777" w:rsidR="00655AEF" w:rsidRDefault="00000000">
      <w:pPr>
        <w:spacing w:after="240" w:line="360" w:lineRule="auto"/>
        <w:jc w:val="both"/>
        <w:rPr>
          <w:sz w:val="24"/>
          <w:szCs w:val="24"/>
        </w:rPr>
      </w:pPr>
      <w:r>
        <w:rPr>
          <w:sz w:val="24"/>
          <w:szCs w:val="24"/>
        </w:rPr>
        <w:t>To evaluate the effectiveness of reward system on HIV treatment outcomes of patients with suspected treatment failure at Kakamega County.</w:t>
      </w:r>
    </w:p>
    <w:p w14:paraId="00000111" w14:textId="77777777" w:rsidR="00655AEF" w:rsidRDefault="00000000">
      <w:pPr>
        <w:pStyle w:val="Heading3"/>
        <w:numPr>
          <w:ilvl w:val="2"/>
          <w:numId w:val="1"/>
        </w:numPr>
        <w:rPr>
          <w:sz w:val="24"/>
          <w:szCs w:val="24"/>
        </w:rPr>
      </w:pPr>
      <w:bookmarkStart w:id="14" w:name="_heading=h.e1w6l7sy1q2v" w:colFirst="0" w:colLast="0"/>
      <w:bookmarkEnd w:id="14"/>
      <w:r>
        <w:rPr>
          <w:sz w:val="24"/>
          <w:szCs w:val="24"/>
        </w:rPr>
        <w:t>Specific Objectives</w:t>
      </w:r>
    </w:p>
    <w:p w14:paraId="00000112" w14:textId="77777777" w:rsidR="00655AEF" w:rsidRDefault="00000000">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To evaluate the outcome of the reward system on HIV/AIDS clients with suspected treatment failure at Kakamega County.</w:t>
      </w:r>
    </w:p>
    <w:p w14:paraId="00000113" w14:textId="77777777" w:rsidR="00655AEF" w:rsidRDefault="00000000">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To identify factors hindering retention of the HIV/AIDS clients with suspected treatment failure at Kakamega County.</w:t>
      </w:r>
    </w:p>
    <w:p w14:paraId="00000114" w14:textId="77777777" w:rsidR="00655AEF" w:rsidRDefault="00000000">
      <w:pPr>
        <w:numPr>
          <w:ilvl w:val="0"/>
          <w:numId w:val="4"/>
        </w:numPr>
        <w:pBdr>
          <w:top w:val="nil"/>
          <w:left w:val="nil"/>
          <w:bottom w:val="nil"/>
          <w:right w:val="nil"/>
          <w:between w:val="nil"/>
        </w:pBdr>
        <w:spacing w:line="360" w:lineRule="auto"/>
        <w:jc w:val="both"/>
        <w:rPr>
          <w:color w:val="000000"/>
          <w:sz w:val="24"/>
          <w:szCs w:val="24"/>
        </w:rPr>
      </w:pPr>
      <w:r>
        <w:rPr>
          <w:color w:val="000000"/>
          <w:sz w:val="24"/>
          <w:szCs w:val="24"/>
        </w:rPr>
        <w:t>To identify factors promoting retention of HIV/AIDS clients with suspected treatment failure at Kakamega County.</w:t>
      </w:r>
    </w:p>
    <w:p w14:paraId="00000115" w14:textId="77777777" w:rsidR="00655AEF" w:rsidRDefault="00000000">
      <w:pPr>
        <w:numPr>
          <w:ilvl w:val="0"/>
          <w:numId w:val="4"/>
        </w:numPr>
        <w:pBdr>
          <w:top w:val="nil"/>
          <w:left w:val="nil"/>
          <w:bottom w:val="nil"/>
          <w:right w:val="nil"/>
          <w:between w:val="nil"/>
        </w:pBdr>
        <w:spacing w:after="240" w:line="360" w:lineRule="auto"/>
        <w:jc w:val="both"/>
        <w:rPr>
          <w:color w:val="000000"/>
          <w:sz w:val="24"/>
          <w:szCs w:val="24"/>
        </w:rPr>
      </w:pPr>
      <w:r>
        <w:rPr>
          <w:color w:val="000000"/>
          <w:sz w:val="24"/>
          <w:szCs w:val="24"/>
        </w:rPr>
        <w:t>To develop an integrated system for improving treatment adherence for HIV/AIDS clients with suspected treatment failure at Kakamega County.</w:t>
      </w:r>
    </w:p>
    <w:p w14:paraId="00000116" w14:textId="77777777" w:rsidR="00655AEF" w:rsidRDefault="00000000">
      <w:pPr>
        <w:pStyle w:val="Heading3"/>
        <w:numPr>
          <w:ilvl w:val="2"/>
          <w:numId w:val="1"/>
        </w:numPr>
        <w:rPr>
          <w:sz w:val="24"/>
          <w:szCs w:val="24"/>
        </w:rPr>
      </w:pPr>
      <w:bookmarkStart w:id="15" w:name="_heading=h.ueo7exv9976r" w:colFirst="0" w:colLast="0"/>
      <w:bookmarkEnd w:id="15"/>
      <w:r>
        <w:rPr>
          <w:sz w:val="24"/>
          <w:szCs w:val="24"/>
        </w:rPr>
        <w:t>Research Questions</w:t>
      </w:r>
    </w:p>
    <w:p w14:paraId="00000117" w14:textId="77777777" w:rsidR="00655AEF" w:rsidRDefault="0000000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What are the outcomes of reward system on HIV/AIDS clients with suspected treatment failure at Kakamega County?</w:t>
      </w:r>
    </w:p>
    <w:p w14:paraId="00000118" w14:textId="77777777" w:rsidR="00655AEF" w:rsidRDefault="0000000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What are the factors hindering retention of the HIV/AIDS clients with suspected treatment failure at Kakamega County?</w:t>
      </w:r>
    </w:p>
    <w:p w14:paraId="00000119" w14:textId="77777777" w:rsidR="00655AEF" w:rsidRDefault="00000000">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What are the factors promoting retention of HIV/AIDS clients with suspected treatment failure at Kakamega County?</w:t>
      </w:r>
    </w:p>
    <w:p w14:paraId="0000011A" w14:textId="77777777" w:rsidR="00655AEF" w:rsidRDefault="00000000">
      <w:pPr>
        <w:numPr>
          <w:ilvl w:val="0"/>
          <w:numId w:val="5"/>
        </w:numPr>
        <w:pBdr>
          <w:top w:val="nil"/>
          <w:left w:val="nil"/>
          <w:bottom w:val="nil"/>
          <w:right w:val="nil"/>
          <w:between w:val="nil"/>
        </w:pBdr>
        <w:spacing w:after="240" w:line="360" w:lineRule="auto"/>
        <w:jc w:val="both"/>
        <w:rPr>
          <w:color w:val="000000"/>
          <w:sz w:val="24"/>
          <w:szCs w:val="24"/>
        </w:rPr>
      </w:pPr>
      <w:r>
        <w:rPr>
          <w:color w:val="000000"/>
          <w:sz w:val="24"/>
          <w:szCs w:val="24"/>
        </w:rPr>
        <w:t>How does an integrated reward system improve treatment adherence for HIV/AIDS clients with suspected treatment failure at Kakamega County?</w:t>
      </w:r>
    </w:p>
    <w:p w14:paraId="0000011B" w14:textId="77777777" w:rsidR="00655AEF" w:rsidRDefault="00655AEF"/>
    <w:p w14:paraId="0000011C" w14:textId="77777777" w:rsidR="00655AEF" w:rsidRDefault="00000000">
      <w:pPr>
        <w:pStyle w:val="Heading2"/>
        <w:keepNext w:val="0"/>
        <w:keepLines w:val="0"/>
        <w:numPr>
          <w:ilvl w:val="1"/>
          <w:numId w:val="1"/>
        </w:numPr>
        <w:spacing w:before="0"/>
      </w:pPr>
      <w:bookmarkStart w:id="16" w:name="_heading=h.nncvv0jtllw3" w:colFirst="0" w:colLast="0"/>
      <w:bookmarkEnd w:id="16"/>
      <w:r>
        <w:t>Study Rationale and justification.</w:t>
      </w:r>
    </w:p>
    <w:p w14:paraId="0000011D" w14:textId="77777777" w:rsidR="00655AEF" w:rsidRDefault="00000000">
      <w:pPr>
        <w:spacing w:after="240" w:line="360" w:lineRule="auto"/>
        <w:jc w:val="both"/>
        <w:rPr>
          <w:sz w:val="24"/>
          <w:szCs w:val="24"/>
        </w:rPr>
      </w:pPr>
      <w:r>
        <w:rPr>
          <w:sz w:val="24"/>
          <w:szCs w:val="24"/>
        </w:rPr>
        <w:t xml:space="preserve">This study contributes to the future Strategic Direction on HIV intervention, thereby improving health outcomes and wellness of all people living with HIV, through a tracking mechanisms for referrals, improving on access to and equal distribution of services and </w:t>
      </w:r>
      <w:r>
        <w:rPr>
          <w:sz w:val="24"/>
          <w:szCs w:val="24"/>
        </w:rPr>
        <w:lastRenderedPageBreak/>
        <w:t>human resources so as to avoid loss in the cascade of care, increased advocacy on ART uptake and adherence and scale up interventions to improve quality of care and improve health outcomes.</w:t>
      </w:r>
    </w:p>
    <w:p w14:paraId="0000011E" w14:textId="77777777" w:rsidR="00655AEF" w:rsidRDefault="00655AEF">
      <w:pPr>
        <w:spacing w:after="240" w:line="360" w:lineRule="auto"/>
        <w:jc w:val="both"/>
        <w:rPr>
          <w:sz w:val="24"/>
          <w:szCs w:val="24"/>
        </w:rPr>
      </w:pPr>
    </w:p>
    <w:p w14:paraId="0000011F" w14:textId="77777777" w:rsidR="00655AEF" w:rsidRDefault="00655AEF">
      <w:pPr>
        <w:spacing w:after="240" w:line="360" w:lineRule="auto"/>
        <w:jc w:val="both"/>
        <w:rPr>
          <w:sz w:val="24"/>
          <w:szCs w:val="24"/>
        </w:rPr>
      </w:pPr>
    </w:p>
    <w:p w14:paraId="00000120" w14:textId="77777777" w:rsidR="00655AEF" w:rsidRDefault="00655AEF">
      <w:pPr>
        <w:spacing w:after="240" w:line="360" w:lineRule="auto"/>
        <w:jc w:val="both"/>
        <w:rPr>
          <w:sz w:val="24"/>
          <w:szCs w:val="24"/>
        </w:rPr>
      </w:pPr>
    </w:p>
    <w:p w14:paraId="00000121" w14:textId="77777777" w:rsidR="00655AEF" w:rsidRDefault="00655AEF">
      <w:pPr>
        <w:spacing w:after="240" w:line="360" w:lineRule="auto"/>
        <w:jc w:val="both"/>
        <w:rPr>
          <w:sz w:val="24"/>
          <w:szCs w:val="24"/>
        </w:rPr>
      </w:pPr>
    </w:p>
    <w:p w14:paraId="00000122" w14:textId="77777777" w:rsidR="00655AEF" w:rsidRDefault="00000000">
      <w:pPr>
        <w:pStyle w:val="Heading1"/>
        <w:spacing w:before="0" w:after="240" w:line="360" w:lineRule="auto"/>
        <w:jc w:val="center"/>
      </w:pPr>
      <w:bookmarkStart w:id="17" w:name="_heading=h.tl7tneyuhne5" w:colFirst="0" w:colLast="0"/>
      <w:bookmarkEnd w:id="17"/>
      <w:r>
        <w:t>CHAPTER TWO</w:t>
      </w:r>
    </w:p>
    <w:bookmarkStart w:id="18" w:name="_heading=h.w9n6nqb9qv9z" w:colFirst="0" w:colLast="0"/>
    <w:bookmarkEnd w:id="18"/>
    <w:p w14:paraId="00000123" w14:textId="77777777" w:rsidR="00655AEF" w:rsidRDefault="00000000">
      <w:pPr>
        <w:pStyle w:val="Heading1"/>
        <w:spacing w:before="0" w:after="240" w:line="360" w:lineRule="auto"/>
        <w:jc w:val="center"/>
      </w:pPr>
      <w:sdt>
        <w:sdtPr>
          <w:tag w:val="goog_rdk_0"/>
          <w:id w:val="-592259184"/>
        </w:sdtPr>
        <w:sdtContent>
          <w:commentRangeStart w:id="19"/>
        </w:sdtContent>
      </w:sdt>
      <w:r>
        <w:t>RESEARCH METHODOLOGY</w:t>
      </w:r>
      <w:commentRangeEnd w:id="19"/>
      <w:r>
        <w:commentReference w:id="19"/>
      </w:r>
    </w:p>
    <w:p w14:paraId="00000124" w14:textId="77777777" w:rsidR="00655AEF" w:rsidRDefault="00000000">
      <w:pPr>
        <w:pStyle w:val="Heading2"/>
        <w:keepNext w:val="0"/>
        <w:keepLines w:val="0"/>
        <w:numPr>
          <w:ilvl w:val="1"/>
          <w:numId w:val="6"/>
        </w:numPr>
        <w:spacing w:before="0"/>
      </w:pPr>
      <w:bookmarkStart w:id="20" w:name="_heading=h.vhlkvzn7pbxx" w:colFirst="0" w:colLast="0"/>
      <w:bookmarkEnd w:id="20"/>
      <w:r>
        <w:t>Overview</w:t>
      </w:r>
    </w:p>
    <w:p w14:paraId="00000125" w14:textId="77777777" w:rsidR="00655AEF" w:rsidRDefault="00655AEF">
      <w:pPr>
        <w:spacing w:after="240" w:line="360" w:lineRule="auto"/>
        <w:jc w:val="both"/>
        <w:rPr>
          <w:sz w:val="24"/>
          <w:szCs w:val="24"/>
        </w:rPr>
      </w:pPr>
    </w:p>
    <w:p w14:paraId="00000126" w14:textId="77777777" w:rsidR="00655AEF" w:rsidRDefault="00000000">
      <w:pPr>
        <w:pStyle w:val="Heading2"/>
        <w:keepNext w:val="0"/>
        <w:keepLines w:val="0"/>
        <w:numPr>
          <w:ilvl w:val="1"/>
          <w:numId w:val="6"/>
        </w:numPr>
        <w:spacing w:before="0"/>
      </w:pPr>
      <w:bookmarkStart w:id="21" w:name="_heading=h.icqijuefims1" w:colFirst="0" w:colLast="0"/>
      <w:bookmarkEnd w:id="21"/>
      <w:r>
        <w:t>Study design</w:t>
      </w:r>
    </w:p>
    <w:p w14:paraId="00000127" w14:textId="77777777" w:rsidR="00655AEF" w:rsidRDefault="00000000">
      <w:pPr>
        <w:spacing w:after="240" w:line="360" w:lineRule="auto"/>
        <w:jc w:val="both"/>
        <w:rPr>
          <w:sz w:val="24"/>
          <w:szCs w:val="24"/>
        </w:rPr>
      </w:pPr>
      <w:r>
        <w:rPr>
          <w:sz w:val="24"/>
          <w:szCs w:val="24"/>
        </w:rPr>
        <w:t>The study adopted quasi experimental with mixed methods (both qualitative and quantitative data collection methods). Quasi-experimental research design is an experimental design that tests causal hypotheses. In this design, the rewards were viewed as an intervention or treatment that was tested on how well it achieved its objectives (effectiveness), as measured by a pre-specified set of indicators.</w:t>
      </w:r>
    </w:p>
    <w:p w14:paraId="00000128" w14:textId="77777777" w:rsidR="00655AEF" w:rsidRDefault="00000000">
      <w:pPr>
        <w:pStyle w:val="Heading3"/>
        <w:numPr>
          <w:ilvl w:val="2"/>
          <w:numId w:val="6"/>
        </w:numPr>
        <w:rPr>
          <w:sz w:val="24"/>
          <w:szCs w:val="24"/>
        </w:rPr>
      </w:pPr>
      <w:bookmarkStart w:id="22" w:name="_heading=h.owciejn3a3t7" w:colFirst="0" w:colLast="0"/>
      <w:bookmarkEnd w:id="22"/>
      <w:r>
        <w:rPr>
          <w:sz w:val="24"/>
          <w:szCs w:val="24"/>
        </w:rPr>
        <w:t>Patient indicators</w:t>
      </w:r>
    </w:p>
    <w:p w14:paraId="00000129"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Virologic treatment failure where viral load measurement in copies per ml was the most objective measure.</w:t>
      </w:r>
    </w:p>
    <w:p w14:paraId="0000012A" w14:textId="77777777" w:rsidR="00655AEF" w:rsidRDefault="00000000">
      <w:pPr>
        <w:numPr>
          <w:ilvl w:val="0"/>
          <w:numId w:val="8"/>
        </w:numPr>
        <w:pBdr>
          <w:top w:val="nil"/>
          <w:left w:val="nil"/>
          <w:bottom w:val="nil"/>
          <w:right w:val="nil"/>
          <w:between w:val="nil"/>
        </w:pBdr>
        <w:spacing w:after="240" w:line="360" w:lineRule="auto"/>
        <w:jc w:val="both"/>
        <w:rPr>
          <w:color w:val="000000"/>
          <w:sz w:val="24"/>
          <w:szCs w:val="24"/>
        </w:rPr>
      </w:pPr>
      <w:r>
        <w:rPr>
          <w:color w:val="000000"/>
          <w:sz w:val="24"/>
          <w:szCs w:val="24"/>
        </w:rPr>
        <w:t>Viral load: persistently detectable viral load below 1000 copies/mL (that is, two consecutive viral load measurements within a 3-month interval with adherence support between measurements) after at least 6 months of starting a new ART regimen</w:t>
      </w:r>
    </w:p>
    <w:p w14:paraId="0000012B" w14:textId="77777777" w:rsidR="00655AEF" w:rsidRDefault="00000000">
      <w:pPr>
        <w:pStyle w:val="Heading3"/>
        <w:rPr>
          <w:rFonts w:ascii="Georgia" w:eastAsia="Georgia" w:hAnsi="Georgia" w:cs="Georgia"/>
          <w:color w:val="000000"/>
          <w:sz w:val="24"/>
          <w:szCs w:val="24"/>
        </w:rPr>
      </w:pPr>
      <w:bookmarkStart w:id="23" w:name="_heading=h.6fl02p74w32n" w:colFirst="0" w:colLast="0"/>
      <w:bookmarkEnd w:id="23"/>
      <w:r>
        <w:rPr>
          <w:rFonts w:ascii="Georgia" w:eastAsia="Georgia" w:hAnsi="Georgia" w:cs="Georgia"/>
          <w:color w:val="000000"/>
          <w:sz w:val="24"/>
          <w:szCs w:val="24"/>
        </w:rPr>
        <w:lastRenderedPageBreak/>
        <w:t>Design of the scoring criteria:</w:t>
      </w:r>
    </w:p>
    <w:p w14:paraId="0000012C" w14:textId="77777777" w:rsidR="00655AEF" w:rsidRDefault="00000000">
      <w:pPr>
        <w:numPr>
          <w:ilvl w:val="1"/>
          <w:numId w:val="9"/>
        </w:numPr>
        <w:pBdr>
          <w:top w:val="nil"/>
          <w:left w:val="nil"/>
          <w:bottom w:val="nil"/>
          <w:right w:val="nil"/>
          <w:between w:val="nil"/>
        </w:pBdr>
        <w:spacing w:line="360" w:lineRule="auto"/>
        <w:jc w:val="both"/>
        <w:rPr>
          <w:color w:val="000000"/>
          <w:sz w:val="24"/>
          <w:szCs w:val="24"/>
        </w:rPr>
      </w:pPr>
      <w:r>
        <w:rPr>
          <w:color w:val="000000"/>
          <w:sz w:val="24"/>
          <w:szCs w:val="24"/>
        </w:rPr>
        <w:t xml:space="preserve">1000 c/ml is suspected treatment </w:t>
      </w:r>
      <w:proofErr w:type="gramStart"/>
      <w:r>
        <w:rPr>
          <w:color w:val="000000"/>
          <w:sz w:val="24"/>
          <w:szCs w:val="24"/>
        </w:rPr>
        <w:t>failure;</w:t>
      </w:r>
      <w:proofErr w:type="gramEnd"/>
    </w:p>
    <w:p w14:paraId="0000012D" w14:textId="77777777" w:rsidR="00655AEF" w:rsidRDefault="00000000">
      <w:pPr>
        <w:numPr>
          <w:ilvl w:val="1"/>
          <w:numId w:val="9"/>
        </w:numPr>
        <w:pBdr>
          <w:top w:val="nil"/>
          <w:left w:val="nil"/>
          <w:bottom w:val="nil"/>
          <w:right w:val="nil"/>
          <w:between w:val="nil"/>
        </w:pBdr>
        <w:spacing w:line="360" w:lineRule="auto"/>
        <w:jc w:val="both"/>
        <w:rPr>
          <w:color w:val="000000"/>
          <w:sz w:val="24"/>
          <w:szCs w:val="24"/>
        </w:rPr>
      </w:pPr>
      <w:r>
        <w:rPr>
          <w:color w:val="000000"/>
          <w:sz w:val="24"/>
          <w:szCs w:val="24"/>
        </w:rPr>
        <w:t xml:space="preserve">Between 400-999c/ml is low level viremia – attributed to mutation </w:t>
      </w:r>
      <w:proofErr w:type="gramStart"/>
      <w:r>
        <w:rPr>
          <w:color w:val="000000"/>
          <w:sz w:val="24"/>
          <w:szCs w:val="24"/>
        </w:rPr>
        <w:t>risk;</w:t>
      </w:r>
      <w:proofErr w:type="gramEnd"/>
    </w:p>
    <w:p w14:paraId="0000012E" w14:textId="77777777" w:rsidR="00655AEF" w:rsidRDefault="00000000">
      <w:pPr>
        <w:numPr>
          <w:ilvl w:val="1"/>
          <w:numId w:val="9"/>
        </w:numPr>
        <w:pBdr>
          <w:top w:val="nil"/>
          <w:left w:val="nil"/>
          <w:bottom w:val="nil"/>
          <w:right w:val="nil"/>
          <w:between w:val="nil"/>
        </w:pBdr>
        <w:spacing w:line="360" w:lineRule="auto"/>
        <w:jc w:val="both"/>
        <w:rPr>
          <w:color w:val="000000"/>
          <w:sz w:val="24"/>
          <w:szCs w:val="24"/>
        </w:rPr>
      </w:pPr>
      <w:r>
        <w:rPr>
          <w:color w:val="000000"/>
          <w:sz w:val="24"/>
          <w:szCs w:val="24"/>
        </w:rPr>
        <w:t>0-&lt;400 c/ml is suppressed LDL (Low Density Lipoprotein).</w:t>
      </w:r>
    </w:p>
    <w:p w14:paraId="0000012F"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 xml:space="preserve">CD4 Counts: CD4 count above 250 cells/mm where a </w:t>
      </w:r>
      <w:proofErr w:type="gramStart"/>
      <w:r>
        <w:rPr>
          <w:color w:val="000000"/>
          <w:sz w:val="24"/>
          <w:szCs w:val="24"/>
        </w:rPr>
        <w:t>criteria</w:t>
      </w:r>
      <w:proofErr w:type="gramEnd"/>
      <w:r>
        <w:rPr>
          <w:color w:val="000000"/>
          <w:sz w:val="24"/>
          <w:szCs w:val="24"/>
        </w:rPr>
        <w:t xml:space="preserve"> on rate of reducing or increasing viral load (VL) will be used to measure progressive change outside the three blocks as illustrated in indicator 1.</w:t>
      </w:r>
    </w:p>
    <w:p w14:paraId="00000130"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Scheduled clinic appointments honored.</w:t>
      </w:r>
    </w:p>
    <w:p w14:paraId="00000131"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Missed pills- established through pill count and home visit.</w:t>
      </w:r>
    </w:p>
    <w:p w14:paraId="00000132"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Clinical presentation of Suspected Treatment Failure where clinical symptoms of treatment failure and Opportunistic Infections shall be assessed by clinical team.</w:t>
      </w:r>
    </w:p>
    <w:p w14:paraId="00000133" w14:textId="77777777" w:rsidR="00655AEF" w:rsidRDefault="00000000">
      <w:pPr>
        <w:numPr>
          <w:ilvl w:val="0"/>
          <w:numId w:val="7"/>
        </w:numPr>
        <w:pBdr>
          <w:top w:val="nil"/>
          <w:left w:val="nil"/>
          <w:bottom w:val="nil"/>
          <w:right w:val="nil"/>
          <w:between w:val="nil"/>
        </w:pBdr>
        <w:spacing w:line="360" w:lineRule="auto"/>
        <w:jc w:val="both"/>
        <w:rPr>
          <w:color w:val="000000"/>
          <w:sz w:val="24"/>
          <w:szCs w:val="24"/>
        </w:rPr>
      </w:pPr>
      <w:r>
        <w:rPr>
          <w:color w:val="000000"/>
          <w:sz w:val="24"/>
          <w:szCs w:val="24"/>
        </w:rPr>
        <w:t>CD4 Counts for immunologic treatment failure which progress from Viral Load failure to Immunologic failure and finally to a worse state of clinical failure.</w:t>
      </w:r>
    </w:p>
    <w:p w14:paraId="00000134" w14:textId="77777777" w:rsidR="00655AEF" w:rsidRDefault="00000000">
      <w:pPr>
        <w:numPr>
          <w:ilvl w:val="0"/>
          <w:numId w:val="7"/>
        </w:numPr>
        <w:pBdr>
          <w:top w:val="nil"/>
          <w:left w:val="nil"/>
          <w:bottom w:val="nil"/>
          <w:right w:val="nil"/>
          <w:between w:val="nil"/>
        </w:pBdr>
        <w:spacing w:after="240" w:line="360" w:lineRule="auto"/>
        <w:jc w:val="both"/>
        <w:rPr>
          <w:color w:val="000000"/>
          <w:sz w:val="24"/>
          <w:szCs w:val="24"/>
        </w:rPr>
      </w:pPr>
      <w:r>
        <w:rPr>
          <w:color w:val="000000"/>
          <w:sz w:val="24"/>
          <w:szCs w:val="24"/>
        </w:rPr>
        <w:t>Retention in care: Retention in care at 6 months = participants retained in clinic + participants confirmed active in care elsewhere/all enrolled study participants.</w:t>
      </w:r>
    </w:p>
    <w:p w14:paraId="00000135" w14:textId="77777777" w:rsidR="00655AEF" w:rsidRDefault="00000000">
      <w:pPr>
        <w:spacing w:after="240" w:line="360" w:lineRule="auto"/>
        <w:jc w:val="both"/>
        <w:rPr>
          <w:sz w:val="24"/>
          <w:szCs w:val="24"/>
        </w:rPr>
      </w:pPr>
      <w:r>
        <w:rPr>
          <w:sz w:val="24"/>
          <w:szCs w:val="24"/>
        </w:rPr>
        <w:t xml:space="preserve">A promise of rewards to patients at month 3 based on successful treatment outcomes from the above indicators was </w:t>
      </w:r>
      <w:proofErr w:type="gramStart"/>
      <w:r>
        <w:rPr>
          <w:sz w:val="24"/>
          <w:szCs w:val="24"/>
        </w:rPr>
        <w:t>effected</w:t>
      </w:r>
      <w:proofErr w:type="gramEnd"/>
      <w:r>
        <w:rPr>
          <w:sz w:val="24"/>
          <w:szCs w:val="24"/>
        </w:rPr>
        <w:t xml:space="preserve"> while monitoring the care processes to guide rewarding of health care providers at month three.</w:t>
      </w:r>
    </w:p>
    <w:p w14:paraId="00000136" w14:textId="77777777" w:rsidR="00655AEF" w:rsidRDefault="00000000">
      <w:pPr>
        <w:spacing w:after="240" w:line="360" w:lineRule="auto"/>
        <w:jc w:val="both"/>
        <w:rPr>
          <w:sz w:val="24"/>
          <w:szCs w:val="24"/>
        </w:rPr>
      </w:pPr>
      <w:r>
        <w:rPr>
          <w:sz w:val="24"/>
          <w:szCs w:val="24"/>
        </w:rPr>
        <w:t>Quasi-experimental designs identify a comparison or control group that is as similar as possible to the intervention/treatment in terms of baseline (pre-intervention) characteristics. The comparison group captures what would have been the outcomes if the incentives had not been implemented (i.e., the counterfactual). Hence, the rewards could be said to have caused any difference in outcomes between the treatment and comparison groups (UNICEF, 2014). Focus group discussions and in-depth interviews were used to identify the socio-economic factors hindering retention by the HIV patients with suspected treatment failures.</w:t>
      </w:r>
    </w:p>
    <w:p w14:paraId="00000137" w14:textId="77777777" w:rsidR="00655AEF" w:rsidRDefault="00000000">
      <w:pPr>
        <w:pStyle w:val="Heading2"/>
        <w:keepNext w:val="0"/>
        <w:keepLines w:val="0"/>
        <w:numPr>
          <w:ilvl w:val="1"/>
          <w:numId w:val="6"/>
        </w:numPr>
        <w:spacing w:before="0"/>
      </w:pPr>
      <w:bookmarkStart w:id="24" w:name="_heading=h.osv2n5h2ydkk" w:colFirst="0" w:colLast="0"/>
      <w:bookmarkEnd w:id="24"/>
      <w:r>
        <w:t>Sampling</w:t>
      </w:r>
    </w:p>
    <w:p w14:paraId="00000138" w14:textId="77777777" w:rsidR="00655AEF" w:rsidRDefault="00000000">
      <w:pPr>
        <w:spacing w:after="240" w:line="360" w:lineRule="auto"/>
        <w:jc w:val="both"/>
        <w:rPr>
          <w:sz w:val="24"/>
          <w:szCs w:val="24"/>
        </w:rPr>
      </w:pPr>
      <w:r>
        <w:rPr>
          <w:sz w:val="24"/>
          <w:szCs w:val="24"/>
        </w:rPr>
        <w:t>The 12-month retention rate in 2020 for the County was estimated at 77.7% (Ampath 2020 report). The number of treatment failures (defaulters) from the table stands at 1134.</w:t>
      </w:r>
    </w:p>
    <w:p w14:paraId="00000139" w14:textId="77777777" w:rsidR="00655AEF" w:rsidRDefault="00000000">
      <w:pPr>
        <w:spacing w:after="240" w:line="360" w:lineRule="auto"/>
        <w:jc w:val="both"/>
        <w:rPr>
          <w:sz w:val="24"/>
          <w:szCs w:val="24"/>
        </w:rPr>
      </w:pPr>
      <w:r>
        <w:rPr>
          <w:sz w:val="24"/>
          <w:szCs w:val="24"/>
        </w:rPr>
        <w:lastRenderedPageBreak/>
        <w:t>Sample size calculation&gt; P=1132</w:t>
      </w:r>
    </w:p>
    <w:p w14:paraId="0000013A" w14:textId="77777777" w:rsidR="00655AEF" w:rsidRDefault="00000000">
      <w:pPr>
        <w:spacing w:after="240" w:line="360" w:lineRule="auto"/>
        <w:jc w:val="both"/>
        <w:rPr>
          <w:sz w:val="24"/>
          <w:szCs w:val="24"/>
        </w:rPr>
      </w:pPr>
      <w:r>
        <w:rPr>
          <w:sz w:val="24"/>
          <w:szCs w:val="24"/>
        </w:rPr>
        <w:t>Margin of error =0.05 Confidence level=95% Standard deviation=0.5 Z-score=1.96</w:t>
      </w:r>
    </w:p>
    <w:p w14:paraId="0000013B" w14:textId="77777777" w:rsidR="00655AEF" w:rsidRDefault="00000000">
      <w:pPr>
        <w:spacing w:after="240" w:line="360" w:lineRule="auto"/>
        <w:jc w:val="both"/>
        <w:rPr>
          <w:sz w:val="24"/>
          <w:szCs w:val="24"/>
        </w:rPr>
      </w:pPr>
      <w:r>
        <w:rPr>
          <w:sz w:val="24"/>
          <w:szCs w:val="24"/>
        </w:rPr>
        <w:t>Therefore, using the Fischer’s formula,</w:t>
      </w:r>
    </w:p>
    <w:p w14:paraId="0000013C" w14:textId="77777777" w:rsidR="00655AEF" w:rsidRDefault="00000000">
      <w:pPr>
        <w:spacing w:line="360" w:lineRule="auto"/>
        <w:jc w:val="both"/>
        <w:rPr>
          <w:sz w:val="24"/>
          <w:szCs w:val="24"/>
        </w:rPr>
      </w:pPr>
      <w:r>
        <w:rPr>
          <w:sz w:val="24"/>
          <w:szCs w:val="24"/>
        </w:rPr>
        <w:t>Sample Size = [z2 * p(1-p)] / e2 / 1 + [z2 * p(1-p)] / e2 * N]</w:t>
      </w:r>
    </w:p>
    <w:p w14:paraId="0000013D" w14:textId="77777777" w:rsidR="00655AEF" w:rsidRDefault="00000000">
      <w:pPr>
        <w:spacing w:line="360" w:lineRule="auto"/>
        <w:ind w:left="1440"/>
        <w:jc w:val="both"/>
        <w:rPr>
          <w:sz w:val="24"/>
          <w:szCs w:val="24"/>
        </w:rPr>
      </w:pPr>
      <w:r>
        <w:rPr>
          <w:sz w:val="24"/>
          <w:szCs w:val="24"/>
        </w:rPr>
        <w:t>= [1.962 * 0.5(1-0.5)] / 0.052 / 1 + [1.962 * 0.5(1-0.5)] / 0.052 * 1134]</w:t>
      </w:r>
    </w:p>
    <w:p w14:paraId="0000013E" w14:textId="77777777" w:rsidR="00655AEF" w:rsidRDefault="00000000">
      <w:pPr>
        <w:spacing w:line="360" w:lineRule="auto"/>
        <w:ind w:left="1440"/>
        <w:jc w:val="both"/>
        <w:rPr>
          <w:sz w:val="24"/>
          <w:szCs w:val="24"/>
        </w:rPr>
      </w:pPr>
      <w:r>
        <w:rPr>
          <w:sz w:val="24"/>
          <w:szCs w:val="24"/>
        </w:rPr>
        <w:t>= [3.8416 * 0.25] / 0.0025 / 1 + [3.8416 * 0.25] / 2.835]</w:t>
      </w:r>
    </w:p>
    <w:p w14:paraId="0000013F" w14:textId="77777777" w:rsidR="00655AEF" w:rsidRDefault="00000000">
      <w:pPr>
        <w:spacing w:line="360" w:lineRule="auto"/>
        <w:ind w:left="1440"/>
        <w:jc w:val="both"/>
        <w:rPr>
          <w:sz w:val="24"/>
          <w:szCs w:val="24"/>
        </w:rPr>
      </w:pPr>
      <w:r>
        <w:rPr>
          <w:sz w:val="24"/>
          <w:szCs w:val="24"/>
        </w:rPr>
        <w:t>= 384.16/ 1.3388</w:t>
      </w:r>
    </w:p>
    <w:p w14:paraId="00000140" w14:textId="77777777" w:rsidR="00655AEF" w:rsidRDefault="00000000">
      <w:pPr>
        <w:spacing w:line="360" w:lineRule="auto"/>
        <w:ind w:left="1440"/>
        <w:jc w:val="both"/>
        <w:rPr>
          <w:sz w:val="24"/>
          <w:szCs w:val="24"/>
        </w:rPr>
      </w:pPr>
      <w:r>
        <w:rPr>
          <w:sz w:val="24"/>
          <w:szCs w:val="24"/>
        </w:rPr>
        <w:t>=286.9435</w:t>
      </w:r>
    </w:p>
    <w:p w14:paraId="00000141" w14:textId="77777777" w:rsidR="00655AEF" w:rsidRDefault="00000000">
      <w:pPr>
        <w:spacing w:line="360" w:lineRule="auto"/>
        <w:ind w:left="1440"/>
        <w:jc w:val="both"/>
        <w:rPr>
          <w:sz w:val="24"/>
          <w:szCs w:val="24"/>
        </w:rPr>
      </w:pPr>
      <w:r>
        <w:rPr>
          <w:sz w:val="24"/>
          <w:szCs w:val="24"/>
        </w:rPr>
        <w:t>Sample size =287</w:t>
      </w:r>
    </w:p>
    <w:p w14:paraId="00000142" w14:textId="77777777" w:rsidR="00655AEF" w:rsidRDefault="00655AEF">
      <w:pPr>
        <w:spacing w:line="360" w:lineRule="auto"/>
        <w:ind w:left="1440"/>
        <w:jc w:val="both"/>
        <w:rPr>
          <w:sz w:val="24"/>
          <w:szCs w:val="24"/>
        </w:rPr>
      </w:pPr>
    </w:p>
    <w:p w14:paraId="00000143" w14:textId="77777777" w:rsidR="00655AEF" w:rsidRDefault="00000000">
      <w:pPr>
        <w:spacing w:after="240" w:line="360" w:lineRule="auto"/>
        <w:jc w:val="both"/>
        <w:rPr>
          <w:sz w:val="24"/>
          <w:szCs w:val="24"/>
        </w:rPr>
      </w:pPr>
      <w:r>
        <w:rPr>
          <w:sz w:val="24"/>
          <w:szCs w:val="24"/>
        </w:rPr>
        <w:t>Kakamega county had a total of 12 sub counties where 30% of this was randomly selected to represent the entire county.</w:t>
      </w:r>
    </w:p>
    <w:p w14:paraId="00000144" w14:textId="77777777" w:rsidR="00655AEF" w:rsidRDefault="00000000">
      <w:pPr>
        <w:spacing w:after="240" w:line="360" w:lineRule="auto"/>
        <w:jc w:val="both"/>
        <w:rPr>
          <w:sz w:val="24"/>
          <w:szCs w:val="24"/>
        </w:rPr>
      </w:pPr>
      <w:r>
        <w:rPr>
          <w:sz w:val="24"/>
          <w:szCs w:val="24"/>
        </w:rPr>
        <w:t>Therefore, (30% * 12=3.6)</w:t>
      </w:r>
    </w:p>
    <w:p w14:paraId="00000145" w14:textId="77777777" w:rsidR="00655AEF" w:rsidRDefault="00000000">
      <w:pPr>
        <w:spacing w:after="240" w:line="360" w:lineRule="auto"/>
        <w:jc w:val="both"/>
        <w:rPr>
          <w:sz w:val="24"/>
          <w:szCs w:val="24"/>
        </w:rPr>
      </w:pPr>
      <w:r>
        <w:rPr>
          <w:sz w:val="24"/>
          <w:szCs w:val="24"/>
        </w:rPr>
        <w:t>A total of 4 sub counties were identified to represent Kakamega (two to generate 243 participants for control group and two to generate 270 participants for treatment group) which was more than the sample size calculated. The treatment and control facilities should be far apart to avoid cross-over contamination.</w:t>
      </w:r>
    </w:p>
    <w:p w14:paraId="00000146" w14:textId="77777777" w:rsidR="00655AEF" w:rsidRDefault="00000000">
      <w:pPr>
        <w:spacing w:after="240" w:line="360" w:lineRule="auto"/>
        <w:jc w:val="both"/>
        <w:rPr>
          <w:sz w:val="24"/>
          <w:szCs w:val="24"/>
        </w:rPr>
      </w:pPr>
      <w:r>
        <w:rPr>
          <w:sz w:val="24"/>
          <w:szCs w:val="24"/>
        </w:rPr>
        <w:t xml:space="preserve">Facilities with high volume of treatment failures were prioritized where </w:t>
      </w:r>
      <w:proofErr w:type="gramStart"/>
      <w:r>
        <w:rPr>
          <w:sz w:val="24"/>
          <w:szCs w:val="24"/>
        </w:rPr>
        <w:t>necessary, but</w:t>
      </w:r>
      <w:proofErr w:type="gramEnd"/>
      <w:r>
        <w:rPr>
          <w:sz w:val="24"/>
          <w:szCs w:val="24"/>
        </w:rPr>
        <w:t xml:space="preserve"> taking into consideration geographical diversity (rural-urban divide) and representation.</w:t>
      </w:r>
    </w:p>
    <w:p w14:paraId="00000147" w14:textId="77777777" w:rsidR="00655AEF" w:rsidRDefault="00000000">
      <w:pPr>
        <w:keepNext/>
        <w:pBdr>
          <w:top w:val="nil"/>
          <w:left w:val="nil"/>
          <w:bottom w:val="nil"/>
          <w:right w:val="nil"/>
          <w:between w:val="nil"/>
        </w:pBdr>
        <w:spacing w:after="200"/>
        <w:rPr>
          <w:b/>
          <w:color w:val="4F81BD"/>
          <w:sz w:val="18"/>
          <w:szCs w:val="18"/>
        </w:rPr>
      </w:pPr>
      <w:bookmarkStart w:id="25" w:name="_heading=h.i7lwuc24cfgp" w:colFirst="0" w:colLast="0"/>
      <w:bookmarkEnd w:id="25"/>
      <w:r>
        <w:rPr>
          <w:b/>
          <w:color w:val="4F81BD"/>
          <w:sz w:val="18"/>
          <w:szCs w:val="18"/>
        </w:rPr>
        <w:t>Table 1: Retention rates (12 months) in 2020</w:t>
      </w:r>
    </w:p>
    <w:tbl>
      <w:tblPr>
        <w:tblStyle w:val="a"/>
        <w:tblW w:w="8946" w:type="dxa"/>
        <w:tblInd w:w="578" w:type="dxa"/>
        <w:tblLayout w:type="fixed"/>
        <w:tblLook w:val="0000" w:firstRow="0" w:lastRow="0" w:firstColumn="0" w:lastColumn="0" w:noHBand="0" w:noVBand="0"/>
      </w:tblPr>
      <w:tblGrid>
        <w:gridCol w:w="2417"/>
        <w:gridCol w:w="2045"/>
        <w:gridCol w:w="1350"/>
        <w:gridCol w:w="1170"/>
        <w:gridCol w:w="1964"/>
      </w:tblGrid>
      <w:tr w:rsidR="00655AEF" w14:paraId="17998224" w14:textId="77777777">
        <w:trPr>
          <w:trHeight w:val="342"/>
        </w:trPr>
        <w:tc>
          <w:tcPr>
            <w:tcW w:w="2417" w:type="dxa"/>
            <w:tcBorders>
              <w:bottom w:val="single" w:sz="4" w:space="0" w:color="000000"/>
            </w:tcBorders>
            <w:tcMar>
              <w:top w:w="0" w:type="dxa"/>
              <w:left w:w="0" w:type="dxa"/>
              <w:bottom w:w="0" w:type="dxa"/>
              <w:right w:w="0" w:type="dxa"/>
            </w:tcMar>
          </w:tcPr>
          <w:p w14:paraId="00000148" w14:textId="77777777" w:rsidR="00655AEF" w:rsidRDefault="00000000">
            <w:pPr>
              <w:pBdr>
                <w:top w:val="nil"/>
                <w:left w:val="nil"/>
                <w:bottom w:val="nil"/>
                <w:right w:val="nil"/>
                <w:between w:val="nil"/>
              </w:pBdr>
              <w:spacing w:before="43"/>
              <w:ind w:left="105"/>
              <w:rPr>
                <w:b/>
                <w:color w:val="000000"/>
                <w:sz w:val="24"/>
                <w:szCs w:val="24"/>
              </w:rPr>
            </w:pPr>
            <w:r>
              <w:rPr>
                <w:b/>
                <w:color w:val="000000"/>
                <w:sz w:val="24"/>
                <w:szCs w:val="24"/>
              </w:rPr>
              <w:t>Subcounty</w:t>
            </w:r>
          </w:p>
        </w:tc>
        <w:tc>
          <w:tcPr>
            <w:tcW w:w="2045" w:type="dxa"/>
            <w:tcBorders>
              <w:bottom w:val="single" w:sz="4" w:space="0" w:color="000000"/>
            </w:tcBorders>
            <w:tcMar>
              <w:top w:w="0" w:type="dxa"/>
              <w:left w:w="0" w:type="dxa"/>
              <w:bottom w:w="0" w:type="dxa"/>
              <w:right w:w="0" w:type="dxa"/>
            </w:tcMar>
          </w:tcPr>
          <w:p w14:paraId="00000149" w14:textId="77777777" w:rsidR="00655AEF" w:rsidRDefault="00000000">
            <w:pPr>
              <w:pBdr>
                <w:top w:val="nil"/>
                <w:left w:val="nil"/>
                <w:bottom w:val="nil"/>
                <w:right w:val="nil"/>
                <w:between w:val="nil"/>
              </w:pBdr>
              <w:spacing w:before="43"/>
              <w:ind w:left="105"/>
              <w:rPr>
                <w:b/>
                <w:color w:val="000000"/>
                <w:sz w:val="24"/>
                <w:szCs w:val="24"/>
              </w:rPr>
            </w:pPr>
            <w:r>
              <w:rPr>
                <w:b/>
                <w:color w:val="000000"/>
                <w:sz w:val="24"/>
                <w:szCs w:val="24"/>
              </w:rPr>
              <w:t>Retention rate</w:t>
            </w:r>
          </w:p>
        </w:tc>
        <w:tc>
          <w:tcPr>
            <w:tcW w:w="1350" w:type="dxa"/>
            <w:tcBorders>
              <w:bottom w:val="single" w:sz="4" w:space="0" w:color="000000"/>
            </w:tcBorders>
            <w:tcMar>
              <w:top w:w="0" w:type="dxa"/>
              <w:left w:w="0" w:type="dxa"/>
              <w:bottom w:w="0" w:type="dxa"/>
              <w:right w:w="0" w:type="dxa"/>
            </w:tcMar>
          </w:tcPr>
          <w:p w14:paraId="0000014A" w14:textId="77777777" w:rsidR="00655AEF" w:rsidRDefault="00000000">
            <w:pPr>
              <w:pBdr>
                <w:top w:val="nil"/>
                <w:left w:val="nil"/>
                <w:bottom w:val="nil"/>
                <w:right w:val="nil"/>
                <w:between w:val="nil"/>
              </w:pBdr>
              <w:spacing w:before="43"/>
              <w:ind w:left="106"/>
              <w:rPr>
                <w:b/>
                <w:color w:val="000000"/>
                <w:sz w:val="24"/>
                <w:szCs w:val="24"/>
              </w:rPr>
            </w:pPr>
            <w:r>
              <w:rPr>
                <w:b/>
                <w:color w:val="000000"/>
                <w:sz w:val="24"/>
                <w:szCs w:val="24"/>
              </w:rPr>
              <w:t>Recruited</w:t>
            </w:r>
          </w:p>
        </w:tc>
        <w:tc>
          <w:tcPr>
            <w:tcW w:w="1170" w:type="dxa"/>
            <w:tcBorders>
              <w:bottom w:val="single" w:sz="4" w:space="0" w:color="000000"/>
            </w:tcBorders>
            <w:tcMar>
              <w:top w:w="0" w:type="dxa"/>
              <w:left w:w="0" w:type="dxa"/>
              <w:bottom w:w="0" w:type="dxa"/>
              <w:right w:w="0" w:type="dxa"/>
            </w:tcMar>
          </w:tcPr>
          <w:p w14:paraId="0000014B" w14:textId="77777777" w:rsidR="00655AEF" w:rsidRDefault="00000000">
            <w:pPr>
              <w:pBdr>
                <w:top w:val="nil"/>
                <w:left w:val="nil"/>
                <w:bottom w:val="nil"/>
                <w:right w:val="nil"/>
                <w:between w:val="nil"/>
              </w:pBdr>
              <w:spacing w:before="43"/>
              <w:ind w:left="106"/>
              <w:rPr>
                <w:b/>
                <w:color w:val="000000"/>
                <w:sz w:val="24"/>
                <w:szCs w:val="24"/>
              </w:rPr>
            </w:pPr>
            <w:r>
              <w:rPr>
                <w:b/>
                <w:color w:val="000000"/>
                <w:sz w:val="24"/>
                <w:szCs w:val="24"/>
              </w:rPr>
              <w:t>On ART</w:t>
            </w:r>
          </w:p>
        </w:tc>
        <w:tc>
          <w:tcPr>
            <w:tcW w:w="1964" w:type="dxa"/>
            <w:tcBorders>
              <w:bottom w:val="single" w:sz="4" w:space="0" w:color="000000"/>
            </w:tcBorders>
            <w:tcMar>
              <w:top w:w="0" w:type="dxa"/>
              <w:left w:w="0" w:type="dxa"/>
              <w:bottom w:w="0" w:type="dxa"/>
              <w:right w:w="0" w:type="dxa"/>
            </w:tcMar>
          </w:tcPr>
          <w:p w14:paraId="0000014C" w14:textId="77777777" w:rsidR="00655AEF" w:rsidRDefault="00000000">
            <w:pPr>
              <w:pBdr>
                <w:top w:val="nil"/>
                <w:left w:val="nil"/>
                <w:bottom w:val="nil"/>
                <w:right w:val="nil"/>
                <w:between w:val="nil"/>
              </w:pBdr>
              <w:spacing w:before="43"/>
              <w:ind w:left="108"/>
              <w:rPr>
                <w:b/>
                <w:color w:val="000000"/>
                <w:sz w:val="24"/>
                <w:szCs w:val="24"/>
              </w:rPr>
            </w:pPr>
            <w:r>
              <w:rPr>
                <w:b/>
                <w:color w:val="000000"/>
                <w:sz w:val="24"/>
                <w:szCs w:val="24"/>
              </w:rPr>
              <w:t>Treatment Failure</w:t>
            </w:r>
          </w:p>
        </w:tc>
      </w:tr>
      <w:tr w:rsidR="00655AEF" w14:paraId="77226E6D" w14:textId="77777777">
        <w:trPr>
          <w:trHeight w:val="342"/>
        </w:trPr>
        <w:tc>
          <w:tcPr>
            <w:tcW w:w="2417" w:type="dxa"/>
            <w:tcBorders>
              <w:top w:val="single" w:sz="4" w:space="0" w:color="000000"/>
            </w:tcBorders>
            <w:tcMar>
              <w:top w:w="0" w:type="dxa"/>
              <w:left w:w="0" w:type="dxa"/>
              <w:bottom w:w="0" w:type="dxa"/>
              <w:right w:w="0" w:type="dxa"/>
            </w:tcMar>
          </w:tcPr>
          <w:p w14:paraId="0000014D"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Navakholo</w:t>
            </w:r>
          </w:p>
        </w:tc>
        <w:tc>
          <w:tcPr>
            <w:tcW w:w="2045" w:type="dxa"/>
            <w:tcBorders>
              <w:top w:val="single" w:sz="4" w:space="0" w:color="000000"/>
            </w:tcBorders>
            <w:tcMar>
              <w:top w:w="0" w:type="dxa"/>
              <w:left w:w="0" w:type="dxa"/>
              <w:bottom w:w="0" w:type="dxa"/>
              <w:right w:w="0" w:type="dxa"/>
            </w:tcMar>
          </w:tcPr>
          <w:p w14:paraId="0000014E"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64.40%</w:t>
            </w:r>
          </w:p>
        </w:tc>
        <w:tc>
          <w:tcPr>
            <w:tcW w:w="1350" w:type="dxa"/>
            <w:tcBorders>
              <w:top w:val="single" w:sz="4" w:space="0" w:color="000000"/>
            </w:tcBorders>
            <w:tcMar>
              <w:top w:w="0" w:type="dxa"/>
              <w:left w:w="0" w:type="dxa"/>
              <w:bottom w:w="0" w:type="dxa"/>
              <w:right w:w="0" w:type="dxa"/>
            </w:tcMar>
          </w:tcPr>
          <w:p w14:paraId="0000014F"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298</w:t>
            </w:r>
          </w:p>
        </w:tc>
        <w:tc>
          <w:tcPr>
            <w:tcW w:w="1170" w:type="dxa"/>
            <w:tcBorders>
              <w:top w:val="single" w:sz="4" w:space="0" w:color="000000"/>
            </w:tcBorders>
            <w:tcMar>
              <w:top w:w="0" w:type="dxa"/>
              <w:left w:w="0" w:type="dxa"/>
              <w:bottom w:w="0" w:type="dxa"/>
              <w:right w:w="0" w:type="dxa"/>
            </w:tcMar>
          </w:tcPr>
          <w:p w14:paraId="00000150"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192</w:t>
            </w:r>
          </w:p>
        </w:tc>
        <w:tc>
          <w:tcPr>
            <w:tcW w:w="1964" w:type="dxa"/>
            <w:tcBorders>
              <w:top w:val="single" w:sz="4" w:space="0" w:color="000000"/>
            </w:tcBorders>
            <w:tcMar>
              <w:top w:w="0" w:type="dxa"/>
              <w:left w:w="0" w:type="dxa"/>
              <w:bottom w:w="0" w:type="dxa"/>
              <w:right w:w="0" w:type="dxa"/>
            </w:tcMar>
          </w:tcPr>
          <w:p w14:paraId="00000151"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106</w:t>
            </w:r>
          </w:p>
        </w:tc>
      </w:tr>
      <w:tr w:rsidR="00655AEF" w14:paraId="7EF33325" w14:textId="77777777">
        <w:trPr>
          <w:trHeight w:val="345"/>
        </w:trPr>
        <w:tc>
          <w:tcPr>
            <w:tcW w:w="2417" w:type="dxa"/>
            <w:tcMar>
              <w:top w:w="0" w:type="dxa"/>
              <w:left w:w="0" w:type="dxa"/>
              <w:bottom w:w="0" w:type="dxa"/>
              <w:right w:w="0" w:type="dxa"/>
            </w:tcMar>
          </w:tcPr>
          <w:p w14:paraId="00000152"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Butere</w:t>
            </w:r>
          </w:p>
        </w:tc>
        <w:tc>
          <w:tcPr>
            <w:tcW w:w="2045" w:type="dxa"/>
            <w:tcMar>
              <w:top w:w="0" w:type="dxa"/>
              <w:left w:w="0" w:type="dxa"/>
              <w:bottom w:w="0" w:type="dxa"/>
              <w:right w:w="0" w:type="dxa"/>
            </w:tcMar>
          </w:tcPr>
          <w:p w14:paraId="00000153"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69.90%</w:t>
            </w:r>
          </w:p>
        </w:tc>
        <w:tc>
          <w:tcPr>
            <w:tcW w:w="1350" w:type="dxa"/>
            <w:tcMar>
              <w:top w:w="0" w:type="dxa"/>
              <w:left w:w="0" w:type="dxa"/>
              <w:bottom w:w="0" w:type="dxa"/>
              <w:right w:w="0" w:type="dxa"/>
            </w:tcMar>
          </w:tcPr>
          <w:p w14:paraId="00000154"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372</w:t>
            </w:r>
          </w:p>
        </w:tc>
        <w:tc>
          <w:tcPr>
            <w:tcW w:w="1170" w:type="dxa"/>
            <w:tcMar>
              <w:top w:w="0" w:type="dxa"/>
              <w:left w:w="0" w:type="dxa"/>
              <w:bottom w:w="0" w:type="dxa"/>
              <w:right w:w="0" w:type="dxa"/>
            </w:tcMar>
          </w:tcPr>
          <w:p w14:paraId="00000155"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260</w:t>
            </w:r>
          </w:p>
        </w:tc>
        <w:tc>
          <w:tcPr>
            <w:tcW w:w="1964" w:type="dxa"/>
            <w:tcMar>
              <w:top w:w="0" w:type="dxa"/>
              <w:left w:w="0" w:type="dxa"/>
              <w:bottom w:w="0" w:type="dxa"/>
              <w:right w:w="0" w:type="dxa"/>
            </w:tcMar>
          </w:tcPr>
          <w:p w14:paraId="00000156" w14:textId="77777777" w:rsidR="00655AEF" w:rsidRDefault="00000000">
            <w:pPr>
              <w:pBdr>
                <w:top w:val="nil"/>
                <w:left w:val="nil"/>
                <w:bottom w:val="nil"/>
                <w:right w:val="nil"/>
                <w:between w:val="nil"/>
              </w:pBdr>
              <w:spacing w:before="43"/>
              <w:ind w:left="108"/>
              <w:rPr>
                <w:color w:val="000000"/>
                <w:sz w:val="24"/>
                <w:szCs w:val="24"/>
              </w:rPr>
            </w:pPr>
            <w:r>
              <w:rPr>
                <w:color w:val="000000"/>
                <w:sz w:val="24"/>
                <w:szCs w:val="24"/>
              </w:rPr>
              <w:t>112</w:t>
            </w:r>
          </w:p>
        </w:tc>
      </w:tr>
      <w:tr w:rsidR="00655AEF" w14:paraId="52FE13B1" w14:textId="77777777">
        <w:trPr>
          <w:trHeight w:val="342"/>
        </w:trPr>
        <w:tc>
          <w:tcPr>
            <w:tcW w:w="2417" w:type="dxa"/>
            <w:tcMar>
              <w:top w:w="0" w:type="dxa"/>
              <w:left w:w="0" w:type="dxa"/>
              <w:bottom w:w="0" w:type="dxa"/>
              <w:right w:w="0" w:type="dxa"/>
            </w:tcMar>
          </w:tcPr>
          <w:p w14:paraId="00000157"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Ikolomani</w:t>
            </w:r>
          </w:p>
        </w:tc>
        <w:tc>
          <w:tcPr>
            <w:tcW w:w="2045" w:type="dxa"/>
            <w:tcMar>
              <w:top w:w="0" w:type="dxa"/>
              <w:left w:w="0" w:type="dxa"/>
              <w:bottom w:w="0" w:type="dxa"/>
              <w:right w:w="0" w:type="dxa"/>
            </w:tcMar>
          </w:tcPr>
          <w:p w14:paraId="00000158"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70.90%</w:t>
            </w:r>
          </w:p>
        </w:tc>
        <w:tc>
          <w:tcPr>
            <w:tcW w:w="1350" w:type="dxa"/>
            <w:tcMar>
              <w:top w:w="0" w:type="dxa"/>
              <w:left w:w="0" w:type="dxa"/>
              <w:bottom w:w="0" w:type="dxa"/>
              <w:right w:w="0" w:type="dxa"/>
            </w:tcMar>
          </w:tcPr>
          <w:p w14:paraId="00000159"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340</w:t>
            </w:r>
          </w:p>
        </w:tc>
        <w:tc>
          <w:tcPr>
            <w:tcW w:w="1170" w:type="dxa"/>
            <w:tcMar>
              <w:top w:w="0" w:type="dxa"/>
              <w:left w:w="0" w:type="dxa"/>
              <w:bottom w:w="0" w:type="dxa"/>
              <w:right w:w="0" w:type="dxa"/>
            </w:tcMar>
          </w:tcPr>
          <w:p w14:paraId="0000015A"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241</w:t>
            </w:r>
          </w:p>
        </w:tc>
        <w:tc>
          <w:tcPr>
            <w:tcW w:w="1964" w:type="dxa"/>
            <w:tcMar>
              <w:top w:w="0" w:type="dxa"/>
              <w:left w:w="0" w:type="dxa"/>
              <w:bottom w:w="0" w:type="dxa"/>
              <w:right w:w="0" w:type="dxa"/>
            </w:tcMar>
          </w:tcPr>
          <w:p w14:paraId="0000015B"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99</w:t>
            </w:r>
          </w:p>
        </w:tc>
      </w:tr>
      <w:tr w:rsidR="00655AEF" w14:paraId="784653E0" w14:textId="77777777">
        <w:trPr>
          <w:trHeight w:val="342"/>
        </w:trPr>
        <w:tc>
          <w:tcPr>
            <w:tcW w:w="2417" w:type="dxa"/>
            <w:tcMar>
              <w:top w:w="0" w:type="dxa"/>
              <w:left w:w="0" w:type="dxa"/>
              <w:bottom w:w="0" w:type="dxa"/>
              <w:right w:w="0" w:type="dxa"/>
            </w:tcMar>
          </w:tcPr>
          <w:p w14:paraId="0000015C"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Mumias West</w:t>
            </w:r>
          </w:p>
        </w:tc>
        <w:tc>
          <w:tcPr>
            <w:tcW w:w="2045" w:type="dxa"/>
            <w:tcMar>
              <w:top w:w="0" w:type="dxa"/>
              <w:left w:w="0" w:type="dxa"/>
              <w:bottom w:w="0" w:type="dxa"/>
              <w:right w:w="0" w:type="dxa"/>
            </w:tcMar>
          </w:tcPr>
          <w:p w14:paraId="0000015D"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71.60%</w:t>
            </w:r>
          </w:p>
        </w:tc>
        <w:tc>
          <w:tcPr>
            <w:tcW w:w="1350" w:type="dxa"/>
            <w:tcMar>
              <w:top w:w="0" w:type="dxa"/>
              <w:left w:w="0" w:type="dxa"/>
              <w:bottom w:w="0" w:type="dxa"/>
              <w:right w:w="0" w:type="dxa"/>
            </w:tcMar>
          </w:tcPr>
          <w:p w14:paraId="0000015E"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469</w:t>
            </w:r>
          </w:p>
        </w:tc>
        <w:tc>
          <w:tcPr>
            <w:tcW w:w="1170" w:type="dxa"/>
            <w:tcMar>
              <w:top w:w="0" w:type="dxa"/>
              <w:left w:w="0" w:type="dxa"/>
              <w:bottom w:w="0" w:type="dxa"/>
              <w:right w:w="0" w:type="dxa"/>
            </w:tcMar>
          </w:tcPr>
          <w:p w14:paraId="0000015F"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336</w:t>
            </w:r>
          </w:p>
        </w:tc>
        <w:tc>
          <w:tcPr>
            <w:tcW w:w="1964" w:type="dxa"/>
            <w:tcMar>
              <w:top w:w="0" w:type="dxa"/>
              <w:left w:w="0" w:type="dxa"/>
              <w:bottom w:w="0" w:type="dxa"/>
              <w:right w:w="0" w:type="dxa"/>
            </w:tcMar>
          </w:tcPr>
          <w:p w14:paraId="00000160"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133</w:t>
            </w:r>
          </w:p>
        </w:tc>
      </w:tr>
      <w:tr w:rsidR="00655AEF" w14:paraId="3D0CABC4" w14:textId="77777777">
        <w:trPr>
          <w:trHeight w:val="345"/>
        </w:trPr>
        <w:tc>
          <w:tcPr>
            <w:tcW w:w="2417" w:type="dxa"/>
            <w:tcMar>
              <w:top w:w="0" w:type="dxa"/>
              <w:left w:w="0" w:type="dxa"/>
              <w:bottom w:w="0" w:type="dxa"/>
              <w:right w:w="0" w:type="dxa"/>
            </w:tcMar>
          </w:tcPr>
          <w:p w14:paraId="00000161"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Matungu</w:t>
            </w:r>
          </w:p>
        </w:tc>
        <w:tc>
          <w:tcPr>
            <w:tcW w:w="2045" w:type="dxa"/>
            <w:tcMar>
              <w:top w:w="0" w:type="dxa"/>
              <w:left w:w="0" w:type="dxa"/>
              <w:bottom w:w="0" w:type="dxa"/>
              <w:right w:w="0" w:type="dxa"/>
            </w:tcMar>
          </w:tcPr>
          <w:p w14:paraId="00000162"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74.20%</w:t>
            </w:r>
          </w:p>
        </w:tc>
        <w:tc>
          <w:tcPr>
            <w:tcW w:w="1350" w:type="dxa"/>
            <w:tcMar>
              <w:top w:w="0" w:type="dxa"/>
              <w:left w:w="0" w:type="dxa"/>
              <w:bottom w:w="0" w:type="dxa"/>
              <w:right w:w="0" w:type="dxa"/>
            </w:tcMar>
          </w:tcPr>
          <w:p w14:paraId="00000163"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326</w:t>
            </w:r>
          </w:p>
        </w:tc>
        <w:tc>
          <w:tcPr>
            <w:tcW w:w="1170" w:type="dxa"/>
            <w:tcMar>
              <w:top w:w="0" w:type="dxa"/>
              <w:left w:w="0" w:type="dxa"/>
              <w:bottom w:w="0" w:type="dxa"/>
              <w:right w:w="0" w:type="dxa"/>
            </w:tcMar>
          </w:tcPr>
          <w:p w14:paraId="00000164"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242</w:t>
            </w:r>
          </w:p>
        </w:tc>
        <w:tc>
          <w:tcPr>
            <w:tcW w:w="1964" w:type="dxa"/>
            <w:tcMar>
              <w:top w:w="0" w:type="dxa"/>
              <w:left w:w="0" w:type="dxa"/>
              <w:bottom w:w="0" w:type="dxa"/>
              <w:right w:w="0" w:type="dxa"/>
            </w:tcMar>
          </w:tcPr>
          <w:p w14:paraId="00000165"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84</w:t>
            </w:r>
          </w:p>
        </w:tc>
      </w:tr>
      <w:tr w:rsidR="00655AEF" w14:paraId="2A264D8E" w14:textId="77777777">
        <w:trPr>
          <w:trHeight w:val="340"/>
        </w:trPr>
        <w:tc>
          <w:tcPr>
            <w:tcW w:w="2417" w:type="dxa"/>
            <w:tcMar>
              <w:top w:w="0" w:type="dxa"/>
              <w:left w:w="0" w:type="dxa"/>
              <w:bottom w:w="0" w:type="dxa"/>
              <w:right w:w="0" w:type="dxa"/>
            </w:tcMar>
          </w:tcPr>
          <w:p w14:paraId="00000166"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Mumias East</w:t>
            </w:r>
          </w:p>
        </w:tc>
        <w:tc>
          <w:tcPr>
            <w:tcW w:w="2045" w:type="dxa"/>
            <w:tcMar>
              <w:top w:w="0" w:type="dxa"/>
              <w:left w:w="0" w:type="dxa"/>
              <w:bottom w:w="0" w:type="dxa"/>
              <w:right w:w="0" w:type="dxa"/>
            </w:tcMar>
          </w:tcPr>
          <w:p w14:paraId="00000167"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75.80%</w:t>
            </w:r>
          </w:p>
        </w:tc>
        <w:tc>
          <w:tcPr>
            <w:tcW w:w="1350" w:type="dxa"/>
            <w:tcMar>
              <w:top w:w="0" w:type="dxa"/>
              <w:left w:w="0" w:type="dxa"/>
              <w:bottom w:w="0" w:type="dxa"/>
              <w:right w:w="0" w:type="dxa"/>
            </w:tcMar>
          </w:tcPr>
          <w:p w14:paraId="00000168"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331</w:t>
            </w:r>
          </w:p>
        </w:tc>
        <w:tc>
          <w:tcPr>
            <w:tcW w:w="1170" w:type="dxa"/>
            <w:tcMar>
              <w:top w:w="0" w:type="dxa"/>
              <w:left w:w="0" w:type="dxa"/>
              <w:bottom w:w="0" w:type="dxa"/>
              <w:right w:w="0" w:type="dxa"/>
            </w:tcMar>
          </w:tcPr>
          <w:p w14:paraId="00000169"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251</w:t>
            </w:r>
          </w:p>
        </w:tc>
        <w:tc>
          <w:tcPr>
            <w:tcW w:w="1964" w:type="dxa"/>
            <w:tcMar>
              <w:top w:w="0" w:type="dxa"/>
              <w:left w:w="0" w:type="dxa"/>
              <w:bottom w:w="0" w:type="dxa"/>
              <w:right w:w="0" w:type="dxa"/>
            </w:tcMar>
          </w:tcPr>
          <w:p w14:paraId="0000016A"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80</w:t>
            </w:r>
          </w:p>
        </w:tc>
      </w:tr>
      <w:tr w:rsidR="00655AEF" w14:paraId="1A7A01C7" w14:textId="77777777">
        <w:trPr>
          <w:trHeight w:val="345"/>
        </w:trPr>
        <w:tc>
          <w:tcPr>
            <w:tcW w:w="2417" w:type="dxa"/>
            <w:tcMar>
              <w:top w:w="0" w:type="dxa"/>
              <w:left w:w="0" w:type="dxa"/>
              <w:bottom w:w="0" w:type="dxa"/>
              <w:right w:w="0" w:type="dxa"/>
            </w:tcMar>
          </w:tcPr>
          <w:p w14:paraId="0000016B" w14:textId="77777777" w:rsidR="00655AEF" w:rsidRDefault="00000000">
            <w:pPr>
              <w:pBdr>
                <w:top w:val="nil"/>
                <w:left w:val="nil"/>
                <w:bottom w:val="nil"/>
                <w:right w:val="nil"/>
                <w:between w:val="nil"/>
              </w:pBdr>
              <w:spacing w:before="44"/>
              <w:ind w:left="105"/>
              <w:rPr>
                <w:color w:val="000000"/>
                <w:sz w:val="24"/>
                <w:szCs w:val="24"/>
              </w:rPr>
            </w:pPr>
            <w:r>
              <w:rPr>
                <w:color w:val="000000"/>
                <w:sz w:val="24"/>
                <w:szCs w:val="24"/>
              </w:rPr>
              <w:lastRenderedPageBreak/>
              <w:t>Likuyani</w:t>
            </w:r>
          </w:p>
        </w:tc>
        <w:tc>
          <w:tcPr>
            <w:tcW w:w="2045" w:type="dxa"/>
            <w:tcMar>
              <w:top w:w="0" w:type="dxa"/>
              <w:left w:w="0" w:type="dxa"/>
              <w:bottom w:w="0" w:type="dxa"/>
              <w:right w:w="0" w:type="dxa"/>
            </w:tcMar>
          </w:tcPr>
          <w:p w14:paraId="0000016C" w14:textId="77777777" w:rsidR="00655AEF" w:rsidRDefault="00000000">
            <w:pPr>
              <w:pBdr>
                <w:top w:val="nil"/>
                <w:left w:val="nil"/>
                <w:bottom w:val="nil"/>
                <w:right w:val="nil"/>
                <w:between w:val="nil"/>
              </w:pBdr>
              <w:spacing w:before="44"/>
              <w:ind w:left="105"/>
              <w:rPr>
                <w:color w:val="000000"/>
                <w:sz w:val="24"/>
                <w:szCs w:val="24"/>
              </w:rPr>
            </w:pPr>
            <w:r>
              <w:rPr>
                <w:color w:val="000000"/>
                <w:sz w:val="24"/>
                <w:szCs w:val="24"/>
              </w:rPr>
              <w:t>78.70%</w:t>
            </w:r>
          </w:p>
        </w:tc>
        <w:tc>
          <w:tcPr>
            <w:tcW w:w="1350" w:type="dxa"/>
            <w:tcMar>
              <w:top w:w="0" w:type="dxa"/>
              <w:left w:w="0" w:type="dxa"/>
              <w:bottom w:w="0" w:type="dxa"/>
              <w:right w:w="0" w:type="dxa"/>
            </w:tcMar>
          </w:tcPr>
          <w:p w14:paraId="0000016D" w14:textId="77777777" w:rsidR="00655AEF" w:rsidRDefault="00000000">
            <w:pPr>
              <w:pBdr>
                <w:top w:val="nil"/>
                <w:left w:val="nil"/>
                <w:bottom w:val="nil"/>
                <w:right w:val="nil"/>
                <w:between w:val="nil"/>
              </w:pBdr>
              <w:spacing w:before="44"/>
              <w:ind w:left="106"/>
              <w:rPr>
                <w:color w:val="000000"/>
                <w:sz w:val="24"/>
                <w:szCs w:val="24"/>
              </w:rPr>
            </w:pPr>
            <w:r>
              <w:rPr>
                <w:color w:val="000000"/>
                <w:sz w:val="24"/>
                <w:szCs w:val="24"/>
              </w:rPr>
              <w:t>357</w:t>
            </w:r>
          </w:p>
        </w:tc>
        <w:tc>
          <w:tcPr>
            <w:tcW w:w="1170" w:type="dxa"/>
            <w:tcMar>
              <w:top w:w="0" w:type="dxa"/>
              <w:left w:w="0" w:type="dxa"/>
              <w:bottom w:w="0" w:type="dxa"/>
              <w:right w:w="0" w:type="dxa"/>
            </w:tcMar>
          </w:tcPr>
          <w:p w14:paraId="0000016E" w14:textId="77777777" w:rsidR="00655AEF" w:rsidRDefault="00000000">
            <w:pPr>
              <w:pBdr>
                <w:top w:val="nil"/>
                <w:left w:val="nil"/>
                <w:bottom w:val="nil"/>
                <w:right w:val="nil"/>
                <w:between w:val="nil"/>
              </w:pBdr>
              <w:spacing w:before="44"/>
              <w:ind w:left="106"/>
              <w:rPr>
                <w:color w:val="000000"/>
                <w:sz w:val="24"/>
                <w:szCs w:val="24"/>
              </w:rPr>
            </w:pPr>
            <w:r>
              <w:rPr>
                <w:color w:val="000000"/>
                <w:sz w:val="24"/>
                <w:szCs w:val="24"/>
              </w:rPr>
              <w:t>281</w:t>
            </w:r>
          </w:p>
        </w:tc>
        <w:tc>
          <w:tcPr>
            <w:tcW w:w="1964" w:type="dxa"/>
            <w:tcMar>
              <w:top w:w="0" w:type="dxa"/>
              <w:left w:w="0" w:type="dxa"/>
              <w:bottom w:w="0" w:type="dxa"/>
              <w:right w:w="0" w:type="dxa"/>
            </w:tcMar>
          </w:tcPr>
          <w:p w14:paraId="0000016F" w14:textId="77777777" w:rsidR="00655AEF" w:rsidRDefault="00000000">
            <w:pPr>
              <w:pBdr>
                <w:top w:val="nil"/>
                <w:left w:val="nil"/>
                <w:bottom w:val="nil"/>
                <w:right w:val="nil"/>
                <w:between w:val="nil"/>
              </w:pBdr>
              <w:spacing w:before="44"/>
              <w:ind w:left="108"/>
              <w:rPr>
                <w:color w:val="000000"/>
                <w:sz w:val="24"/>
                <w:szCs w:val="24"/>
              </w:rPr>
            </w:pPr>
            <w:r>
              <w:rPr>
                <w:color w:val="000000"/>
                <w:sz w:val="24"/>
                <w:szCs w:val="24"/>
              </w:rPr>
              <w:t>76</w:t>
            </w:r>
          </w:p>
        </w:tc>
      </w:tr>
      <w:tr w:rsidR="00655AEF" w14:paraId="55A2E3D1" w14:textId="77777777">
        <w:trPr>
          <w:trHeight w:val="342"/>
        </w:trPr>
        <w:tc>
          <w:tcPr>
            <w:tcW w:w="2417" w:type="dxa"/>
            <w:tcMar>
              <w:top w:w="0" w:type="dxa"/>
              <w:left w:w="0" w:type="dxa"/>
              <w:bottom w:w="0" w:type="dxa"/>
              <w:right w:w="0" w:type="dxa"/>
            </w:tcMar>
          </w:tcPr>
          <w:p w14:paraId="00000170"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Shinyalu</w:t>
            </w:r>
          </w:p>
        </w:tc>
        <w:tc>
          <w:tcPr>
            <w:tcW w:w="2045" w:type="dxa"/>
            <w:tcMar>
              <w:top w:w="0" w:type="dxa"/>
              <w:left w:w="0" w:type="dxa"/>
              <w:bottom w:w="0" w:type="dxa"/>
              <w:right w:w="0" w:type="dxa"/>
            </w:tcMar>
          </w:tcPr>
          <w:p w14:paraId="00000171"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79.40%</w:t>
            </w:r>
          </w:p>
        </w:tc>
        <w:tc>
          <w:tcPr>
            <w:tcW w:w="1350" w:type="dxa"/>
            <w:tcMar>
              <w:top w:w="0" w:type="dxa"/>
              <w:left w:w="0" w:type="dxa"/>
              <w:bottom w:w="0" w:type="dxa"/>
              <w:right w:w="0" w:type="dxa"/>
            </w:tcMar>
          </w:tcPr>
          <w:p w14:paraId="00000172"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710</w:t>
            </w:r>
          </w:p>
        </w:tc>
        <w:tc>
          <w:tcPr>
            <w:tcW w:w="1170" w:type="dxa"/>
            <w:tcMar>
              <w:top w:w="0" w:type="dxa"/>
              <w:left w:w="0" w:type="dxa"/>
              <w:bottom w:w="0" w:type="dxa"/>
              <w:right w:w="0" w:type="dxa"/>
            </w:tcMar>
          </w:tcPr>
          <w:p w14:paraId="00000173"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564</w:t>
            </w:r>
          </w:p>
        </w:tc>
        <w:tc>
          <w:tcPr>
            <w:tcW w:w="1964" w:type="dxa"/>
            <w:tcMar>
              <w:top w:w="0" w:type="dxa"/>
              <w:left w:w="0" w:type="dxa"/>
              <w:bottom w:w="0" w:type="dxa"/>
              <w:right w:w="0" w:type="dxa"/>
            </w:tcMar>
          </w:tcPr>
          <w:p w14:paraId="00000174"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146</w:t>
            </w:r>
          </w:p>
        </w:tc>
      </w:tr>
      <w:tr w:rsidR="00655AEF" w14:paraId="650AAF6D" w14:textId="77777777">
        <w:trPr>
          <w:trHeight w:val="342"/>
        </w:trPr>
        <w:tc>
          <w:tcPr>
            <w:tcW w:w="2417" w:type="dxa"/>
            <w:tcMar>
              <w:top w:w="0" w:type="dxa"/>
              <w:left w:w="0" w:type="dxa"/>
              <w:bottom w:w="0" w:type="dxa"/>
              <w:right w:w="0" w:type="dxa"/>
            </w:tcMar>
          </w:tcPr>
          <w:p w14:paraId="00000175"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Khwisero</w:t>
            </w:r>
          </w:p>
        </w:tc>
        <w:tc>
          <w:tcPr>
            <w:tcW w:w="2045" w:type="dxa"/>
            <w:tcMar>
              <w:top w:w="0" w:type="dxa"/>
              <w:left w:w="0" w:type="dxa"/>
              <w:bottom w:w="0" w:type="dxa"/>
              <w:right w:w="0" w:type="dxa"/>
            </w:tcMar>
          </w:tcPr>
          <w:p w14:paraId="00000176"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81.10%</w:t>
            </w:r>
          </w:p>
        </w:tc>
        <w:tc>
          <w:tcPr>
            <w:tcW w:w="1350" w:type="dxa"/>
            <w:tcMar>
              <w:top w:w="0" w:type="dxa"/>
              <w:left w:w="0" w:type="dxa"/>
              <w:bottom w:w="0" w:type="dxa"/>
              <w:right w:w="0" w:type="dxa"/>
            </w:tcMar>
          </w:tcPr>
          <w:p w14:paraId="00000177"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280</w:t>
            </w:r>
          </w:p>
        </w:tc>
        <w:tc>
          <w:tcPr>
            <w:tcW w:w="1170" w:type="dxa"/>
            <w:tcMar>
              <w:top w:w="0" w:type="dxa"/>
              <w:left w:w="0" w:type="dxa"/>
              <w:bottom w:w="0" w:type="dxa"/>
              <w:right w:w="0" w:type="dxa"/>
            </w:tcMar>
          </w:tcPr>
          <w:p w14:paraId="00000178"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227</w:t>
            </w:r>
          </w:p>
        </w:tc>
        <w:tc>
          <w:tcPr>
            <w:tcW w:w="1964" w:type="dxa"/>
            <w:tcMar>
              <w:top w:w="0" w:type="dxa"/>
              <w:left w:w="0" w:type="dxa"/>
              <w:bottom w:w="0" w:type="dxa"/>
              <w:right w:w="0" w:type="dxa"/>
            </w:tcMar>
          </w:tcPr>
          <w:p w14:paraId="00000179" w14:textId="77777777" w:rsidR="00655AEF" w:rsidRDefault="00000000">
            <w:pPr>
              <w:pBdr>
                <w:top w:val="nil"/>
                <w:left w:val="nil"/>
                <w:bottom w:val="nil"/>
                <w:right w:val="nil"/>
                <w:between w:val="nil"/>
              </w:pBdr>
              <w:spacing w:before="43"/>
              <w:ind w:left="108"/>
              <w:rPr>
                <w:color w:val="000000"/>
                <w:sz w:val="24"/>
                <w:szCs w:val="24"/>
              </w:rPr>
            </w:pPr>
            <w:r>
              <w:rPr>
                <w:color w:val="000000"/>
                <w:sz w:val="24"/>
                <w:szCs w:val="24"/>
              </w:rPr>
              <w:t>53</w:t>
            </w:r>
          </w:p>
        </w:tc>
      </w:tr>
      <w:tr w:rsidR="00655AEF" w14:paraId="65F8D504" w14:textId="77777777">
        <w:trPr>
          <w:trHeight w:val="342"/>
        </w:trPr>
        <w:tc>
          <w:tcPr>
            <w:tcW w:w="2417" w:type="dxa"/>
            <w:tcMar>
              <w:top w:w="0" w:type="dxa"/>
              <w:left w:w="0" w:type="dxa"/>
              <w:bottom w:w="0" w:type="dxa"/>
              <w:right w:w="0" w:type="dxa"/>
            </w:tcMar>
          </w:tcPr>
          <w:p w14:paraId="0000017A"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Lugari</w:t>
            </w:r>
          </w:p>
        </w:tc>
        <w:tc>
          <w:tcPr>
            <w:tcW w:w="2045" w:type="dxa"/>
            <w:tcMar>
              <w:top w:w="0" w:type="dxa"/>
              <w:left w:w="0" w:type="dxa"/>
              <w:bottom w:w="0" w:type="dxa"/>
              <w:right w:w="0" w:type="dxa"/>
            </w:tcMar>
          </w:tcPr>
          <w:p w14:paraId="0000017B"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82.20%</w:t>
            </w:r>
          </w:p>
        </w:tc>
        <w:tc>
          <w:tcPr>
            <w:tcW w:w="1350" w:type="dxa"/>
            <w:tcMar>
              <w:top w:w="0" w:type="dxa"/>
              <w:left w:w="0" w:type="dxa"/>
              <w:bottom w:w="0" w:type="dxa"/>
              <w:right w:w="0" w:type="dxa"/>
            </w:tcMar>
          </w:tcPr>
          <w:p w14:paraId="0000017C"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471</w:t>
            </w:r>
          </w:p>
        </w:tc>
        <w:tc>
          <w:tcPr>
            <w:tcW w:w="1170" w:type="dxa"/>
            <w:tcMar>
              <w:top w:w="0" w:type="dxa"/>
              <w:left w:w="0" w:type="dxa"/>
              <w:bottom w:w="0" w:type="dxa"/>
              <w:right w:w="0" w:type="dxa"/>
            </w:tcMar>
          </w:tcPr>
          <w:p w14:paraId="0000017D"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387</w:t>
            </w:r>
          </w:p>
        </w:tc>
        <w:tc>
          <w:tcPr>
            <w:tcW w:w="1964" w:type="dxa"/>
            <w:tcMar>
              <w:top w:w="0" w:type="dxa"/>
              <w:left w:w="0" w:type="dxa"/>
              <w:bottom w:w="0" w:type="dxa"/>
              <w:right w:w="0" w:type="dxa"/>
            </w:tcMar>
          </w:tcPr>
          <w:p w14:paraId="0000017E"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84</w:t>
            </w:r>
          </w:p>
        </w:tc>
      </w:tr>
      <w:tr w:rsidR="00655AEF" w14:paraId="1610F44A" w14:textId="77777777">
        <w:trPr>
          <w:trHeight w:val="345"/>
        </w:trPr>
        <w:tc>
          <w:tcPr>
            <w:tcW w:w="2417" w:type="dxa"/>
            <w:tcMar>
              <w:top w:w="0" w:type="dxa"/>
              <w:left w:w="0" w:type="dxa"/>
              <w:bottom w:w="0" w:type="dxa"/>
              <w:right w:w="0" w:type="dxa"/>
            </w:tcMar>
          </w:tcPr>
          <w:p w14:paraId="0000017F"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Lurambi</w:t>
            </w:r>
          </w:p>
        </w:tc>
        <w:tc>
          <w:tcPr>
            <w:tcW w:w="2045" w:type="dxa"/>
            <w:tcMar>
              <w:top w:w="0" w:type="dxa"/>
              <w:left w:w="0" w:type="dxa"/>
              <w:bottom w:w="0" w:type="dxa"/>
              <w:right w:w="0" w:type="dxa"/>
            </w:tcMar>
          </w:tcPr>
          <w:p w14:paraId="00000180" w14:textId="77777777" w:rsidR="00655AEF" w:rsidRDefault="00000000">
            <w:pPr>
              <w:pBdr>
                <w:top w:val="nil"/>
                <w:left w:val="nil"/>
                <w:bottom w:val="nil"/>
                <w:right w:val="nil"/>
                <w:between w:val="nil"/>
              </w:pBdr>
              <w:spacing w:before="43"/>
              <w:ind w:left="105"/>
              <w:rPr>
                <w:color w:val="000000"/>
                <w:sz w:val="24"/>
                <w:szCs w:val="24"/>
              </w:rPr>
            </w:pPr>
            <w:r>
              <w:rPr>
                <w:color w:val="000000"/>
                <w:sz w:val="24"/>
                <w:szCs w:val="24"/>
              </w:rPr>
              <w:t>85.20%</w:t>
            </w:r>
          </w:p>
        </w:tc>
        <w:tc>
          <w:tcPr>
            <w:tcW w:w="1350" w:type="dxa"/>
            <w:tcMar>
              <w:top w:w="0" w:type="dxa"/>
              <w:left w:w="0" w:type="dxa"/>
              <w:bottom w:w="0" w:type="dxa"/>
              <w:right w:w="0" w:type="dxa"/>
            </w:tcMar>
          </w:tcPr>
          <w:p w14:paraId="00000181"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681</w:t>
            </w:r>
          </w:p>
        </w:tc>
        <w:tc>
          <w:tcPr>
            <w:tcW w:w="1170" w:type="dxa"/>
            <w:tcMar>
              <w:top w:w="0" w:type="dxa"/>
              <w:left w:w="0" w:type="dxa"/>
              <w:bottom w:w="0" w:type="dxa"/>
              <w:right w:w="0" w:type="dxa"/>
            </w:tcMar>
          </w:tcPr>
          <w:p w14:paraId="00000182" w14:textId="77777777" w:rsidR="00655AEF" w:rsidRDefault="00000000">
            <w:pPr>
              <w:pBdr>
                <w:top w:val="nil"/>
                <w:left w:val="nil"/>
                <w:bottom w:val="nil"/>
                <w:right w:val="nil"/>
                <w:between w:val="nil"/>
              </w:pBdr>
              <w:spacing w:before="43"/>
              <w:ind w:left="106"/>
              <w:rPr>
                <w:color w:val="000000"/>
                <w:sz w:val="24"/>
                <w:szCs w:val="24"/>
              </w:rPr>
            </w:pPr>
            <w:r>
              <w:rPr>
                <w:color w:val="000000"/>
                <w:sz w:val="24"/>
                <w:szCs w:val="24"/>
              </w:rPr>
              <w:t>580</w:t>
            </w:r>
          </w:p>
        </w:tc>
        <w:tc>
          <w:tcPr>
            <w:tcW w:w="1964" w:type="dxa"/>
            <w:tcMar>
              <w:top w:w="0" w:type="dxa"/>
              <w:left w:w="0" w:type="dxa"/>
              <w:bottom w:w="0" w:type="dxa"/>
              <w:right w:w="0" w:type="dxa"/>
            </w:tcMar>
          </w:tcPr>
          <w:p w14:paraId="00000183" w14:textId="77777777" w:rsidR="00655AEF" w:rsidRDefault="00000000">
            <w:pPr>
              <w:pBdr>
                <w:top w:val="nil"/>
                <w:left w:val="nil"/>
                <w:bottom w:val="nil"/>
                <w:right w:val="nil"/>
                <w:between w:val="nil"/>
              </w:pBdr>
              <w:spacing w:before="43"/>
              <w:ind w:left="108"/>
              <w:rPr>
                <w:color w:val="000000"/>
                <w:sz w:val="24"/>
                <w:szCs w:val="24"/>
              </w:rPr>
            </w:pPr>
            <w:r>
              <w:rPr>
                <w:color w:val="000000"/>
                <w:sz w:val="24"/>
                <w:szCs w:val="24"/>
              </w:rPr>
              <w:t>101</w:t>
            </w:r>
          </w:p>
        </w:tc>
      </w:tr>
      <w:tr w:rsidR="00655AEF" w14:paraId="23787BB3" w14:textId="77777777">
        <w:trPr>
          <w:trHeight w:val="342"/>
        </w:trPr>
        <w:tc>
          <w:tcPr>
            <w:tcW w:w="2417" w:type="dxa"/>
            <w:tcBorders>
              <w:bottom w:val="single" w:sz="4" w:space="0" w:color="000000"/>
            </w:tcBorders>
            <w:tcMar>
              <w:top w:w="0" w:type="dxa"/>
              <w:left w:w="0" w:type="dxa"/>
              <w:bottom w:w="0" w:type="dxa"/>
              <w:right w:w="0" w:type="dxa"/>
            </w:tcMar>
          </w:tcPr>
          <w:p w14:paraId="00000184"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Malava</w:t>
            </w:r>
          </w:p>
        </w:tc>
        <w:tc>
          <w:tcPr>
            <w:tcW w:w="2045" w:type="dxa"/>
            <w:tcBorders>
              <w:bottom w:val="single" w:sz="4" w:space="0" w:color="000000"/>
            </w:tcBorders>
            <w:tcMar>
              <w:top w:w="0" w:type="dxa"/>
              <w:left w:w="0" w:type="dxa"/>
              <w:bottom w:w="0" w:type="dxa"/>
              <w:right w:w="0" w:type="dxa"/>
            </w:tcMar>
          </w:tcPr>
          <w:p w14:paraId="00000185" w14:textId="77777777" w:rsidR="00655AEF" w:rsidRDefault="00000000">
            <w:pPr>
              <w:pBdr>
                <w:top w:val="nil"/>
                <w:left w:val="nil"/>
                <w:bottom w:val="nil"/>
                <w:right w:val="nil"/>
                <w:between w:val="nil"/>
              </w:pBdr>
              <w:spacing w:before="41"/>
              <w:ind w:left="105"/>
              <w:rPr>
                <w:color w:val="000000"/>
                <w:sz w:val="24"/>
                <w:szCs w:val="24"/>
              </w:rPr>
            </w:pPr>
            <w:r>
              <w:rPr>
                <w:color w:val="000000"/>
                <w:sz w:val="24"/>
                <w:szCs w:val="24"/>
              </w:rPr>
              <w:t>87.00%</w:t>
            </w:r>
          </w:p>
        </w:tc>
        <w:tc>
          <w:tcPr>
            <w:tcW w:w="1350" w:type="dxa"/>
            <w:tcBorders>
              <w:bottom w:val="single" w:sz="4" w:space="0" w:color="000000"/>
            </w:tcBorders>
            <w:tcMar>
              <w:top w:w="0" w:type="dxa"/>
              <w:left w:w="0" w:type="dxa"/>
              <w:bottom w:w="0" w:type="dxa"/>
              <w:right w:w="0" w:type="dxa"/>
            </w:tcMar>
          </w:tcPr>
          <w:p w14:paraId="00000186"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461</w:t>
            </w:r>
          </w:p>
        </w:tc>
        <w:tc>
          <w:tcPr>
            <w:tcW w:w="1170" w:type="dxa"/>
            <w:tcBorders>
              <w:bottom w:val="single" w:sz="4" w:space="0" w:color="000000"/>
            </w:tcBorders>
            <w:tcMar>
              <w:top w:w="0" w:type="dxa"/>
              <w:left w:w="0" w:type="dxa"/>
              <w:bottom w:w="0" w:type="dxa"/>
              <w:right w:w="0" w:type="dxa"/>
            </w:tcMar>
          </w:tcPr>
          <w:p w14:paraId="00000187" w14:textId="77777777" w:rsidR="00655AEF" w:rsidRDefault="00000000">
            <w:pPr>
              <w:pBdr>
                <w:top w:val="nil"/>
                <w:left w:val="nil"/>
                <w:bottom w:val="nil"/>
                <w:right w:val="nil"/>
                <w:between w:val="nil"/>
              </w:pBdr>
              <w:spacing w:before="41"/>
              <w:ind w:left="106"/>
              <w:rPr>
                <w:color w:val="000000"/>
                <w:sz w:val="24"/>
                <w:szCs w:val="24"/>
              </w:rPr>
            </w:pPr>
            <w:r>
              <w:rPr>
                <w:color w:val="000000"/>
                <w:sz w:val="24"/>
                <w:szCs w:val="24"/>
              </w:rPr>
              <w:t>401</w:t>
            </w:r>
          </w:p>
        </w:tc>
        <w:tc>
          <w:tcPr>
            <w:tcW w:w="1964" w:type="dxa"/>
            <w:tcBorders>
              <w:bottom w:val="single" w:sz="4" w:space="0" w:color="000000"/>
            </w:tcBorders>
            <w:tcMar>
              <w:top w:w="0" w:type="dxa"/>
              <w:left w:w="0" w:type="dxa"/>
              <w:bottom w:w="0" w:type="dxa"/>
              <w:right w:w="0" w:type="dxa"/>
            </w:tcMar>
          </w:tcPr>
          <w:p w14:paraId="00000188" w14:textId="77777777" w:rsidR="00655AEF" w:rsidRDefault="00000000">
            <w:pPr>
              <w:pBdr>
                <w:top w:val="nil"/>
                <w:left w:val="nil"/>
                <w:bottom w:val="nil"/>
                <w:right w:val="nil"/>
                <w:between w:val="nil"/>
              </w:pBdr>
              <w:spacing w:before="41"/>
              <w:ind w:left="108"/>
              <w:rPr>
                <w:color w:val="000000"/>
                <w:sz w:val="24"/>
                <w:szCs w:val="24"/>
              </w:rPr>
            </w:pPr>
            <w:r>
              <w:rPr>
                <w:color w:val="000000"/>
                <w:sz w:val="24"/>
                <w:szCs w:val="24"/>
              </w:rPr>
              <w:t>60</w:t>
            </w:r>
          </w:p>
        </w:tc>
      </w:tr>
      <w:tr w:rsidR="00655AEF" w14:paraId="602E3A12" w14:textId="77777777">
        <w:trPr>
          <w:trHeight w:val="342"/>
        </w:trPr>
        <w:tc>
          <w:tcPr>
            <w:tcW w:w="2417" w:type="dxa"/>
            <w:tcBorders>
              <w:top w:val="single" w:sz="4" w:space="0" w:color="000000"/>
              <w:bottom w:val="single" w:sz="4" w:space="0" w:color="000000"/>
            </w:tcBorders>
            <w:tcMar>
              <w:top w:w="0" w:type="dxa"/>
              <w:left w:w="0" w:type="dxa"/>
              <w:bottom w:w="0" w:type="dxa"/>
              <w:right w:w="0" w:type="dxa"/>
            </w:tcMar>
          </w:tcPr>
          <w:p w14:paraId="00000189" w14:textId="77777777" w:rsidR="00655AEF" w:rsidRDefault="00000000">
            <w:pPr>
              <w:pBdr>
                <w:top w:val="nil"/>
                <w:left w:val="nil"/>
                <w:bottom w:val="nil"/>
                <w:right w:val="nil"/>
                <w:between w:val="nil"/>
              </w:pBdr>
              <w:spacing w:before="40"/>
              <w:ind w:left="105"/>
              <w:rPr>
                <w:b/>
                <w:color w:val="000000"/>
              </w:rPr>
            </w:pPr>
            <w:r>
              <w:rPr>
                <w:b/>
                <w:color w:val="000000"/>
              </w:rPr>
              <w:t>Kakamega County</w:t>
            </w:r>
          </w:p>
        </w:tc>
        <w:tc>
          <w:tcPr>
            <w:tcW w:w="2045" w:type="dxa"/>
            <w:tcBorders>
              <w:top w:val="single" w:sz="4" w:space="0" w:color="000000"/>
              <w:bottom w:val="single" w:sz="4" w:space="0" w:color="000000"/>
            </w:tcBorders>
            <w:tcMar>
              <w:top w:w="0" w:type="dxa"/>
              <w:left w:w="0" w:type="dxa"/>
              <w:bottom w:w="0" w:type="dxa"/>
              <w:right w:w="0" w:type="dxa"/>
            </w:tcMar>
          </w:tcPr>
          <w:p w14:paraId="0000018A" w14:textId="77777777" w:rsidR="00655AEF" w:rsidRDefault="00000000">
            <w:pPr>
              <w:pBdr>
                <w:top w:val="nil"/>
                <w:left w:val="nil"/>
                <w:bottom w:val="nil"/>
                <w:right w:val="nil"/>
                <w:between w:val="nil"/>
              </w:pBdr>
              <w:spacing w:before="41"/>
              <w:ind w:left="105"/>
              <w:rPr>
                <w:b/>
                <w:color w:val="000000"/>
                <w:sz w:val="24"/>
                <w:szCs w:val="24"/>
              </w:rPr>
            </w:pPr>
            <w:r>
              <w:rPr>
                <w:b/>
                <w:color w:val="000000"/>
                <w:sz w:val="24"/>
                <w:szCs w:val="24"/>
              </w:rPr>
              <w:t>77.70%</w:t>
            </w:r>
          </w:p>
        </w:tc>
        <w:tc>
          <w:tcPr>
            <w:tcW w:w="1350" w:type="dxa"/>
            <w:tcBorders>
              <w:top w:val="single" w:sz="4" w:space="0" w:color="000000"/>
              <w:bottom w:val="single" w:sz="4" w:space="0" w:color="000000"/>
            </w:tcBorders>
            <w:tcMar>
              <w:top w:w="0" w:type="dxa"/>
              <w:left w:w="0" w:type="dxa"/>
              <w:bottom w:w="0" w:type="dxa"/>
              <w:right w:w="0" w:type="dxa"/>
            </w:tcMar>
          </w:tcPr>
          <w:p w14:paraId="0000018B" w14:textId="77777777" w:rsidR="00655AEF" w:rsidRDefault="00000000">
            <w:pPr>
              <w:pBdr>
                <w:top w:val="nil"/>
                <w:left w:val="nil"/>
                <w:bottom w:val="nil"/>
                <w:right w:val="nil"/>
                <w:between w:val="nil"/>
              </w:pBdr>
              <w:spacing w:before="40"/>
              <w:ind w:left="106"/>
              <w:rPr>
                <w:b/>
                <w:color w:val="000000"/>
              </w:rPr>
            </w:pPr>
            <w:r>
              <w:rPr>
                <w:b/>
                <w:color w:val="000000"/>
              </w:rPr>
              <w:t>5,096</w:t>
            </w:r>
          </w:p>
        </w:tc>
        <w:tc>
          <w:tcPr>
            <w:tcW w:w="1170" w:type="dxa"/>
            <w:tcBorders>
              <w:top w:val="single" w:sz="4" w:space="0" w:color="000000"/>
              <w:bottom w:val="single" w:sz="4" w:space="0" w:color="000000"/>
            </w:tcBorders>
            <w:tcMar>
              <w:top w:w="0" w:type="dxa"/>
              <w:left w:w="0" w:type="dxa"/>
              <w:bottom w:w="0" w:type="dxa"/>
              <w:right w:w="0" w:type="dxa"/>
            </w:tcMar>
          </w:tcPr>
          <w:p w14:paraId="0000018C" w14:textId="77777777" w:rsidR="00655AEF" w:rsidRDefault="00000000">
            <w:pPr>
              <w:pBdr>
                <w:top w:val="nil"/>
                <w:left w:val="nil"/>
                <w:bottom w:val="nil"/>
                <w:right w:val="nil"/>
                <w:between w:val="nil"/>
              </w:pBdr>
              <w:spacing w:before="40"/>
              <w:ind w:left="106"/>
              <w:rPr>
                <w:b/>
                <w:color w:val="000000"/>
              </w:rPr>
            </w:pPr>
            <w:r>
              <w:rPr>
                <w:b/>
                <w:color w:val="000000"/>
              </w:rPr>
              <w:t>3,962</w:t>
            </w:r>
          </w:p>
        </w:tc>
        <w:tc>
          <w:tcPr>
            <w:tcW w:w="1964" w:type="dxa"/>
            <w:tcBorders>
              <w:top w:val="single" w:sz="4" w:space="0" w:color="000000"/>
              <w:bottom w:val="single" w:sz="4" w:space="0" w:color="000000"/>
            </w:tcBorders>
            <w:tcMar>
              <w:top w:w="0" w:type="dxa"/>
              <w:left w:w="0" w:type="dxa"/>
              <w:bottom w:w="0" w:type="dxa"/>
              <w:right w:w="0" w:type="dxa"/>
            </w:tcMar>
          </w:tcPr>
          <w:p w14:paraId="0000018D" w14:textId="77777777" w:rsidR="00655AEF" w:rsidRDefault="00000000">
            <w:pPr>
              <w:pBdr>
                <w:top w:val="nil"/>
                <w:left w:val="nil"/>
                <w:bottom w:val="nil"/>
                <w:right w:val="nil"/>
                <w:between w:val="nil"/>
              </w:pBdr>
              <w:spacing w:before="40"/>
              <w:ind w:left="108"/>
              <w:rPr>
                <w:b/>
                <w:color w:val="000000"/>
              </w:rPr>
            </w:pPr>
            <w:r>
              <w:rPr>
                <w:b/>
                <w:color w:val="000000"/>
              </w:rPr>
              <w:t>1134</w:t>
            </w:r>
          </w:p>
        </w:tc>
      </w:tr>
    </w:tbl>
    <w:p w14:paraId="0000018E" w14:textId="77777777" w:rsidR="00655AEF" w:rsidRDefault="00655AEF">
      <w:pPr>
        <w:spacing w:after="240" w:line="360" w:lineRule="auto"/>
        <w:jc w:val="both"/>
        <w:rPr>
          <w:sz w:val="24"/>
          <w:szCs w:val="24"/>
        </w:rPr>
      </w:pPr>
    </w:p>
    <w:p w14:paraId="0000018F" w14:textId="77777777" w:rsidR="00655AEF" w:rsidRDefault="00655AEF">
      <w:pPr>
        <w:spacing w:after="240" w:line="360" w:lineRule="auto"/>
        <w:jc w:val="both"/>
        <w:rPr>
          <w:sz w:val="24"/>
          <w:szCs w:val="24"/>
        </w:rPr>
      </w:pPr>
    </w:p>
    <w:p w14:paraId="00000190" w14:textId="77777777" w:rsidR="00655AEF" w:rsidRDefault="00655AEF">
      <w:pPr>
        <w:spacing w:after="240" w:line="360" w:lineRule="auto"/>
        <w:jc w:val="both"/>
        <w:rPr>
          <w:sz w:val="24"/>
          <w:szCs w:val="24"/>
        </w:rPr>
      </w:pPr>
    </w:p>
    <w:p w14:paraId="00000191" w14:textId="77777777" w:rsidR="00655AEF" w:rsidRDefault="00655AEF">
      <w:pPr>
        <w:spacing w:after="240" w:line="360" w:lineRule="auto"/>
        <w:jc w:val="both"/>
        <w:rPr>
          <w:b/>
          <w:sz w:val="24"/>
          <w:szCs w:val="24"/>
        </w:rPr>
      </w:pPr>
    </w:p>
    <w:p w14:paraId="00000192" w14:textId="77777777" w:rsidR="00655AEF" w:rsidRDefault="00000000">
      <w:pPr>
        <w:keepNext/>
        <w:pBdr>
          <w:top w:val="nil"/>
          <w:left w:val="nil"/>
          <w:bottom w:val="nil"/>
          <w:right w:val="nil"/>
          <w:between w:val="nil"/>
        </w:pBdr>
        <w:spacing w:after="200"/>
        <w:rPr>
          <w:b/>
          <w:color w:val="4F81BD"/>
          <w:sz w:val="18"/>
          <w:szCs w:val="18"/>
        </w:rPr>
      </w:pPr>
      <w:bookmarkStart w:id="26" w:name="_heading=h.v14dkduhkhjg" w:colFirst="0" w:colLast="0"/>
      <w:bookmarkEnd w:id="26"/>
      <w:r>
        <w:rPr>
          <w:b/>
          <w:color w:val="4F81BD"/>
          <w:sz w:val="18"/>
          <w:szCs w:val="18"/>
        </w:rPr>
        <w:t>Table 2: Sampled sub counties and participants</w:t>
      </w:r>
    </w:p>
    <w:tbl>
      <w:tblPr>
        <w:tblStyle w:val="a0"/>
        <w:tblW w:w="8820" w:type="dxa"/>
        <w:tblInd w:w="583" w:type="dxa"/>
        <w:tblLayout w:type="fixed"/>
        <w:tblLook w:val="0000" w:firstRow="0" w:lastRow="0" w:firstColumn="0" w:lastColumn="0" w:noHBand="0" w:noVBand="0"/>
      </w:tblPr>
      <w:tblGrid>
        <w:gridCol w:w="4679"/>
        <w:gridCol w:w="4141"/>
      </w:tblGrid>
      <w:tr w:rsidR="00655AEF" w14:paraId="6876BFA5" w14:textId="77777777">
        <w:trPr>
          <w:trHeight w:val="323"/>
        </w:trPr>
        <w:tc>
          <w:tcPr>
            <w:tcW w:w="4679" w:type="dxa"/>
            <w:tcBorders>
              <w:bottom w:val="single" w:sz="4" w:space="0" w:color="000000"/>
            </w:tcBorders>
          </w:tcPr>
          <w:p w14:paraId="00000193" w14:textId="77777777" w:rsidR="00655AEF" w:rsidRDefault="00000000">
            <w:pPr>
              <w:pBdr>
                <w:top w:val="nil"/>
                <w:left w:val="nil"/>
                <w:bottom w:val="nil"/>
                <w:right w:val="nil"/>
                <w:between w:val="nil"/>
              </w:pBdr>
              <w:spacing w:before="44" w:line="260" w:lineRule="auto"/>
              <w:ind w:left="107"/>
              <w:rPr>
                <w:b/>
                <w:color w:val="000000"/>
                <w:sz w:val="24"/>
                <w:szCs w:val="24"/>
              </w:rPr>
            </w:pPr>
            <w:r>
              <w:rPr>
                <w:b/>
                <w:color w:val="000000"/>
                <w:sz w:val="24"/>
                <w:szCs w:val="24"/>
              </w:rPr>
              <w:t>Sub county</w:t>
            </w:r>
          </w:p>
        </w:tc>
        <w:tc>
          <w:tcPr>
            <w:tcW w:w="4141" w:type="dxa"/>
            <w:tcBorders>
              <w:bottom w:val="single" w:sz="4" w:space="0" w:color="000000"/>
            </w:tcBorders>
          </w:tcPr>
          <w:p w14:paraId="00000194" w14:textId="77777777" w:rsidR="00655AEF" w:rsidRDefault="00000000">
            <w:pPr>
              <w:pBdr>
                <w:top w:val="nil"/>
                <w:left w:val="nil"/>
                <w:bottom w:val="nil"/>
                <w:right w:val="nil"/>
                <w:between w:val="nil"/>
              </w:pBdr>
              <w:spacing w:before="44" w:line="260" w:lineRule="auto"/>
              <w:ind w:left="104"/>
              <w:rPr>
                <w:b/>
                <w:color w:val="000000"/>
                <w:sz w:val="24"/>
                <w:szCs w:val="24"/>
              </w:rPr>
            </w:pPr>
            <w:r>
              <w:rPr>
                <w:b/>
                <w:color w:val="000000"/>
                <w:sz w:val="24"/>
                <w:szCs w:val="24"/>
              </w:rPr>
              <w:t>Participants</w:t>
            </w:r>
          </w:p>
        </w:tc>
      </w:tr>
      <w:tr w:rsidR="00655AEF" w14:paraId="2EA3077E" w14:textId="77777777">
        <w:trPr>
          <w:trHeight w:val="326"/>
        </w:trPr>
        <w:tc>
          <w:tcPr>
            <w:tcW w:w="4679" w:type="dxa"/>
            <w:tcBorders>
              <w:top w:val="single" w:sz="4" w:space="0" w:color="000000"/>
            </w:tcBorders>
            <w:tcMar>
              <w:top w:w="0" w:type="dxa"/>
              <w:left w:w="0" w:type="dxa"/>
              <w:bottom w:w="0" w:type="dxa"/>
              <w:right w:w="0" w:type="dxa"/>
            </w:tcMar>
          </w:tcPr>
          <w:p w14:paraId="00000195" w14:textId="77777777" w:rsidR="00655AEF" w:rsidRDefault="00000000">
            <w:pPr>
              <w:pBdr>
                <w:top w:val="nil"/>
                <w:left w:val="nil"/>
                <w:bottom w:val="nil"/>
                <w:right w:val="nil"/>
                <w:between w:val="nil"/>
              </w:pBdr>
              <w:spacing w:before="43" w:line="261" w:lineRule="auto"/>
              <w:ind w:left="107"/>
              <w:rPr>
                <w:b/>
                <w:color w:val="000000"/>
                <w:sz w:val="24"/>
                <w:szCs w:val="24"/>
              </w:rPr>
            </w:pPr>
            <w:r>
              <w:rPr>
                <w:b/>
                <w:color w:val="000000"/>
                <w:sz w:val="24"/>
                <w:szCs w:val="24"/>
              </w:rPr>
              <w:t>Treatment</w:t>
            </w:r>
          </w:p>
        </w:tc>
        <w:tc>
          <w:tcPr>
            <w:tcW w:w="4141" w:type="dxa"/>
            <w:tcBorders>
              <w:top w:val="single" w:sz="4" w:space="0" w:color="000000"/>
            </w:tcBorders>
            <w:tcMar>
              <w:top w:w="0" w:type="dxa"/>
              <w:left w:w="0" w:type="dxa"/>
              <w:bottom w:w="0" w:type="dxa"/>
              <w:right w:w="0" w:type="dxa"/>
            </w:tcMar>
          </w:tcPr>
          <w:p w14:paraId="00000196" w14:textId="77777777" w:rsidR="00655AEF" w:rsidRDefault="00655AEF">
            <w:pPr>
              <w:pBdr>
                <w:top w:val="nil"/>
                <w:left w:val="nil"/>
                <w:bottom w:val="nil"/>
                <w:right w:val="nil"/>
                <w:between w:val="nil"/>
              </w:pBdr>
              <w:rPr>
                <w:rFonts w:ascii="Times New Roman" w:eastAsia="Times New Roman" w:hAnsi="Times New Roman" w:cs="Times New Roman"/>
                <w:color w:val="000000"/>
              </w:rPr>
            </w:pPr>
          </w:p>
        </w:tc>
      </w:tr>
      <w:tr w:rsidR="00655AEF" w14:paraId="3F632B7D" w14:textId="77777777">
        <w:trPr>
          <w:trHeight w:val="323"/>
        </w:trPr>
        <w:tc>
          <w:tcPr>
            <w:tcW w:w="4679" w:type="dxa"/>
            <w:tcMar>
              <w:top w:w="0" w:type="dxa"/>
              <w:left w:w="0" w:type="dxa"/>
              <w:bottom w:w="0" w:type="dxa"/>
              <w:right w:w="0" w:type="dxa"/>
            </w:tcMar>
          </w:tcPr>
          <w:p w14:paraId="00000197" w14:textId="77777777" w:rsidR="00655AEF" w:rsidRDefault="00000000">
            <w:pPr>
              <w:pBdr>
                <w:top w:val="nil"/>
                <w:left w:val="nil"/>
                <w:bottom w:val="nil"/>
                <w:right w:val="nil"/>
                <w:between w:val="nil"/>
              </w:pBdr>
              <w:spacing w:before="41" w:line="261" w:lineRule="auto"/>
              <w:ind w:left="107"/>
              <w:rPr>
                <w:color w:val="000000"/>
                <w:sz w:val="24"/>
                <w:szCs w:val="24"/>
              </w:rPr>
            </w:pPr>
            <w:r>
              <w:rPr>
                <w:color w:val="000000"/>
                <w:sz w:val="24"/>
                <w:szCs w:val="24"/>
              </w:rPr>
              <w:t>Lurambi</w:t>
            </w:r>
          </w:p>
        </w:tc>
        <w:tc>
          <w:tcPr>
            <w:tcW w:w="4141" w:type="dxa"/>
            <w:tcMar>
              <w:top w:w="0" w:type="dxa"/>
              <w:left w:w="0" w:type="dxa"/>
              <w:bottom w:w="0" w:type="dxa"/>
              <w:right w:w="0" w:type="dxa"/>
            </w:tcMar>
          </w:tcPr>
          <w:p w14:paraId="00000198" w14:textId="77777777" w:rsidR="00655AEF" w:rsidRDefault="00000000">
            <w:pPr>
              <w:pBdr>
                <w:top w:val="nil"/>
                <w:left w:val="nil"/>
                <w:bottom w:val="nil"/>
                <w:right w:val="nil"/>
                <w:between w:val="nil"/>
              </w:pBdr>
              <w:spacing w:before="41" w:line="261" w:lineRule="auto"/>
              <w:ind w:left="104"/>
              <w:rPr>
                <w:color w:val="000000"/>
                <w:sz w:val="24"/>
                <w:szCs w:val="24"/>
              </w:rPr>
            </w:pPr>
            <w:r>
              <w:rPr>
                <w:color w:val="000000"/>
                <w:sz w:val="24"/>
                <w:szCs w:val="24"/>
              </w:rPr>
              <w:t>104</w:t>
            </w:r>
          </w:p>
        </w:tc>
      </w:tr>
      <w:tr w:rsidR="00655AEF" w14:paraId="5A883586" w14:textId="77777777">
        <w:trPr>
          <w:trHeight w:val="326"/>
        </w:trPr>
        <w:tc>
          <w:tcPr>
            <w:tcW w:w="4679" w:type="dxa"/>
            <w:tcMar>
              <w:top w:w="0" w:type="dxa"/>
              <w:left w:w="0" w:type="dxa"/>
              <w:bottom w:w="0" w:type="dxa"/>
              <w:right w:w="0" w:type="dxa"/>
            </w:tcMar>
          </w:tcPr>
          <w:p w14:paraId="00000199" w14:textId="77777777" w:rsidR="00655AEF" w:rsidRDefault="00000000">
            <w:pPr>
              <w:pBdr>
                <w:top w:val="nil"/>
                <w:left w:val="nil"/>
                <w:bottom w:val="nil"/>
                <w:right w:val="nil"/>
                <w:between w:val="nil"/>
              </w:pBdr>
              <w:spacing w:before="43" w:line="261" w:lineRule="auto"/>
              <w:ind w:left="107"/>
              <w:rPr>
                <w:color w:val="000000"/>
                <w:sz w:val="24"/>
                <w:szCs w:val="24"/>
              </w:rPr>
            </w:pPr>
            <w:r>
              <w:rPr>
                <w:color w:val="000000"/>
                <w:sz w:val="24"/>
                <w:szCs w:val="24"/>
              </w:rPr>
              <w:t>Shinyalu</w:t>
            </w:r>
          </w:p>
        </w:tc>
        <w:tc>
          <w:tcPr>
            <w:tcW w:w="4141" w:type="dxa"/>
            <w:tcMar>
              <w:top w:w="0" w:type="dxa"/>
              <w:left w:w="0" w:type="dxa"/>
              <w:bottom w:w="0" w:type="dxa"/>
              <w:right w:w="0" w:type="dxa"/>
            </w:tcMar>
          </w:tcPr>
          <w:p w14:paraId="0000019A" w14:textId="77777777" w:rsidR="00655AEF" w:rsidRDefault="00000000">
            <w:pPr>
              <w:pBdr>
                <w:top w:val="nil"/>
                <w:left w:val="nil"/>
                <w:bottom w:val="nil"/>
                <w:right w:val="nil"/>
                <w:between w:val="nil"/>
              </w:pBdr>
              <w:spacing w:before="43" w:line="261" w:lineRule="auto"/>
              <w:ind w:left="104"/>
              <w:rPr>
                <w:color w:val="000000"/>
                <w:sz w:val="24"/>
                <w:szCs w:val="24"/>
              </w:rPr>
            </w:pPr>
            <w:r>
              <w:rPr>
                <w:color w:val="000000"/>
                <w:sz w:val="24"/>
                <w:szCs w:val="24"/>
              </w:rPr>
              <w:t>120</w:t>
            </w:r>
          </w:p>
        </w:tc>
      </w:tr>
      <w:tr w:rsidR="00655AEF" w14:paraId="367A2AB9" w14:textId="77777777">
        <w:trPr>
          <w:trHeight w:val="323"/>
        </w:trPr>
        <w:tc>
          <w:tcPr>
            <w:tcW w:w="4679" w:type="dxa"/>
            <w:tcMar>
              <w:top w:w="0" w:type="dxa"/>
              <w:left w:w="0" w:type="dxa"/>
              <w:bottom w:w="0" w:type="dxa"/>
              <w:right w:w="0" w:type="dxa"/>
            </w:tcMar>
          </w:tcPr>
          <w:p w14:paraId="0000019B" w14:textId="77777777" w:rsidR="00655AEF" w:rsidRDefault="00000000">
            <w:pPr>
              <w:pBdr>
                <w:top w:val="nil"/>
                <w:left w:val="nil"/>
                <w:bottom w:val="nil"/>
                <w:right w:val="nil"/>
                <w:between w:val="nil"/>
              </w:pBdr>
              <w:spacing w:before="41" w:line="261" w:lineRule="auto"/>
              <w:ind w:left="107"/>
              <w:rPr>
                <w:color w:val="000000"/>
                <w:sz w:val="24"/>
                <w:szCs w:val="24"/>
              </w:rPr>
            </w:pPr>
            <w:r>
              <w:rPr>
                <w:color w:val="000000"/>
                <w:sz w:val="24"/>
                <w:szCs w:val="24"/>
              </w:rPr>
              <w:t>Total</w:t>
            </w:r>
          </w:p>
        </w:tc>
        <w:tc>
          <w:tcPr>
            <w:tcW w:w="4141" w:type="dxa"/>
            <w:tcMar>
              <w:top w:w="0" w:type="dxa"/>
              <w:left w:w="0" w:type="dxa"/>
              <w:bottom w:w="0" w:type="dxa"/>
              <w:right w:w="0" w:type="dxa"/>
            </w:tcMar>
          </w:tcPr>
          <w:p w14:paraId="0000019C" w14:textId="77777777" w:rsidR="00655AEF" w:rsidRDefault="00000000">
            <w:pPr>
              <w:pBdr>
                <w:top w:val="nil"/>
                <w:left w:val="nil"/>
                <w:bottom w:val="nil"/>
                <w:right w:val="nil"/>
                <w:between w:val="nil"/>
              </w:pBdr>
              <w:spacing w:before="41" w:line="261" w:lineRule="auto"/>
              <w:ind w:left="104"/>
              <w:rPr>
                <w:b/>
                <w:color w:val="000000"/>
                <w:sz w:val="24"/>
                <w:szCs w:val="24"/>
              </w:rPr>
            </w:pPr>
            <w:r>
              <w:rPr>
                <w:b/>
                <w:color w:val="000000"/>
                <w:sz w:val="24"/>
                <w:szCs w:val="24"/>
              </w:rPr>
              <w:t>124</w:t>
            </w:r>
          </w:p>
        </w:tc>
      </w:tr>
      <w:tr w:rsidR="00655AEF" w14:paraId="07C5DB45" w14:textId="77777777">
        <w:trPr>
          <w:trHeight w:val="323"/>
        </w:trPr>
        <w:tc>
          <w:tcPr>
            <w:tcW w:w="4679" w:type="dxa"/>
            <w:tcMar>
              <w:top w:w="0" w:type="dxa"/>
              <w:left w:w="0" w:type="dxa"/>
              <w:bottom w:w="0" w:type="dxa"/>
              <w:right w:w="0" w:type="dxa"/>
            </w:tcMar>
          </w:tcPr>
          <w:p w14:paraId="0000019D" w14:textId="77777777" w:rsidR="00655AEF" w:rsidRDefault="00000000">
            <w:pPr>
              <w:pBdr>
                <w:top w:val="nil"/>
                <w:left w:val="nil"/>
                <w:bottom w:val="nil"/>
                <w:right w:val="nil"/>
                <w:between w:val="nil"/>
              </w:pBdr>
              <w:spacing w:before="41" w:line="261" w:lineRule="auto"/>
              <w:ind w:left="107"/>
              <w:rPr>
                <w:b/>
                <w:color w:val="000000"/>
                <w:sz w:val="24"/>
                <w:szCs w:val="24"/>
              </w:rPr>
            </w:pPr>
            <w:r>
              <w:rPr>
                <w:b/>
                <w:color w:val="000000"/>
                <w:sz w:val="24"/>
                <w:szCs w:val="24"/>
              </w:rPr>
              <w:t>Control</w:t>
            </w:r>
          </w:p>
        </w:tc>
        <w:tc>
          <w:tcPr>
            <w:tcW w:w="4141" w:type="dxa"/>
            <w:tcMar>
              <w:top w:w="0" w:type="dxa"/>
              <w:left w:w="0" w:type="dxa"/>
              <w:bottom w:w="0" w:type="dxa"/>
              <w:right w:w="0" w:type="dxa"/>
            </w:tcMar>
          </w:tcPr>
          <w:p w14:paraId="0000019E" w14:textId="77777777" w:rsidR="00655AEF" w:rsidRDefault="00655AEF">
            <w:pPr>
              <w:pBdr>
                <w:top w:val="nil"/>
                <w:left w:val="nil"/>
                <w:bottom w:val="nil"/>
                <w:right w:val="nil"/>
                <w:between w:val="nil"/>
              </w:pBdr>
              <w:rPr>
                <w:rFonts w:ascii="Times New Roman" w:eastAsia="Times New Roman" w:hAnsi="Times New Roman" w:cs="Times New Roman"/>
                <w:color w:val="000000"/>
              </w:rPr>
            </w:pPr>
          </w:p>
        </w:tc>
      </w:tr>
      <w:tr w:rsidR="00655AEF" w14:paraId="4C79944C" w14:textId="77777777">
        <w:trPr>
          <w:trHeight w:val="326"/>
        </w:trPr>
        <w:tc>
          <w:tcPr>
            <w:tcW w:w="4679" w:type="dxa"/>
            <w:tcMar>
              <w:top w:w="0" w:type="dxa"/>
              <w:left w:w="0" w:type="dxa"/>
              <w:bottom w:w="0" w:type="dxa"/>
              <w:right w:w="0" w:type="dxa"/>
            </w:tcMar>
          </w:tcPr>
          <w:p w14:paraId="0000019F" w14:textId="77777777" w:rsidR="00655AEF" w:rsidRDefault="00000000">
            <w:pPr>
              <w:pBdr>
                <w:top w:val="nil"/>
                <w:left w:val="nil"/>
                <w:bottom w:val="nil"/>
                <w:right w:val="nil"/>
                <w:between w:val="nil"/>
              </w:pBdr>
              <w:spacing w:before="43" w:line="261" w:lineRule="auto"/>
              <w:ind w:left="107"/>
              <w:rPr>
                <w:color w:val="000000"/>
                <w:sz w:val="24"/>
                <w:szCs w:val="24"/>
              </w:rPr>
            </w:pPr>
            <w:r>
              <w:rPr>
                <w:color w:val="000000"/>
                <w:sz w:val="24"/>
                <w:szCs w:val="24"/>
              </w:rPr>
              <w:t>Matungu</w:t>
            </w:r>
          </w:p>
        </w:tc>
        <w:tc>
          <w:tcPr>
            <w:tcW w:w="4141" w:type="dxa"/>
            <w:tcMar>
              <w:top w:w="0" w:type="dxa"/>
              <w:left w:w="0" w:type="dxa"/>
              <w:bottom w:w="0" w:type="dxa"/>
              <w:right w:w="0" w:type="dxa"/>
            </w:tcMar>
          </w:tcPr>
          <w:p w14:paraId="000001A0" w14:textId="77777777" w:rsidR="00655AEF" w:rsidRDefault="00000000">
            <w:pPr>
              <w:pBdr>
                <w:top w:val="nil"/>
                <w:left w:val="nil"/>
                <w:bottom w:val="nil"/>
                <w:right w:val="nil"/>
                <w:between w:val="nil"/>
              </w:pBdr>
              <w:spacing w:before="43" w:line="261" w:lineRule="auto"/>
              <w:ind w:left="104"/>
              <w:rPr>
                <w:color w:val="000000"/>
                <w:sz w:val="24"/>
                <w:szCs w:val="24"/>
              </w:rPr>
            </w:pPr>
            <w:r>
              <w:rPr>
                <w:color w:val="000000"/>
                <w:sz w:val="24"/>
                <w:szCs w:val="24"/>
              </w:rPr>
              <w:t>84</w:t>
            </w:r>
          </w:p>
        </w:tc>
      </w:tr>
      <w:tr w:rsidR="00655AEF" w14:paraId="6F3B0438" w14:textId="77777777">
        <w:trPr>
          <w:trHeight w:val="323"/>
        </w:trPr>
        <w:tc>
          <w:tcPr>
            <w:tcW w:w="4679" w:type="dxa"/>
            <w:tcBorders>
              <w:bottom w:val="single" w:sz="4" w:space="0" w:color="000000"/>
            </w:tcBorders>
            <w:tcMar>
              <w:top w:w="0" w:type="dxa"/>
              <w:left w:w="0" w:type="dxa"/>
              <w:bottom w:w="0" w:type="dxa"/>
              <w:right w:w="0" w:type="dxa"/>
            </w:tcMar>
          </w:tcPr>
          <w:p w14:paraId="000001A1" w14:textId="77777777" w:rsidR="00655AEF" w:rsidRDefault="00000000">
            <w:pPr>
              <w:pBdr>
                <w:top w:val="nil"/>
                <w:left w:val="nil"/>
                <w:bottom w:val="nil"/>
                <w:right w:val="nil"/>
                <w:between w:val="nil"/>
              </w:pBdr>
              <w:spacing w:before="41" w:line="261" w:lineRule="auto"/>
              <w:ind w:left="107"/>
              <w:rPr>
                <w:color w:val="000000"/>
                <w:sz w:val="24"/>
                <w:szCs w:val="24"/>
              </w:rPr>
            </w:pPr>
            <w:r>
              <w:rPr>
                <w:color w:val="000000"/>
                <w:sz w:val="24"/>
                <w:szCs w:val="24"/>
              </w:rPr>
              <w:t>Likuyani</w:t>
            </w:r>
          </w:p>
        </w:tc>
        <w:tc>
          <w:tcPr>
            <w:tcW w:w="4141" w:type="dxa"/>
            <w:tcBorders>
              <w:bottom w:val="single" w:sz="4" w:space="0" w:color="000000"/>
            </w:tcBorders>
            <w:tcMar>
              <w:top w:w="0" w:type="dxa"/>
              <w:left w:w="0" w:type="dxa"/>
              <w:bottom w:w="0" w:type="dxa"/>
              <w:right w:w="0" w:type="dxa"/>
            </w:tcMar>
          </w:tcPr>
          <w:p w14:paraId="000001A2" w14:textId="77777777" w:rsidR="00655AEF" w:rsidRDefault="00000000">
            <w:pPr>
              <w:pBdr>
                <w:top w:val="nil"/>
                <w:left w:val="nil"/>
                <w:bottom w:val="nil"/>
                <w:right w:val="nil"/>
                <w:between w:val="nil"/>
              </w:pBdr>
              <w:spacing w:before="41" w:line="261" w:lineRule="auto"/>
              <w:ind w:left="104"/>
              <w:rPr>
                <w:color w:val="000000"/>
                <w:sz w:val="24"/>
                <w:szCs w:val="24"/>
              </w:rPr>
            </w:pPr>
            <w:r>
              <w:rPr>
                <w:color w:val="000000"/>
                <w:sz w:val="24"/>
                <w:szCs w:val="24"/>
              </w:rPr>
              <w:t>40</w:t>
            </w:r>
          </w:p>
        </w:tc>
      </w:tr>
      <w:tr w:rsidR="00655AEF" w14:paraId="461DC5AA" w14:textId="77777777">
        <w:trPr>
          <w:trHeight w:val="325"/>
        </w:trPr>
        <w:tc>
          <w:tcPr>
            <w:tcW w:w="4679" w:type="dxa"/>
            <w:tcBorders>
              <w:top w:val="single" w:sz="4" w:space="0" w:color="000000"/>
              <w:bottom w:val="single" w:sz="4" w:space="0" w:color="000000"/>
            </w:tcBorders>
            <w:tcMar>
              <w:top w:w="0" w:type="dxa"/>
              <w:left w:w="0" w:type="dxa"/>
              <w:bottom w:w="0" w:type="dxa"/>
              <w:right w:w="0" w:type="dxa"/>
            </w:tcMar>
          </w:tcPr>
          <w:p w14:paraId="000001A3" w14:textId="77777777" w:rsidR="00655AEF" w:rsidRDefault="00000000">
            <w:pPr>
              <w:pBdr>
                <w:top w:val="nil"/>
                <w:left w:val="nil"/>
                <w:bottom w:val="nil"/>
                <w:right w:val="nil"/>
                <w:between w:val="nil"/>
              </w:pBdr>
              <w:spacing w:before="41" w:line="265" w:lineRule="auto"/>
              <w:ind w:left="107"/>
              <w:rPr>
                <w:b/>
                <w:color w:val="000000"/>
                <w:sz w:val="24"/>
                <w:szCs w:val="24"/>
              </w:rPr>
            </w:pPr>
            <w:r>
              <w:rPr>
                <w:b/>
                <w:color w:val="000000"/>
                <w:sz w:val="24"/>
                <w:szCs w:val="24"/>
              </w:rPr>
              <w:t>Total</w:t>
            </w:r>
          </w:p>
        </w:tc>
        <w:tc>
          <w:tcPr>
            <w:tcW w:w="4141" w:type="dxa"/>
            <w:tcBorders>
              <w:top w:val="single" w:sz="4" w:space="0" w:color="000000"/>
              <w:bottom w:val="single" w:sz="4" w:space="0" w:color="000000"/>
            </w:tcBorders>
            <w:tcMar>
              <w:top w:w="0" w:type="dxa"/>
              <w:left w:w="0" w:type="dxa"/>
              <w:bottom w:w="0" w:type="dxa"/>
              <w:right w:w="0" w:type="dxa"/>
            </w:tcMar>
          </w:tcPr>
          <w:p w14:paraId="000001A4" w14:textId="77777777" w:rsidR="00655AEF" w:rsidRDefault="00000000">
            <w:pPr>
              <w:pBdr>
                <w:top w:val="nil"/>
                <w:left w:val="nil"/>
                <w:bottom w:val="nil"/>
                <w:right w:val="nil"/>
                <w:between w:val="nil"/>
              </w:pBdr>
              <w:spacing w:before="41" w:line="265" w:lineRule="auto"/>
              <w:ind w:left="104"/>
              <w:rPr>
                <w:b/>
                <w:color w:val="000000"/>
                <w:sz w:val="24"/>
                <w:szCs w:val="24"/>
              </w:rPr>
            </w:pPr>
            <w:r>
              <w:rPr>
                <w:b/>
                <w:color w:val="000000"/>
                <w:sz w:val="24"/>
                <w:szCs w:val="24"/>
              </w:rPr>
              <w:t>124</w:t>
            </w:r>
          </w:p>
        </w:tc>
      </w:tr>
    </w:tbl>
    <w:p w14:paraId="000001A5" w14:textId="77777777" w:rsidR="00655AEF" w:rsidRDefault="00655AEF">
      <w:pPr>
        <w:spacing w:after="240" w:line="360" w:lineRule="auto"/>
        <w:jc w:val="both"/>
        <w:rPr>
          <w:sz w:val="24"/>
          <w:szCs w:val="24"/>
        </w:rPr>
      </w:pPr>
    </w:p>
    <w:p w14:paraId="000001A6" w14:textId="77777777" w:rsidR="00655AEF" w:rsidRDefault="00000000">
      <w:pPr>
        <w:spacing w:after="240" w:line="360" w:lineRule="auto"/>
        <w:jc w:val="both"/>
        <w:rPr>
          <w:b/>
          <w:sz w:val="24"/>
          <w:szCs w:val="24"/>
        </w:rPr>
      </w:pPr>
      <w:r>
        <w:rPr>
          <w:b/>
          <w:sz w:val="24"/>
          <w:szCs w:val="24"/>
        </w:rPr>
        <w:t>Staff: in the selected facilities (CCC)</w:t>
      </w:r>
    </w:p>
    <w:p w14:paraId="000001A7" w14:textId="77777777" w:rsidR="00655AEF" w:rsidRDefault="00000000">
      <w:pPr>
        <w:spacing w:after="240" w:line="360" w:lineRule="auto"/>
        <w:jc w:val="both"/>
        <w:rPr>
          <w:sz w:val="24"/>
          <w:szCs w:val="24"/>
        </w:rPr>
      </w:pPr>
      <w:r>
        <w:rPr>
          <w:sz w:val="24"/>
          <w:szCs w:val="24"/>
        </w:rPr>
        <w:t xml:space="preserve">Ten staff was purposely selected from the various Comprehensive Care clinics (CCCs) and represented service points where </w:t>
      </w:r>
      <w:proofErr w:type="gramStart"/>
      <w:r>
        <w:rPr>
          <w:sz w:val="24"/>
          <w:szCs w:val="24"/>
        </w:rPr>
        <w:t>paper work</w:t>
      </w:r>
      <w:proofErr w:type="gramEnd"/>
      <w:r>
        <w:rPr>
          <w:sz w:val="24"/>
          <w:szCs w:val="24"/>
        </w:rPr>
        <w:t xml:space="preserve"> was in use. Such service points </w:t>
      </w:r>
      <w:proofErr w:type="gramStart"/>
      <w:r>
        <w:rPr>
          <w:sz w:val="24"/>
          <w:szCs w:val="24"/>
        </w:rPr>
        <w:t>included;</w:t>
      </w:r>
      <w:proofErr w:type="gramEnd"/>
    </w:p>
    <w:p w14:paraId="000001A8"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Doctors and clinical officers:</w:t>
      </w:r>
      <w:r>
        <w:rPr>
          <w:color w:val="000000"/>
          <w:sz w:val="24"/>
          <w:szCs w:val="24"/>
        </w:rPr>
        <w:tab/>
        <w:t>4</w:t>
      </w:r>
    </w:p>
    <w:p w14:paraId="000001A9"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Records Clerk:</w:t>
      </w:r>
      <w:r>
        <w:rPr>
          <w:color w:val="000000"/>
          <w:sz w:val="24"/>
          <w:szCs w:val="24"/>
        </w:rPr>
        <w:tab/>
      </w:r>
      <w:r>
        <w:rPr>
          <w:color w:val="000000"/>
          <w:sz w:val="24"/>
          <w:szCs w:val="24"/>
        </w:rPr>
        <w:tab/>
      </w:r>
      <w:r>
        <w:rPr>
          <w:color w:val="000000"/>
          <w:sz w:val="24"/>
          <w:szCs w:val="24"/>
        </w:rPr>
        <w:tab/>
        <w:t>1</w:t>
      </w:r>
    </w:p>
    <w:p w14:paraId="000001AA"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Nurses:</w:t>
      </w:r>
      <w:r>
        <w:rPr>
          <w:color w:val="000000"/>
          <w:sz w:val="24"/>
          <w:szCs w:val="24"/>
        </w:rPr>
        <w:tab/>
      </w:r>
      <w:r>
        <w:rPr>
          <w:color w:val="000000"/>
          <w:sz w:val="24"/>
          <w:szCs w:val="24"/>
        </w:rPr>
        <w:tab/>
      </w:r>
      <w:r>
        <w:rPr>
          <w:color w:val="000000"/>
          <w:sz w:val="24"/>
          <w:szCs w:val="24"/>
        </w:rPr>
        <w:tab/>
      </w:r>
      <w:r>
        <w:rPr>
          <w:color w:val="000000"/>
          <w:sz w:val="24"/>
          <w:szCs w:val="24"/>
        </w:rPr>
        <w:tab/>
        <w:t>4</w:t>
      </w:r>
    </w:p>
    <w:p w14:paraId="000001AB" w14:textId="77777777" w:rsidR="00655AEF" w:rsidRDefault="00000000">
      <w:pPr>
        <w:numPr>
          <w:ilvl w:val="0"/>
          <w:numId w:val="10"/>
        </w:numPr>
        <w:pBdr>
          <w:top w:val="nil"/>
          <w:left w:val="nil"/>
          <w:bottom w:val="nil"/>
          <w:right w:val="nil"/>
          <w:between w:val="nil"/>
        </w:pBdr>
        <w:spacing w:after="240" w:line="360" w:lineRule="auto"/>
        <w:jc w:val="both"/>
        <w:rPr>
          <w:color w:val="000000"/>
          <w:sz w:val="24"/>
          <w:szCs w:val="24"/>
        </w:rPr>
      </w:pPr>
      <w:r>
        <w:rPr>
          <w:color w:val="000000"/>
          <w:sz w:val="24"/>
          <w:szCs w:val="24"/>
        </w:rPr>
        <w:t>Social Worker:</w:t>
      </w:r>
      <w:r>
        <w:rPr>
          <w:color w:val="000000"/>
          <w:sz w:val="24"/>
          <w:szCs w:val="24"/>
        </w:rPr>
        <w:tab/>
      </w:r>
      <w:r>
        <w:rPr>
          <w:color w:val="000000"/>
          <w:sz w:val="24"/>
          <w:szCs w:val="24"/>
        </w:rPr>
        <w:tab/>
      </w:r>
      <w:r>
        <w:rPr>
          <w:color w:val="000000"/>
          <w:sz w:val="24"/>
          <w:szCs w:val="24"/>
        </w:rPr>
        <w:tab/>
        <w:t>1</w:t>
      </w:r>
    </w:p>
    <w:p w14:paraId="000001AC" w14:textId="77777777" w:rsidR="00655AEF" w:rsidRDefault="00000000">
      <w:pPr>
        <w:pStyle w:val="Heading2"/>
        <w:keepNext w:val="0"/>
        <w:keepLines w:val="0"/>
        <w:numPr>
          <w:ilvl w:val="1"/>
          <w:numId w:val="6"/>
        </w:numPr>
        <w:spacing w:before="0"/>
      </w:pPr>
      <w:bookmarkStart w:id="27" w:name="_heading=h.ads5ygf33wvk" w:colFirst="0" w:colLast="0"/>
      <w:bookmarkEnd w:id="27"/>
      <w:r>
        <w:lastRenderedPageBreak/>
        <w:t>Inclusion and Exclusion Criteria</w:t>
      </w:r>
    </w:p>
    <w:p w14:paraId="000001AD" w14:textId="77777777" w:rsidR="00655AEF" w:rsidRDefault="00000000">
      <w:pPr>
        <w:pStyle w:val="Heading3"/>
        <w:numPr>
          <w:ilvl w:val="2"/>
          <w:numId w:val="6"/>
        </w:numPr>
        <w:rPr>
          <w:sz w:val="24"/>
          <w:szCs w:val="24"/>
        </w:rPr>
      </w:pPr>
      <w:bookmarkStart w:id="28" w:name="_heading=h.c3bnpkqysp22" w:colFirst="0" w:colLast="0"/>
      <w:bookmarkEnd w:id="28"/>
      <w:r>
        <w:rPr>
          <w:sz w:val="24"/>
          <w:szCs w:val="24"/>
        </w:rPr>
        <w:t>Inclusion Criteria:</w:t>
      </w:r>
    </w:p>
    <w:p w14:paraId="000001AE" w14:textId="77777777" w:rsidR="00655AEF" w:rsidRDefault="00000000">
      <w:pPr>
        <w:spacing w:after="240" w:line="360" w:lineRule="auto"/>
        <w:jc w:val="both"/>
        <w:rPr>
          <w:sz w:val="24"/>
          <w:szCs w:val="24"/>
        </w:rPr>
      </w:pPr>
      <w:r>
        <w:rPr>
          <w:sz w:val="24"/>
          <w:szCs w:val="24"/>
        </w:rPr>
        <w:t>Suspected treatment failure (STF) clients for the treatment group for the following reasons</w:t>
      </w:r>
    </w:p>
    <w:p w14:paraId="000001AF"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Defaulted from Care</w:t>
      </w:r>
    </w:p>
    <w:p w14:paraId="000001B0"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Withdrew from care</w:t>
      </w:r>
    </w:p>
    <w:p w14:paraId="000001B1" w14:textId="77777777" w:rsidR="00655AEF" w:rsidRDefault="00000000">
      <w:pPr>
        <w:numPr>
          <w:ilvl w:val="0"/>
          <w:numId w:val="10"/>
        </w:numPr>
        <w:pBdr>
          <w:top w:val="nil"/>
          <w:left w:val="nil"/>
          <w:bottom w:val="nil"/>
          <w:right w:val="nil"/>
          <w:between w:val="nil"/>
        </w:pBdr>
        <w:spacing w:after="240" w:line="360" w:lineRule="auto"/>
        <w:jc w:val="both"/>
        <w:rPr>
          <w:color w:val="000000"/>
          <w:sz w:val="24"/>
          <w:szCs w:val="24"/>
        </w:rPr>
      </w:pPr>
      <w:r>
        <w:rPr>
          <w:color w:val="000000"/>
          <w:sz w:val="24"/>
          <w:szCs w:val="24"/>
        </w:rPr>
        <w:t>Lost to follow up</w:t>
      </w:r>
    </w:p>
    <w:p w14:paraId="000001B2" w14:textId="77777777" w:rsidR="00655AEF" w:rsidRDefault="00000000">
      <w:pPr>
        <w:pStyle w:val="Heading3"/>
        <w:numPr>
          <w:ilvl w:val="2"/>
          <w:numId w:val="6"/>
        </w:numPr>
        <w:rPr>
          <w:sz w:val="24"/>
          <w:szCs w:val="24"/>
        </w:rPr>
      </w:pPr>
      <w:bookmarkStart w:id="29" w:name="_heading=h.na6jk4itutl" w:colFirst="0" w:colLast="0"/>
      <w:bookmarkEnd w:id="29"/>
      <w:r>
        <w:rPr>
          <w:sz w:val="24"/>
          <w:szCs w:val="24"/>
        </w:rPr>
        <w:t>Exclusion criteria:</w:t>
      </w:r>
    </w:p>
    <w:p w14:paraId="000001B3"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Children &lt; 18Years</w:t>
      </w:r>
    </w:p>
    <w:p w14:paraId="000001B4"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Retained in care at 12 months</w:t>
      </w:r>
    </w:p>
    <w:p w14:paraId="000001B5"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Active in Care (Informally transferred out but active in care, formally transferred out and active in care and returned to the clinic at the time of tracing)</w:t>
      </w:r>
    </w:p>
    <w:p w14:paraId="000001B6"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Defaulted, but died</w:t>
      </w:r>
    </w:p>
    <w:p w14:paraId="000001B7" w14:textId="77777777" w:rsidR="00655AEF" w:rsidRDefault="00000000">
      <w:pPr>
        <w:numPr>
          <w:ilvl w:val="0"/>
          <w:numId w:val="10"/>
        </w:numPr>
        <w:pBdr>
          <w:top w:val="nil"/>
          <w:left w:val="nil"/>
          <w:bottom w:val="nil"/>
          <w:right w:val="nil"/>
          <w:between w:val="nil"/>
        </w:pBdr>
        <w:spacing w:line="360" w:lineRule="auto"/>
        <w:jc w:val="both"/>
        <w:rPr>
          <w:color w:val="000000"/>
          <w:sz w:val="24"/>
          <w:szCs w:val="24"/>
        </w:rPr>
      </w:pPr>
      <w:r>
        <w:rPr>
          <w:color w:val="000000"/>
          <w:sz w:val="24"/>
          <w:szCs w:val="24"/>
        </w:rPr>
        <w:t>Patients with co-morbidities</w:t>
      </w:r>
    </w:p>
    <w:p w14:paraId="000001B8" w14:textId="77777777" w:rsidR="00655AEF" w:rsidRDefault="00000000">
      <w:pPr>
        <w:numPr>
          <w:ilvl w:val="0"/>
          <w:numId w:val="10"/>
        </w:numPr>
        <w:pBdr>
          <w:top w:val="nil"/>
          <w:left w:val="nil"/>
          <w:bottom w:val="nil"/>
          <w:right w:val="nil"/>
          <w:between w:val="nil"/>
        </w:pBdr>
        <w:spacing w:after="240" w:line="360" w:lineRule="auto"/>
        <w:jc w:val="both"/>
        <w:rPr>
          <w:color w:val="000000"/>
          <w:sz w:val="24"/>
          <w:szCs w:val="24"/>
        </w:rPr>
      </w:pPr>
      <w:r>
        <w:rPr>
          <w:color w:val="000000"/>
          <w:sz w:val="24"/>
          <w:szCs w:val="24"/>
        </w:rPr>
        <w:t>Female patients who are pregnant</w:t>
      </w:r>
    </w:p>
    <w:p w14:paraId="000001B9" w14:textId="77777777" w:rsidR="00655AEF" w:rsidRDefault="00000000">
      <w:pPr>
        <w:pStyle w:val="Heading2"/>
        <w:keepNext w:val="0"/>
        <w:keepLines w:val="0"/>
        <w:numPr>
          <w:ilvl w:val="1"/>
          <w:numId w:val="6"/>
        </w:numPr>
        <w:spacing w:before="0"/>
      </w:pPr>
      <w:bookmarkStart w:id="30" w:name="_heading=h.c1de7q7t35jk" w:colFirst="0" w:colLast="0"/>
      <w:bookmarkEnd w:id="30"/>
      <w:r>
        <w:t>Enrollment</w:t>
      </w:r>
    </w:p>
    <w:p w14:paraId="000001BA" w14:textId="77777777" w:rsidR="00655AEF" w:rsidRDefault="00000000">
      <w:pPr>
        <w:spacing w:after="240" w:line="360" w:lineRule="auto"/>
        <w:jc w:val="both"/>
        <w:rPr>
          <w:sz w:val="24"/>
          <w:szCs w:val="24"/>
        </w:rPr>
      </w:pPr>
      <w:r>
        <w:rPr>
          <w:sz w:val="24"/>
          <w:szCs w:val="24"/>
        </w:rPr>
        <w:t xml:space="preserve">All the participants were traced through their link facility comprehensive care clinic (CCC) by the social worker. A baseline was then done for all the 513 patients (270 treatments and 243 controls) to establish treatment failure clinically, immunologically and biologically. The reasons for defaulting </w:t>
      </w:r>
      <w:proofErr w:type="gramStart"/>
      <w:r>
        <w:rPr>
          <w:sz w:val="24"/>
          <w:szCs w:val="24"/>
        </w:rPr>
        <w:t>was</w:t>
      </w:r>
      <w:proofErr w:type="gramEnd"/>
      <w:r>
        <w:rPr>
          <w:sz w:val="24"/>
          <w:szCs w:val="24"/>
        </w:rPr>
        <w:t xml:space="preserve"> also established during this baseline for each patient</w:t>
      </w:r>
    </w:p>
    <w:p w14:paraId="000001BB" w14:textId="77777777" w:rsidR="00655AEF" w:rsidRDefault="00000000">
      <w:pPr>
        <w:pStyle w:val="Heading2"/>
        <w:keepNext w:val="0"/>
        <w:keepLines w:val="0"/>
        <w:numPr>
          <w:ilvl w:val="1"/>
          <w:numId w:val="6"/>
        </w:numPr>
        <w:spacing w:before="0"/>
      </w:pPr>
      <w:bookmarkStart w:id="31" w:name="_heading=h.rzm6no1oompi" w:colFirst="0" w:colLast="0"/>
      <w:bookmarkEnd w:id="31"/>
      <w:r>
        <w:t>Intervention</w:t>
      </w:r>
    </w:p>
    <w:p w14:paraId="000001BC" w14:textId="77777777" w:rsidR="00655AEF" w:rsidRDefault="00000000">
      <w:pPr>
        <w:spacing w:after="240" w:line="360" w:lineRule="auto"/>
        <w:jc w:val="both"/>
        <w:rPr>
          <w:sz w:val="24"/>
          <w:szCs w:val="24"/>
        </w:rPr>
      </w:pPr>
      <w:r>
        <w:rPr>
          <w:sz w:val="24"/>
          <w:szCs w:val="24"/>
        </w:rPr>
        <w:t>Upon successful treatment outcome at month 3, the socio-economist did an evaluation of each of the 270 patients on treatment (Reward) group and developed a support plan so that rewards were packaged for purposes that facilitated access to care best suit the business capacity of the client. The main purpose of this intervention was to empower patients with suspected treatment failure and have them sustain themselves as they adhere to treatment.</w:t>
      </w:r>
    </w:p>
    <w:p w14:paraId="000001BD" w14:textId="77777777" w:rsidR="00655AEF" w:rsidRDefault="00000000">
      <w:pPr>
        <w:spacing w:after="240" w:line="360" w:lineRule="auto"/>
        <w:jc w:val="both"/>
        <w:rPr>
          <w:sz w:val="24"/>
          <w:szCs w:val="24"/>
        </w:rPr>
      </w:pPr>
      <w:r>
        <w:rPr>
          <w:sz w:val="24"/>
          <w:szCs w:val="24"/>
        </w:rPr>
        <w:t>The patients were followed up for a period six months</w:t>
      </w:r>
    </w:p>
    <w:p w14:paraId="000001BE" w14:textId="77777777" w:rsidR="00655AEF" w:rsidRDefault="00000000">
      <w:pPr>
        <w:spacing w:after="240" w:line="360" w:lineRule="auto"/>
        <w:jc w:val="both"/>
        <w:rPr>
          <w:sz w:val="24"/>
          <w:szCs w:val="24"/>
        </w:rPr>
      </w:pPr>
      <w:r>
        <w:rPr>
          <w:sz w:val="24"/>
          <w:szCs w:val="24"/>
        </w:rPr>
        <w:lastRenderedPageBreak/>
        <w:t>The other 243 patients on control were given normal care at the CCC.</w:t>
      </w:r>
    </w:p>
    <w:p w14:paraId="000001BF" w14:textId="77777777" w:rsidR="00655AEF" w:rsidRDefault="00000000">
      <w:pPr>
        <w:spacing w:after="240" w:line="360" w:lineRule="auto"/>
        <w:jc w:val="both"/>
        <w:rPr>
          <w:sz w:val="24"/>
          <w:szCs w:val="24"/>
        </w:rPr>
      </w:pPr>
      <w:r>
        <w:rPr>
          <w:sz w:val="24"/>
          <w:szCs w:val="24"/>
        </w:rPr>
        <w:t>Immunify life Technologies built a distributed ledger network to support a decentralized, safe and trusted precision healthcare ecosystem that provided over 100,000 transactions per second payment-for-outcomes, immutable records, patient contact tracing, data management and storage regardless of location meeting the strictest standards of privacy and data security.</w:t>
      </w:r>
    </w:p>
    <w:p w14:paraId="000001C0" w14:textId="77777777" w:rsidR="00655AEF" w:rsidRDefault="00000000">
      <w:pPr>
        <w:pStyle w:val="Heading2"/>
        <w:keepNext w:val="0"/>
        <w:keepLines w:val="0"/>
        <w:numPr>
          <w:ilvl w:val="1"/>
          <w:numId w:val="6"/>
        </w:numPr>
        <w:spacing w:before="0"/>
      </w:pPr>
      <w:bookmarkStart w:id="32" w:name="_heading=h.c68kc91hfzvv" w:colFirst="0" w:colLast="0"/>
      <w:bookmarkEnd w:id="32"/>
      <w:r>
        <w:t>Research Assistants</w:t>
      </w:r>
    </w:p>
    <w:p w14:paraId="000001C1" w14:textId="77777777" w:rsidR="00655AEF" w:rsidRDefault="00000000">
      <w:pPr>
        <w:spacing w:after="240" w:line="360" w:lineRule="auto"/>
        <w:jc w:val="both"/>
        <w:rPr>
          <w:sz w:val="24"/>
          <w:szCs w:val="24"/>
        </w:rPr>
      </w:pPr>
      <w:r>
        <w:rPr>
          <w:sz w:val="24"/>
          <w:szCs w:val="24"/>
        </w:rPr>
        <w:t>The programme adopted the existing paperless data capture used in Comprehensive Care Centers (CCC) of selected facilities in Kakamega County. Research assistants were trained on the e-mobile tool (Appendix II) for data capture.</w:t>
      </w:r>
    </w:p>
    <w:p w14:paraId="000001C2" w14:textId="77777777" w:rsidR="00655AEF" w:rsidRDefault="00000000">
      <w:pPr>
        <w:spacing w:after="240" w:line="360" w:lineRule="auto"/>
        <w:jc w:val="both"/>
        <w:rPr>
          <w:sz w:val="24"/>
          <w:szCs w:val="24"/>
        </w:rPr>
      </w:pPr>
      <w:r>
        <w:rPr>
          <w:sz w:val="24"/>
          <w:szCs w:val="24"/>
        </w:rPr>
        <w:t>Use and adherence to paperless data system for real time tracking patients in the continuum of care from testing, recruitment, ART initiation, retention in care and viral suppression was the driving outcome.</w:t>
      </w:r>
    </w:p>
    <w:p w14:paraId="000001C3" w14:textId="77777777" w:rsidR="00655AEF" w:rsidRDefault="00000000">
      <w:pPr>
        <w:pStyle w:val="Heading2"/>
        <w:keepNext w:val="0"/>
        <w:keepLines w:val="0"/>
        <w:numPr>
          <w:ilvl w:val="1"/>
          <w:numId w:val="6"/>
        </w:numPr>
        <w:spacing w:before="0"/>
        <w:rPr>
          <w:sz w:val="24"/>
          <w:szCs w:val="24"/>
        </w:rPr>
      </w:pPr>
      <w:bookmarkStart w:id="33" w:name="_heading=h.6qi13zrxc007" w:colFirst="0" w:colLast="0"/>
      <w:bookmarkEnd w:id="33"/>
      <w:r>
        <w:t>Ethical considerations</w:t>
      </w:r>
    </w:p>
    <w:p w14:paraId="000001C4" w14:textId="77777777" w:rsidR="00655AEF" w:rsidRDefault="00000000">
      <w:pPr>
        <w:spacing w:after="240" w:line="360" w:lineRule="auto"/>
        <w:jc w:val="both"/>
        <w:rPr>
          <w:sz w:val="24"/>
          <w:szCs w:val="24"/>
        </w:rPr>
      </w:pPr>
      <w:r>
        <w:rPr>
          <w:sz w:val="24"/>
          <w:szCs w:val="24"/>
        </w:rPr>
        <w:t>Ethical approval was sought from Institutional Ethics Review Committee (IERC) in MMUST, Kakamega County and NACOSTI. An approval from the Ministry of Health in Kakamega County was also sought before commencement of the research.</w:t>
      </w:r>
    </w:p>
    <w:p w14:paraId="000001C5" w14:textId="77777777" w:rsidR="00655AEF" w:rsidRDefault="00000000">
      <w:pPr>
        <w:pStyle w:val="Heading3"/>
        <w:numPr>
          <w:ilvl w:val="2"/>
          <w:numId w:val="6"/>
        </w:numPr>
        <w:rPr>
          <w:sz w:val="24"/>
          <w:szCs w:val="24"/>
        </w:rPr>
      </w:pPr>
      <w:bookmarkStart w:id="34" w:name="_heading=h.jke1ej7yivrh" w:colFirst="0" w:colLast="0"/>
      <w:bookmarkEnd w:id="34"/>
      <w:r>
        <w:rPr>
          <w:sz w:val="24"/>
          <w:szCs w:val="24"/>
        </w:rPr>
        <w:t>Autonomy-Informed consent</w:t>
      </w:r>
    </w:p>
    <w:p w14:paraId="000001C6" w14:textId="77777777" w:rsidR="00655AEF" w:rsidRDefault="00000000">
      <w:pPr>
        <w:spacing w:after="240" w:line="360" w:lineRule="auto"/>
        <w:jc w:val="both"/>
        <w:rPr>
          <w:sz w:val="24"/>
          <w:szCs w:val="24"/>
        </w:rPr>
      </w:pPr>
      <w:r>
        <w:rPr>
          <w:sz w:val="24"/>
          <w:szCs w:val="24"/>
        </w:rPr>
        <w:t>The purpose of the intervention was explained to all individuals identified for recruitment into the study. Informed consent was obtained from all individuals willing to participate in the study before any procedure was performed as part of the investigation by a trained member of the investigation team. Each participant was informed that participation in the investigation was voluntary and that s/he was free to withdraw, without justification, from the study at any time without consequences and without affecting professional responsibilities.</w:t>
      </w:r>
    </w:p>
    <w:p w14:paraId="000001C7" w14:textId="77777777" w:rsidR="00655AEF" w:rsidRDefault="00000000">
      <w:pPr>
        <w:pStyle w:val="Heading3"/>
        <w:numPr>
          <w:ilvl w:val="2"/>
          <w:numId w:val="6"/>
        </w:numPr>
        <w:rPr>
          <w:sz w:val="24"/>
          <w:szCs w:val="24"/>
        </w:rPr>
      </w:pPr>
      <w:bookmarkStart w:id="35" w:name="_heading=h.scz1cwcmr555" w:colFirst="0" w:colLast="0"/>
      <w:bookmarkEnd w:id="35"/>
      <w:r>
        <w:rPr>
          <w:sz w:val="24"/>
          <w:szCs w:val="24"/>
        </w:rPr>
        <w:t>Beneficence and Minimizing harm</w:t>
      </w:r>
    </w:p>
    <w:p w14:paraId="000001C8" w14:textId="77777777" w:rsidR="00655AEF" w:rsidRDefault="00000000">
      <w:pPr>
        <w:spacing w:after="240" w:line="360" w:lineRule="auto"/>
        <w:jc w:val="both"/>
        <w:rPr>
          <w:sz w:val="24"/>
          <w:szCs w:val="24"/>
        </w:rPr>
      </w:pPr>
      <w:r>
        <w:rPr>
          <w:sz w:val="24"/>
          <w:szCs w:val="24"/>
        </w:rPr>
        <w:t xml:space="preserve">This study posed minimal risk to participants, involving the collection of personal data. The primary benefit of the study was both direct and indirect in that data collected helped </w:t>
      </w:r>
      <w:r>
        <w:rPr>
          <w:sz w:val="24"/>
          <w:szCs w:val="24"/>
        </w:rPr>
        <w:lastRenderedPageBreak/>
        <w:t>improve and guide efforts to understand extent of incentives/tokens improving retention on treatment and might prevent further transmission of the virus.</w:t>
      </w:r>
    </w:p>
    <w:p w14:paraId="000001C9" w14:textId="77777777" w:rsidR="00655AEF" w:rsidRDefault="00000000">
      <w:pPr>
        <w:pStyle w:val="Heading3"/>
        <w:numPr>
          <w:ilvl w:val="2"/>
          <w:numId w:val="6"/>
        </w:numPr>
        <w:rPr>
          <w:sz w:val="24"/>
          <w:szCs w:val="24"/>
        </w:rPr>
      </w:pPr>
      <w:bookmarkStart w:id="36" w:name="_heading=h.hjpm6o1rf7v" w:colFirst="0" w:colLast="0"/>
      <w:bookmarkEnd w:id="36"/>
      <w:r>
        <w:rPr>
          <w:sz w:val="24"/>
          <w:szCs w:val="24"/>
        </w:rPr>
        <w:t>Justice</w:t>
      </w:r>
    </w:p>
    <w:p w14:paraId="000001CA" w14:textId="77777777" w:rsidR="00655AEF" w:rsidRDefault="00000000">
      <w:pPr>
        <w:spacing w:after="240" w:line="360" w:lineRule="auto"/>
        <w:jc w:val="both"/>
        <w:rPr>
          <w:sz w:val="24"/>
          <w:szCs w:val="24"/>
        </w:rPr>
      </w:pPr>
      <w:r>
        <w:rPr>
          <w:sz w:val="24"/>
          <w:szCs w:val="24"/>
        </w:rPr>
        <w:t>Any benefits that arose out of this study like preventive information will be disseminated to the communities that participated in the study. No group or class of persons bore more than its fair share of the burdens of participation in research and no group was deprived of its fair share of the benefits of research. These benefits as mentioned included the direct benefits of participation as well as the new knowledge that the research was designed to yield.</w:t>
      </w:r>
    </w:p>
    <w:p w14:paraId="000001CB" w14:textId="77777777" w:rsidR="00655AEF" w:rsidRDefault="00000000">
      <w:pPr>
        <w:pStyle w:val="Heading3"/>
        <w:numPr>
          <w:ilvl w:val="2"/>
          <w:numId w:val="6"/>
        </w:numPr>
        <w:rPr>
          <w:sz w:val="24"/>
          <w:szCs w:val="24"/>
        </w:rPr>
      </w:pPr>
      <w:bookmarkStart w:id="37" w:name="_heading=h.31zdhork49x4" w:colFirst="0" w:colLast="0"/>
      <w:bookmarkEnd w:id="37"/>
      <w:r>
        <w:rPr>
          <w:sz w:val="24"/>
          <w:szCs w:val="24"/>
        </w:rPr>
        <w:t>Confidentiality</w:t>
      </w:r>
    </w:p>
    <w:p w14:paraId="000001CC" w14:textId="77777777" w:rsidR="00655AEF" w:rsidRDefault="00000000">
      <w:pPr>
        <w:spacing w:after="240" w:line="360" w:lineRule="auto"/>
        <w:jc w:val="both"/>
        <w:rPr>
          <w:sz w:val="24"/>
          <w:szCs w:val="24"/>
        </w:rPr>
      </w:pPr>
      <w:r>
        <w:rPr>
          <w:sz w:val="24"/>
          <w:szCs w:val="24"/>
        </w:rPr>
        <w:t>Participant confidentiality was maintained throughout the investigation. All subjects who participate in the investigation were assigned a study identification number by the investigation team for the labeling of questionnaires and specimens. The link of this identification number to individuals was maintained by the investigation team and the University and will not be disclosed elsewhere. The Online data management system met the strictest standards of privacy and data security.</w:t>
      </w:r>
    </w:p>
    <w:p w14:paraId="000001CD" w14:textId="77777777" w:rsidR="00655AEF" w:rsidRDefault="00000000">
      <w:pPr>
        <w:pStyle w:val="Heading3"/>
        <w:numPr>
          <w:ilvl w:val="2"/>
          <w:numId w:val="6"/>
        </w:numPr>
        <w:rPr>
          <w:sz w:val="24"/>
          <w:szCs w:val="24"/>
        </w:rPr>
      </w:pPr>
      <w:bookmarkStart w:id="38" w:name="_heading=h.oxqae3ozgh6e" w:colFirst="0" w:colLast="0"/>
      <w:bookmarkEnd w:id="38"/>
      <w:r>
        <w:rPr>
          <w:sz w:val="24"/>
          <w:szCs w:val="24"/>
        </w:rPr>
        <w:t>Community considerations</w:t>
      </w:r>
    </w:p>
    <w:p w14:paraId="000001CE" w14:textId="77777777" w:rsidR="00655AEF" w:rsidRDefault="00000000">
      <w:pPr>
        <w:spacing w:after="240" w:line="360" w:lineRule="auto"/>
        <w:jc w:val="both"/>
        <w:rPr>
          <w:sz w:val="24"/>
          <w:szCs w:val="24"/>
        </w:rPr>
      </w:pPr>
      <w:r>
        <w:rPr>
          <w:sz w:val="24"/>
          <w:szCs w:val="24"/>
        </w:rPr>
        <w:t>The Researchers had duty of care to minimize any negative effects on communities such as stigma and promoting, as relevant, positive effects on communities, including those related to health effects through health education to address myths and infodemics. During contact tracing the researchers were sensitive to and respected the communities’ cultural, traditional and religious practices.</w:t>
      </w:r>
    </w:p>
    <w:p w14:paraId="000001CF" w14:textId="77777777" w:rsidR="00655AEF" w:rsidRDefault="00000000">
      <w:pPr>
        <w:pStyle w:val="Heading3"/>
        <w:numPr>
          <w:ilvl w:val="2"/>
          <w:numId w:val="6"/>
        </w:numPr>
        <w:rPr>
          <w:sz w:val="24"/>
          <w:szCs w:val="24"/>
        </w:rPr>
      </w:pPr>
      <w:bookmarkStart w:id="39" w:name="_heading=h.vo8ylloodpt" w:colFirst="0" w:colLast="0"/>
      <w:bookmarkEnd w:id="39"/>
      <w:r>
        <w:rPr>
          <w:sz w:val="24"/>
          <w:szCs w:val="24"/>
        </w:rPr>
        <w:t>Prevention of COVID-19 virus infection in investigation personnel</w:t>
      </w:r>
    </w:p>
    <w:p w14:paraId="000001D0" w14:textId="77777777" w:rsidR="00655AEF" w:rsidRDefault="00000000">
      <w:pPr>
        <w:spacing w:after="240" w:line="360" w:lineRule="auto"/>
        <w:jc w:val="both"/>
        <w:rPr>
          <w:sz w:val="24"/>
          <w:szCs w:val="24"/>
        </w:rPr>
      </w:pPr>
      <w:r>
        <w:rPr>
          <w:sz w:val="24"/>
          <w:szCs w:val="24"/>
        </w:rPr>
        <w:t>All personnel involved in the study were trained in infection prevention and control procedures (standard contact and droplet precautions, as per national guidelines). These procedures included proper hand hygiene and the correct use of surgical masks, where necessary, not only to minimize their own risk of infection but also minimizing the risk of spread among other participants in the study. There was a provision of face masks and sanitizers to the research personnel.</w:t>
      </w:r>
    </w:p>
    <w:p w14:paraId="000001D1" w14:textId="77777777" w:rsidR="00655AEF" w:rsidRDefault="00655AEF">
      <w:pPr>
        <w:spacing w:after="240" w:line="360" w:lineRule="auto"/>
        <w:jc w:val="both"/>
        <w:rPr>
          <w:sz w:val="24"/>
          <w:szCs w:val="24"/>
        </w:rPr>
      </w:pPr>
    </w:p>
    <w:p w14:paraId="000001D2" w14:textId="77777777" w:rsidR="00655AEF" w:rsidRDefault="00655AEF">
      <w:pPr>
        <w:spacing w:after="240" w:line="360" w:lineRule="auto"/>
        <w:jc w:val="both"/>
        <w:rPr>
          <w:sz w:val="24"/>
          <w:szCs w:val="24"/>
        </w:rPr>
      </w:pPr>
    </w:p>
    <w:p w14:paraId="000001D3" w14:textId="77777777" w:rsidR="00655AEF" w:rsidRDefault="00655AEF">
      <w:pPr>
        <w:spacing w:after="240" w:line="360" w:lineRule="auto"/>
        <w:jc w:val="both"/>
        <w:rPr>
          <w:sz w:val="24"/>
          <w:szCs w:val="24"/>
        </w:rPr>
      </w:pPr>
    </w:p>
    <w:p w14:paraId="000001D4" w14:textId="77777777" w:rsidR="00655AEF" w:rsidRDefault="00655AEF">
      <w:pPr>
        <w:spacing w:after="240" w:line="360" w:lineRule="auto"/>
        <w:jc w:val="both"/>
        <w:rPr>
          <w:sz w:val="24"/>
          <w:szCs w:val="24"/>
        </w:rPr>
      </w:pPr>
    </w:p>
    <w:p w14:paraId="000001D5" w14:textId="77777777" w:rsidR="00655AEF" w:rsidRDefault="00655AEF">
      <w:pPr>
        <w:spacing w:after="240" w:line="360" w:lineRule="auto"/>
        <w:jc w:val="both"/>
        <w:rPr>
          <w:sz w:val="24"/>
          <w:szCs w:val="24"/>
        </w:rPr>
      </w:pPr>
    </w:p>
    <w:p w14:paraId="000001D6" w14:textId="77777777" w:rsidR="00655AEF" w:rsidRDefault="00655AEF">
      <w:pPr>
        <w:spacing w:after="240" w:line="360" w:lineRule="auto"/>
        <w:jc w:val="both"/>
        <w:rPr>
          <w:sz w:val="24"/>
          <w:szCs w:val="24"/>
        </w:rPr>
      </w:pPr>
    </w:p>
    <w:p w14:paraId="000001D7" w14:textId="77777777" w:rsidR="00655AEF" w:rsidRDefault="00655AEF">
      <w:pPr>
        <w:spacing w:after="240" w:line="360" w:lineRule="auto"/>
        <w:jc w:val="both"/>
        <w:rPr>
          <w:sz w:val="24"/>
          <w:szCs w:val="24"/>
        </w:rPr>
      </w:pPr>
    </w:p>
    <w:p w14:paraId="000001D8" w14:textId="77777777" w:rsidR="00655AEF" w:rsidRDefault="00655AEF">
      <w:pPr>
        <w:spacing w:after="240" w:line="360" w:lineRule="auto"/>
        <w:jc w:val="both"/>
        <w:rPr>
          <w:sz w:val="24"/>
          <w:szCs w:val="24"/>
        </w:rPr>
      </w:pPr>
    </w:p>
    <w:p w14:paraId="000001D9" w14:textId="77777777" w:rsidR="00655AEF" w:rsidRDefault="00000000">
      <w:pPr>
        <w:pStyle w:val="Heading1"/>
        <w:spacing w:before="0" w:after="240" w:line="360" w:lineRule="auto"/>
        <w:jc w:val="center"/>
      </w:pPr>
      <w:bookmarkStart w:id="40" w:name="_heading=h.dkfvf5sxrwye" w:colFirst="0" w:colLast="0"/>
      <w:bookmarkEnd w:id="40"/>
      <w:r>
        <w:t>CHAPTER THREE</w:t>
      </w:r>
    </w:p>
    <w:p w14:paraId="000001DA" w14:textId="77777777" w:rsidR="00655AEF" w:rsidRDefault="00000000">
      <w:pPr>
        <w:pStyle w:val="Heading1"/>
        <w:spacing w:before="0" w:after="240" w:line="360" w:lineRule="auto"/>
        <w:jc w:val="center"/>
      </w:pPr>
      <w:bookmarkStart w:id="41" w:name="_heading=h.fuz8katm7ntf" w:colFirst="0" w:colLast="0"/>
      <w:bookmarkEnd w:id="41"/>
      <w:r>
        <w:t>DATA PRESENTATION ANALYSIS AND DISCUSSIONS</w:t>
      </w:r>
    </w:p>
    <w:p w14:paraId="000001DB" w14:textId="77777777" w:rsidR="00655AEF" w:rsidRDefault="00000000">
      <w:pPr>
        <w:pStyle w:val="Heading2"/>
        <w:keepNext w:val="0"/>
        <w:keepLines w:val="0"/>
        <w:numPr>
          <w:ilvl w:val="1"/>
          <w:numId w:val="11"/>
        </w:numPr>
        <w:spacing w:before="0"/>
      </w:pPr>
      <w:bookmarkStart w:id="42" w:name="_heading=h.tp0xkadiqpe5" w:colFirst="0" w:colLast="0"/>
      <w:bookmarkEnd w:id="42"/>
      <w:r>
        <w:t>Overview</w:t>
      </w:r>
    </w:p>
    <w:p w14:paraId="000001DC" w14:textId="77777777" w:rsidR="00655AEF" w:rsidRDefault="00000000">
      <w:pPr>
        <w:spacing w:after="240" w:line="360" w:lineRule="auto"/>
        <w:jc w:val="both"/>
        <w:rPr>
          <w:sz w:val="24"/>
          <w:szCs w:val="24"/>
        </w:rPr>
      </w:pPr>
      <w:r>
        <w:rPr>
          <w:sz w:val="24"/>
          <w:szCs w:val="24"/>
        </w:rPr>
        <w:t xml:space="preserve">This chapter presents a comprehensive overview of the data collected during the study, “Evaluation of Reward System on HIV Treatment Outcomes of Patients with Suspected Treatment Failure at Kakamega County, Kenya.” It outlines the systematic process through which raw data was organized, summarized, and prepared for in-depth analysis. The chapter begins by detailing the methods used for data presentation, ensuring clarity and accessibility of the findings. Subsequently, it delves into the rigorous analytical techniques employed, encompassing both quantitative and qualitative approaches as dictated by the mixed-methods quasi-experimental design. The core of this chapter lies in the discussion of the analyzed data, where the findings are interpreted in relation to the study’s specific objectives and research questions. This section critically examines the outcomes of the reward system, identifies the multifaceted factors influencing patient retention, and explores how the proposed integrated system can enhance treatment adherence. The discussions </w:t>
      </w:r>
      <w:proofErr w:type="gramStart"/>
      <w:r>
        <w:rPr>
          <w:sz w:val="24"/>
          <w:szCs w:val="24"/>
        </w:rPr>
        <w:t>draws</w:t>
      </w:r>
      <w:proofErr w:type="gramEnd"/>
      <w:r>
        <w:rPr>
          <w:sz w:val="24"/>
          <w:szCs w:val="24"/>
        </w:rPr>
        <w:t xml:space="preserve"> connections between the observed data and existing literature, highlighting implications for policy and practice in HIV care within Kakamega </w:t>
      </w:r>
      <w:r>
        <w:rPr>
          <w:sz w:val="24"/>
          <w:szCs w:val="24"/>
        </w:rPr>
        <w:lastRenderedPageBreak/>
        <w:t>County and similar resource-limited settings.</w:t>
      </w:r>
    </w:p>
    <w:p w14:paraId="000001DD" w14:textId="77777777" w:rsidR="00655AEF" w:rsidRDefault="00000000">
      <w:pPr>
        <w:pStyle w:val="Heading2"/>
        <w:keepNext w:val="0"/>
        <w:keepLines w:val="0"/>
        <w:numPr>
          <w:ilvl w:val="1"/>
          <w:numId w:val="11"/>
        </w:numPr>
        <w:spacing w:before="0"/>
      </w:pPr>
      <w:bookmarkStart w:id="43" w:name="_heading=h.91p95rxyrznz" w:colFirst="0" w:colLast="0"/>
      <w:bookmarkEnd w:id="43"/>
      <w:r>
        <w:t>Findings</w:t>
      </w:r>
    </w:p>
    <w:p w14:paraId="000001DE" w14:textId="77777777" w:rsidR="00655AEF" w:rsidRDefault="00000000">
      <w:pPr>
        <w:pStyle w:val="Heading3"/>
        <w:numPr>
          <w:ilvl w:val="2"/>
          <w:numId w:val="11"/>
        </w:numPr>
        <w:rPr>
          <w:sz w:val="24"/>
          <w:szCs w:val="24"/>
        </w:rPr>
      </w:pPr>
      <w:bookmarkStart w:id="44" w:name="_heading=h.wiuyvvh3fvvu" w:colFirst="0" w:colLast="0"/>
      <w:bookmarkEnd w:id="44"/>
      <w:r>
        <w:rPr>
          <w:sz w:val="24"/>
          <w:szCs w:val="24"/>
        </w:rPr>
        <w:t>Occupational Status of Study Participants</w:t>
      </w:r>
    </w:p>
    <w:p w14:paraId="000001DF" w14:textId="77777777" w:rsidR="00655AEF" w:rsidRDefault="00000000">
      <w:pPr>
        <w:spacing w:after="240" w:line="360" w:lineRule="auto"/>
        <w:jc w:val="both"/>
        <w:rPr>
          <w:sz w:val="24"/>
          <w:szCs w:val="24"/>
        </w:rPr>
      </w:pPr>
      <w:r>
        <w:rPr>
          <w:sz w:val="24"/>
          <w:szCs w:val="24"/>
        </w:rPr>
        <w:t>The occupational data presented provides a critical socioeconomic profile of the study population, revealing the underlying economic vulnerabilities that likely influence their ability to access and sustain HIV treatment. With a total of 503 participants in a sample size of 513 participants, the distribution of occupations highlighted significant challenges related to employment stability and financial security.</w:t>
      </w:r>
    </w:p>
    <w:p w14:paraId="000001E0" w14:textId="77777777" w:rsidR="00655AEF" w:rsidRDefault="00000000">
      <w:pPr>
        <w:spacing w:after="240" w:line="360" w:lineRule="auto"/>
        <w:jc w:val="both"/>
        <w:rPr>
          <w:sz w:val="24"/>
          <w:szCs w:val="24"/>
        </w:rPr>
      </w:pPr>
      <w:r>
        <w:rPr>
          <w:sz w:val="24"/>
          <w:szCs w:val="24"/>
        </w:rPr>
        <w:t>The most striking finding is that over half of the participants, 50.5% (254 individuals), were Not Employed. This demographic reality is a major and undeniable barrier to consistent healthcare. Being unemployed often translates to a complete lack of a stable income, which can make it impossible for patients to cover even the indirect costs associated with care, such as transportation to health facilities, food, and other household expenses. This finding strongly correlates with the reason for stopping treatment (Patient lack of finance) and validates the assumption that socioeconomic status is a critical factor in treatment retention.</w:t>
      </w:r>
    </w:p>
    <w:p w14:paraId="000001E1" w14:textId="77777777" w:rsidR="00655AEF" w:rsidRDefault="00000000">
      <w:pPr>
        <w:spacing w:after="240" w:line="360" w:lineRule="auto"/>
        <w:jc w:val="both"/>
        <w:rPr>
          <w:sz w:val="24"/>
          <w:szCs w:val="24"/>
        </w:rPr>
      </w:pPr>
      <w:r>
        <w:rPr>
          <w:sz w:val="24"/>
          <w:szCs w:val="24"/>
        </w:rPr>
        <w:t xml:space="preserve">The remaining employed portion of the sample is primarily engaged in precarious or informal work. Casual workers constitute 27.8% (140 individuals), and the Self Employed make up 20.7% (104 individuals). </w:t>
      </w:r>
      <w:proofErr w:type="gramStart"/>
      <w:r>
        <w:rPr>
          <w:sz w:val="24"/>
          <w:szCs w:val="24"/>
        </w:rPr>
        <w:t>Both of these</w:t>
      </w:r>
      <w:proofErr w:type="gramEnd"/>
      <w:r>
        <w:rPr>
          <w:sz w:val="24"/>
          <w:szCs w:val="24"/>
        </w:rPr>
        <w:t xml:space="preserve"> categories are characterized by unstable and often low-wage incomes. Casual work provides no security or benefits, and the income can be highly unpredictable. Similarly, self-employment in this context is likely to be informal, small-scale, and vulnerable to economic shocks. The collective instability of these occupations means that a vast majority of the study population lacks the financial buffer needed to navigate the challenges of a chronic illness.</w:t>
      </w:r>
    </w:p>
    <w:p w14:paraId="000001E2" w14:textId="77777777" w:rsidR="00655AEF" w:rsidRDefault="00000000">
      <w:pPr>
        <w:spacing w:after="240" w:line="360" w:lineRule="auto"/>
        <w:jc w:val="both"/>
        <w:rPr>
          <w:sz w:val="24"/>
          <w:szCs w:val="24"/>
        </w:rPr>
      </w:pPr>
      <w:r>
        <w:rPr>
          <w:sz w:val="24"/>
          <w:szCs w:val="24"/>
        </w:rPr>
        <w:t xml:space="preserve">In stark contrast, only a minuscule 1.0% (5 individuals) are Salaried. This figure underscores the limited representation of individuals in formal, stable employment with regular income and potential benefits like health insurance or paid sick leave. The overwhelming majority of the population lacks this support system, making them far more susceptible to treatment interruptions when faced with a financial setback or the </w:t>
      </w:r>
      <w:r>
        <w:rPr>
          <w:sz w:val="24"/>
          <w:szCs w:val="24"/>
        </w:rPr>
        <w:lastRenderedPageBreak/>
        <w:t>need to take time off work for clinic appointments.</w:t>
      </w:r>
    </w:p>
    <w:p w14:paraId="000001E3" w14:textId="77777777" w:rsidR="00655AEF" w:rsidRDefault="00000000">
      <w:pPr>
        <w:spacing w:after="240" w:line="360" w:lineRule="auto"/>
        <w:jc w:val="both"/>
        <w:rPr>
          <w:sz w:val="24"/>
          <w:szCs w:val="24"/>
        </w:rPr>
      </w:pPr>
      <w:r>
        <w:rPr>
          <w:sz w:val="24"/>
          <w:szCs w:val="24"/>
        </w:rPr>
        <w:t>In the broader context of the study’s objectives, this occupational data provides a powerful rationale for investigating the impact of a reward system. The findings suggest that the challenges of treatment adherence and retention are not solely clinical or behavioral; they are fundamentally rooted in the socioeconomic realities of the patients. An integrated reward system, as proposed, could serve as a direct intervention to mitigate these financial barriers by providing a tangible incentive that helps cover costs and motivates sustained engagement with the healthcare system. The occupational profile of the participants confirms that any successful strategy to improve HIV treatment outcomes in this population must address the profound effects of unemployment and economic precarity.</w:t>
      </w:r>
    </w:p>
    <w:p w14:paraId="000001E4" w14:textId="77777777" w:rsidR="00655AEF" w:rsidRDefault="00655AEF">
      <w:pPr>
        <w:spacing w:after="240" w:line="360" w:lineRule="auto"/>
        <w:jc w:val="both"/>
        <w:rPr>
          <w:sz w:val="24"/>
          <w:szCs w:val="24"/>
        </w:rPr>
      </w:pPr>
    </w:p>
    <w:p w14:paraId="000001E5" w14:textId="77777777" w:rsidR="00655AEF" w:rsidRDefault="00655AEF">
      <w:pPr>
        <w:rPr>
          <w:sz w:val="24"/>
          <w:szCs w:val="24"/>
        </w:rPr>
      </w:pPr>
    </w:p>
    <w:p w14:paraId="000001E6" w14:textId="77777777" w:rsidR="00655AEF" w:rsidRDefault="00000000">
      <w:pPr>
        <w:rPr>
          <w:sz w:val="24"/>
          <w:szCs w:val="24"/>
        </w:rPr>
      </w:pPr>
      <w:r>
        <w:rPr>
          <w:sz w:val="24"/>
          <w:szCs w:val="24"/>
        </w:rPr>
        <w:tab/>
      </w:r>
    </w:p>
    <w:p w14:paraId="000001E7" w14:textId="77777777" w:rsidR="00655AEF" w:rsidRDefault="00000000">
      <w:pPr>
        <w:keepNext/>
        <w:pBdr>
          <w:top w:val="nil"/>
          <w:left w:val="nil"/>
          <w:bottom w:val="nil"/>
          <w:right w:val="nil"/>
          <w:between w:val="nil"/>
        </w:pBdr>
        <w:spacing w:after="200"/>
        <w:rPr>
          <w:b/>
          <w:color w:val="4F81BD"/>
          <w:sz w:val="18"/>
          <w:szCs w:val="18"/>
        </w:rPr>
      </w:pPr>
      <w:bookmarkStart w:id="45" w:name="_heading=h.wrcpnhfhnx96" w:colFirst="0" w:colLast="0"/>
      <w:bookmarkEnd w:id="45"/>
      <w:r>
        <w:rPr>
          <w:b/>
          <w:color w:val="4F81BD"/>
          <w:sz w:val="18"/>
          <w:szCs w:val="18"/>
        </w:rPr>
        <w:t>Table 3: Respondents’ occupation</w:t>
      </w:r>
    </w:p>
    <w:tbl>
      <w:tblPr>
        <w:tblStyle w:val="a1"/>
        <w:tblW w:w="9450" w:type="dxa"/>
        <w:tblInd w:w="0" w:type="dxa"/>
        <w:tblLayout w:type="fixed"/>
        <w:tblLook w:val="0000" w:firstRow="0" w:lastRow="0" w:firstColumn="0" w:lastColumn="0" w:noHBand="0" w:noVBand="0"/>
      </w:tblPr>
      <w:tblGrid>
        <w:gridCol w:w="894"/>
        <w:gridCol w:w="5226"/>
        <w:gridCol w:w="1980"/>
        <w:gridCol w:w="1350"/>
      </w:tblGrid>
      <w:tr w:rsidR="00655AEF" w14:paraId="7F34E531" w14:textId="77777777">
        <w:trPr>
          <w:cantSplit/>
          <w:trHeight w:val="279"/>
        </w:trPr>
        <w:tc>
          <w:tcPr>
            <w:tcW w:w="6120" w:type="dxa"/>
            <w:gridSpan w:val="2"/>
            <w:shd w:val="clear" w:color="auto" w:fill="FFFFFF"/>
            <w:tcMar>
              <w:top w:w="0" w:type="dxa"/>
              <w:left w:w="0" w:type="dxa"/>
              <w:bottom w:w="0" w:type="dxa"/>
              <w:right w:w="0" w:type="dxa"/>
            </w:tcMar>
          </w:tcPr>
          <w:p w14:paraId="000001E8"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1EA" w14:textId="77777777" w:rsidR="00655AEF" w:rsidRDefault="00000000">
            <w:pPr>
              <w:rPr>
                <w:sz w:val="24"/>
                <w:szCs w:val="24"/>
              </w:rPr>
            </w:pPr>
            <w:r>
              <w:rPr>
                <w:sz w:val="24"/>
                <w:szCs w:val="24"/>
              </w:rPr>
              <w:t>Frequency</w:t>
            </w:r>
          </w:p>
        </w:tc>
        <w:tc>
          <w:tcPr>
            <w:tcW w:w="1350" w:type="dxa"/>
            <w:shd w:val="clear" w:color="auto" w:fill="FFFFFF"/>
            <w:tcMar>
              <w:top w:w="0" w:type="dxa"/>
              <w:left w:w="0" w:type="dxa"/>
              <w:bottom w:w="0" w:type="dxa"/>
              <w:right w:w="0" w:type="dxa"/>
            </w:tcMar>
          </w:tcPr>
          <w:p w14:paraId="000001EB" w14:textId="77777777" w:rsidR="00655AEF" w:rsidRDefault="00000000">
            <w:pPr>
              <w:rPr>
                <w:sz w:val="24"/>
                <w:szCs w:val="24"/>
              </w:rPr>
            </w:pPr>
            <w:r>
              <w:rPr>
                <w:sz w:val="24"/>
                <w:szCs w:val="24"/>
              </w:rPr>
              <w:t>Percent</w:t>
            </w:r>
          </w:p>
        </w:tc>
      </w:tr>
      <w:tr w:rsidR="00655AEF" w14:paraId="2B499239" w14:textId="77777777">
        <w:trPr>
          <w:cantSplit/>
          <w:trHeight w:val="279"/>
        </w:trPr>
        <w:tc>
          <w:tcPr>
            <w:tcW w:w="894" w:type="dxa"/>
            <w:vMerge w:val="restart"/>
            <w:shd w:val="clear" w:color="auto" w:fill="FFFFFF"/>
            <w:tcMar>
              <w:top w:w="0" w:type="dxa"/>
              <w:left w:w="0" w:type="dxa"/>
              <w:bottom w:w="0" w:type="dxa"/>
              <w:right w:w="0" w:type="dxa"/>
            </w:tcMar>
            <w:vAlign w:val="center"/>
          </w:tcPr>
          <w:p w14:paraId="000001EC" w14:textId="77777777" w:rsidR="00655AEF" w:rsidRDefault="00655AEF">
            <w:pPr>
              <w:rPr>
                <w:sz w:val="24"/>
                <w:szCs w:val="24"/>
              </w:rPr>
            </w:pPr>
          </w:p>
        </w:tc>
        <w:tc>
          <w:tcPr>
            <w:tcW w:w="5226" w:type="dxa"/>
            <w:tcBorders>
              <w:top w:val="single" w:sz="4" w:space="0" w:color="000000"/>
            </w:tcBorders>
            <w:shd w:val="clear" w:color="auto" w:fill="FFFFFF"/>
            <w:tcMar>
              <w:top w:w="0" w:type="dxa"/>
              <w:left w:w="0" w:type="dxa"/>
              <w:bottom w:w="0" w:type="dxa"/>
              <w:right w:w="0" w:type="dxa"/>
            </w:tcMar>
            <w:vAlign w:val="center"/>
          </w:tcPr>
          <w:p w14:paraId="000001ED" w14:textId="77777777" w:rsidR="00655AEF" w:rsidRDefault="00000000">
            <w:pPr>
              <w:rPr>
                <w:sz w:val="24"/>
                <w:szCs w:val="24"/>
              </w:rPr>
            </w:pPr>
            <w:r>
              <w:rPr>
                <w:sz w:val="24"/>
                <w:szCs w:val="24"/>
              </w:rPr>
              <w:t>Casual</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1EE" w14:textId="77777777" w:rsidR="00655AEF" w:rsidRDefault="00000000">
            <w:pPr>
              <w:rPr>
                <w:sz w:val="24"/>
                <w:szCs w:val="24"/>
              </w:rPr>
            </w:pPr>
            <w:r>
              <w:rPr>
                <w:sz w:val="24"/>
                <w:szCs w:val="24"/>
              </w:rPr>
              <w:t>140</w:t>
            </w:r>
          </w:p>
        </w:tc>
        <w:tc>
          <w:tcPr>
            <w:tcW w:w="1350" w:type="dxa"/>
            <w:tcBorders>
              <w:top w:val="single" w:sz="4" w:space="0" w:color="000000"/>
            </w:tcBorders>
            <w:shd w:val="clear" w:color="auto" w:fill="FFFFFF"/>
            <w:tcMar>
              <w:top w:w="0" w:type="dxa"/>
              <w:left w:w="0" w:type="dxa"/>
              <w:bottom w:w="0" w:type="dxa"/>
              <w:right w:w="0" w:type="dxa"/>
            </w:tcMar>
            <w:vAlign w:val="center"/>
          </w:tcPr>
          <w:p w14:paraId="000001EF" w14:textId="77777777" w:rsidR="00655AEF" w:rsidRDefault="00000000">
            <w:pPr>
              <w:rPr>
                <w:sz w:val="24"/>
                <w:szCs w:val="24"/>
              </w:rPr>
            </w:pPr>
            <w:r>
              <w:rPr>
                <w:sz w:val="24"/>
                <w:szCs w:val="24"/>
              </w:rPr>
              <w:t>27.8</w:t>
            </w:r>
          </w:p>
        </w:tc>
      </w:tr>
      <w:tr w:rsidR="00655AEF" w14:paraId="407B4D21" w14:textId="77777777">
        <w:trPr>
          <w:cantSplit/>
          <w:trHeight w:val="145"/>
        </w:trPr>
        <w:tc>
          <w:tcPr>
            <w:tcW w:w="894" w:type="dxa"/>
            <w:vMerge/>
            <w:shd w:val="clear" w:color="auto" w:fill="FFFFFF"/>
            <w:tcMar>
              <w:top w:w="0" w:type="dxa"/>
              <w:left w:w="0" w:type="dxa"/>
              <w:bottom w:w="0" w:type="dxa"/>
              <w:right w:w="0" w:type="dxa"/>
            </w:tcMar>
            <w:vAlign w:val="center"/>
          </w:tcPr>
          <w:p w14:paraId="000001F0" w14:textId="77777777" w:rsidR="00655AEF" w:rsidRDefault="00655AEF">
            <w:pPr>
              <w:pBdr>
                <w:top w:val="nil"/>
                <w:left w:val="nil"/>
                <w:bottom w:val="nil"/>
                <w:right w:val="nil"/>
                <w:between w:val="nil"/>
              </w:pBdr>
              <w:spacing w:line="276" w:lineRule="auto"/>
              <w:rPr>
                <w:sz w:val="24"/>
                <w:szCs w:val="24"/>
              </w:rPr>
            </w:pPr>
          </w:p>
        </w:tc>
        <w:tc>
          <w:tcPr>
            <w:tcW w:w="5226" w:type="dxa"/>
            <w:shd w:val="clear" w:color="auto" w:fill="FFFFFF"/>
            <w:tcMar>
              <w:top w:w="0" w:type="dxa"/>
              <w:left w:w="0" w:type="dxa"/>
              <w:bottom w:w="0" w:type="dxa"/>
              <w:right w:w="0" w:type="dxa"/>
            </w:tcMar>
            <w:vAlign w:val="center"/>
          </w:tcPr>
          <w:p w14:paraId="000001F1" w14:textId="77777777" w:rsidR="00655AEF" w:rsidRDefault="00000000">
            <w:pPr>
              <w:rPr>
                <w:sz w:val="24"/>
                <w:szCs w:val="24"/>
              </w:rPr>
            </w:pPr>
            <w:r>
              <w:rPr>
                <w:sz w:val="24"/>
                <w:szCs w:val="24"/>
              </w:rPr>
              <w:t>Not Employed</w:t>
            </w:r>
          </w:p>
        </w:tc>
        <w:tc>
          <w:tcPr>
            <w:tcW w:w="1980" w:type="dxa"/>
            <w:shd w:val="clear" w:color="auto" w:fill="FFFFFF"/>
            <w:tcMar>
              <w:top w:w="0" w:type="dxa"/>
              <w:left w:w="0" w:type="dxa"/>
              <w:bottom w:w="0" w:type="dxa"/>
              <w:right w:w="0" w:type="dxa"/>
            </w:tcMar>
            <w:vAlign w:val="center"/>
          </w:tcPr>
          <w:p w14:paraId="000001F2" w14:textId="77777777" w:rsidR="00655AEF" w:rsidRDefault="00000000">
            <w:pPr>
              <w:rPr>
                <w:sz w:val="24"/>
                <w:szCs w:val="24"/>
              </w:rPr>
            </w:pPr>
            <w:r>
              <w:rPr>
                <w:sz w:val="24"/>
                <w:szCs w:val="24"/>
              </w:rPr>
              <w:t>254</w:t>
            </w:r>
          </w:p>
        </w:tc>
        <w:tc>
          <w:tcPr>
            <w:tcW w:w="1350" w:type="dxa"/>
            <w:shd w:val="clear" w:color="auto" w:fill="FFFFFF"/>
            <w:tcMar>
              <w:top w:w="0" w:type="dxa"/>
              <w:left w:w="0" w:type="dxa"/>
              <w:bottom w:w="0" w:type="dxa"/>
              <w:right w:w="0" w:type="dxa"/>
            </w:tcMar>
            <w:vAlign w:val="center"/>
          </w:tcPr>
          <w:p w14:paraId="000001F3" w14:textId="77777777" w:rsidR="00655AEF" w:rsidRDefault="00000000">
            <w:pPr>
              <w:rPr>
                <w:sz w:val="24"/>
                <w:szCs w:val="24"/>
              </w:rPr>
            </w:pPr>
            <w:r>
              <w:rPr>
                <w:sz w:val="24"/>
                <w:szCs w:val="24"/>
              </w:rPr>
              <w:t>50.5</w:t>
            </w:r>
          </w:p>
        </w:tc>
      </w:tr>
      <w:tr w:rsidR="00655AEF" w14:paraId="554ABC36" w14:textId="77777777">
        <w:trPr>
          <w:cantSplit/>
          <w:trHeight w:val="145"/>
        </w:trPr>
        <w:tc>
          <w:tcPr>
            <w:tcW w:w="894" w:type="dxa"/>
            <w:vMerge/>
            <w:shd w:val="clear" w:color="auto" w:fill="FFFFFF"/>
            <w:tcMar>
              <w:top w:w="0" w:type="dxa"/>
              <w:left w:w="0" w:type="dxa"/>
              <w:bottom w:w="0" w:type="dxa"/>
              <w:right w:w="0" w:type="dxa"/>
            </w:tcMar>
            <w:vAlign w:val="center"/>
          </w:tcPr>
          <w:p w14:paraId="000001F4" w14:textId="77777777" w:rsidR="00655AEF" w:rsidRDefault="00655AEF">
            <w:pPr>
              <w:pBdr>
                <w:top w:val="nil"/>
                <w:left w:val="nil"/>
                <w:bottom w:val="nil"/>
                <w:right w:val="nil"/>
                <w:between w:val="nil"/>
              </w:pBdr>
              <w:spacing w:line="276" w:lineRule="auto"/>
              <w:rPr>
                <w:sz w:val="24"/>
                <w:szCs w:val="24"/>
              </w:rPr>
            </w:pPr>
          </w:p>
        </w:tc>
        <w:tc>
          <w:tcPr>
            <w:tcW w:w="5226" w:type="dxa"/>
            <w:shd w:val="clear" w:color="auto" w:fill="FFFFFF"/>
            <w:tcMar>
              <w:top w:w="0" w:type="dxa"/>
              <w:left w:w="0" w:type="dxa"/>
              <w:bottom w:w="0" w:type="dxa"/>
              <w:right w:w="0" w:type="dxa"/>
            </w:tcMar>
            <w:vAlign w:val="center"/>
          </w:tcPr>
          <w:p w14:paraId="000001F5" w14:textId="77777777" w:rsidR="00655AEF" w:rsidRDefault="00000000">
            <w:pPr>
              <w:rPr>
                <w:sz w:val="24"/>
                <w:szCs w:val="24"/>
              </w:rPr>
            </w:pPr>
            <w:r>
              <w:rPr>
                <w:sz w:val="24"/>
                <w:szCs w:val="24"/>
              </w:rPr>
              <w:t>Salaried</w:t>
            </w:r>
          </w:p>
        </w:tc>
        <w:tc>
          <w:tcPr>
            <w:tcW w:w="1980" w:type="dxa"/>
            <w:shd w:val="clear" w:color="auto" w:fill="FFFFFF"/>
            <w:tcMar>
              <w:top w:w="0" w:type="dxa"/>
              <w:left w:w="0" w:type="dxa"/>
              <w:bottom w:w="0" w:type="dxa"/>
              <w:right w:w="0" w:type="dxa"/>
            </w:tcMar>
            <w:vAlign w:val="center"/>
          </w:tcPr>
          <w:p w14:paraId="000001F6" w14:textId="77777777" w:rsidR="00655AEF" w:rsidRDefault="00000000">
            <w:pPr>
              <w:rPr>
                <w:sz w:val="24"/>
                <w:szCs w:val="24"/>
              </w:rPr>
            </w:pPr>
            <w:r>
              <w:rPr>
                <w:sz w:val="24"/>
                <w:szCs w:val="24"/>
              </w:rPr>
              <w:t>5</w:t>
            </w:r>
          </w:p>
        </w:tc>
        <w:tc>
          <w:tcPr>
            <w:tcW w:w="1350" w:type="dxa"/>
            <w:shd w:val="clear" w:color="auto" w:fill="FFFFFF"/>
            <w:tcMar>
              <w:top w:w="0" w:type="dxa"/>
              <w:left w:w="0" w:type="dxa"/>
              <w:bottom w:w="0" w:type="dxa"/>
              <w:right w:w="0" w:type="dxa"/>
            </w:tcMar>
            <w:vAlign w:val="center"/>
          </w:tcPr>
          <w:p w14:paraId="000001F7" w14:textId="77777777" w:rsidR="00655AEF" w:rsidRDefault="00000000">
            <w:pPr>
              <w:rPr>
                <w:sz w:val="24"/>
                <w:szCs w:val="24"/>
              </w:rPr>
            </w:pPr>
            <w:r>
              <w:rPr>
                <w:sz w:val="24"/>
                <w:szCs w:val="24"/>
              </w:rPr>
              <w:t>1.0</w:t>
            </w:r>
          </w:p>
        </w:tc>
      </w:tr>
      <w:tr w:rsidR="00655AEF" w14:paraId="2F233990" w14:textId="77777777">
        <w:trPr>
          <w:cantSplit/>
          <w:trHeight w:val="145"/>
        </w:trPr>
        <w:tc>
          <w:tcPr>
            <w:tcW w:w="894" w:type="dxa"/>
            <w:vMerge/>
            <w:shd w:val="clear" w:color="auto" w:fill="FFFFFF"/>
            <w:tcMar>
              <w:top w:w="0" w:type="dxa"/>
              <w:left w:w="0" w:type="dxa"/>
              <w:bottom w:w="0" w:type="dxa"/>
              <w:right w:w="0" w:type="dxa"/>
            </w:tcMar>
            <w:vAlign w:val="center"/>
          </w:tcPr>
          <w:p w14:paraId="000001F8" w14:textId="77777777" w:rsidR="00655AEF" w:rsidRDefault="00655AEF">
            <w:pPr>
              <w:pBdr>
                <w:top w:val="nil"/>
                <w:left w:val="nil"/>
                <w:bottom w:val="nil"/>
                <w:right w:val="nil"/>
                <w:between w:val="nil"/>
              </w:pBdr>
              <w:spacing w:line="276" w:lineRule="auto"/>
              <w:rPr>
                <w:sz w:val="24"/>
                <w:szCs w:val="24"/>
              </w:rPr>
            </w:pPr>
          </w:p>
        </w:tc>
        <w:tc>
          <w:tcPr>
            <w:tcW w:w="5226" w:type="dxa"/>
            <w:tcBorders>
              <w:bottom w:val="single" w:sz="4" w:space="0" w:color="000000"/>
            </w:tcBorders>
            <w:shd w:val="clear" w:color="auto" w:fill="FFFFFF"/>
            <w:tcMar>
              <w:top w:w="0" w:type="dxa"/>
              <w:left w:w="0" w:type="dxa"/>
              <w:bottom w:w="0" w:type="dxa"/>
              <w:right w:w="0" w:type="dxa"/>
            </w:tcMar>
            <w:vAlign w:val="center"/>
          </w:tcPr>
          <w:p w14:paraId="000001F9" w14:textId="77777777" w:rsidR="00655AEF" w:rsidRDefault="00000000">
            <w:pPr>
              <w:rPr>
                <w:sz w:val="24"/>
                <w:szCs w:val="24"/>
              </w:rPr>
            </w:pPr>
            <w:r>
              <w:rPr>
                <w:sz w:val="24"/>
                <w:szCs w:val="24"/>
              </w:rPr>
              <w:t>Self Employed</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1FA" w14:textId="77777777" w:rsidR="00655AEF" w:rsidRDefault="00000000">
            <w:pPr>
              <w:rPr>
                <w:sz w:val="24"/>
                <w:szCs w:val="24"/>
              </w:rPr>
            </w:pPr>
            <w:r>
              <w:rPr>
                <w:sz w:val="24"/>
                <w:szCs w:val="24"/>
              </w:rPr>
              <w:t>104</w:t>
            </w:r>
          </w:p>
        </w:tc>
        <w:tc>
          <w:tcPr>
            <w:tcW w:w="1350" w:type="dxa"/>
            <w:tcBorders>
              <w:bottom w:val="single" w:sz="4" w:space="0" w:color="000000"/>
            </w:tcBorders>
            <w:shd w:val="clear" w:color="auto" w:fill="FFFFFF"/>
            <w:tcMar>
              <w:top w:w="0" w:type="dxa"/>
              <w:left w:w="0" w:type="dxa"/>
              <w:bottom w:w="0" w:type="dxa"/>
              <w:right w:w="0" w:type="dxa"/>
            </w:tcMar>
            <w:vAlign w:val="center"/>
          </w:tcPr>
          <w:p w14:paraId="000001FB" w14:textId="77777777" w:rsidR="00655AEF" w:rsidRDefault="00000000">
            <w:pPr>
              <w:rPr>
                <w:sz w:val="24"/>
                <w:szCs w:val="24"/>
              </w:rPr>
            </w:pPr>
            <w:r>
              <w:rPr>
                <w:sz w:val="24"/>
                <w:szCs w:val="24"/>
              </w:rPr>
              <w:t>20.7</w:t>
            </w:r>
          </w:p>
        </w:tc>
      </w:tr>
      <w:tr w:rsidR="00655AEF" w14:paraId="756409E6" w14:textId="77777777">
        <w:trPr>
          <w:cantSplit/>
          <w:trHeight w:val="145"/>
        </w:trPr>
        <w:tc>
          <w:tcPr>
            <w:tcW w:w="894" w:type="dxa"/>
            <w:vMerge/>
            <w:shd w:val="clear" w:color="auto" w:fill="FFFFFF"/>
            <w:tcMar>
              <w:top w:w="0" w:type="dxa"/>
              <w:left w:w="0" w:type="dxa"/>
              <w:bottom w:w="0" w:type="dxa"/>
              <w:right w:w="0" w:type="dxa"/>
            </w:tcMar>
            <w:vAlign w:val="center"/>
          </w:tcPr>
          <w:p w14:paraId="000001FC" w14:textId="77777777" w:rsidR="00655AEF" w:rsidRDefault="00655AEF">
            <w:pPr>
              <w:pBdr>
                <w:top w:val="nil"/>
                <w:left w:val="nil"/>
                <w:bottom w:val="nil"/>
                <w:right w:val="nil"/>
                <w:between w:val="nil"/>
              </w:pBdr>
              <w:spacing w:line="276" w:lineRule="auto"/>
              <w:rPr>
                <w:sz w:val="24"/>
                <w:szCs w:val="24"/>
              </w:rPr>
            </w:pPr>
          </w:p>
        </w:tc>
        <w:tc>
          <w:tcPr>
            <w:tcW w:w="522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1FD"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1FE" w14:textId="77777777" w:rsidR="00655AEF" w:rsidRDefault="00000000">
            <w:pPr>
              <w:rPr>
                <w:sz w:val="24"/>
                <w:szCs w:val="24"/>
              </w:rPr>
            </w:pPr>
            <w:r>
              <w:rPr>
                <w:sz w:val="24"/>
                <w:szCs w:val="24"/>
              </w:rPr>
              <w:t>503</w:t>
            </w:r>
          </w:p>
        </w:tc>
        <w:tc>
          <w:tcPr>
            <w:tcW w:w="135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1FF" w14:textId="77777777" w:rsidR="00655AEF" w:rsidRDefault="00000000">
            <w:pPr>
              <w:rPr>
                <w:sz w:val="24"/>
                <w:szCs w:val="24"/>
              </w:rPr>
            </w:pPr>
            <w:r>
              <w:rPr>
                <w:sz w:val="24"/>
                <w:szCs w:val="24"/>
              </w:rPr>
              <w:t>100.0</w:t>
            </w:r>
          </w:p>
        </w:tc>
      </w:tr>
    </w:tbl>
    <w:p w14:paraId="00000200" w14:textId="77777777" w:rsidR="00655AEF" w:rsidRDefault="00655AEF">
      <w:pPr>
        <w:rPr>
          <w:sz w:val="24"/>
          <w:szCs w:val="24"/>
        </w:rPr>
      </w:pPr>
    </w:p>
    <w:p w14:paraId="00000201" w14:textId="77777777" w:rsidR="00655AEF" w:rsidRDefault="00655AEF">
      <w:pPr>
        <w:spacing w:after="240" w:line="360" w:lineRule="auto"/>
        <w:jc w:val="both"/>
        <w:rPr>
          <w:sz w:val="24"/>
          <w:szCs w:val="24"/>
        </w:rPr>
      </w:pPr>
    </w:p>
    <w:p w14:paraId="00000202" w14:textId="77777777" w:rsidR="00655AEF" w:rsidRDefault="00000000">
      <w:pPr>
        <w:pStyle w:val="Heading3"/>
        <w:numPr>
          <w:ilvl w:val="2"/>
          <w:numId w:val="11"/>
        </w:numPr>
        <w:rPr>
          <w:sz w:val="24"/>
          <w:szCs w:val="24"/>
        </w:rPr>
      </w:pPr>
      <w:bookmarkStart w:id="46" w:name="_heading=h.5a2r0r6koxpo" w:colFirst="0" w:colLast="0"/>
      <w:bookmarkEnd w:id="46"/>
      <w:r>
        <w:rPr>
          <w:sz w:val="24"/>
          <w:szCs w:val="24"/>
        </w:rPr>
        <w:t>Participants’ Housing Types</w:t>
      </w:r>
    </w:p>
    <w:p w14:paraId="00000203" w14:textId="77777777" w:rsidR="00655AEF" w:rsidRDefault="00000000">
      <w:pPr>
        <w:spacing w:after="240" w:line="360" w:lineRule="auto"/>
        <w:jc w:val="both"/>
        <w:rPr>
          <w:sz w:val="24"/>
          <w:szCs w:val="24"/>
        </w:rPr>
      </w:pPr>
      <w:r>
        <w:rPr>
          <w:sz w:val="24"/>
          <w:szCs w:val="24"/>
        </w:rPr>
        <w:t>The data on housing types among the study population offers valuable insights into the socio-economic and residential stability of the participants. With a sample size of 503, the distribution reveals a clear and dominant pattern of home ownership.</w:t>
      </w:r>
    </w:p>
    <w:p w14:paraId="00000204" w14:textId="77777777" w:rsidR="00655AEF" w:rsidRDefault="00000000">
      <w:pPr>
        <w:spacing w:after="240" w:line="360" w:lineRule="auto"/>
        <w:jc w:val="both"/>
        <w:rPr>
          <w:sz w:val="24"/>
          <w:szCs w:val="24"/>
        </w:rPr>
      </w:pPr>
      <w:r>
        <w:rPr>
          <w:sz w:val="24"/>
          <w:szCs w:val="24"/>
        </w:rPr>
        <w:t xml:space="preserve">The most significant finding is that </w:t>
      </w:r>
      <w:proofErr w:type="gramStart"/>
      <w:r>
        <w:rPr>
          <w:sz w:val="24"/>
          <w:szCs w:val="24"/>
        </w:rPr>
        <w:t>the vast majority of</w:t>
      </w:r>
      <w:proofErr w:type="gramEnd"/>
      <w:r>
        <w:rPr>
          <w:sz w:val="24"/>
          <w:szCs w:val="24"/>
        </w:rPr>
        <w:t xml:space="preserve"> participants reside in their own homes, accounting for 79.5% (400 individuals). This high rate of home ownership suggests a population with a high degree of residential stability and, by extension, a potential for greater social and economic security. Owning a home can be indicative of </w:t>
      </w:r>
      <w:r>
        <w:rPr>
          <w:sz w:val="24"/>
          <w:szCs w:val="24"/>
        </w:rPr>
        <w:lastRenderedPageBreak/>
        <w:t>established community ties, access to assets, and a consistent address, which are factors that can positively influence a patient’s ability to attend regular clinic appointments and manage chronic disease care. This stability can be a protective factor against treatment interruptions and loss to follow-up.</w:t>
      </w:r>
    </w:p>
    <w:p w14:paraId="00000205" w14:textId="77777777" w:rsidR="00655AEF" w:rsidRDefault="00000000">
      <w:pPr>
        <w:spacing w:after="240" w:line="360" w:lineRule="auto"/>
        <w:jc w:val="both"/>
        <w:rPr>
          <w:sz w:val="24"/>
          <w:szCs w:val="24"/>
        </w:rPr>
      </w:pPr>
      <w:r>
        <w:rPr>
          <w:sz w:val="24"/>
          <w:szCs w:val="24"/>
        </w:rPr>
        <w:t>A smaller but still significant segment of the population, 14.9% (75 individuals), lives in rented housing. This group may be more transient than the homeowners, potentially facing different challenges. Mobility associated with renting could pose a risk to consistent care, as frequent address changes might lead to difficulties in tracking patients or maintaining a stable link to a single healthcare facility. This population segment may also be more susceptible to financial insecurity, as rent payments represent a continuous and often substantial expense, which could compete with other needs and potentially act as a barrier to accessing care or adhering to treatment.</w:t>
      </w:r>
    </w:p>
    <w:p w14:paraId="00000206" w14:textId="77777777" w:rsidR="00655AEF" w:rsidRDefault="00000000">
      <w:pPr>
        <w:spacing w:after="240" w:line="360" w:lineRule="auto"/>
        <w:jc w:val="both"/>
        <w:rPr>
          <w:sz w:val="24"/>
          <w:szCs w:val="24"/>
        </w:rPr>
      </w:pPr>
      <w:r>
        <w:rPr>
          <w:sz w:val="24"/>
          <w:szCs w:val="24"/>
        </w:rPr>
        <w:t>The category of Hosted housing, representing 5.4% (27 individuals), highlights a segment of the population that is reliant on the support of family or friends. This situation may indicate a lack of independent economic means, making these individuals particularly vulnerable. While social support from family can be a positive influence, the lack of an independent living arrangement may introduce its own set of challenges, including limited privacy and potential for disruption that could impact treatment adherence.</w:t>
      </w:r>
    </w:p>
    <w:p w14:paraId="00000207" w14:textId="77777777" w:rsidR="00655AEF" w:rsidRDefault="00000000">
      <w:pPr>
        <w:spacing w:after="240" w:line="360" w:lineRule="auto"/>
        <w:jc w:val="both"/>
        <w:rPr>
          <w:sz w:val="24"/>
          <w:szCs w:val="24"/>
        </w:rPr>
      </w:pPr>
      <w:r>
        <w:rPr>
          <w:sz w:val="24"/>
          <w:szCs w:val="24"/>
        </w:rPr>
        <w:t>Finally, the Squatter category is negligible, comprising only 0.2% (1 individual) of the sample. While this number is extremely small, it represents the most precarious housing situation. Individuals in this category face extreme residential instability, lack of legal rights to their dwelling, and significant social and economic vulnerability, which can be major hindrances to receiving and maintaining effective healthcare.</w:t>
      </w:r>
    </w:p>
    <w:p w14:paraId="00000208" w14:textId="77777777" w:rsidR="00655AEF" w:rsidRDefault="00000000">
      <w:pPr>
        <w:spacing w:after="240" w:line="360" w:lineRule="auto"/>
        <w:jc w:val="both"/>
        <w:rPr>
          <w:sz w:val="24"/>
          <w:szCs w:val="24"/>
        </w:rPr>
      </w:pPr>
      <w:r>
        <w:rPr>
          <w:sz w:val="24"/>
          <w:szCs w:val="24"/>
        </w:rPr>
        <w:t xml:space="preserve">In the context of the study on HIV treatment, the high prevalence of home ownership is a positive indicator of population stability. However, the presence of a notable renting population and smaller Hosted and Squatter groups highlights the need for a nuanced approach to patient support. Interventions designed to improve </w:t>
      </w:r>
      <w:proofErr w:type="gramStart"/>
      <w:r>
        <w:rPr>
          <w:sz w:val="24"/>
          <w:szCs w:val="24"/>
        </w:rPr>
        <w:t>retention</w:t>
      </w:r>
      <w:proofErr w:type="gramEnd"/>
      <w:r>
        <w:rPr>
          <w:sz w:val="24"/>
          <w:szCs w:val="24"/>
        </w:rPr>
        <w:t xml:space="preserve"> and adherence should consider the differing levels of residential stability. While </w:t>
      </w:r>
      <w:proofErr w:type="gramStart"/>
      <w:r>
        <w:rPr>
          <w:sz w:val="24"/>
          <w:szCs w:val="24"/>
        </w:rPr>
        <w:t>the majority of</w:t>
      </w:r>
      <w:proofErr w:type="gramEnd"/>
      <w:r>
        <w:rPr>
          <w:sz w:val="24"/>
          <w:szCs w:val="24"/>
        </w:rPr>
        <w:t xml:space="preserve"> the </w:t>
      </w:r>
      <w:r>
        <w:rPr>
          <w:sz w:val="24"/>
          <w:szCs w:val="24"/>
        </w:rPr>
        <w:lastRenderedPageBreak/>
        <w:t>population may benefit from standard care models, a targeted approach is necessary for those in less stable housing situations to mitigate the risk of treatment failure due to residential and economic challenges.</w:t>
      </w:r>
    </w:p>
    <w:p w14:paraId="00000209" w14:textId="77777777" w:rsidR="00655AEF" w:rsidRDefault="00000000">
      <w:pPr>
        <w:keepNext/>
        <w:pBdr>
          <w:top w:val="nil"/>
          <w:left w:val="nil"/>
          <w:bottom w:val="nil"/>
          <w:right w:val="nil"/>
          <w:between w:val="nil"/>
        </w:pBdr>
        <w:spacing w:after="200"/>
        <w:rPr>
          <w:b/>
          <w:color w:val="4F81BD"/>
          <w:sz w:val="18"/>
          <w:szCs w:val="18"/>
        </w:rPr>
      </w:pPr>
      <w:bookmarkStart w:id="47" w:name="_heading=h.bbhk375uj8s7" w:colFirst="0" w:colLast="0"/>
      <w:bookmarkEnd w:id="47"/>
      <w:r>
        <w:rPr>
          <w:b/>
          <w:color w:val="4F81BD"/>
          <w:sz w:val="18"/>
          <w:szCs w:val="18"/>
        </w:rPr>
        <w:t>Table 4: Housing types</w:t>
      </w:r>
    </w:p>
    <w:tbl>
      <w:tblPr>
        <w:tblStyle w:val="a2"/>
        <w:tblW w:w="9360" w:type="dxa"/>
        <w:tblInd w:w="0" w:type="dxa"/>
        <w:tblLayout w:type="fixed"/>
        <w:tblLook w:val="0000" w:firstRow="0" w:lastRow="0" w:firstColumn="0" w:lastColumn="0" w:noHBand="0" w:noVBand="0"/>
      </w:tblPr>
      <w:tblGrid>
        <w:gridCol w:w="734"/>
        <w:gridCol w:w="5386"/>
        <w:gridCol w:w="1980"/>
        <w:gridCol w:w="1260"/>
      </w:tblGrid>
      <w:tr w:rsidR="00655AEF" w14:paraId="19DCAC6D" w14:textId="77777777">
        <w:trPr>
          <w:cantSplit/>
        </w:trPr>
        <w:tc>
          <w:tcPr>
            <w:tcW w:w="6120" w:type="dxa"/>
            <w:gridSpan w:val="2"/>
            <w:shd w:val="clear" w:color="auto" w:fill="FFFFFF"/>
            <w:tcMar>
              <w:top w:w="0" w:type="dxa"/>
              <w:left w:w="0" w:type="dxa"/>
              <w:bottom w:w="0" w:type="dxa"/>
              <w:right w:w="0" w:type="dxa"/>
            </w:tcMar>
          </w:tcPr>
          <w:p w14:paraId="0000020A"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20C" w14:textId="77777777" w:rsidR="00655AEF" w:rsidRDefault="00000000">
            <w:pPr>
              <w:rPr>
                <w:sz w:val="24"/>
                <w:szCs w:val="24"/>
              </w:rPr>
            </w:pPr>
            <w:r>
              <w:rPr>
                <w:sz w:val="24"/>
                <w:szCs w:val="24"/>
              </w:rPr>
              <w:t>Frequency</w:t>
            </w:r>
          </w:p>
        </w:tc>
        <w:tc>
          <w:tcPr>
            <w:tcW w:w="1260" w:type="dxa"/>
            <w:shd w:val="clear" w:color="auto" w:fill="FFFFFF"/>
            <w:tcMar>
              <w:top w:w="0" w:type="dxa"/>
              <w:left w:w="0" w:type="dxa"/>
              <w:bottom w:w="0" w:type="dxa"/>
              <w:right w:w="0" w:type="dxa"/>
            </w:tcMar>
          </w:tcPr>
          <w:p w14:paraId="0000020D" w14:textId="77777777" w:rsidR="00655AEF" w:rsidRDefault="00000000">
            <w:pPr>
              <w:rPr>
                <w:sz w:val="24"/>
                <w:szCs w:val="24"/>
              </w:rPr>
            </w:pPr>
            <w:r>
              <w:rPr>
                <w:sz w:val="24"/>
                <w:szCs w:val="24"/>
              </w:rPr>
              <w:t>Percent</w:t>
            </w:r>
          </w:p>
        </w:tc>
      </w:tr>
      <w:tr w:rsidR="00655AEF" w14:paraId="41CF8C6B" w14:textId="77777777">
        <w:trPr>
          <w:cantSplit/>
        </w:trPr>
        <w:tc>
          <w:tcPr>
            <w:tcW w:w="734" w:type="dxa"/>
            <w:vMerge w:val="restart"/>
            <w:shd w:val="clear" w:color="auto" w:fill="FFFFFF"/>
            <w:tcMar>
              <w:top w:w="0" w:type="dxa"/>
              <w:left w:w="0" w:type="dxa"/>
              <w:bottom w:w="0" w:type="dxa"/>
              <w:right w:w="0" w:type="dxa"/>
            </w:tcMar>
            <w:vAlign w:val="center"/>
          </w:tcPr>
          <w:p w14:paraId="0000020E" w14:textId="77777777" w:rsidR="00655AEF" w:rsidRDefault="00655AEF">
            <w:pPr>
              <w:rPr>
                <w:sz w:val="24"/>
                <w:szCs w:val="24"/>
              </w:rPr>
            </w:pPr>
          </w:p>
        </w:tc>
        <w:tc>
          <w:tcPr>
            <w:tcW w:w="5386" w:type="dxa"/>
            <w:tcBorders>
              <w:top w:val="single" w:sz="4" w:space="0" w:color="000000"/>
            </w:tcBorders>
            <w:shd w:val="clear" w:color="auto" w:fill="FFFFFF"/>
            <w:tcMar>
              <w:top w:w="0" w:type="dxa"/>
              <w:left w:w="0" w:type="dxa"/>
              <w:bottom w:w="0" w:type="dxa"/>
              <w:right w:w="0" w:type="dxa"/>
            </w:tcMar>
            <w:vAlign w:val="center"/>
          </w:tcPr>
          <w:p w14:paraId="0000020F" w14:textId="77777777" w:rsidR="00655AEF" w:rsidRDefault="00000000">
            <w:pPr>
              <w:rPr>
                <w:sz w:val="24"/>
                <w:szCs w:val="24"/>
              </w:rPr>
            </w:pPr>
            <w:r>
              <w:rPr>
                <w:sz w:val="24"/>
                <w:szCs w:val="24"/>
              </w:rPr>
              <w:t>Hosted</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10" w14:textId="77777777" w:rsidR="00655AEF" w:rsidRDefault="00000000">
            <w:pPr>
              <w:rPr>
                <w:sz w:val="24"/>
                <w:szCs w:val="24"/>
              </w:rPr>
            </w:pPr>
            <w:r>
              <w:rPr>
                <w:sz w:val="24"/>
                <w:szCs w:val="24"/>
              </w:rPr>
              <w:t>27</w:t>
            </w:r>
          </w:p>
        </w:tc>
        <w:tc>
          <w:tcPr>
            <w:tcW w:w="1260" w:type="dxa"/>
            <w:tcBorders>
              <w:top w:val="single" w:sz="4" w:space="0" w:color="000000"/>
            </w:tcBorders>
            <w:shd w:val="clear" w:color="auto" w:fill="FFFFFF"/>
            <w:tcMar>
              <w:top w:w="0" w:type="dxa"/>
              <w:left w:w="0" w:type="dxa"/>
              <w:bottom w:w="0" w:type="dxa"/>
              <w:right w:w="0" w:type="dxa"/>
            </w:tcMar>
            <w:vAlign w:val="center"/>
          </w:tcPr>
          <w:p w14:paraId="00000211" w14:textId="77777777" w:rsidR="00655AEF" w:rsidRDefault="00000000">
            <w:pPr>
              <w:rPr>
                <w:sz w:val="24"/>
                <w:szCs w:val="24"/>
              </w:rPr>
            </w:pPr>
            <w:r>
              <w:rPr>
                <w:sz w:val="24"/>
                <w:szCs w:val="24"/>
              </w:rPr>
              <w:t>5.4</w:t>
            </w:r>
          </w:p>
        </w:tc>
      </w:tr>
      <w:tr w:rsidR="00655AEF" w14:paraId="524AAEE6" w14:textId="77777777">
        <w:trPr>
          <w:cantSplit/>
        </w:trPr>
        <w:tc>
          <w:tcPr>
            <w:tcW w:w="734" w:type="dxa"/>
            <w:vMerge/>
            <w:shd w:val="clear" w:color="auto" w:fill="FFFFFF"/>
            <w:tcMar>
              <w:top w:w="0" w:type="dxa"/>
              <w:left w:w="0" w:type="dxa"/>
              <w:bottom w:w="0" w:type="dxa"/>
              <w:right w:w="0" w:type="dxa"/>
            </w:tcMar>
            <w:vAlign w:val="center"/>
          </w:tcPr>
          <w:p w14:paraId="00000212"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13" w14:textId="77777777" w:rsidR="00655AEF" w:rsidRDefault="00000000">
            <w:pPr>
              <w:rPr>
                <w:sz w:val="24"/>
                <w:szCs w:val="24"/>
              </w:rPr>
            </w:pPr>
            <w:r>
              <w:rPr>
                <w:sz w:val="24"/>
                <w:szCs w:val="24"/>
              </w:rPr>
              <w:t>Own</w:t>
            </w:r>
          </w:p>
        </w:tc>
        <w:tc>
          <w:tcPr>
            <w:tcW w:w="1980" w:type="dxa"/>
            <w:shd w:val="clear" w:color="auto" w:fill="FFFFFF"/>
            <w:tcMar>
              <w:top w:w="0" w:type="dxa"/>
              <w:left w:w="0" w:type="dxa"/>
              <w:bottom w:w="0" w:type="dxa"/>
              <w:right w:w="0" w:type="dxa"/>
            </w:tcMar>
            <w:vAlign w:val="center"/>
          </w:tcPr>
          <w:p w14:paraId="00000214" w14:textId="77777777" w:rsidR="00655AEF" w:rsidRDefault="00000000">
            <w:pPr>
              <w:rPr>
                <w:sz w:val="24"/>
                <w:szCs w:val="24"/>
              </w:rPr>
            </w:pPr>
            <w:r>
              <w:rPr>
                <w:sz w:val="24"/>
                <w:szCs w:val="24"/>
              </w:rPr>
              <w:t>400</w:t>
            </w:r>
          </w:p>
        </w:tc>
        <w:tc>
          <w:tcPr>
            <w:tcW w:w="1260" w:type="dxa"/>
            <w:shd w:val="clear" w:color="auto" w:fill="FFFFFF"/>
            <w:tcMar>
              <w:top w:w="0" w:type="dxa"/>
              <w:left w:w="0" w:type="dxa"/>
              <w:bottom w:w="0" w:type="dxa"/>
              <w:right w:w="0" w:type="dxa"/>
            </w:tcMar>
            <w:vAlign w:val="center"/>
          </w:tcPr>
          <w:p w14:paraId="00000215" w14:textId="77777777" w:rsidR="00655AEF" w:rsidRDefault="00000000">
            <w:pPr>
              <w:rPr>
                <w:sz w:val="24"/>
                <w:szCs w:val="24"/>
              </w:rPr>
            </w:pPr>
            <w:r>
              <w:rPr>
                <w:sz w:val="24"/>
                <w:szCs w:val="24"/>
              </w:rPr>
              <w:t>79.5</w:t>
            </w:r>
          </w:p>
        </w:tc>
      </w:tr>
      <w:tr w:rsidR="00655AEF" w14:paraId="16249914" w14:textId="77777777">
        <w:trPr>
          <w:cantSplit/>
        </w:trPr>
        <w:tc>
          <w:tcPr>
            <w:tcW w:w="734" w:type="dxa"/>
            <w:vMerge/>
            <w:shd w:val="clear" w:color="auto" w:fill="FFFFFF"/>
            <w:tcMar>
              <w:top w:w="0" w:type="dxa"/>
              <w:left w:w="0" w:type="dxa"/>
              <w:bottom w:w="0" w:type="dxa"/>
              <w:right w:w="0" w:type="dxa"/>
            </w:tcMar>
            <w:vAlign w:val="center"/>
          </w:tcPr>
          <w:p w14:paraId="00000216"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17" w14:textId="77777777" w:rsidR="00655AEF" w:rsidRDefault="00000000">
            <w:pPr>
              <w:rPr>
                <w:sz w:val="24"/>
                <w:szCs w:val="24"/>
              </w:rPr>
            </w:pPr>
            <w:r>
              <w:rPr>
                <w:sz w:val="24"/>
                <w:szCs w:val="24"/>
              </w:rPr>
              <w:t>Rented</w:t>
            </w:r>
          </w:p>
        </w:tc>
        <w:tc>
          <w:tcPr>
            <w:tcW w:w="1980" w:type="dxa"/>
            <w:shd w:val="clear" w:color="auto" w:fill="FFFFFF"/>
            <w:tcMar>
              <w:top w:w="0" w:type="dxa"/>
              <w:left w:w="0" w:type="dxa"/>
              <w:bottom w:w="0" w:type="dxa"/>
              <w:right w:w="0" w:type="dxa"/>
            </w:tcMar>
            <w:vAlign w:val="center"/>
          </w:tcPr>
          <w:p w14:paraId="00000218" w14:textId="77777777" w:rsidR="00655AEF" w:rsidRDefault="00000000">
            <w:pPr>
              <w:rPr>
                <w:sz w:val="24"/>
                <w:szCs w:val="24"/>
              </w:rPr>
            </w:pPr>
            <w:r>
              <w:rPr>
                <w:sz w:val="24"/>
                <w:szCs w:val="24"/>
              </w:rPr>
              <w:t>75</w:t>
            </w:r>
          </w:p>
        </w:tc>
        <w:tc>
          <w:tcPr>
            <w:tcW w:w="1260" w:type="dxa"/>
            <w:shd w:val="clear" w:color="auto" w:fill="FFFFFF"/>
            <w:tcMar>
              <w:top w:w="0" w:type="dxa"/>
              <w:left w:w="0" w:type="dxa"/>
              <w:bottom w:w="0" w:type="dxa"/>
              <w:right w:w="0" w:type="dxa"/>
            </w:tcMar>
            <w:vAlign w:val="center"/>
          </w:tcPr>
          <w:p w14:paraId="00000219" w14:textId="77777777" w:rsidR="00655AEF" w:rsidRDefault="00000000">
            <w:pPr>
              <w:rPr>
                <w:sz w:val="24"/>
                <w:szCs w:val="24"/>
              </w:rPr>
            </w:pPr>
            <w:r>
              <w:rPr>
                <w:sz w:val="24"/>
                <w:szCs w:val="24"/>
              </w:rPr>
              <w:t>14.9</w:t>
            </w:r>
          </w:p>
        </w:tc>
      </w:tr>
      <w:tr w:rsidR="00655AEF" w14:paraId="151160D8" w14:textId="77777777">
        <w:trPr>
          <w:cantSplit/>
        </w:trPr>
        <w:tc>
          <w:tcPr>
            <w:tcW w:w="734" w:type="dxa"/>
            <w:vMerge/>
            <w:shd w:val="clear" w:color="auto" w:fill="FFFFFF"/>
            <w:tcMar>
              <w:top w:w="0" w:type="dxa"/>
              <w:left w:w="0" w:type="dxa"/>
              <w:bottom w:w="0" w:type="dxa"/>
              <w:right w:w="0" w:type="dxa"/>
            </w:tcMar>
            <w:vAlign w:val="center"/>
          </w:tcPr>
          <w:p w14:paraId="0000021A" w14:textId="77777777" w:rsidR="00655AEF" w:rsidRDefault="00655AEF">
            <w:pPr>
              <w:pBdr>
                <w:top w:val="nil"/>
                <w:left w:val="nil"/>
                <w:bottom w:val="nil"/>
                <w:right w:val="nil"/>
                <w:between w:val="nil"/>
              </w:pBdr>
              <w:spacing w:line="276" w:lineRule="auto"/>
              <w:rPr>
                <w:sz w:val="24"/>
                <w:szCs w:val="24"/>
              </w:rPr>
            </w:pPr>
          </w:p>
        </w:tc>
        <w:tc>
          <w:tcPr>
            <w:tcW w:w="5386" w:type="dxa"/>
            <w:tcBorders>
              <w:bottom w:val="single" w:sz="4" w:space="0" w:color="000000"/>
            </w:tcBorders>
            <w:shd w:val="clear" w:color="auto" w:fill="FFFFFF"/>
            <w:tcMar>
              <w:top w:w="0" w:type="dxa"/>
              <w:left w:w="0" w:type="dxa"/>
              <w:bottom w:w="0" w:type="dxa"/>
              <w:right w:w="0" w:type="dxa"/>
            </w:tcMar>
            <w:vAlign w:val="center"/>
          </w:tcPr>
          <w:p w14:paraId="0000021B" w14:textId="77777777" w:rsidR="00655AEF" w:rsidRDefault="00000000">
            <w:pPr>
              <w:rPr>
                <w:sz w:val="24"/>
                <w:szCs w:val="24"/>
              </w:rPr>
            </w:pPr>
            <w:r>
              <w:rPr>
                <w:sz w:val="24"/>
                <w:szCs w:val="24"/>
              </w:rPr>
              <w:t>Squatter</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21C" w14:textId="77777777" w:rsidR="00655AEF" w:rsidRDefault="00000000">
            <w:pPr>
              <w:rPr>
                <w:sz w:val="24"/>
                <w:szCs w:val="24"/>
              </w:rPr>
            </w:pPr>
            <w:r>
              <w:rPr>
                <w:sz w:val="24"/>
                <w:szCs w:val="24"/>
              </w:rPr>
              <w:t>1</w:t>
            </w:r>
          </w:p>
        </w:tc>
        <w:tc>
          <w:tcPr>
            <w:tcW w:w="1260" w:type="dxa"/>
            <w:tcBorders>
              <w:bottom w:val="single" w:sz="4" w:space="0" w:color="000000"/>
            </w:tcBorders>
            <w:shd w:val="clear" w:color="auto" w:fill="FFFFFF"/>
            <w:tcMar>
              <w:top w:w="0" w:type="dxa"/>
              <w:left w:w="0" w:type="dxa"/>
              <w:bottom w:w="0" w:type="dxa"/>
              <w:right w:w="0" w:type="dxa"/>
            </w:tcMar>
            <w:vAlign w:val="center"/>
          </w:tcPr>
          <w:p w14:paraId="0000021D" w14:textId="77777777" w:rsidR="00655AEF" w:rsidRDefault="00000000">
            <w:pPr>
              <w:rPr>
                <w:sz w:val="24"/>
                <w:szCs w:val="24"/>
              </w:rPr>
            </w:pPr>
            <w:r>
              <w:rPr>
                <w:sz w:val="24"/>
                <w:szCs w:val="24"/>
              </w:rPr>
              <w:t>.2</w:t>
            </w:r>
          </w:p>
        </w:tc>
      </w:tr>
      <w:tr w:rsidR="00655AEF" w14:paraId="56BD0A5F" w14:textId="77777777">
        <w:trPr>
          <w:cantSplit/>
        </w:trPr>
        <w:tc>
          <w:tcPr>
            <w:tcW w:w="734" w:type="dxa"/>
            <w:vMerge/>
            <w:shd w:val="clear" w:color="auto" w:fill="FFFFFF"/>
            <w:tcMar>
              <w:top w:w="0" w:type="dxa"/>
              <w:left w:w="0" w:type="dxa"/>
              <w:bottom w:w="0" w:type="dxa"/>
              <w:right w:w="0" w:type="dxa"/>
            </w:tcMar>
            <w:vAlign w:val="center"/>
          </w:tcPr>
          <w:p w14:paraId="0000021E" w14:textId="77777777" w:rsidR="00655AEF" w:rsidRDefault="00655AEF">
            <w:pPr>
              <w:pBdr>
                <w:top w:val="nil"/>
                <w:left w:val="nil"/>
                <w:bottom w:val="nil"/>
                <w:right w:val="nil"/>
                <w:between w:val="nil"/>
              </w:pBdr>
              <w:spacing w:line="276" w:lineRule="auto"/>
              <w:rPr>
                <w:sz w:val="24"/>
                <w:szCs w:val="24"/>
              </w:rPr>
            </w:pPr>
          </w:p>
        </w:tc>
        <w:tc>
          <w:tcPr>
            <w:tcW w:w="538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1F"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20" w14:textId="77777777" w:rsidR="00655AEF" w:rsidRDefault="00000000">
            <w:pPr>
              <w:rPr>
                <w:sz w:val="24"/>
                <w:szCs w:val="24"/>
              </w:rPr>
            </w:pPr>
            <w:r>
              <w:rPr>
                <w:sz w:val="24"/>
                <w:szCs w:val="24"/>
              </w:rPr>
              <w:t>503</w:t>
            </w:r>
          </w:p>
        </w:tc>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21" w14:textId="77777777" w:rsidR="00655AEF" w:rsidRDefault="00000000">
            <w:pPr>
              <w:rPr>
                <w:sz w:val="24"/>
                <w:szCs w:val="24"/>
              </w:rPr>
            </w:pPr>
            <w:r>
              <w:rPr>
                <w:sz w:val="24"/>
                <w:szCs w:val="24"/>
              </w:rPr>
              <w:t>100.0</w:t>
            </w:r>
          </w:p>
        </w:tc>
      </w:tr>
    </w:tbl>
    <w:p w14:paraId="00000222" w14:textId="77777777" w:rsidR="00655AEF" w:rsidRDefault="00655AEF">
      <w:pPr>
        <w:rPr>
          <w:sz w:val="24"/>
          <w:szCs w:val="24"/>
        </w:rPr>
      </w:pPr>
    </w:p>
    <w:p w14:paraId="00000223" w14:textId="77777777" w:rsidR="00655AEF" w:rsidRDefault="00000000">
      <w:pPr>
        <w:keepNext/>
      </w:pPr>
      <w:r>
        <w:rPr>
          <w:noProof/>
          <w:sz w:val="24"/>
          <w:szCs w:val="24"/>
        </w:rPr>
        <w:drawing>
          <wp:inline distT="0" distB="0" distL="0" distR="0" wp14:anchorId="302B8526" wp14:editId="109FCBB7">
            <wp:extent cx="3924300" cy="25908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224" w14:textId="77777777" w:rsidR="00655AEF" w:rsidRDefault="00000000">
      <w:pPr>
        <w:pBdr>
          <w:top w:val="nil"/>
          <w:left w:val="nil"/>
          <w:bottom w:val="nil"/>
          <w:right w:val="nil"/>
          <w:between w:val="nil"/>
        </w:pBdr>
        <w:spacing w:after="200"/>
        <w:rPr>
          <w:b/>
          <w:color w:val="4F81BD"/>
          <w:sz w:val="24"/>
          <w:szCs w:val="24"/>
        </w:rPr>
      </w:pPr>
      <w:bookmarkStart w:id="48" w:name="_heading=h.au4e6xmnzh0k" w:colFirst="0" w:colLast="0"/>
      <w:bookmarkEnd w:id="48"/>
      <w:r>
        <w:rPr>
          <w:b/>
          <w:color w:val="4F81BD"/>
          <w:sz w:val="18"/>
          <w:szCs w:val="18"/>
        </w:rPr>
        <w:t>Figure 1: Housing types</w:t>
      </w:r>
    </w:p>
    <w:p w14:paraId="00000225" w14:textId="77777777" w:rsidR="00655AEF" w:rsidRDefault="00655AEF">
      <w:pPr>
        <w:rPr>
          <w:sz w:val="24"/>
          <w:szCs w:val="24"/>
        </w:rPr>
      </w:pPr>
    </w:p>
    <w:p w14:paraId="00000226" w14:textId="77777777" w:rsidR="00655AEF" w:rsidRDefault="00000000">
      <w:pPr>
        <w:pStyle w:val="Heading3"/>
        <w:numPr>
          <w:ilvl w:val="2"/>
          <w:numId w:val="11"/>
        </w:numPr>
        <w:rPr>
          <w:sz w:val="24"/>
          <w:szCs w:val="24"/>
        </w:rPr>
      </w:pPr>
      <w:bookmarkStart w:id="49" w:name="_heading=h.s9pfpjl9x15v" w:colFirst="0" w:colLast="0"/>
      <w:bookmarkEnd w:id="49"/>
      <w:r>
        <w:rPr>
          <w:sz w:val="24"/>
          <w:szCs w:val="24"/>
        </w:rPr>
        <w:t>Marital Status and Implications for HIV Treatment</w:t>
      </w:r>
    </w:p>
    <w:p w14:paraId="00000227" w14:textId="77777777" w:rsidR="00655AEF" w:rsidRDefault="00000000">
      <w:pPr>
        <w:spacing w:after="240" w:line="360" w:lineRule="auto"/>
        <w:jc w:val="both"/>
        <w:rPr>
          <w:sz w:val="24"/>
          <w:szCs w:val="24"/>
        </w:rPr>
      </w:pPr>
      <w:r>
        <w:rPr>
          <w:sz w:val="24"/>
          <w:szCs w:val="24"/>
        </w:rPr>
        <w:t>The marital status of 503 patients out of the sample of 513 patients offers valuable insights into the social and relational contexts of the study population. Understanding these dynamics is crucial; as a patient’s marital status can significantly influence their support systems, socioeconomic stability, and ultimately, their engagement with healthcare services, particularly for a chronic condition like HIV.</w:t>
      </w:r>
    </w:p>
    <w:p w14:paraId="00000228" w14:textId="77777777" w:rsidR="00655AEF" w:rsidRDefault="00000000">
      <w:pPr>
        <w:spacing w:after="240" w:line="360" w:lineRule="auto"/>
        <w:jc w:val="both"/>
        <w:rPr>
          <w:sz w:val="24"/>
          <w:szCs w:val="24"/>
        </w:rPr>
      </w:pPr>
      <w:r>
        <w:rPr>
          <w:sz w:val="24"/>
          <w:szCs w:val="24"/>
        </w:rPr>
        <w:t xml:space="preserve">The most dominant group by a significant margin is Married (one spouse), which constitutes over half of the sample at 57.1% (287 patients). This finding suggests that a large portion of the study's patients are in stable, monogamous relationships. For these </w:t>
      </w:r>
      <w:r>
        <w:rPr>
          <w:sz w:val="24"/>
          <w:szCs w:val="24"/>
        </w:rPr>
        <w:lastRenderedPageBreak/>
        <w:t>individuals, the marital partner can be a key source of emotional, financial, and logistical support, which are all vital for maintaining treatment adherence. A supportive spouse can act as a reminder for medication, accompany the patient to clinic appointments, and provide a confidential space to manage the challenges of living with HIV. However, this dynamic also presents complexities, such as the potential for non-disclosure, fear of stigma within the relationship, or the added stress of managing the health of a spouse.</w:t>
      </w:r>
    </w:p>
    <w:p w14:paraId="00000229" w14:textId="77777777" w:rsidR="00655AEF" w:rsidRDefault="00000000">
      <w:pPr>
        <w:spacing w:after="240" w:line="360" w:lineRule="auto"/>
        <w:jc w:val="both"/>
        <w:rPr>
          <w:sz w:val="24"/>
          <w:szCs w:val="24"/>
        </w:rPr>
      </w:pPr>
      <w:r>
        <w:rPr>
          <w:sz w:val="24"/>
          <w:szCs w:val="24"/>
        </w:rPr>
        <w:t>The next largest group is Single patients, representing 20.3% (102 patients). This group may face unique challenges related to a lack of a primary support person in their immediate household. Without the built-in support of a partner, single individuals might rely more heavily on family, friends, or formal support groups for their well-being and adherence. Interventions targeting this group should consider mechanisms to connect them with peer support networks and other community-based resources to mitigate social isolation and promote consistent care.</w:t>
      </w:r>
    </w:p>
    <w:p w14:paraId="0000022A" w14:textId="77777777" w:rsidR="00655AEF" w:rsidRDefault="00000000">
      <w:pPr>
        <w:spacing w:after="240" w:line="360" w:lineRule="auto"/>
        <w:jc w:val="both"/>
        <w:rPr>
          <w:sz w:val="24"/>
          <w:szCs w:val="24"/>
        </w:rPr>
      </w:pPr>
      <w:r>
        <w:rPr>
          <w:sz w:val="24"/>
          <w:szCs w:val="24"/>
        </w:rPr>
        <w:t>The remaining categories, while smaller in frequency, represent significant diversity in lived experience. Widowed patients (8.5%, 43 individuals), Divorced (5.0%, 25 individuals), and Separated (3.6%, 18 individuals) all face the potential for social and economic disruption. The loss of a partner, the stress of a separation, or navigating single parenthood can introduce new stressors and financial strains that may impede a person's ability to prioritize their health and adhere to a strict treatment schedule. These patients may require specialized counseling and social support services to help them cope with their circumstances while managing their health.</w:t>
      </w:r>
    </w:p>
    <w:p w14:paraId="0000022B" w14:textId="77777777" w:rsidR="00655AEF" w:rsidRDefault="00000000">
      <w:pPr>
        <w:spacing w:after="240" w:line="360" w:lineRule="auto"/>
        <w:jc w:val="both"/>
        <w:rPr>
          <w:sz w:val="24"/>
          <w:szCs w:val="24"/>
        </w:rPr>
      </w:pPr>
      <w:r>
        <w:rPr>
          <w:sz w:val="24"/>
          <w:szCs w:val="24"/>
        </w:rPr>
        <w:t>Finally, the presence of Married (multiple spouses) (4.0%, 20 individuals) and those Living with Partner (1.6%, 8 individuals) highlights the need for culturally sensitive and contextually aware support. For patients in polygamous marriages, dynamics of disclosure, support, and potential for transmission among spouses can be complex. Similarly, those living with partners, while having an immediate support person, may not have the legal or social protections that come with a formal marriage, which could impact their stability and access to care.</w:t>
      </w:r>
    </w:p>
    <w:p w14:paraId="0000022C" w14:textId="77777777" w:rsidR="00655AEF" w:rsidRDefault="00000000">
      <w:pPr>
        <w:spacing w:after="240" w:line="360" w:lineRule="auto"/>
        <w:jc w:val="both"/>
        <w:rPr>
          <w:sz w:val="24"/>
          <w:szCs w:val="24"/>
        </w:rPr>
      </w:pPr>
      <w:r>
        <w:rPr>
          <w:sz w:val="24"/>
          <w:szCs w:val="24"/>
        </w:rPr>
        <w:lastRenderedPageBreak/>
        <w:t>In summary, the diverse marital status distribution of the study population underscores the need for a highly personalized and flexible approach to HIV care. A single intervention strategy will not yield much result. For the majority who are married, programs could focus on couple counseling and partner support. For single, divorced, separated, or widowed patients, the emphasis should shift towards building broader social support networks and addressing economic barriers. A nuanced understanding of these social contexts is essential for designing effective and sustainable reward systems or other interventions to improve HIV treatment outcomes.</w:t>
      </w:r>
    </w:p>
    <w:p w14:paraId="0000022D" w14:textId="77777777" w:rsidR="00655AEF" w:rsidRDefault="00655AEF">
      <w:pPr>
        <w:keepNext/>
        <w:pBdr>
          <w:top w:val="nil"/>
          <w:left w:val="nil"/>
          <w:bottom w:val="nil"/>
          <w:right w:val="nil"/>
          <w:between w:val="nil"/>
        </w:pBdr>
        <w:spacing w:after="200"/>
        <w:rPr>
          <w:b/>
          <w:color w:val="4F81BD"/>
          <w:sz w:val="18"/>
          <w:szCs w:val="18"/>
        </w:rPr>
      </w:pPr>
    </w:p>
    <w:p w14:paraId="0000022E" w14:textId="77777777" w:rsidR="00655AEF" w:rsidRDefault="00000000">
      <w:pPr>
        <w:keepNext/>
        <w:pBdr>
          <w:top w:val="nil"/>
          <w:left w:val="nil"/>
          <w:bottom w:val="nil"/>
          <w:right w:val="nil"/>
          <w:between w:val="nil"/>
        </w:pBdr>
        <w:spacing w:after="200"/>
        <w:rPr>
          <w:b/>
          <w:color w:val="4F81BD"/>
          <w:sz w:val="18"/>
          <w:szCs w:val="18"/>
        </w:rPr>
      </w:pPr>
      <w:bookmarkStart w:id="50" w:name="_heading=h.2ocrflourr6e" w:colFirst="0" w:colLast="0"/>
      <w:bookmarkEnd w:id="50"/>
      <w:r>
        <w:rPr>
          <w:b/>
          <w:color w:val="4F81BD"/>
          <w:sz w:val="18"/>
          <w:szCs w:val="18"/>
        </w:rPr>
        <w:t>Table 5: Marital Status</w:t>
      </w:r>
    </w:p>
    <w:tbl>
      <w:tblPr>
        <w:tblStyle w:val="a3"/>
        <w:tblW w:w="9270" w:type="dxa"/>
        <w:tblInd w:w="0" w:type="dxa"/>
        <w:tblLayout w:type="fixed"/>
        <w:tblLook w:val="0000" w:firstRow="0" w:lastRow="0" w:firstColumn="0" w:lastColumn="0" w:noHBand="0" w:noVBand="0"/>
      </w:tblPr>
      <w:tblGrid>
        <w:gridCol w:w="734"/>
        <w:gridCol w:w="5386"/>
        <w:gridCol w:w="1980"/>
        <w:gridCol w:w="1170"/>
      </w:tblGrid>
      <w:tr w:rsidR="00655AEF" w14:paraId="2D43B86D" w14:textId="77777777">
        <w:trPr>
          <w:cantSplit/>
        </w:trPr>
        <w:tc>
          <w:tcPr>
            <w:tcW w:w="6120" w:type="dxa"/>
            <w:gridSpan w:val="2"/>
            <w:shd w:val="clear" w:color="auto" w:fill="FFFFFF"/>
          </w:tcPr>
          <w:p w14:paraId="0000022F" w14:textId="77777777" w:rsidR="00655AEF" w:rsidRDefault="00655AEF">
            <w:pPr>
              <w:rPr>
                <w:sz w:val="24"/>
                <w:szCs w:val="24"/>
              </w:rPr>
            </w:pPr>
          </w:p>
        </w:tc>
        <w:tc>
          <w:tcPr>
            <w:tcW w:w="1980" w:type="dxa"/>
            <w:shd w:val="clear" w:color="auto" w:fill="FFFFFF"/>
          </w:tcPr>
          <w:p w14:paraId="00000231" w14:textId="77777777" w:rsidR="00655AEF" w:rsidRDefault="00000000">
            <w:pPr>
              <w:rPr>
                <w:sz w:val="24"/>
                <w:szCs w:val="24"/>
              </w:rPr>
            </w:pPr>
            <w:r>
              <w:rPr>
                <w:sz w:val="24"/>
                <w:szCs w:val="24"/>
              </w:rPr>
              <w:t>Frequency</w:t>
            </w:r>
          </w:p>
        </w:tc>
        <w:tc>
          <w:tcPr>
            <w:tcW w:w="1170" w:type="dxa"/>
            <w:shd w:val="clear" w:color="auto" w:fill="FFFFFF"/>
          </w:tcPr>
          <w:p w14:paraId="00000232" w14:textId="77777777" w:rsidR="00655AEF" w:rsidRDefault="00000000">
            <w:pPr>
              <w:rPr>
                <w:sz w:val="24"/>
                <w:szCs w:val="24"/>
              </w:rPr>
            </w:pPr>
            <w:r>
              <w:rPr>
                <w:sz w:val="24"/>
                <w:szCs w:val="24"/>
              </w:rPr>
              <w:t>Percent</w:t>
            </w:r>
          </w:p>
        </w:tc>
      </w:tr>
      <w:tr w:rsidR="00655AEF" w14:paraId="1A07063E" w14:textId="77777777">
        <w:trPr>
          <w:cantSplit/>
        </w:trPr>
        <w:tc>
          <w:tcPr>
            <w:tcW w:w="734" w:type="dxa"/>
            <w:vMerge w:val="restart"/>
            <w:shd w:val="clear" w:color="auto" w:fill="FFFFFF"/>
            <w:tcMar>
              <w:top w:w="0" w:type="dxa"/>
              <w:left w:w="0" w:type="dxa"/>
              <w:bottom w:w="0" w:type="dxa"/>
              <w:right w:w="0" w:type="dxa"/>
            </w:tcMar>
            <w:vAlign w:val="center"/>
          </w:tcPr>
          <w:p w14:paraId="00000233" w14:textId="77777777" w:rsidR="00655AEF" w:rsidRDefault="00655AEF">
            <w:pPr>
              <w:rPr>
                <w:sz w:val="24"/>
                <w:szCs w:val="24"/>
              </w:rPr>
            </w:pPr>
          </w:p>
        </w:tc>
        <w:tc>
          <w:tcPr>
            <w:tcW w:w="5386" w:type="dxa"/>
            <w:tcBorders>
              <w:top w:val="single" w:sz="4" w:space="0" w:color="000000"/>
            </w:tcBorders>
            <w:shd w:val="clear" w:color="auto" w:fill="FFFFFF"/>
            <w:tcMar>
              <w:top w:w="0" w:type="dxa"/>
              <w:left w:w="0" w:type="dxa"/>
              <w:bottom w:w="0" w:type="dxa"/>
              <w:right w:w="0" w:type="dxa"/>
            </w:tcMar>
            <w:vAlign w:val="center"/>
          </w:tcPr>
          <w:p w14:paraId="00000234" w14:textId="77777777" w:rsidR="00655AEF" w:rsidRDefault="00000000">
            <w:pPr>
              <w:rPr>
                <w:sz w:val="24"/>
                <w:szCs w:val="24"/>
              </w:rPr>
            </w:pPr>
            <w:r>
              <w:rPr>
                <w:sz w:val="24"/>
                <w:szCs w:val="24"/>
              </w:rPr>
              <w:t>Divorced</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35" w14:textId="77777777" w:rsidR="00655AEF" w:rsidRDefault="00000000">
            <w:pPr>
              <w:rPr>
                <w:sz w:val="24"/>
                <w:szCs w:val="24"/>
              </w:rPr>
            </w:pPr>
            <w:r>
              <w:rPr>
                <w:sz w:val="24"/>
                <w:szCs w:val="24"/>
              </w:rPr>
              <w:t>25</w:t>
            </w:r>
          </w:p>
        </w:tc>
        <w:tc>
          <w:tcPr>
            <w:tcW w:w="1170" w:type="dxa"/>
            <w:tcBorders>
              <w:top w:val="single" w:sz="4" w:space="0" w:color="000000"/>
            </w:tcBorders>
            <w:shd w:val="clear" w:color="auto" w:fill="FFFFFF"/>
            <w:tcMar>
              <w:top w:w="0" w:type="dxa"/>
              <w:left w:w="0" w:type="dxa"/>
              <w:bottom w:w="0" w:type="dxa"/>
              <w:right w:w="0" w:type="dxa"/>
            </w:tcMar>
            <w:vAlign w:val="center"/>
          </w:tcPr>
          <w:p w14:paraId="00000236" w14:textId="77777777" w:rsidR="00655AEF" w:rsidRDefault="00000000">
            <w:pPr>
              <w:rPr>
                <w:sz w:val="24"/>
                <w:szCs w:val="24"/>
              </w:rPr>
            </w:pPr>
            <w:r>
              <w:rPr>
                <w:sz w:val="24"/>
                <w:szCs w:val="24"/>
              </w:rPr>
              <w:t>5.0</w:t>
            </w:r>
          </w:p>
        </w:tc>
      </w:tr>
      <w:tr w:rsidR="00655AEF" w14:paraId="1A87276E" w14:textId="77777777">
        <w:trPr>
          <w:cantSplit/>
        </w:trPr>
        <w:tc>
          <w:tcPr>
            <w:tcW w:w="734" w:type="dxa"/>
            <w:vMerge/>
            <w:shd w:val="clear" w:color="auto" w:fill="FFFFFF"/>
            <w:tcMar>
              <w:top w:w="0" w:type="dxa"/>
              <w:left w:w="0" w:type="dxa"/>
              <w:bottom w:w="0" w:type="dxa"/>
              <w:right w:w="0" w:type="dxa"/>
            </w:tcMar>
            <w:vAlign w:val="center"/>
          </w:tcPr>
          <w:p w14:paraId="00000237"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38" w14:textId="77777777" w:rsidR="00655AEF" w:rsidRDefault="00000000">
            <w:pPr>
              <w:rPr>
                <w:sz w:val="24"/>
                <w:szCs w:val="24"/>
              </w:rPr>
            </w:pPr>
            <w:r>
              <w:rPr>
                <w:sz w:val="24"/>
                <w:szCs w:val="24"/>
              </w:rPr>
              <w:t>Living with Partner</w:t>
            </w:r>
          </w:p>
        </w:tc>
        <w:tc>
          <w:tcPr>
            <w:tcW w:w="1980" w:type="dxa"/>
            <w:shd w:val="clear" w:color="auto" w:fill="FFFFFF"/>
            <w:tcMar>
              <w:top w:w="0" w:type="dxa"/>
              <w:left w:w="0" w:type="dxa"/>
              <w:bottom w:w="0" w:type="dxa"/>
              <w:right w:w="0" w:type="dxa"/>
            </w:tcMar>
            <w:vAlign w:val="center"/>
          </w:tcPr>
          <w:p w14:paraId="00000239" w14:textId="77777777" w:rsidR="00655AEF" w:rsidRDefault="00000000">
            <w:pPr>
              <w:rPr>
                <w:sz w:val="24"/>
                <w:szCs w:val="24"/>
              </w:rPr>
            </w:pPr>
            <w:r>
              <w:rPr>
                <w:sz w:val="24"/>
                <w:szCs w:val="24"/>
              </w:rPr>
              <w:t>8</w:t>
            </w:r>
          </w:p>
        </w:tc>
        <w:tc>
          <w:tcPr>
            <w:tcW w:w="1170" w:type="dxa"/>
            <w:shd w:val="clear" w:color="auto" w:fill="FFFFFF"/>
            <w:tcMar>
              <w:top w:w="0" w:type="dxa"/>
              <w:left w:w="0" w:type="dxa"/>
              <w:bottom w:w="0" w:type="dxa"/>
              <w:right w:w="0" w:type="dxa"/>
            </w:tcMar>
            <w:vAlign w:val="center"/>
          </w:tcPr>
          <w:p w14:paraId="0000023A" w14:textId="77777777" w:rsidR="00655AEF" w:rsidRDefault="00000000">
            <w:pPr>
              <w:rPr>
                <w:sz w:val="24"/>
                <w:szCs w:val="24"/>
              </w:rPr>
            </w:pPr>
            <w:r>
              <w:rPr>
                <w:sz w:val="24"/>
                <w:szCs w:val="24"/>
              </w:rPr>
              <w:t>1.6</w:t>
            </w:r>
          </w:p>
        </w:tc>
      </w:tr>
      <w:tr w:rsidR="00655AEF" w14:paraId="4E00758F" w14:textId="77777777">
        <w:trPr>
          <w:cantSplit/>
        </w:trPr>
        <w:tc>
          <w:tcPr>
            <w:tcW w:w="734" w:type="dxa"/>
            <w:vMerge/>
            <w:shd w:val="clear" w:color="auto" w:fill="FFFFFF"/>
            <w:tcMar>
              <w:top w:w="0" w:type="dxa"/>
              <w:left w:w="0" w:type="dxa"/>
              <w:bottom w:w="0" w:type="dxa"/>
              <w:right w:w="0" w:type="dxa"/>
            </w:tcMar>
            <w:vAlign w:val="center"/>
          </w:tcPr>
          <w:p w14:paraId="0000023B"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3C" w14:textId="77777777" w:rsidR="00655AEF" w:rsidRDefault="00000000">
            <w:pPr>
              <w:rPr>
                <w:sz w:val="24"/>
                <w:szCs w:val="24"/>
              </w:rPr>
            </w:pPr>
            <w:r>
              <w:rPr>
                <w:sz w:val="24"/>
                <w:szCs w:val="24"/>
              </w:rPr>
              <w:t>Married (multiple spouses)</w:t>
            </w:r>
          </w:p>
        </w:tc>
        <w:tc>
          <w:tcPr>
            <w:tcW w:w="1980" w:type="dxa"/>
            <w:shd w:val="clear" w:color="auto" w:fill="FFFFFF"/>
            <w:tcMar>
              <w:top w:w="0" w:type="dxa"/>
              <w:left w:w="0" w:type="dxa"/>
              <w:bottom w:w="0" w:type="dxa"/>
              <w:right w:w="0" w:type="dxa"/>
            </w:tcMar>
            <w:vAlign w:val="center"/>
          </w:tcPr>
          <w:p w14:paraId="0000023D" w14:textId="77777777" w:rsidR="00655AEF" w:rsidRDefault="00000000">
            <w:pPr>
              <w:rPr>
                <w:sz w:val="24"/>
                <w:szCs w:val="24"/>
              </w:rPr>
            </w:pPr>
            <w:r>
              <w:rPr>
                <w:sz w:val="24"/>
                <w:szCs w:val="24"/>
              </w:rPr>
              <w:t>20</w:t>
            </w:r>
          </w:p>
        </w:tc>
        <w:tc>
          <w:tcPr>
            <w:tcW w:w="1170" w:type="dxa"/>
            <w:shd w:val="clear" w:color="auto" w:fill="FFFFFF"/>
            <w:tcMar>
              <w:top w:w="0" w:type="dxa"/>
              <w:left w:w="0" w:type="dxa"/>
              <w:bottom w:w="0" w:type="dxa"/>
              <w:right w:w="0" w:type="dxa"/>
            </w:tcMar>
            <w:vAlign w:val="center"/>
          </w:tcPr>
          <w:p w14:paraId="0000023E" w14:textId="77777777" w:rsidR="00655AEF" w:rsidRDefault="00000000">
            <w:pPr>
              <w:rPr>
                <w:sz w:val="24"/>
                <w:szCs w:val="24"/>
              </w:rPr>
            </w:pPr>
            <w:r>
              <w:rPr>
                <w:sz w:val="24"/>
                <w:szCs w:val="24"/>
              </w:rPr>
              <w:t>4.0</w:t>
            </w:r>
          </w:p>
        </w:tc>
      </w:tr>
      <w:tr w:rsidR="00655AEF" w14:paraId="02AADD8C" w14:textId="77777777">
        <w:trPr>
          <w:cantSplit/>
        </w:trPr>
        <w:tc>
          <w:tcPr>
            <w:tcW w:w="734" w:type="dxa"/>
            <w:vMerge/>
            <w:shd w:val="clear" w:color="auto" w:fill="FFFFFF"/>
            <w:tcMar>
              <w:top w:w="0" w:type="dxa"/>
              <w:left w:w="0" w:type="dxa"/>
              <w:bottom w:w="0" w:type="dxa"/>
              <w:right w:w="0" w:type="dxa"/>
            </w:tcMar>
            <w:vAlign w:val="center"/>
          </w:tcPr>
          <w:p w14:paraId="0000023F"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40" w14:textId="77777777" w:rsidR="00655AEF" w:rsidRDefault="00000000">
            <w:pPr>
              <w:rPr>
                <w:sz w:val="24"/>
                <w:szCs w:val="24"/>
              </w:rPr>
            </w:pPr>
            <w:r>
              <w:rPr>
                <w:sz w:val="24"/>
                <w:szCs w:val="24"/>
              </w:rPr>
              <w:t>Married (one spouse)</w:t>
            </w:r>
          </w:p>
        </w:tc>
        <w:tc>
          <w:tcPr>
            <w:tcW w:w="1980" w:type="dxa"/>
            <w:shd w:val="clear" w:color="auto" w:fill="FFFFFF"/>
            <w:tcMar>
              <w:top w:w="0" w:type="dxa"/>
              <w:left w:w="0" w:type="dxa"/>
              <w:bottom w:w="0" w:type="dxa"/>
              <w:right w:w="0" w:type="dxa"/>
            </w:tcMar>
            <w:vAlign w:val="center"/>
          </w:tcPr>
          <w:p w14:paraId="00000241" w14:textId="77777777" w:rsidR="00655AEF" w:rsidRDefault="00000000">
            <w:pPr>
              <w:rPr>
                <w:sz w:val="24"/>
                <w:szCs w:val="24"/>
              </w:rPr>
            </w:pPr>
            <w:r>
              <w:rPr>
                <w:sz w:val="24"/>
                <w:szCs w:val="24"/>
              </w:rPr>
              <w:t>287</w:t>
            </w:r>
          </w:p>
        </w:tc>
        <w:tc>
          <w:tcPr>
            <w:tcW w:w="1170" w:type="dxa"/>
            <w:shd w:val="clear" w:color="auto" w:fill="FFFFFF"/>
            <w:tcMar>
              <w:top w:w="0" w:type="dxa"/>
              <w:left w:w="0" w:type="dxa"/>
              <w:bottom w:w="0" w:type="dxa"/>
              <w:right w:w="0" w:type="dxa"/>
            </w:tcMar>
            <w:vAlign w:val="center"/>
          </w:tcPr>
          <w:p w14:paraId="00000242" w14:textId="77777777" w:rsidR="00655AEF" w:rsidRDefault="00000000">
            <w:pPr>
              <w:rPr>
                <w:sz w:val="24"/>
                <w:szCs w:val="24"/>
              </w:rPr>
            </w:pPr>
            <w:r>
              <w:rPr>
                <w:sz w:val="24"/>
                <w:szCs w:val="24"/>
              </w:rPr>
              <w:t>57.1</w:t>
            </w:r>
          </w:p>
        </w:tc>
      </w:tr>
      <w:tr w:rsidR="00655AEF" w14:paraId="7001FB3B" w14:textId="77777777">
        <w:trPr>
          <w:cantSplit/>
        </w:trPr>
        <w:tc>
          <w:tcPr>
            <w:tcW w:w="734" w:type="dxa"/>
            <w:vMerge/>
            <w:shd w:val="clear" w:color="auto" w:fill="FFFFFF"/>
            <w:tcMar>
              <w:top w:w="0" w:type="dxa"/>
              <w:left w:w="0" w:type="dxa"/>
              <w:bottom w:w="0" w:type="dxa"/>
              <w:right w:w="0" w:type="dxa"/>
            </w:tcMar>
            <w:vAlign w:val="center"/>
          </w:tcPr>
          <w:p w14:paraId="00000243"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44" w14:textId="77777777" w:rsidR="00655AEF" w:rsidRDefault="00000000">
            <w:pPr>
              <w:rPr>
                <w:sz w:val="24"/>
                <w:szCs w:val="24"/>
              </w:rPr>
            </w:pPr>
            <w:r>
              <w:rPr>
                <w:sz w:val="24"/>
                <w:szCs w:val="24"/>
              </w:rPr>
              <w:t>Separated</w:t>
            </w:r>
          </w:p>
        </w:tc>
        <w:tc>
          <w:tcPr>
            <w:tcW w:w="1980" w:type="dxa"/>
            <w:shd w:val="clear" w:color="auto" w:fill="FFFFFF"/>
            <w:tcMar>
              <w:top w:w="0" w:type="dxa"/>
              <w:left w:w="0" w:type="dxa"/>
              <w:bottom w:w="0" w:type="dxa"/>
              <w:right w:w="0" w:type="dxa"/>
            </w:tcMar>
            <w:vAlign w:val="center"/>
          </w:tcPr>
          <w:p w14:paraId="00000245" w14:textId="77777777" w:rsidR="00655AEF" w:rsidRDefault="00000000">
            <w:pPr>
              <w:rPr>
                <w:sz w:val="24"/>
                <w:szCs w:val="24"/>
              </w:rPr>
            </w:pPr>
            <w:r>
              <w:rPr>
                <w:sz w:val="24"/>
                <w:szCs w:val="24"/>
              </w:rPr>
              <w:t>18</w:t>
            </w:r>
          </w:p>
        </w:tc>
        <w:tc>
          <w:tcPr>
            <w:tcW w:w="1170" w:type="dxa"/>
            <w:shd w:val="clear" w:color="auto" w:fill="FFFFFF"/>
            <w:tcMar>
              <w:top w:w="0" w:type="dxa"/>
              <w:left w:w="0" w:type="dxa"/>
              <w:bottom w:w="0" w:type="dxa"/>
              <w:right w:w="0" w:type="dxa"/>
            </w:tcMar>
            <w:vAlign w:val="center"/>
          </w:tcPr>
          <w:p w14:paraId="00000246" w14:textId="77777777" w:rsidR="00655AEF" w:rsidRDefault="00000000">
            <w:pPr>
              <w:rPr>
                <w:sz w:val="24"/>
                <w:szCs w:val="24"/>
              </w:rPr>
            </w:pPr>
            <w:r>
              <w:rPr>
                <w:sz w:val="24"/>
                <w:szCs w:val="24"/>
              </w:rPr>
              <w:t>3.6</w:t>
            </w:r>
          </w:p>
        </w:tc>
      </w:tr>
      <w:tr w:rsidR="00655AEF" w14:paraId="170FE932" w14:textId="77777777">
        <w:trPr>
          <w:cantSplit/>
        </w:trPr>
        <w:tc>
          <w:tcPr>
            <w:tcW w:w="734" w:type="dxa"/>
            <w:vMerge/>
            <w:shd w:val="clear" w:color="auto" w:fill="FFFFFF"/>
            <w:tcMar>
              <w:top w:w="0" w:type="dxa"/>
              <w:left w:w="0" w:type="dxa"/>
              <w:bottom w:w="0" w:type="dxa"/>
              <w:right w:w="0" w:type="dxa"/>
            </w:tcMar>
            <w:vAlign w:val="center"/>
          </w:tcPr>
          <w:p w14:paraId="00000247"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48" w14:textId="77777777" w:rsidR="00655AEF" w:rsidRDefault="00000000">
            <w:pPr>
              <w:rPr>
                <w:sz w:val="24"/>
                <w:szCs w:val="24"/>
              </w:rPr>
            </w:pPr>
            <w:r>
              <w:rPr>
                <w:sz w:val="24"/>
                <w:szCs w:val="24"/>
              </w:rPr>
              <w:t>Single</w:t>
            </w:r>
          </w:p>
        </w:tc>
        <w:tc>
          <w:tcPr>
            <w:tcW w:w="1980" w:type="dxa"/>
            <w:shd w:val="clear" w:color="auto" w:fill="FFFFFF"/>
            <w:tcMar>
              <w:top w:w="0" w:type="dxa"/>
              <w:left w:w="0" w:type="dxa"/>
              <w:bottom w:w="0" w:type="dxa"/>
              <w:right w:w="0" w:type="dxa"/>
            </w:tcMar>
            <w:vAlign w:val="center"/>
          </w:tcPr>
          <w:p w14:paraId="00000249" w14:textId="77777777" w:rsidR="00655AEF" w:rsidRDefault="00000000">
            <w:pPr>
              <w:rPr>
                <w:sz w:val="24"/>
                <w:szCs w:val="24"/>
              </w:rPr>
            </w:pPr>
            <w:r>
              <w:rPr>
                <w:sz w:val="24"/>
                <w:szCs w:val="24"/>
              </w:rPr>
              <w:t>102</w:t>
            </w:r>
          </w:p>
        </w:tc>
        <w:tc>
          <w:tcPr>
            <w:tcW w:w="1170" w:type="dxa"/>
            <w:shd w:val="clear" w:color="auto" w:fill="FFFFFF"/>
            <w:tcMar>
              <w:top w:w="0" w:type="dxa"/>
              <w:left w:w="0" w:type="dxa"/>
              <w:bottom w:w="0" w:type="dxa"/>
              <w:right w:w="0" w:type="dxa"/>
            </w:tcMar>
            <w:vAlign w:val="center"/>
          </w:tcPr>
          <w:p w14:paraId="0000024A" w14:textId="77777777" w:rsidR="00655AEF" w:rsidRDefault="00000000">
            <w:pPr>
              <w:rPr>
                <w:sz w:val="24"/>
                <w:szCs w:val="24"/>
              </w:rPr>
            </w:pPr>
            <w:r>
              <w:rPr>
                <w:sz w:val="24"/>
                <w:szCs w:val="24"/>
              </w:rPr>
              <w:t>20.3</w:t>
            </w:r>
          </w:p>
        </w:tc>
      </w:tr>
      <w:tr w:rsidR="00655AEF" w14:paraId="5871D6A3" w14:textId="77777777">
        <w:trPr>
          <w:cantSplit/>
        </w:trPr>
        <w:tc>
          <w:tcPr>
            <w:tcW w:w="734" w:type="dxa"/>
            <w:vMerge/>
            <w:shd w:val="clear" w:color="auto" w:fill="FFFFFF"/>
            <w:tcMar>
              <w:top w:w="0" w:type="dxa"/>
              <w:left w:w="0" w:type="dxa"/>
              <w:bottom w:w="0" w:type="dxa"/>
              <w:right w:w="0" w:type="dxa"/>
            </w:tcMar>
            <w:vAlign w:val="center"/>
          </w:tcPr>
          <w:p w14:paraId="0000024B" w14:textId="77777777" w:rsidR="00655AEF" w:rsidRDefault="00655AEF">
            <w:pPr>
              <w:pBdr>
                <w:top w:val="nil"/>
                <w:left w:val="nil"/>
                <w:bottom w:val="nil"/>
                <w:right w:val="nil"/>
                <w:between w:val="nil"/>
              </w:pBdr>
              <w:spacing w:line="276" w:lineRule="auto"/>
              <w:rPr>
                <w:sz w:val="24"/>
                <w:szCs w:val="24"/>
              </w:rPr>
            </w:pPr>
          </w:p>
        </w:tc>
        <w:tc>
          <w:tcPr>
            <w:tcW w:w="5386" w:type="dxa"/>
            <w:tcBorders>
              <w:bottom w:val="single" w:sz="4" w:space="0" w:color="000000"/>
            </w:tcBorders>
            <w:shd w:val="clear" w:color="auto" w:fill="FFFFFF"/>
            <w:tcMar>
              <w:top w:w="0" w:type="dxa"/>
              <w:left w:w="0" w:type="dxa"/>
              <w:bottom w:w="0" w:type="dxa"/>
              <w:right w:w="0" w:type="dxa"/>
            </w:tcMar>
            <w:vAlign w:val="center"/>
          </w:tcPr>
          <w:p w14:paraId="0000024C" w14:textId="77777777" w:rsidR="00655AEF" w:rsidRDefault="00000000">
            <w:pPr>
              <w:rPr>
                <w:sz w:val="24"/>
                <w:szCs w:val="24"/>
              </w:rPr>
            </w:pPr>
            <w:r>
              <w:rPr>
                <w:sz w:val="24"/>
                <w:szCs w:val="24"/>
              </w:rPr>
              <w:t>Widowed</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24D" w14:textId="77777777" w:rsidR="00655AEF" w:rsidRDefault="00000000">
            <w:pPr>
              <w:rPr>
                <w:sz w:val="24"/>
                <w:szCs w:val="24"/>
              </w:rPr>
            </w:pPr>
            <w:r>
              <w:rPr>
                <w:sz w:val="24"/>
                <w:szCs w:val="24"/>
              </w:rPr>
              <w:t>43</w:t>
            </w:r>
          </w:p>
        </w:tc>
        <w:tc>
          <w:tcPr>
            <w:tcW w:w="1170" w:type="dxa"/>
            <w:tcBorders>
              <w:bottom w:val="single" w:sz="4" w:space="0" w:color="000000"/>
            </w:tcBorders>
            <w:shd w:val="clear" w:color="auto" w:fill="FFFFFF"/>
            <w:tcMar>
              <w:top w:w="0" w:type="dxa"/>
              <w:left w:w="0" w:type="dxa"/>
              <w:bottom w:w="0" w:type="dxa"/>
              <w:right w:w="0" w:type="dxa"/>
            </w:tcMar>
            <w:vAlign w:val="center"/>
          </w:tcPr>
          <w:p w14:paraId="0000024E" w14:textId="77777777" w:rsidR="00655AEF" w:rsidRDefault="00000000">
            <w:pPr>
              <w:rPr>
                <w:sz w:val="24"/>
                <w:szCs w:val="24"/>
              </w:rPr>
            </w:pPr>
            <w:r>
              <w:rPr>
                <w:sz w:val="24"/>
                <w:szCs w:val="24"/>
              </w:rPr>
              <w:t>8.5</w:t>
            </w:r>
          </w:p>
        </w:tc>
      </w:tr>
      <w:tr w:rsidR="00655AEF" w14:paraId="22442341" w14:textId="77777777">
        <w:trPr>
          <w:cantSplit/>
        </w:trPr>
        <w:tc>
          <w:tcPr>
            <w:tcW w:w="734" w:type="dxa"/>
            <w:vMerge/>
            <w:shd w:val="clear" w:color="auto" w:fill="FFFFFF"/>
            <w:tcMar>
              <w:top w:w="0" w:type="dxa"/>
              <w:left w:w="0" w:type="dxa"/>
              <w:bottom w:w="0" w:type="dxa"/>
              <w:right w:w="0" w:type="dxa"/>
            </w:tcMar>
            <w:vAlign w:val="center"/>
          </w:tcPr>
          <w:p w14:paraId="0000024F" w14:textId="77777777" w:rsidR="00655AEF" w:rsidRDefault="00655AEF">
            <w:pPr>
              <w:pBdr>
                <w:top w:val="nil"/>
                <w:left w:val="nil"/>
                <w:bottom w:val="nil"/>
                <w:right w:val="nil"/>
                <w:between w:val="nil"/>
              </w:pBdr>
              <w:spacing w:line="276" w:lineRule="auto"/>
              <w:rPr>
                <w:sz w:val="24"/>
                <w:szCs w:val="24"/>
              </w:rPr>
            </w:pPr>
          </w:p>
        </w:tc>
        <w:tc>
          <w:tcPr>
            <w:tcW w:w="5386" w:type="dxa"/>
            <w:tcBorders>
              <w:top w:val="single" w:sz="4" w:space="0" w:color="000000"/>
              <w:bottom w:val="single" w:sz="4" w:space="0" w:color="000000"/>
            </w:tcBorders>
            <w:shd w:val="clear" w:color="auto" w:fill="FFFFFF"/>
            <w:vAlign w:val="center"/>
          </w:tcPr>
          <w:p w14:paraId="00000250"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vAlign w:val="center"/>
          </w:tcPr>
          <w:p w14:paraId="00000251" w14:textId="77777777" w:rsidR="00655AEF" w:rsidRDefault="00000000">
            <w:pPr>
              <w:rPr>
                <w:sz w:val="24"/>
                <w:szCs w:val="24"/>
              </w:rPr>
            </w:pPr>
            <w:r>
              <w:rPr>
                <w:sz w:val="24"/>
                <w:szCs w:val="24"/>
              </w:rPr>
              <w:t>503</w:t>
            </w:r>
          </w:p>
        </w:tc>
        <w:tc>
          <w:tcPr>
            <w:tcW w:w="1170" w:type="dxa"/>
            <w:tcBorders>
              <w:top w:val="single" w:sz="4" w:space="0" w:color="000000"/>
              <w:bottom w:val="single" w:sz="4" w:space="0" w:color="000000"/>
            </w:tcBorders>
            <w:shd w:val="clear" w:color="auto" w:fill="FFFFFF"/>
            <w:vAlign w:val="center"/>
          </w:tcPr>
          <w:p w14:paraId="00000252" w14:textId="77777777" w:rsidR="00655AEF" w:rsidRDefault="00000000">
            <w:pPr>
              <w:rPr>
                <w:sz w:val="24"/>
                <w:szCs w:val="24"/>
              </w:rPr>
            </w:pPr>
            <w:r>
              <w:rPr>
                <w:sz w:val="24"/>
                <w:szCs w:val="24"/>
              </w:rPr>
              <w:t>100.0</w:t>
            </w:r>
          </w:p>
        </w:tc>
      </w:tr>
    </w:tbl>
    <w:p w14:paraId="00000253" w14:textId="77777777" w:rsidR="00655AEF" w:rsidRDefault="00655AEF">
      <w:pPr>
        <w:rPr>
          <w:sz w:val="24"/>
          <w:szCs w:val="24"/>
        </w:rPr>
      </w:pPr>
    </w:p>
    <w:p w14:paraId="00000254" w14:textId="77777777" w:rsidR="00655AEF" w:rsidRDefault="00655AEF">
      <w:pPr>
        <w:rPr>
          <w:sz w:val="24"/>
          <w:szCs w:val="24"/>
        </w:rPr>
      </w:pPr>
    </w:p>
    <w:p w14:paraId="00000255" w14:textId="77777777" w:rsidR="00655AEF" w:rsidRDefault="00000000">
      <w:pPr>
        <w:keepNext/>
      </w:pPr>
      <w:r>
        <w:rPr>
          <w:noProof/>
          <w:sz w:val="24"/>
          <w:szCs w:val="24"/>
        </w:rPr>
        <w:drawing>
          <wp:inline distT="0" distB="0" distL="0" distR="0" wp14:anchorId="5D56D4D7" wp14:editId="67302022">
            <wp:extent cx="5505450" cy="32194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256" w14:textId="77777777" w:rsidR="00655AEF" w:rsidRDefault="00000000">
      <w:pPr>
        <w:pBdr>
          <w:top w:val="nil"/>
          <w:left w:val="nil"/>
          <w:bottom w:val="nil"/>
          <w:right w:val="nil"/>
          <w:between w:val="nil"/>
        </w:pBdr>
        <w:spacing w:after="200"/>
        <w:rPr>
          <w:b/>
          <w:color w:val="4F81BD"/>
          <w:sz w:val="24"/>
          <w:szCs w:val="24"/>
        </w:rPr>
      </w:pPr>
      <w:bookmarkStart w:id="51" w:name="_heading=h.mvwry78rd5am" w:colFirst="0" w:colLast="0"/>
      <w:bookmarkEnd w:id="51"/>
      <w:r>
        <w:rPr>
          <w:b/>
          <w:color w:val="4F81BD"/>
          <w:sz w:val="18"/>
          <w:szCs w:val="18"/>
        </w:rPr>
        <w:t>Figure 2: Marital Status</w:t>
      </w:r>
    </w:p>
    <w:p w14:paraId="00000257" w14:textId="77777777" w:rsidR="00655AEF" w:rsidRDefault="00655AEF">
      <w:pPr>
        <w:spacing w:after="240" w:line="360" w:lineRule="auto"/>
        <w:jc w:val="both"/>
        <w:rPr>
          <w:sz w:val="24"/>
          <w:szCs w:val="24"/>
        </w:rPr>
      </w:pPr>
    </w:p>
    <w:p w14:paraId="00000258" w14:textId="77777777" w:rsidR="00655AEF" w:rsidRDefault="00000000">
      <w:pPr>
        <w:pStyle w:val="Heading3"/>
        <w:numPr>
          <w:ilvl w:val="2"/>
          <w:numId w:val="11"/>
        </w:numPr>
        <w:rPr>
          <w:sz w:val="24"/>
          <w:szCs w:val="24"/>
        </w:rPr>
      </w:pPr>
      <w:bookmarkStart w:id="52" w:name="_heading=h.7r7kg63lo69c" w:colFirst="0" w:colLast="0"/>
      <w:bookmarkEnd w:id="52"/>
      <w:r>
        <w:rPr>
          <w:sz w:val="24"/>
          <w:szCs w:val="24"/>
        </w:rPr>
        <w:t>Average Household Income</w:t>
      </w:r>
    </w:p>
    <w:p w14:paraId="00000259" w14:textId="77777777" w:rsidR="00655AEF" w:rsidRDefault="00000000">
      <w:pPr>
        <w:spacing w:after="240" w:line="360" w:lineRule="auto"/>
        <w:jc w:val="both"/>
        <w:rPr>
          <w:sz w:val="24"/>
          <w:szCs w:val="24"/>
        </w:rPr>
      </w:pPr>
      <w:r>
        <w:rPr>
          <w:sz w:val="24"/>
          <w:szCs w:val="24"/>
        </w:rPr>
        <w:t>Average household income data provides a critical demographic snapshot of the study’s patient population. The findings reveal a bimodal distribution, with a significant concentration of individuals in the mid-to-higher income brackets, while a smaller but notable portion of the sample reports very low household income.</w:t>
      </w:r>
    </w:p>
    <w:p w14:paraId="0000025A" w14:textId="77777777" w:rsidR="00655AEF" w:rsidRDefault="00000000">
      <w:pPr>
        <w:spacing w:after="240" w:line="360" w:lineRule="auto"/>
        <w:jc w:val="both"/>
        <w:rPr>
          <w:sz w:val="24"/>
          <w:szCs w:val="24"/>
        </w:rPr>
      </w:pPr>
      <w:r>
        <w:rPr>
          <w:sz w:val="24"/>
          <w:szCs w:val="24"/>
        </w:rPr>
        <w:t>The most striking finding is that nearly half of the respondents (48.5%) report an average household income of Ksh 3,001 and above. This group, combined with the next largest segment earning between Ksh 2,001 and Ksh 3,000 (30.6%), constitutes a substantial majority of the patient population. This suggests that a large proportion of patients in the study have a moderate to a relatively stable source of household income.</w:t>
      </w:r>
    </w:p>
    <w:p w14:paraId="0000025B" w14:textId="77777777" w:rsidR="00655AEF" w:rsidRDefault="00000000">
      <w:pPr>
        <w:spacing w:after="240" w:line="360" w:lineRule="auto"/>
        <w:jc w:val="both"/>
        <w:rPr>
          <w:sz w:val="24"/>
          <w:szCs w:val="24"/>
        </w:rPr>
      </w:pPr>
      <w:r>
        <w:rPr>
          <w:sz w:val="24"/>
          <w:szCs w:val="24"/>
        </w:rPr>
        <w:t xml:space="preserve">In contrast, the data also highlights the presence of economic vulnerability, with a small percentage of patients living on very low incomes. Specifically, 2.2% of the sample reports an average household income of Ksh 500 or less, and another 2.0% are in the Ksh 501 to Ksh 1,000 bracket. While these percentages may seem small, they represent a highly vulnerable subset of the patient population for whom even minor financial burdens can pose significant barriers to care. This finding directly correlates with </w:t>
      </w:r>
      <w:proofErr w:type="gramStart"/>
      <w:r>
        <w:rPr>
          <w:sz w:val="24"/>
          <w:szCs w:val="24"/>
        </w:rPr>
        <w:t>the,</w:t>
      </w:r>
      <w:proofErr w:type="gramEnd"/>
      <w:r>
        <w:rPr>
          <w:sz w:val="24"/>
          <w:szCs w:val="24"/>
        </w:rPr>
        <w:t xml:space="preserve"> patient lack of finance, reason for stopping treatment identified in the previous discussion, reinforcing the reality that a lack of financial resources, even for a minority of patients, is a genuine and impactful barrier to care.</w:t>
      </w:r>
    </w:p>
    <w:p w14:paraId="0000025C" w14:textId="77777777" w:rsidR="00655AEF" w:rsidRDefault="00000000">
      <w:pPr>
        <w:spacing w:after="240" w:line="360" w:lineRule="auto"/>
        <w:jc w:val="both"/>
        <w:rPr>
          <w:sz w:val="24"/>
          <w:szCs w:val="24"/>
        </w:rPr>
      </w:pPr>
      <w:r>
        <w:rPr>
          <w:sz w:val="24"/>
          <w:szCs w:val="24"/>
        </w:rPr>
        <w:t xml:space="preserve">This income distribution is of great significance to the proposed study on the effectiveness of a reward system. For patients in the lowest income brackets, financial incentives, even if modest, could serve as a powerful motivator to attend clinic appointments, cover transport costs, and sustain adherence. For </w:t>
      </w:r>
      <w:proofErr w:type="gramStart"/>
      <w:r>
        <w:rPr>
          <w:sz w:val="24"/>
          <w:szCs w:val="24"/>
        </w:rPr>
        <w:t>the majority of</w:t>
      </w:r>
      <w:proofErr w:type="gramEnd"/>
      <w:r>
        <w:rPr>
          <w:sz w:val="24"/>
          <w:szCs w:val="24"/>
        </w:rPr>
        <w:t xml:space="preserve"> the population with higher average household incomes, the effectiveness of a reward system may depend on the value and nature of the reward. It raises questions about whether non-financial incentives or a different type of reward structure would be more appealing or effective for those who are not as financially vulnerable.</w:t>
      </w:r>
    </w:p>
    <w:p w14:paraId="0000025D" w14:textId="77777777" w:rsidR="00655AEF" w:rsidRDefault="00000000">
      <w:pPr>
        <w:spacing w:after="240" w:line="360" w:lineRule="auto"/>
        <w:jc w:val="both"/>
        <w:rPr>
          <w:sz w:val="24"/>
          <w:szCs w:val="24"/>
        </w:rPr>
      </w:pPr>
      <w:r>
        <w:rPr>
          <w:sz w:val="24"/>
          <w:szCs w:val="24"/>
        </w:rPr>
        <w:lastRenderedPageBreak/>
        <w:t>The average household income data provides a nuanced understanding of the economic landscape of the patient population. It underscores that while a large portion of the sample may have some financial capacity, a targeted and tailored approach to incentives is necessary. Any reward system must be sensitive to the diverse economic realities of the patient population, ensuring that it effectively supports the most vulnerable while remaining relevant and motivating for all. The findings suggest that a one-size-fits-all reward mechanism may not achieve optimal results across the entire spectrum of patients.</w:t>
      </w:r>
    </w:p>
    <w:p w14:paraId="0000025E" w14:textId="77777777" w:rsidR="00655AEF" w:rsidRDefault="00655AEF">
      <w:pPr>
        <w:spacing w:after="240" w:line="360" w:lineRule="auto"/>
        <w:jc w:val="both"/>
        <w:rPr>
          <w:sz w:val="24"/>
          <w:szCs w:val="24"/>
        </w:rPr>
      </w:pPr>
    </w:p>
    <w:p w14:paraId="0000025F" w14:textId="77777777" w:rsidR="00655AEF" w:rsidRDefault="00655AEF">
      <w:pPr>
        <w:spacing w:after="240" w:line="360" w:lineRule="auto"/>
        <w:jc w:val="both"/>
        <w:rPr>
          <w:sz w:val="24"/>
          <w:szCs w:val="24"/>
        </w:rPr>
      </w:pPr>
    </w:p>
    <w:p w14:paraId="00000260" w14:textId="77777777" w:rsidR="00655AEF" w:rsidRDefault="00000000">
      <w:pPr>
        <w:keepNext/>
        <w:pBdr>
          <w:top w:val="nil"/>
          <w:left w:val="nil"/>
          <w:bottom w:val="nil"/>
          <w:right w:val="nil"/>
          <w:between w:val="nil"/>
        </w:pBdr>
        <w:spacing w:after="200"/>
        <w:rPr>
          <w:b/>
          <w:color w:val="4F81BD"/>
          <w:sz w:val="18"/>
          <w:szCs w:val="18"/>
        </w:rPr>
      </w:pPr>
      <w:bookmarkStart w:id="53" w:name="_heading=h.gugoojyqblpn" w:colFirst="0" w:colLast="0"/>
      <w:bookmarkEnd w:id="53"/>
      <w:r>
        <w:rPr>
          <w:b/>
          <w:color w:val="4F81BD"/>
          <w:sz w:val="18"/>
          <w:szCs w:val="18"/>
        </w:rPr>
        <w:t>Table 6: Average Household Income</w:t>
      </w:r>
    </w:p>
    <w:tbl>
      <w:tblPr>
        <w:tblStyle w:val="a4"/>
        <w:tblW w:w="9180" w:type="dxa"/>
        <w:tblInd w:w="0" w:type="dxa"/>
        <w:tblLayout w:type="fixed"/>
        <w:tblLook w:val="0000" w:firstRow="0" w:lastRow="0" w:firstColumn="0" w:lastColumn="0" w:noHBand="0" w:noVBand="0"/>
      </w:tblPr>
      <w:tblGrid>
        <w:gridCol w:w="734"/>
        <w:gridCol w:w="5386"/>
        <w:gridCol w:w="1980"/>
        <w:gridCol w:w="1080"/>
      </w:tblGrid>
      <w:tr w:rsidR="00655AEF" w14:paraId="2B0927A4" w14:textId="77777777">
        <w:trPr>
          <w:cantSplit/>
        </w:trPr>
        <w:tc>
          <w:tcPr>
            <w:tcW w:w="6120" w:type="dxa"/>
            <w:gridSpan w:val="2"/>
            <w:shd w:val="clear" w:color="auto" w:fill="FFFFFF"/>
            <w:tcMar>
              <w:top w:w="0" w:type="dxa"/>
              <w:left w:w="0" w:type="dxa"/>
              <w:bottom w:w="0" w:type="dxa"/>
              <w:right w:w="0" w:type="dxa"/>
            </w:tcMar>
          </w:tcPr>
          <w:p w14:paraId="00000261"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263" w14:textId="77777777" w:rsidR="00655AEF" w:rsidRDefault="00000000">
            <w:pPr>
              <w:rPr>
                <w:sz w:val="24"/>
                <w:szCs w:val="24"/>
              </w:rPr>
            </w:pPr>
            <w:r>
              <w:rPr>
                <w:sz w:val="24"/>
                <w:szCs w:val="24"/>
              </w:rPr>
              <w:t>Frequency</w:t>
            </w:r>
          </w:p>
        </w:tc>
        <w:tc>
          <w:tcPr>
            <w:tcW w:w="1080" w:type="dxa"/>
            <w:shd w:val="clear" w:color="auto" w:fill="FFFFFF"/>
            <w:tcMar>
              <w:top w:w="0" w:type="dxa"/>
              <w:left w:w="0" w:type="dxa"/>
              <w:bottom w:w="0" w:type="dxa"/>
              <w:right w:w="0" w:type="dxa"/>
            </w:tcMar>
          </w:tcPr>
          <w:p w14:paraId="00000264" w14:textId="77777777" w:rsidR="00655AEF" w:rsidRDefault="00000000">
            <w:pPr>
              <w:rPr>
                <w:sz w:val="24"/>
                <w:szCs w:val="24"/>
              </w:rPr>
            </w:pPr>
            <w:r>
              <w:rPr>
                <w:sz w:val="24"/>
                <w:szCs w:val="24"/>
              </w:rPr>
              <w:t>Percent</w:t>
            </w:r>
          </w:p>
        </w:tc>
      </w:tr>
      <w:tr w:rsidR="00655AEF" w14:paraId="19428CCE" w14:textId="77777777">
        <w:trPr>
          <w:cantSplit/>
        </w:trPr>
        <w:tc>
          <w:tcPr>
            <w:tcW w:w="734" w:type="dxa"/>
            <w:vMerge w:val="restart"/>
            <w:shd w:val="clear" w:color="auto" w:fill="FFFFFF"/>
            <w:tcMar>
              <w:top w:w="0" w:type="dxa"/>
              <w:left w:w="0" w:type="dxa"/>
              <w:bottom w:w="0" w:type="dxa"/>
              <w:right w:w="0" w:type="dxa"/>
            </w:tcMar>
            <w:vAlign w:val="center"/>
          </w:tcPr>
          <w:p w14:paraId="00000265" w14:textId="77777777" w:rsidR="00655AEF" w:rsidRDefault="00655AEF">
            <w:pPr>
              <w:rPr>
                <w:sz w:val="24"/>
                <w:szCs w:val="24"/>
              </w:rPr>
            </w:pPr>
          </w:p>
        </w:tc>
        <w:tc>
          <w:tcPr>
            <w:tcW w:w="5386" w:type="dxa"/>
            <w:tcBorders>
              <w:top w:val="single" w:sz="4" w:space="0" w:color="000000"/>
            </w:tcBorders>
            <w:shd w:val="clear" w:color="auto" w:fill="FFFFFF"/>
            <w:tcMar>
              <w:top w:w="0" w:type="dxa"/>
              <w:left w:w="0" w:type="dxa"/>
              <w:bottom w:w="0" w:type="dxa"/>
              <w:right w:w="0" w:type="dxa"/>
            </w:tcMar>
            <w:vAlign w:val="center"/>
          </w:tcPr>
          <w:p w14:paraId="00000266" w14:textId="77777777" w:rsidR="00655AEF" w:rsidRDefault="00000000">
            <w:pPr>
              <w:rPr>
                <w:sz w:val="24"/>
                <w:szCs w:val="24"/>
              </w:rPr>
            </w:pPr>
            <w:r>
              <w:rPr>
                <w:sz w:val="24"/>
                <w:szCs w:val="24"/>
              </w:rPr>
              <w:t>0 - 500</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67" w14:textId="77777777" w:rsidR="00655AEF" w:rsidRDefault="00000000">
            <w:pPr>
              <w:rPr>
                <w:sz w:val="24"/>
                <w:szCs w:val="24"/>
              </w:rPr>
            </w:pPr>
            <w:r>
              <w:rPr>
                <w:sz w:val="24"/>
                <w:szCs w:val="24"/>
              </w:rPr>
              <w:t>11</w:t>
            </w:r>
          </w:p>
        </w:tc>
        <w:tc>
          <w:tcPr>
            <w:tcW w:w="1080" w:type="dxa"/>
            <w:tcBorders>
              <w:top w:val="single" w:sz="4" w:space="0" w:color="000000"/>
            </w:tcBorders>
            <w:shd w:val="clear" w:color="auto" w:fill="FFFFFF"/>
            <w:tcMar>
              <w:top w:w="0" w:type="dxa"/>
              <w:left w:w="0" w:type="dxa"/>
              <w:bottom w:w="0" w:type="dxa"/>
              <w:right w:w="0" w:type="dxa"/>
            </w:tcMar>
            <w:vAlign w:val="center"/>
          </w:tcPr>
          <w:p w14:paraId="00000268" w14:textId="77777777" w:rsidR="00655AEF" w:rsidRDefault="00000000">
            <w:pPr>
              <w:rPr>
                <w:sz w:val="24"/>
                <w:szCs w:val="24"/>
              </w:rPr>
            </w:pPr>
            <w:r>
              <w:rPr>
                <w:sz w:val="24"/>
                <w:szCs w:val="24"/>
              </w:rPr>
              <w:t>2.2</w:t>
            </w:r>
          </w:p>
        </w:tc>
      </w:tr>
      <w:tr w:rsidR="00655AEF" w14:paraId="29208697" w14:textId="77777777">
        <w:trPr>
          <w:cantSplit/>
        </w:trPr>
        <w:tc>
          <w:tcPr>
            <w:tcW w:w="734" w:type="dxa"/>
            <w:vMerge/>
            <w:shd w:val="clear" w:color="auto" w:fill="FFFFFF"/>
            <w:tcMar>
              <w:top w:w="0" w:type="dxa"/>
              <w:left w:w="0" w:type="dxa"/>
              <w:bottom w:w="0" w:type="dxa"/>
              <w:right w:w="0" w:type="dxa"/>
            </w:tcMar>
            <w:vAlign w:val="center"/>
          </w:tcPr>
          <w:p w14:paraId="00000269"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6A" w14:textId="77777777" w:rsidR="00655AEF" w:rsidRDefault="00000000">
            <w:pPr>
              <w:rPr>
                <w:sz w:val="24"/>
                <w:szCs w:val="24"/>
              </w:rPr>
            </w:pPr>
            <w:r>
              <w:rPr>
                <w:sz w:val="24"/>
                <w:szCs w:val="24"/>
              </w:rPr>
              <w:t>501 - 1000</w:t>
            </w:r>
          </w:p>
        </w:tc>
        <w:tc>
          <w:tcPr>
            <w:tcW w:w="1980" w:type="dxa"/>
            <w:shd w:val="clear" w:color="auto" w:fill="FFFFFF"/>
            <w:tcMar>
              <w:top w:w="0" w:type="dxa"/>
              <w:left w:w="0" w:type="dxa"/>
              <w:bottom w:w="0" w:type="dxa"/>
              <w:right w:w="0" w:type="dxa"/>
            </w:tcMar>
            <w:vAlign w:val="center"/>
          </w:tcPr>
          <w:p w14:paraId="0000026B" w14:textId="77777777" w:rsidR="00655AEF" w:rsidRDefault="00000000">
            <w:pPr>
              <w:rPr>
                <w:sz w:val="24"/>
                <w:szCs w:val="24"/>
              </w:rPr>
            </w:pPr>
            <w:r>
              <w:rPr>
                <w:sz w:val="24"/>
                <w:szCs w:val="24"/>
              </w:rPr>
              <w:t>10</w:t>
            </w:r>
          </w:p>
        </w:tc>
        <w:tc>
          <w:tcPr>
            <w:tcW w:w="1080" w:type="dxa"/>
            <w:shd w:val="clear" w:color="auto" w:fill="FFFFFF"/>
            <w:tcMar>
              <w:top w:w="0" w:type="dxa"/>
              <w:left w:w="0" w:type="dxa"/>
              <w:bottom w:w="0" w:type="dxa"/>
              <w:right w:w="0" w:type="dxa"/>
            </w:tcMar>
            <w:vAlign w:val="center"/>
          </w:tcPr>
          <w:p w14:paraId="0000026C" w14:textId="77777777" w:rsidR="00655AEF" w:rsidRDefault="00000000">
            <w:pPr>
              <w:rPr>
                <w:sz w:val="24"/>
                <w:szCs w:val="24"/>
              </w:rPr>
            </w:pPr>
            <w:r>
              <w:rPr>
                <w:sz w:val="24"/>
                <w:szCs w:val="24"/>
              </w:rPr>
              <w:t>2.0</w:t>
            </w:r>
          </w:p>
        </w:tc>
      </w:tr>
      <w:tr w:rsidR="00655AEF" w14:paraId="5FD81AD5" w14:textId="77777777">
        <w:trPr>
          <w:cantSplit/>
        </w:trPr>
        <w:tc>
          <w:tcPr>
            <w:tcW w:w="734" w:type="dxa"/>
            <w:vMerge/>
            <w:shd w:val="clear" w:color="auto" w:fill="FFFFFF"/>
            <w:tcMar>
              <w:top w:w="0" w:type="dxa"/>
              <w:left w:w="0" w:type="dxa"/>
              <w:bottom w:w="0" w:type="dxa"/>
              <w:right w:w="0" w:type="dxa"/>
            </w:tcMar>
            <w:vAlign w:val="center"/>
          </w:tcPr>
          <w:p w14:paraId="0000026D"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6E" w14:textId="77777777" w:rsidR="00655AEF" w:rsidRDefault="00000000">
            <w:pPr>
              <w:rPr>
                <w:sz w:val="24"/>
                <w:szCs w:val="24"/>
              </w:rPr>
            </w:pPr>
            <w:r>
              <w:rPr>
                <w:sz w:val="24"/>
                <w:szCs w:val="24"/>
              </w:rPr>
              <w:t>1001 - 2000</w:t>
            </w:r>
          </w:p>
        </w:tc>
        <w:tc>
          <w:tcPr>
            <w:tcW w:w="1980" w:type="dxa"/>
            <w:shd w:val="clear" w:color="auto" w:fill="FFFFFF"/>
            <w:tcMar>
              <w:top w:w="0" w:type="dxa"/>
              <w:left w:w="0" w:type="dxa"/>
              <w:bottom w:w="0" w:type="dxa"/>
              <w:right w:w="0" w:type="dxa"/>
            </w:tcMar>
            <w:vAlign w:val="center"/>
          </w:tcPr>
          <w:p w14:paraId="0000026F" w14:textId="77777777" w:rsidR="00655AEF" w:rsidRDefault="00000000">
            <w:pPr>
              <w:rPr>
                <w:sz w:val="24"/>
                <w:szCs w:val="24"/>
              </w:rPr>
            </w:pPr>
            <w:r>
              <w:rPr>
                <w:sz w:val="24"/>
                <w:szCs w:val="24"/>
              </w:rPr>
              <w:t>85</w:t>
            </w:r>
          </w:p>
        </w:tc>
        <w:tc>
          <w:tcPr>
            <w:tcW w:w="1080" w:type="dxa"/>
            <w:shd w:val="clear" w:color="auto" w:fill="FFFFFF"/>
            <w:tcMar>
              <w:top w:w="0" w:type="dxa"/>
              <w:left w:w="0" w:type="dxa"/>
              <w:bottom w:w="0" w:type="dxa"/>
              <w:right w:w="0" w:type="dxa"/>
            </w:tcMar>
            <w:vAlign w:val="center"/>
          </w:tcPr>
          <w:p w14:paraId="00000270" w14:textId="77777777" w:rsidR="00655AEF" w:rsidRDefault="00000000">
            <w:pPr>
              <w:rPr>
                <w:sz w:val="24"/>
                <w:szCs w:val="24"/>
              </w:rPr>
            </w:pPr>
            <w:r>
              <w:rPr>
                <w:sz w:val="24"/>
                <w:szCs w:val="24"/>
              </w:rPr>
              <w:t>16.8</w:t>
            </w:r>
          </w:p>
        </w:tc>
      </w:tr>
      <w:tr w:rsidR="00655AEF" w14:paraId="008A3E44" w14:textId="77777777">
        <w:trPr>
          <w:cantSplit/>
        </w:trPr>
        <w:tc>
          <w:tcPr>
            <w:tcW w:w="734" w:type="dxa"/>
            <w:vMerge/>
            <w:shd w:val="clear" w:color="auto" w:fill="FFFFFF"/>
            <w:tcMar>
              <w:top w:w="0" w:type="dxa"/>
              <w:left w:w="0" w:type="dxa"/>
              <w:bottom w:w="0" w:type="dxa"/>
              <w:right w:w="0" w:type="dxa"/>
            </w:tcMar>
            <w:vAlign w:val="center"/>
          </w:tcPr>
          <w:p w14:paraId="00000271"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72" w14:textId="77777777" w:rsidR="00655AEF" w:rsidRDefault="00000000">
            <w:pPr>
              <w:rPr>
                <w:sz w:val="24"/>
                <w:szCs w:val="24"/>
              </w:rPr>
            </w:pPr>
            <w:r>
              <w:rPr>
                <w:sz w:val="24"/>
                <w:szCs w:val="24"/>
              </w:rPr>
              <w:t>2001 - 3000</w:t>
            </w:r>
          </w:p>
        </w:tc>
        <w:tc>
          <w:tcPr>
            <w:tcW w:w="1980" w:type="dxa"/>
            <w:shd w:val="clear" w:color="auto" w:fill="FFFFFF"/>
            <w:tcMar>
              <w:top w:w="0" w:type="dxa"/>
              <w:left w:w="0" w:type="dxa"/>
              <w:bottom w:w="0" w:type="dxa"/>
              <w:right w:w="0" w:type="dxa"/>
            </w:tcMar>
            <w:vAlign w:val="center"/>
          </w:tcPr>
          <w:p w14:paraId="00000273" w14:textId="77777777" w:rsidR="00655AEF" w:rsidRDefault="00000000">
            <w:pPr>
              <w:rPr>
                <w:sz w:val="24"/>
                <w:szCs w:val="24"/>
              </w:rPr>
            </w:pPr>
            <w:r>
              <w:rPr>
                <w:sz w:val="24"/>
                <w:szCs w:val="24"/>
              </w:rPr>
              <w:t>155</w:t>
            </w:r>
          </w:p>
        </w:tc>
        <w:tc>
          <w:tcPr>
            <w:tcW w:w="1080" w:type="dxa"/>
            <w:shd w:val="clear" w:color="auto" w:fill="FFFFFF"/>
            <w:tcMar>
              <w:top w:w="0" w:type="dxa"/>
              <w:left w:w="0" w:type="dxa"/>
              <w:bottom w:w="0" w:type="dxa"/>
              <w:right w:w="0" w:type="dxa"/>
            </w:tcMar>
            <w:vAlign w:val="center"/>
          </w:tcPr>
          <w:p w14:paraId="00000274" w14:textId="77777777" w:rsidR="00655AEF" w:rsidRDefault="00000000">
            <w:pPr>
              <w:rPr>
                <w:sz w:val="24"/>
                <w:szCs w:val="24"/>
              </w:rPr>
            </w:pPr>
            <w:r>
              <w:rPr>
                <w:sz w:val="24"/>
                <w:szCs w:val="24"/>
              </w:rPr>
              <w:t>30.6</w:t>
            </w:r>
          </w:p>
        </w:tc>
      </w:tr>
      <w:tr w:rsidR="00655AEF" w14:paraId="528364DC" w14:textId="77777777">
        <w:trPr>
          <w:cantSplit/>
        </w:trPr>
        <w:tc>
          <w:tcPr>
            <w:tcW w:w="734" w:type="dxa"/>
            <w:vMerge/>
            <w:shd w:val="clear" w:color="auto" w:fill="FFFFFF"/>
            <w:tcMar>
              <w:top w:w="0" w:type="dxa"/>
              <w:left w:w="0" w:type="dxa"/>
              <w:bottom w:w="0" w:type="dxa"/>
              <w:right w:w="0" w:type="dxa"/>
            </w:tcMar>
            <w:vAlign w:val="center"/>
          </w:tcPr>
          <w:p w14:paraId="00000275" w14:textId="77777777" w:rsidR="00655AEF" w:rsidRDefault="00655AEF">
            <w:pPr>
              <w:pBdr>
                <w:top w:val="nil"/>
                <w:left w:val="nil"/>
                <w:bottom w:val="nil"/>
                <w:right w:val="nil"/>
                <w:between w:val="nil"/>
              </w:pBdr>
              <w:spacing w:line="276" w:lineRule="auto"/>
              <w:rPr>
                <w:sz w:val="24"/>
                <w:szCs w:val="24"/>
              </w:rPr>
            </w:pPr>
          </w:p>
        </w:tc>
        <w:tc>
          <w:tcPr>
            <w:tcW w:w="5386" w:type="dxa"/>
            <w:tcBorders>
              <w:bottom w:val="single" w:sz="4" w:space="0" w:color="000000"/>
            </w:tcBorders>
            <w:shd w:val="clear" w:color="auto" w:fill="FFFFFF"/>
            <w:tcMar>
              <w:top w:w="0" w:type="dxa"/>
              <w:left w:w="0" w:type="dxa"/>
              <w:bottom w:w="0" w:type="dxa"/>
              <w:right w:w="0" w:type="dxa"/>
            </w:tcMar>
            <w:vAlign w:val="center"/>
          </w:tcPr>
          <w:p w14:paraId="00000276" w14:textId="77777777" w:rsidR="00655AEF" w:rsidRDefault="00000000">
            <w:pPr>
              <w:rPr>
                <w:sz w:val="24"/>
                <w:szCs w:val="24"/>
              </w:rPr>
            </w:pPr>
            <w:r>
              <w:rPr>
                <w:sz w:val="24"/>
                <w:szCs w:val="24"/>
              </w:rPr>
              <w:t xml:space="preserve">3001 </w:t>
            </w:r>
            <w:proofErr w:type="gramStart"/>
            <w:r>
              <w:rPr>
                <w:sz w:val="24"/>
                <w:szCs w:val="24"/>
              </w:rPr>
              <w:t>and  above</w:t>
            </w:r>
            <w:proofErr w:type="gramEnd"/>
          </w:p>
        </w:tc>
        <w:tc>
          <w:tcPr>
            <w:tcW w:w="1980" w:type="dxa"/>
            <w:tcBorders>
              <w:bottom w:val="single" w:sz="4" w:space="0" w:color="000000"/>
            </w:tcBorders>
            <w:shd w:val="clear" w:color="auto" w:fill="FFFFFF"/>
            <w:tcMar>
              <w:top w:w="0" w:type="dxa"/>
              <w:left w:w="0" w:type="dxa"/>
              <w:bottom w:w="0" w:type="dxa"/>
              <w:right w:w="0" w:type="dxa"/>
            </w:tcMar>
            <w:vAlign w:val="center"/>
          </w:tcPr>
          <w:p w14:paraId="00000277" w14:textId="77777777" w:rsidR="00655AEF" w:rsidRDefault="00000000">
            <w:pPr>
              <w:rPr>
                <w:sz w:val="24"/>
                <w:szCs w:val="24"/>
              </w:rPr>
            </w:pPr>
            <w:r>
              <w:rPr>
                <w:sz w:val="24"/>
                <w:szCs w:val="24"/>
              </w:rPr>
              <w:t>246</w:t>
            </w:r>
          </w:p>
        </w:tc>
        <w:tc>
          <w:tcPr>
            <w:tcW w:w="1080" w:type="dxa"/>
            <w:tcBorders>
              <w:bottom w:val="single" w:sz="4" w:space="0" w:color="000000"/>
            </w:tcBorders>
            <w:shd w:val="clear" w:color="auto" w:fill="FFFFFF"/>
            <w:tcMar>
              <w:top w:w="0" w:type="dxa"/>
              <w:left w:w="0" w:type="dxa"/>
              <w:bottom w:w="0" w:type="dxa"/>
              <w:right w:w="0" w:type="dxa"/>
            </w:tcMar>
            <w:vAlign w:val="center"/>
          </w:tcPr>
          <w:p w14:paraId="00000278" w14:textId="77777777" w:rsidR="00655AEF" w:rsidRDefault="00000000">
            <w:pPr>
              <w:rPr>
                <w:sz w:val="24"/>
                <w:szCs w:val="24"/>
              </w:rPr>
            </w:pPr>
            <w:r>
              <w:rPr>
                <w:sz w:val="24"/>
                <w:szCs w:val="24"/>
              </w:rPr>
              <w:t>48.5</w:t>
            </w:r>
          </w:p>
        </w:tc>
      </w:tr>
      <w:tr w:rsidR="00655AEF" w14:paraId="15C12192" w14:textId="77777777">
        <w:trPr>
          <w:cantSplit/>
        </w:trPr>
        <w:tc>
          <w:tcPr>
            <w:tcW w:w="734" w:type="dxa"/>
            <w:vMerge/>
            <w:shd w:val="clear" w:color="auto" w:fill="FFFFFF"/>
            <w:tcMar>
              <w:top w:w="0" w:type="dxa"/>
              <w:left w:w="0" w:type="dxa"/>
              <w:bottom w:w="0" w:type="dxa"/>
              <w:right w:w="0" w:type="dxa"/>
            </w:tcMar>
            <w:vAlign w:val="center"/>
          </w:tcPr>
          <w:p w14:paraId="00000279" w14:textId="77777777" w:rsidR="00655AEF" w:rsidRDefault="00655AEF">
            <w:pPr>
              <w:pBdr>
                <w:top w:val="nil"/>
                <w:left w:val="nil"/>
                <w:bottom w:val="nil"/>
                <w:right w:val="nil"/>
                <w:between w:val="nil"/>
              </w:pBdr>
              <w:spacing w:line="276" w:lineRule="auto"/>
              <w:rPr>
                <w:sz w:val="24"/>
                <w:szCs w:val="24"/>
              </w:rPr>
            </w:pPr>
          </w:p>
        </w:tc>
        <w:tc>
          <w:tcPr>
            <w:tcW w:w="538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7A"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7B" w14:textId="77777777" w:rsidR="00655AEF" w:rsidRDefault="00000000">
            <w:pPr>
              <w:rPr>
                <w:sz w:val="24"/>
                <w:szCs w:val="24"/>
              </w:rPr>
            </w:pPr>
            <w:r>
              <w:rPr>
                <w:sz w:val="24"/>
                <w:szCs w:val="24"/>
              </w:rPr>
              <w:t>507</w:t>
            </w:r>
          </w:p>
        </w:tc>
        <w:tc>
          <w:tcPr>
            <w:tcW w:w="10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7C" w14:textId="77777777" w:rsidR="00655AEF" w:rsidRDefault="00000000">
            <w:pPr>
              <w:rPr>
                <w:sz w:val="24"/>
                <w:szCs w:val="24"/>
              </w:rPr>
            </w:pPr>
            <w:r>
              <w:rPr>
                <w:sz w:val="24"/>
                <w:szCs w:val="24"/>
              </w:rPr>
              <w:t>100.0</w:t>
            </w:r>
          </w:p>
        </w:tc>
      </w:tr>
    </w:tbl>
    <w:p w14:paraId="0000027D" w14:textId="77777777" w:rsidR="00655AEF" w:rsidRDefault="00655AEF">
      <w:pPr>
        <w:rPr>
          <w:sz w:val="24"/>
          <w:szCs w:val="24"/>
        </w:rPr>
      </w:pPr>
    </w:p>
    <w:p w14:paraId="0000027E" w14:textId="77777777" w:rsidR="00655AEF" w:rsidRDefault="00000000">
      <w:pPr>
        <w:keepNext/>
      </w:pPr>
      <w:r>
        <w:rPr>
          <w:noProof/>
          <w:sz w:val="24"/>
          <w:szCs w:val="24"/>
        </w:rPr>
        <w:lastRenderedPageBreak/>
        <w:drawing>
          <wp:inline distT="0" distB="0" distL="0" distR="0" wp14:anchorId="3C4DA500" wp14:editId="09BFB304">
            <wp:extent cx="5505450" cy="32194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7F" w14:textId="77777777" w:rsidR="00655AEF" w:rsidRDefault="00000000">
      <w:pPr>
        <w:pBdr>
          <w:top w:val="nil"/>
          <w:left w:val="nil"/>
          <w:bottom w:val="nil"/>
          <w:right w:val="nil"/>
          <w:between w:val="nil"/>
        </w:pBdr>
        <w:spacing w:after="200"/>
        <w:rPr>
          <w:b/>
          <w:color w:val="4F81BD"/>
          <w:sz w:val="24"/>
          <w:szCs w:val="24"/>
        </w:rPr>
      </w:pPr>
      <w:bookmarkStart w:id="54" w:name="_heading=h.gh45qcnucdp" w:colFirst="0" w:colLast="0"/>
      <w:bookmarkEnd w:id="54"/>
      <w:r>
        <w:rPr>
          <w:b/>
          <w:color w:val="4F81BD"/>
          <w:sz w:val="18"/>
          <w:szCs w:val="18"/>
        </w:rPr>
        <w:t>Figure 3: Average Household Income</w:t>
      </w:r>
    </w:p>
    <w:p w14:paraId="00000280" w14:textId="77777777" w:rsidR="00655AEF" w:rsidRDefault="00655AEF">
      <w:pPr>
        <w:spacing w:after="240" w:line="360" w:lineRule="auto"/>
        <w:jc w:val="both"/>
        <w:rPr>
          <w:sz w:val="24"/>
          <w:szCs w:val="24"/>
        </w:rPr>
      </w:pPr>
    </w:p>
    <w:p w14:paraId="00000281" w14:textId="77777777" w:rsidR="00655AEF" w:rsidRDefault="00000000">
      <w:pPr>
        <w:pStyle w:val="Heading3"/>
        <w:numPr>
          <w:ilvl w:val="2"/>
          <w:numId w:val="11"/>
        </w:numPr>
        <w:rPr>
          <w:sz w:val="24"/>
          <w:szCs w:val="24"/>
        </w:rPr>
      </w:pPr>
      <w:bookmarkStart w:id="55" w:name="_heading=h.t6ysa7j33k74" w:colFirst="0" w:colLast="0"/>
      <w:bookmarkEnd w:id="55"/>
      <w:r>
        <w:rPr>
          <w:sz w:val="24"/>
          <w:szCs w:val="24"/>
        </w:rPr>
        <w:t>Average Expenditure and its Implications</w:t>
      </w:r>
    </w:p>
    <w:p w14:paraId="00000282" w14:textId="77777777" w:rsidR="00655AEF" w:rsidRDefault="00000000">
      <w:pPr>
        <w:spacing w:after="240" w:line="360" w:lineRule="auto"/>
        <w:jc w:val="both"/>
        <w:rPr>
          <w:sz w:val="24"/>
          <w:szCs w:val="24"/>
        </w:rPr>
      </w:pPr>
      <w:r>
        <w:rPr>
          <w:sz w:val="24"/>
          <w:szCs w:val="24"/>
        </w:rPr>
        <w:t>Average monthly expenditure among the study participants provides a valuable, even though complex, insight into their socioeconomic status. The findings show a clear concentration of expenditure in the higher brackets, which warrants a detailed discussion in the context of the study’s objectives.</w:t>
      </w:r>
    </w:p>
    <w:p w14:paraId="00000283" w14:textId="77777777" w:rsidR="00655AEF" w:rsidRDefault="00000000">
      <w:pPr>
        <w:spacing w:after="240" w:line="360" w:lineRule="auto"/>
        <w:jc w:val="both"/>
        <w:rPr>
          <w:sz w:val="24"/>
          <w:szCs w:val="24"/>
        </w:rPr>
      </w:pPr>
      <w:r>
        <w:rPr>
          <w:sz w:val="24"/>
          <w:szCs w:val="24"/>
        </w:rPr>
        <w:t xml:space="preserve">The most striking finding is that </w:t>
      </w:r>
      <w:proofErr w:type="gramStart"/>
      <w:r>
        <w:rPr>
          <w:sz w:val="24"/>
          <w:szCs w:val="24"/>
        </w:rPr>
        <w:t>the vast majority of</w:t>
      </w:r>
      <w:proofErr w:type="gramEnd"/>
      <w:r>
        <w:rPr>
          <w:sz w:val="24"/>
          <w:szCs w:val="24"/>
        </w:rPr>
        <w:t xml:space="preserve"> the study population (81.0%) reports an average expenditure of KSh 2,001 or more. Specifically, over half of the respondents (54.0%) fall into the highest bracket, with an average expenditure of KSh 3,001 and above. Conversely, only a very small fraction (0.4%) reports spending KSh 500 or less, and just 4.0% spend KSh 1,000 or less.</w:t>
      </w:r>
    </w:p>
    <w:p w14:paraId="00000284" w14:textId="77777777" w:rsidR="00655AEF" w:rsidRDefault="00000000">
      <w:pPr>
        <w:spacing w:after="240" w:line="360" w:lineRule="auto"/>
        <w:jc w:val="both"/>
        <w:rPr>
          <w:sz w:val="24"/>
          <w:szCs w:val="24"/>
        </w:rPr>
      </w:pPr>
      <w:r>
        <w:rPr>
          <w:sz w:val="24"/>
          <w:szCs w:val="24"/>
        </w:rPr>
        <w:t xml:space="preserve">These figures suggest that most patients in the study, suspected of treatment failure, have a relatively stable or high level of monthly expenditure. This appears to contradict one of the </w:t>
      </w:r>
      <w:proofErr w:type="gramStart"/>
      <w:r>
        <w:rPr>
          <w:sz w:val="24"/>
          <w:szCs w:val="24"/>
        </w:rPr>
        <w:t>finding</w:t>
      </w:r>
      <w:proofErr w:type="gramEnd"/>
      <w:r>
        <w:rPr>
          <w:sz w:val="24"/>
          <w:szCs w:val="24"/>
        </w:rPr>
        <w:t xml:space="preserve"> that patient lack of finance as a reason for treatment discontinuation, which only accounted for a small percentage (0.8%) of cases. However, this may not necessarily be a contradiction but rather a more nuanced picture of the financial landscape.</w:t>
      </w:r>
    </w:p>
    <w:p w14:paraId="00000285" w14:textId="77777777" w:rsidR="00655AEF" w:rsidRDefault="00000000">
      <w:pPr>
        <w:spacing w:after="240" w:line="360" w:lineRule="auto"/>
        <w:jc w:val="both"/>
        <w:rPr>
          <w:sz w:val="24"/>
          <w:szCs w:val="24"/>
        </w:rPr>
      </w:pPr>
      <w:r>
        <w:rPr>
          <w:sz w:val="24"/>
          <w:szCs w:val="24"/>
        </w:rPr>
        <w:lastRenderedPageBreak/>
        <w:t xml:space="preserve">The high average expenditure could reflect </w:t>
      </w:r>
      <w:proofErr w:type="gramStart"/>
      <w:r>
        <w:rPr>
          <w:sz w:val="24"/>
          <w:szCs w:val="24"/>
        </w:rPr>
        <w:t>a number of</w:t>
      </w:r>
      <w:proofErr w:type="gramEnd"/>
      <w:r>
        <w:rPr>
          <w:sz w:val="24"/>
          <w:szCs w:val="24"/>
        </w:rPr>
        <w:t xml:space="preserve"> factors. Higher expenditure may serve as a proxy for better socioeconomic standing, indicating that most participants are able to meet their basic living costs, including food, transport, and other household needs. This aligns with research that shows a positive association between higher income or socioeconomic status and better health outcomes and adherence to treatment. The expenditure figures, particularly those in the KSh 2,001+ range, might represent a significant financial burden even if they are being met. Out-of-pocket costs, particularly for transportation to and from the clinic, can be a major barrier to care even when the medication itself is free. For instance, a monthly transport pass can cost KSh 3,000 or more in urban areas, which would place patients directly into the highest expenditure bracket. While ART is provided at no cost, there are numerous associated expenses for people living with HIV. These can include costs for managing opportunistic infections or co-morbidities like hypertension and diabetes, as well as the cost of nutritious food and supplements needed for well-being. These indirect costs could be what is captured in the average expenditure and may still pose a barrier, especially for those in the lower-income brackets.</w:t>
      </w:r>
    </w:p>
    <w:p w14:paraId="00000286" w14:textId="77777777" w:rsidR="00655AEF" w:rsidRDefault="00000000">
      <w:pPr>
        <w:spacing w:after="240" w:line="360" w:lineRule="auto"/>
        <w:jc w:val="both"/>
        <w:rPr>
          <w:sz w:val="24"/>
          <w:szCs w:val="24"/>
        </w:rPr>
      </w:pPr>
      <w:r>
        <w:rPr>
          <w:sz w:val="24"/>
          <w:szCs w:val="24"/>
        </w:rPr>
        <w:t>This finding is crucial for addressing the study’s specific objectives, particularly to identify factors hindering retention. While the numbers suggest that overt financial distress is not a widespread reason for treatment failure, the high reported expenditure could be a key factor in severe side effects for some patients. The high costs of transportation or other essential expenses may be a more subtle, yet powerful, barrier to consistent clinic visits and treatment retention. The findings from other studies in Kenya and the broader region confirm that transportation costs and other out-of-pocket expenses are significant barriers to HIV care, even when services are ostensibly free.</w:t>
      </w:r>
    </w:p>
    <w:p w14:paraId="00000287" w14:textId="77777777" w:rsidR="00655AEF" w:rsidRDefault="00000000">
      <w:pPr>
        <w:spacing w:after="240" w:line="360" w:lineRule="auto"/>
        <w:jc w:val="both"/>
        <w:rPr>
          <w:sz w:val="24"/>
          <w:szCs w:val="24"/>
        </w:rPr>
      </w:pPr>
      <w:r>
        <w:rPr>
          <w:sz w:val="24"/>
          <w:szCs w:val="24"/>
        </w:rPr>
        <w:t xml:space="preserve">The average expenditure data reveals that </w:t>
      </w:r>
      <w:proofErr w:type="gramStart"/>
      <w:r>
        <w:rPr>
          <w:sz w:val="24"/>
          <w:szCs w:val="24"/>
        </w:rPr>
        <w:t>the majority of</w:t>
      </w:r>
      <w:proofErr w:type="gramEnd"/>
      <w:r>
        <w:rPr>
          <w:sz w:val="24"/>
          <w:szCs w:val="24"/>
        </w:rPr>
        <w:t xml:space="preserve"> the study participants in Kakamega County have a significant monthly outlay. This information, when combined with the previous qualitative data, suggests that financial barriers to HIV treatment are not necessarily absolute but may be related to specific, high-cost line items, such as transportation, which consume a substantial portion of a patient’s budget. To improve retention, interventions should not only address adherence but also consider targeted </w:t>
      </w:r>
      <w:r>
        <w:rPr>
          <w:sz w:val="24"/>
          <w:szCs w:val="24"/>
        </w:rPr>
        <w:lastRenderedPageBreak/>
        <w:t>support to alleviate these specific financial burdens, ensuring that patients can consistently access their care without facing overwhelming out-of-pocket costs. Further qualitative investigation is needed to disaggregate what these expenditures are for and to truly understand their impact on treatment adherence.</w:t>
      </w:r>
    </w:p>
    <w:p w14:paraId="00000288" w14:textId="77777777" w:rsidR="00655AEF" w:rsidRDefault="00000000">
      <w:pPr>
        <w:keepNext/>
        <w:pBdr>
          <w:top w:val="nil"/>
          <w:left w:val="nil"/>
          <w:bottom w:val="nil"/>
          <w:right w:val="nil"/>
          <w:between w:val="nil"/>
        </w:pBdr>
        <w:spacing w:after="200"/>
        <w:rPr>
          <w:b/>
          <w:color w:val="4F81BD"/>
          <w:sz w:val="18"/>
          <w:szCs w:val="18"/>
        </w:rPr>
      </w:pPr>
      <w:bookmarkStart w:id="56" w:name="_heading=h.38zjbaooyj73" w:colFirst="0" w:colLast="0"/>
      <w:bookmarkEnd w:id="56"/>
      <w:r>
        <w:rPr>
          <w:b/>
          <w:color w:val="4F81BD"/>
          <w:sz w:val="18"/>
          <w:szCs w:val="18"/>
        </w:rPr>
        <w:t>Table 7: Average Expenditure</w:t>
      </w:r>
    </w:p>
    <w:tbl>
      <w:tblPr>
        <w:tblStyle w:val="a5"/>
        <w:tblW w:w="9095" w:type="dxa"/>
        <w:tblInd w:w="0" w:type="dxa"/>
        <w:tblLayout w:type="fixed"/>
        <w:tblLook w:val="0000" w:firstRow="0" w:lastRow="0" w:firstColumn="0" w:lastColumn="0" w:noHBand="0" w:noVBand="0"/>
      </w:tblPr>
      <w:tblGrid>
        <w:gridCol w:w="734"/>
        <w:gridCol w:w="5386"/>
        <w:gridCol w:w="1980"/>
        <w:gridCol w:w="995"/>
      </w:tblGrid>
      <w:tr w:rsidR="00655AEF" w14:paraId="2D318E38" w14:textId="77777777">
        <w:trPr>
          <w:cantSplit/>
        </w:trPr>
        <w:tc>
          <w:tcPr>
            <w:tcW w:w="6120" w:type="dxa"/>
            <w:gridSpan w:val="2"/>
            <w:shd w:val="clear" w:color="auto" w:fill="FFFFFF"/>
            <w:tcMar>
              <w:top w:w="0" w:type="dxa"/>
              <w:left w:w="0" w:type="dxa"/>
              <w:bottom w:w="0" w:type="dxa"/>
              <w:right w:w="0" w:type="dxa"/>
            </w:tcMar>
          </w:tcPr>
          <w:p w14:paraId="00000289"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28B" w14:textId="77777777" w:rsidR="00655AEF" w:rsidRDefault="00000000">
            <w:pPr>
              <w:rPr>
                <w:sz w:val="24"/>
                <w:szCs w:val="24"/>
              </w:rPr>
            </w:pPr>
            <w:r>
              <w:rPr>
                <w:sz w:val="24"/>
                <w:szCs w:val="24"/>
              </w:rPr>
              <w:t>Frequency</w:t>
            </w:r>
          </w:p>
        </w:tc>
        <w:tc>
          <w:tcPr>
            <w:tcW w:w="995" w:type="dxa"/>
            <w:shd w:val="clear" w:color="auto" w:fill="FFFFFF"/>
            <w:tcMar>
              <w:top w:w="0" w:type="dxa"/>
              <w:left w:w="0" w:type="dxa"/>
              <w:bottom w:w="0" w:type="dxa"/>
              <w:right w:w="0" w:type="dxa"/>
            </w:tcMar>
          </w:tcPr>
          <w:p w14:paraId="0000028C" w14:textId="77777777" w:rsidR="00655AEF" w:rsidRDefault="00000000">
            <w:pPr>
              <w:rPr>
                <w:sz w:val="24"/>
                <w:szCs w:val="24"/>
              </w:rPr>
            </w:pPr>
            <w:r>
              <w:rPr>
                <w:sz w:val="24"/>
                <w:szCs w:val="24"/>
              </w:rPr>
              <w:t>Percent</w:t>
            </w:r>
          </w:p>
        </w:tc>
      </w:tr>
      <w:tr w:rsidR="00655AEF" w14:paraId="6129CC50" w14:textId="77777777">
        <w:trPr>
          <w:cantSplit/>
        </w:trPr>
        <w:tc>
          <w:tcPr>
            <w:tcW w:w="734" w:type="dxa"/>
            <w:vMerge w:val="restart"/>
            <w:shd w:val="clear" w:color="auto" w:fill="FFFFFF"/>
            <w:tcMar>
              <w:top w:w="0" w:type="dxa"/>
              <w:left w:w="0" w:type="dxa"/>
              <w:bottom w:w="0" w:type="dxa"/>
              <w:right w:w="0" w:type="dxa"/>
            </w:tcMar>
            <w:vAlign w:val="center"/>
          </w:tcPr>
          <w:p w14:paraId="0000028D" w14:textId="77777777" w:rsidR="00655AEF" w:rsidRDefault="00655AEF">
            <w:pPr>
              <w:rPr>
                <w:sz w:val="24"/>
                <w:szCs w:val="24"/>
              </w:rPr>
            </w:pPr>
          </w:p>
        </w:tc>
        <w:tc>
          <w:tcPr>
            <w:tcW w:w="5386" w:type="dxa"/>
            <w:tcBorders>
              <w:top w:val="single" w:sz="4" w:space="0" w:color="000000"/>
            </w:tcBorders>
            <w:shd w:val="clear" w:color="auto" w:fill="FFFFFF"/>
            <w:tcMar>
              <w:top w:w="0" w:type="dxa"/>
              <w:left w:w="0" w:type="dxa"/>
              <w:bottom w:w="0" w:type="dxa"/>
              <w:right w:w="0" w:type="dxa"/>
            </w:tcMar>
            <w:vAlign w:val="center"/>
          </w:tcPr>
          <w:p w14:paraId="0000028E" w14:textId="77777777" w:rsidR="00655AEF" w:rsidRDefault="00000000">
            <w:pPr>
              <w:rPr>
                <w:sz w:val="24"/>
                <w:szCs w:val="24"/>
              </w:rPr>
            </w:pPr>
            <w:r>
              <w:rPr>
                <w:sz w:val="24"/>
                <w:szCs w:val="24"/>
              </w:rPr>
              <w:t>0 - 500</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8F" w14:textId="77777777" w:rsidR="00655AEF" w:rsidRDefault="00000000">
            <w:pPr>
              <w:rPr>
                <w:sz w:val="24"/>
                <w:szCs w:val="24"/>
              </w:rPr>
            </w:pPr>
            <w:r>
              <w:rPr>
                <w:sz w:val="24"/>
                <w:szCs w:val="24"/>
              </w:rPr>
              <w:t>2</w:t>
            </w:r>
          </w:p>
        </w:tc>
        <w:tc>
          <w:tcPr>
            <w:tcW w:w="995" w:type="dxa"/>
            <w:tcBorders>
              <w:top w:val="single" w:sz="4" w:space="0" w:color="000000"/>
            </w:tcBorders>
            <w:shd w:val="clear" w:color="auto" w:fill="FFFFFF"/>
            <w:tcMar>
              <w:top w:w="0" w:type="dxa"/>
              <w:left w:w="0" w:type="dxa"/>
              <w:bottom w:w="0" w:type="dxa"/>
              <w:right w:w="0" w:type="dxa"/>
            </w:tcMar>
            <w:vAlign w:val="center"/>
          </w:tcPr>
          <w:p w14:paraId="00000290" w14:textId="77777777" w:rsidR="00655AEF" w:rsidRDefault="00000000">
            <w:pPr>
              <w:rPr>
                <w:sz w:val="24"/>
                <w:szCs w:val="24"/>
              </w:rPr>
            </w:pPr>
            <w:r>
              <w:rPr>
                <w:sz w:val="24"/>
                <w:szCs w:val="24"/>
              </w:rPr>
              <w:t>0.4</w:t>
            </w:r>
          </w:p>
        </w:tc>
      </w:tr>
      <w:tr w:rsidR="00655AEF" w14:paraId="1B900E54" w14:textId="77777777">
        <w:trPr>
          <w:cantSplit/>
        </w:trPr>
        <w:tc>
          <w:tcPr>
            <w:tcW w:w="734" w:type="dxa"/>
            <w:vMerge/>
            <w:shd w:val="clear" w:color="auto" w:fill="FFFFFF"/>
            <w:tcMar>
              <w:top w:w="0" w:type="dxa"/>
              <w:left w:w="0" w:type="dxa"/>
              <w:bottom w:w="0" w:type="dxa"/>
              <w:right w:w="0" w:type="dxa"/>
            </w:tcMar>
            <w:vAlign w:val="center"/>
          </w:tcPr>
          <w:p w14:paraId="00000291"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92" w14:textId="77777777" w:rsidR="00655AEF" w:rsidRDefault="00000000">
            <w:pPr>
              <w:rPr>
                <w:sz w:val="24"/>
                <w:szCs w:val="24"/>
              </w:rPr>
            </w:pPr>
            <w:r>
              <w:rPr>
                <w:sz w:val="24"/>
                <w:szCs w:val="24"/>
              </w:rPr>
              <w:t>501 - 1000</w:t>
            </w:r>
          </w:p>
        </w:tc>
        <w:tc>
          <w:tcPr>
            <w:tcW w:w="1980" w:type="dxa"/>
            <w:shd w:val="clear" w:color="auto" w:fill="FFFFFF"/>
            <w:tcMar>
              <w:top w:w="0" w:type="dxa"/>
              <w:left w:w="0" w:type="dxa"/>
              <w:bottom w:w="0" w:type="dxa"/>
              <w:right w:w="0" w:type="dxa"/>
            </w:tcMar>
            <w:vAlign w:val="center"/>
          </w:tcPr>
          <w:p w14:paraId="00000293" w14:textId="77777777" w:rsidR="00655AEF" w:rsidRDefault="00000000">
            <w:pPr>
              <w:rPr>
                <w:sz w:val="24"/>
                <w:szCs w:val="24"/>
              </w:rPr>
            </w:pPr>
            <w:r>
              <w:rPr>
                <w:sz w:val="24"/>
                <w:szCs w:val="24"/>
              </w:rPr>
              <w:t>18</w:t>
            </w:r>
          </w:p>
        </w:tc>
        <w:tc>
          <w:tcPr>
            <w:tcW w:w="995" w:type="dxa"/>
            <w:shd w:val="clear" w:color="auto" w:fill="FFFFFF"/>
            <w:tcMar>
              <w:top w:w="0" w:type="dxa"/>
              <w:left w:w="0" w:type="dxa"/>
              <w:bottom w:w="0" w:type="dxa"/>
              <w:right w:w="0" w:type="dxa"/>
            </w:tcMar>
            <w:vAlign w:val="center"/>
          </w:tcPr>
          <w:p w14:paraId="00000294" w14:textId="77777777" w:rsidR="00655AEF" w:rsidRDefault="00000000">
            <w:pPr>
              <w:rPr>
                <w:sz w:val="24"/>
                <w:szCs w:val="24"/>
              </w:rPr>
            </w:pPr>
            <w:r>
              <w:rPr>
                <w:sz w:val="24"/>
                <w:szCs w:val="24"/>
              </w:rPr>
              <w:t>3.6</w:t>
            </w:r>
          </w:p>
        </w:tc>
      </w:tr>
      <w:tr w:rsidR="00655AEF" w14:paraId="00826A43" w14:textId="77777777">
        <w:trPr>
          <w:cantSplit/>
        </w:trPr>
        <w:tc>
          <w:tcPr>
            <w:tcW w:w="734" w:type="dxa"/>
            <w:vMerge/>
            <w:shd w:val="clear" w:color="auto" w:fill="FFFFFF"/>
            <w:tcMar>
              <w:top w:w="0" w:type="dxa"/>
              <w:left w:w="0" w:type="dxa"/>
              <w:bottom w:w="0" w:type="dxa"/>
              <w:right w:w="0" w:type="dxa"/>
            </w:tcMar>
            <w:vAlign w:val="center"/>
          </w:tcPr>
          <w:p w14:paraId="00000295"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96" w14:textId="77777777" w:rsidR="00655AEF" w:rsidRDefault="00000000">
            <w:pPr>
              <w:rPr>
                <w:sz w:val="24"/>
                <w:szCs w:val="24"/>
              </w:rPr>
            </w:pPr>
            <w:r>
              <w:rPr>
                <w:sz w:val="24"/>
                <w:szCs w:val="24"/>
              </w:rPr>
              <w:t>1001 - 2000</w:t>
            </w:r>
          </w:p>
        </w:tc>
        <w:tc>
          <w:tcPr>
            <w:tcW w:w="1980" w:type="dxa"/>
            <w:shd w:val="clear" w:color="auto" w:fill="FFFFFF"/>
            <w:tcMar>
              <w:top w:w="0" w:type="dxa"/>
              <w:left w:w="0" w:type="dxa"/>
              <w:bottom w:w="0" w:type="dxa"/>
              <w:right w:w="0" w:type="dxa"/>
            </w:tcMar>
            <w:vAlign w:val="center"/>
          </w:tcPr>
          <w:p w14:paraId="00000297" w14:textId="77777777" w:rsidR="00655AEF" w:rsidRDefault="00000000">
            <w:pPr>
              <w:rPr>
                <w:sz w:val="24"/>
                <w:szCs w:val="24"/>
              </w:rPr>
            </w:pPr>
            <w:r>
              <w:rPr>
                <w:sz w:val="24"/>
                <w:szCs w:val="24"/>
              </w:rPr>
              <w:t>76</w:t>
            </w:r>
          </w:p>
        </w:tc>
        <w:tc>
          <w:tcPr>
            <w:tcW w:w="995" w:type="dxa"/>
            <w:shd w:val="clear" w:color="auto" w:fill="FFFFFF"/>
            <w:tcMar>
              <w:top w:w="0" w:type="dxa"/>
              <w:left w:w="0" w:type="dxa"/>
              <w:bottom w:w="0" w:type="dxa"/>
              <w:right w:w="0" w:type="dxa"/>
            </w:tcMar>
            <w:vAlign w:val="center"/>
          </w:tcPr>
          <w:p w14:paraId="00000298" w14:textId="77777777" w:rsidR="00655AEF" w:rsidRDefault="00000000">
            <w:pPr>
              <w:rPr>
                <w:sz w:val="24"/>
                <w:szCs w:val="24"/>
              </w:rPr>
            </w:pPr>
            <w:r>
              <w:rPr>
                <w:sz w:val="24"/>
                <w:szCs w:val="24"/>
              </w:rPr>
              <w:t>15.0</w:t>
            </w:r>
          </w:p>
        </w:tc>
      </w:tr>
      <w:tr w:rsidR="00655AEF" w14:paraId="2633333B" w14:textId="77777777">
        <w:trPr>
          <w:cantSplit/>
        </w:trPr>
        <w:tc>
          <w:tcPr>
            <w:tcW w:w="734" w:type="dxa"/>
            <w:vMerge/>
            <w:shd w:val="clear" w:color="auto" w:fill="FFFFFF"/>
            <w:tcMar>
              <w:top w:w="0" w:type="dxa"/>
              <w:left w:w="0" w:type="dxa"/>
              <w:bottom w:w="0" w:type="dxa"/>
              <w:right w:w="0" w:type="dxa"/>
            </w:tcMar>
            <w:vAlign w:val="center"/>
          </w:tcPr>
          <w:p w14:paraId="00000299"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9A" w14:textId="77777777" w:rsidR="00655AEF" w:rsidRDefault="00000000">
            <w:pPr>
              <w:rPr>
                <w:sz w:val="24"/>
                <w:szCs w:val="24"/>
              </w:rPr>
            </w:pPr>
            <w:r>
              <w:rPr>
                <w:sz w:val="24"/>
                <w:szCs w:val="24"/>
              </w:rPr>
              <w:t>2001 - 3000</w:t>
            </w:r>
          </w:p>
        </w:tc>
        <w:tc>
          <w:tcPr>
            <w:tcW w:w="1980" w:type="dxa"/>
            <w:shd w:val="clear" w:color="auto" w:fill="FFFFFF"/>
            <w:tcMar>
              <w:top w:w="0" w:type="dxa"/>
              <w:left w:w="0" w:type="dxa"/>
              <w:bottom w:w="0" w:type="dxa"/>
              <w:right w:w="0" w:type="dxa"/>
            </w:tcMar>
            <w:vAlign w:val="center"/>
          </w:tcPr>
          <w:p w14:paraId="0000029B" w14:textId="77777777" w:rsidR="00655AEF" w:rsidRDefault="00000000">
            <w:pPr>
              <w:rPr>
                <w:sz w:val="24"/>
                <w:szCs w:val="24"/>
              </w:rPr>
            </w:pPr>
            <w:r>
              <w:rPr>
                <w:sz w:val="24"/>
                <w:szCs w:val="24"/>
              </w:rPr>
              <w:t>137</w:t>
            </w:r>
          </w:p>
        </w:tc>
        <w:tc>
          <w:tcPr>
            <w:tcW w:w="995" w:type="dxa"/>
            <w:shd w:val="clear" w:color="auto" w:fill="FFFFFF"/>
            <w:tcMar>
              <w:top w:w="0" w:type="dxa"/>
              <w:left w:w="0" w:type="dxa"/>
              <w:bottom w:w="0" w:type="dxa"/>
              <w:right w:w="0" w:type="dxa"/>
            </w:tcMar>
            <w:vAlign w:val="center"/>
          </w:tcPr>
          <w:p w14:paraId="0000029C" w14:textId="77777777" w:rsidR="00655AEF" w:rsidRDefault="00000000">
            <w:pPr>
              <w:rPr>
                <w:sz w:val="24"/>
                <w:szCs w:val="24"/>
              </w:rPr>
            </w:pPr>
            <w:r>
              <w:rPr>
                <w:sz w:val="24"/>
                <w:szCs w:val="24"/>
              </w:rPr>
              <w:t>27.0</w:t>
            </w:r>
          </w:p>
        </w:tc>
      </w:tr>
      <w:tr w:rsidR="00655AEF" w14:paraId="15411C54" w14:textId="77777777">
        <w:trPr>
          <w:cantSplit/>
        </w:trPr>
        <w:tc>
          <w:tcPr>
            <w:tcW w:w="734" w:type="dxa"/>
            <w:vMerge/>
            <w:shd w:val="clear" w:color="auto" w:fill="FFFFFF"/>
            <w:tcMar>
              <w:top w:w="0" w:type="dxa"/>
              <w:left w:w="0" w:type="dxa"/>
              <w:bottom w:w="0" w:type="dxa"/>
              <w:right w:w="0" w:type="dxa"/>
            </w:tcMar>
            <w:vAlign w:val="center"/>
          </w:tcPr>
          <w:p w14:paraId="0000029D" w14:textId="77777777" w:rsidR="00655AEF" w:rsidRDefault="00655AEF">
            <w:pPr>
              <w:pBdr>
                <w:top w:val="nil"/>
                <w:left w:val="nil"/>
                <w:bottom w:val="nil"/>
                <w:right w:val="nil"/>
                <w:between w:val="nil"/>
              </w:pBdr>
              <w:spacing w:line="276" w:lineRule="auto"/>
              <w:rPr>
                <w:sz w:val="24"/>
                <w:szCs w:val="24"/>
              </w:rPr>
            </w:pPr>
          </w:p>
        </w:tc>
        <w:tc>
          <w:tcPr>
            <w:tcW w:w="5386" w:type="dxa"/>
            <w:tcBorders>
              <w:bottom w:val="single" w:sz="4" w:space="0" w:color="000000"/>
            </w:tcBorders>
            <w:shd w:val="clear" w:color="auto" w:fill="FFFFFF"/>
            <w:tcMar>
              <w:top w:w="0" w:type="dxa"/>
              <w:left w:w="0" w:type="dxa"/>
              <w:bottom w:w="0" w:type="dxa"/>
              <w:right w:w="0" w:type="dxa"/>
            </w:tcMar>
            <w:vAlign w:val="center"/>
          </w:tcPr>
          <w:p w14:paraId="0000029E" w14:textId="77777777" w:rsidR="00655AEF" w:rsidRDefault="00000000">
            <w:pPr>
              <w:rPr>
                <w:sz w:val="24"/>
                <w:szCs w:val="24"/>
              </w:rPr>
            </w:pPr>
            <w:r>
              <w:rPr>
                <w:sz w:val="24"/>
                <w:szCs w:val="24"/>
              </w:rPr>
              <w:t>3001 and above</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29F" w14:textId="77777777" w:rsidR="00655AEF" w:rsidRDefault="00000000">
            <w:pPr>
              <w:rPr>
                <w:sz w:val="24"/>
                <w:szCs w:val="24"/>
              </w:rPr>
            </w:pPr>
            <w:r>
              <w:rPr>
                <w:sz w:val="24"/>
                <w:szCs w:val="24"/>
              </w:rPr>
              <w:t>274</w:t>
            </w:r>
          </w:p>
        </w:tc>
        <w:tc>
          <w:tcPr>
            <w:tcW w:w="995" w:type="dxa"/>
            <w:tcBorders>
              <w:bottom w:val="single" w:sz="4" w:space="0" w:color="000000"/>
            </w:tcBorders>
            <w:shd w:val="clear" w:color="auto" w:fill="FFFFFF"/>
            <w:tcMar>
              <w:top w:w="0" w:type="dxa"/>
              <w:left w:w="0" w:type="dxa"/>
              <w:bottom w:w="0" w:type="dxa"/>
              <w:right w:w="0" w:type="dxa"/>
            </w:tcMar>
            <w:vAlign w:val="center"/>
          </w:tcPr>
          <w:p w14:paraId="000002A0" w14:textId="77777777" w:rsidR="00655AEF" w:rsidRDefault="00000000">
            <w:pPr>
              <w:rPr>
                <w:sz w:val="24"/>
                <w:szCs w:val="24"/>
              </w:rPr>
            </w:pPr>
            <w:r>
              <w:rPr>
                <w:sz w:val="24"/>
                <w:szCs w:val="24"/>
              </w:rPr>
              <w:t>54.0</w:t>
            </w:r>
          </w:p>
        </w:tc>
      </w:tr>
      <w:tr w:rsidR="00655AEF" w14:paraId="7DE882D7" w14:textId="77777777">
        <w:trPr>
          <w:cantSplit/>
        </w:trPr>
        <w:tc>
          <w:tcPr>
            <w:tcW w:w="734" w:type="dxa"/>
            <w:vMerge/>
            <w:shd w:val="clear" w:color="auto" w:fill="FFFFFF"/>
            <w:tcMar>
              <w:top w:w="0" w:type="dxa"/>
              <w:left w:w="0" w:type="dxa"/>
              <w:bottom w:w="0" w:type="dxa"/>
              <w:right w:w="0" w:type="dxa"/>
            </w:tcMar>
            <w:vAlign w:val="center"/>
          </w:tcPr>
          <w:p w14:paraId="000002A1" w14:textId="77777777" w:rsidR="00655AEF" w:rsidRDefault="00655AEF">
            <w:pPr>
              <w:pBdr>
                <w:top w:val="nil"/>
                <w:left w:val="nil"/>
                <w:bottom w:val="nil"/>
                <w:right w:val="nil"/>
                <w:between w:val="nil"/>
              </w:pBdr>
              <w:spacing w:line="276" w:lineRule="auto"/>
              <w:rPr>
                <w:sz w:val="24"/>
                <w:szCs w:val="24"/>
              </w:rPr>
            </w:pPr>
          </w:p>
        </w:tc>
        <w:tc>
          <w:tcPr>
            <w:tcW w:w="538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A2"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A3" w14:textId="77777777" w:rsidR="00655AEF" w:rsidRDefault="00000000">
            <w:pPr>
              <w:rPr>
                <w:sz w:val="24"/>
                <w:szCs w:val="24"/>
              </w:rPr>
            </w:pPr>
            <w:r>
              <w:rPr>
                <w:sz w:val="24"/>
                <w:szCs w:val="24"/>
              </w:rPr>
              <w:t>507</w:t>
            </w:r>
          </w:p>
        </w:tc>
        <w:tc>
          <w:tcPr>
            <w:tcW w:w="995"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A4" w14:textId="77777777" w:rsidR="00655AEF" w:rsidRDefault="00000000">
            <w:pPr>
              <w:rPr>
                <w:sz w:val="24"/>
                <w:szCs w:val="24"/>
              </w:rPr>
            </w:pPr>
            <w:r>
              <w:rPr>
                <w:sz w:val="24"/>
                <w:szCs w:val="24"/>
              </w:rPr>
              <w:t>100.0</w:t>
            </w:r>
          </w:p>
        </w:tc>
      </w:tr>
      <w:tr w:rsidR="00655AEF" w14:paraId="5BF05CC4" w14:textId="77777777">
        <w:trPr>
          <w:gridAfter w:val="3"/>
          <w:cantSplit/>
          <w:trHeight w:val="314"/>
        </w:trPr>
        <w:tc>
          <w:tcPr>
            <w:tcW w:w="734" w:type="dxa"/>
            <w:vMerge/>
            <w:shd w:val="clear" w:color="auto" w:fill="FFFFFF"/>
            <w:tcMar>
              <w:top w:w="0" w:type="dxa"/>
              <w:left w:w="0" w:type="dxa"/>
              <w:bottom w:w="0" w:type="dxa"/>
              <w:right w:w="0" w:type="dxa"/>
            </w:tcMar>
            <w:vAlign w:val="center"/>
          </w:tcPr>
          <w:p w14:paraId="000002A5" w14:textId="77777777" w:rsidR="00655AEF" w:rsidRDefault="00655AEF">
            <w:pPr>
              <w:pBdr>
                <w:top w:val="nil"/>
                <w:left w:val="nil"/>
                <w:bottom w:val="nil"/>
                <w:right w:val="nil"/>
                <w:between w:val="nil"/>
              </w:pBdr>
              <w:spacing w:line="276" w:lineRule="auto"/>
              <w:rPr>
                <w:sz w:val="24"/>
                <w:szCs w:val="24"/>
              </w:rPr>
            </w:pPr>
          </w:p>
        </w:tc>
      </w:tr>
    </w:tbl>
    <w:p w14:paraId="000002A6" w14:textId="77777777" w:rsidR="00655AEF" w:rsidRDefault="00655AEF">
      <w:pPr>
        <w:rPr>
          <w:sz w:val="24"/>
          <w:szCs w:val="24"/>
        </w:rPr>
      </w:pPr>
    </w:p>
    <w:p w14:paraId="000002A7" w14:textId="77777777" w:rsidR="00655AEF" w:rsidRDefault="00000000">
      <w:pPr>
        <w:keepNext/>
      </w:pPr>
      <w:r>
        <w:rPr>
          <w:noProof/>
          <w:sz w:val="24"/>
          <w:szCs w:val="24"/>
        </w:rPr>
        <w:drawing>
          <wp:inline distT="0" distB="0" distL="0" distR="0" wp14:anchorId="1A4354E8" wp14:editId="241D0174">
            <wp:extent cx="5505450" cy="32194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2A8" w14:textId="77777777" w:rsidR="00655AEF" w:rsidRDefault="00000000">
      <w:pPr>
        <w:pBdr>
          <w:top w:val="nil"/>
          <w:left w:val="nil"/>
          <w:bottom w:val="nil"/>
          <w:right w:val="nil"/>
          <w:between w:val="nil"/>
        </w:pBdr>
        <w:spacing w:after="200"/>
        <w:rPr>
          <w:b/>
          <w:color w:val="4F81BD"/>
          <w:sz w:val="24"/>
          <w:szCs w:val="24"/>
        </w:rPr>
      </w:pPr>
      <w:bookmarkStart w:id="57" w:name="_heading=h.abx5bco763g9" w:colFirst="0" w:colLast="0"/>
      <w:bookmarkEnd w:id="57"/>
      <w:r>
        <w:rPr>
          <w:b/>
          <w:color w:val="4F81BD"/>
          <w:sz w:val="18"/>
          <w:szCs w:val="18"/>
        </w:rPr>
        <w:t>Figure 4: Average Expenditure</w:t>
      </w:r>
    </w:p>
    <w:p w14:paraId="000002A9" w14:textId="77777777" w:rsidR="00655AEF" w:rsidRDefault="00655AEF">
      <w:pPr>
        <w:spacing w:after="240" w:line="360" w:lineRule="auto"/>
        <w:jc w:val="both"/>
        <w:rPr>
          <w:sz w:val="24"/>
          <w:szCs w:val="24"/>
        </w:rPr>
      </w:pPr>
    </w:p>
    <w:p w14:paraId="000002AA" w14:textId="77777777" w:rsidR="00655AEF" w:rsidRDefault="00000000">
      <w:pPr>
        <w:pStyle w:val="Heading3"/>
        <w:numPr>
          <w:ilvl w:val="2"/>
          <w:numId w:val="11"/>
        </w:numPr>
        <w:rPr>
          <w:sz w:val="24"/>
          <w:szCs w:val="24"/>
        </w:rPr>
      </w:pPr>
      <w:bookmarkStart w:id="58" w:name="_heading=h.retyxv9p3bcc" w:colFirst="0" w:colLast="0"/>
      <w:bookmarkEnd w:id="58"/>
      <w:r>
        <w:rPr>
          <w:sz w:val="24"/>
          <w:szCs w:val="24"/>
        </w:rPr>
        <w:t>Education Level of Study Participants</w:t>
      </w:r>
    </w:p>
    <w:p w14:paraId="000002AB" w14:textId="77777777" w:rsidR="00655AEF" w:rsidRDefault="00000000">
      <w:pPr>
        <w:spacing w:after="240" w:line="360" w:lineRule="auto"/>
        <w:jc w:val="both"/>
        <w:rPr>
          <w:sz w:val="24"/>
          <w:szCs w:val="24"/>
        </w:rPr>
      </w:pPr>
      <w:r>
        <w:rPr>
          <w:sz w:val="24"/>
          <w:szCs w:val="24"/>
        </w:rPr>
        <w:t xml:space="preserve">The findings on education level of the study participants provide a crucial demographic context for understanding the challenges faced in HIV treatment adherence. Out of the 500 of the 513 respondents that provided their views on this matter, the vast majority </w:t>
      </w:r>
      <w:r>
        <w:rPr>
          <w:sz w:val="24"/>
          <w:szCs w:val="24"/>
        </w:rPr>
        <w:lastRenderedPageBreak/>
        <w:t>have a low to moderate level of formal education.</w:t>
      </w:r>
    </w:p>
    <w:p w14:paraId="000002AC" w14:textId="77777777" w:rsidR="00655AEF" w:rsidRDefault="00000000">
      <w:pPr>
        <w:spacing w:after="240" w:line="360" w:lineRule="auto"/>
        <w:jc w:val="both"/>
        <w:rPr>
          <w:sz w:val="24"/>
          <w:szCs w:val="24"/>
        </w:rPr>
      </w:pPr>
      <w:r>
        <w:rPr>
          <w:sz w:val="24"/>
          <w:szCs w:val="24"/>
        </w:rPr>
        <w:t>The most striking finding is that over half of the participants, 53.2% (266 individuals), have only a primary education. This is followed by a substantial group, 37.6% (188 individuals), who have attained a secondary education or high school level. Conversely, the number of participants with no formal education (6.2%) or a vocational qualification (3.0%) is relatively small.</w:t>
      </w:r>
    </w:p>
    <w:p w14:paraId="000002AD" w14:textId="77777777" w:rsidR="00655AEF" w:rsidRDefault="00000000">
      <w:pPr>
        <w:spacing w:after="240" w:line="360" w:lineRule="auto"/>
        <w:jc w:val="both"/>
        <w:rPr>
          <w:sz w:val="24"/>
          <w:szCs w:val="24"/>
        </w:rPr>
      </w:pPr>
      <w:r>
        <w:rPr>
          <w:sz w:val="24"/>
          <w:szCs w:val="24"/>
        </w:rPr>
        <w:t>This educational profile has significant implications for health communication and patient management. Individuals with a lower level of formal education may face challenges in understanding complex medical information, such as the rationale behind their antiretroviral regimen, the importance of consistent daily adherence, the concept of viral load suppression, and the long-term consequences of treatment failure. The high percentage of participants with only primary education strongly suggests that standard, text-heavy patient education materials or technical explanations from healthcare providers may be ineffective.</w:t>
      </w:r>
    </w:p>
    <w:p w14:paraId="000002AE" w14:textId="77777777" w:rsidR="00655AEF" w:rsidRDefault="00000000">
      <w:pPr>
        <w:spacing w:after="240" w:line="360" w:lineRule="auto"/>
        <w:jc w:val="both"/>
        <w:rPr>
          <w:sz w:val="24"/>
          <w:szCs w:val="24"/>
        </w:rPr>
      </w:pPr>
      <w:r>
        <w:rPr>
          <w:sz w:val="24"/>
          <w:szCs w:val="24"/>
        </w:rPr>
        <w:t>The data provides a potential link to the issue of severe side effects. A lack of foundational knowledge and health literacy, potentially stemming from lower educational attainment, could directly contribute to a patient’s inability to comprehend the critical need for daily medication intake. Therefore, the observed rates of severe side effects and patients stopping treatment due to a lack of understanding may not be a simple matter of forgetfulness, but rather a deeper issue related to comprehension.</w:t>
      </w:r>
    </w:p>
    <w:p w14:paraId="000002AF" w14:textId="77777777" w:rsidR="00655AEF" w:rsidRDefault="00000000">
      <w:pPr>
        <w:spacing w:after="240" w:line="360" w:lineRule="auto"/>
        <w:jc w:val="both"/>
        <w:rPr>
          <w:sz w:val="24"/>
          <w:szCs w:val="24"/>
        </w:rPr>
      </w:pPr>
      <w:r>
        <w:rPr>
          <w:sz w:val="24"/>
          <w:szCs w:val="24"/>
        </w:rPr>
        <w:t>The findings underscore the necessity for health services in Kakamega County to adopt communication strategies that are tailored to the educational background of their patient population. This includes: using basic, non-technical terms when explaining treatment protocols; Using charts, diagrams, and other visual tools to illustrate concepts like viral load and CD4 counts; asking patients to explain the information back to the healthcare provider to confirm their understanding; enlisting the support of peer educators or community health workers who can communicate effectively in local languages and with cultural sensitivity.</w:t>
      </w:r>
    </w:p>
    <w:p w14:paraId="000002B0" w14:textId="77777777" w:rsidR="00655AEF" w:rsidRDefault="00000000">
      <w:pPr>
        <w:spacing w:after="240" w:line="360" w:lineRule="auto"/>
        <w:jc w:val="both"/>
        <w:rPr>
          <w:sz w:val="24"/>
          <w:szCs w:val="24"/>
        </w:rPr>
      </w:pPr>
      <w:r>
        <w:rPr>
          <w:sz w:val="24"/>
          <w:szCs w:val="24"/>
        </w:rPr>
        <w:lastRenderedPageBreak/>
        <w:t>While the low percentage of individuals with no formal education is a positive sign that most participants have some foundational literacy, the overall educational profile points to a critical need for targeted and accessible health education interventions. Understanding and addressing this demographic reality is fundamental to designing a reward system that effectively motivates and empowers patients to achieve and maintain viral suppression.</w:t>
      </w:r>
    </w:p>
    <w:p w14:paraId="000002B1" w14:textId="77777777" w:rsidR="00655AEF" w:rsidRDefault="00000000">
      <w:pPr>
        <w:keepNext/>
        <w:pBdr>
          <w:top w:val="nil"/>
          <w:left w:val="nil"/>
          <w:bottom w:val="nil"/>
          <w:right w:val="nil"/>
          <w:between w:val="nil"/>
        </w:pBdr>
        <w:spacing w:after="200"/>
        <w:rPr>
          <w:b/>
          <w:color w:val="4F81BD"/>
          <w:sz w:val="18"/>
          <w:szCs w:val="18"/>
        </w:rPr>
      </w:pPr>
      <w:bookmarkStart w:id="59" w:name="_heading=h.tspyih379hz5" w:colFirst="0" w:colLast="0"/>
      <w:bookmarkEnd w:id="59"/>
      <w:r>
        <w:rPr>
          <w:b/>
          <w:color w:val="4F81BD"/>
          <w:sz w:val="18"/>
          <w:szCs w:val="18"/>
        </w:rPr>
        <w:t>Table 8: Education Level</w:t>
      </w:r>
    </w:p>
    <w:tbl>
      <w:tblPr>
        <w:tblStyle w:val="a6"/>
        <w:tblW w:w="9360" w:type="dxa"/>
        <w:tblInd w:w="0" w:type="dxa"/>
        <w:tblLayout w:type="fixed"/>
        <w:tblLook w:val="0000" w:firstRow="0" w:lastRow="0" w:firstColumn="0" w:lastColumn="0" w:noHBand="0" w:noVBand="0"/>
      </w:tblPr>
      <w:tblGrid>
        <w:gridCol w:w="734"/>
        <w:gridCol w:w="5386"/>
        <w:gridCol w:w="1980"/>
        <w:gridCol w:w="1260"/>
      </w:tblGrid>
      <w:tr w:rsidR="00655AEF" w14:paraId="2F23A797" w14:textId="77777777">
        <w:trPr>
          <w:cantSplit/>
        </w:trPr>
        <w:tc>
          <w:tcPr>
            <w:tcW w:w="6120" w:type="dxa"/>
            <w:gridSpan w:val="2"/>
            <w:shd w:val="clear" w:color="auto" w:fill="FFFFFF"/>
            <w:tcMar>
              <w:top w:w="0" w:type="dxa"/>
              <w:left w:w="0" w:type="dxa"/>
              <w:bottom w:w="0" w:type="dxa"/>
              <w:right w:w="0" w:type="dxa"/>
            </w:tcMar>
          </w:tcPr>
          <w:p w14:paraId="000002B2"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2B4" w14:textId="77777777" w:rsidR="00655AEF" w:rsidRDefault="00000000">
            <w:pPr>
              <w:rPr>
                <w:sz w:val="24"/>
                <w:szCs w:val="24"/>
              </w:rPr>
            </w:pPr>
            <w:r>
              <w:rPr>
                <w:sz w:val="24"/>
                <w:szCs w:val="24"/>
              </w:rPr>
              <w:t>Frequency</w:t>
            </w:r>
          </w:p>
        </w:tc>
        <w:tc>
          <w:tcPr>
            <w:tcW w:w="1260" w:type="dxa"/>
            <w:shd w:val="clear" w:color="auto" w:fill="FFFFFF"/>
            <w:tcMar>
              <w:top w:w="0" w:type="dxa"/>
              <w:left w:w="0" w:type="dxa"/>
              <w:bottom w:w="0" w:type="dxa"/>
              <w:right w:w="0" w:type="dxa"/>
            </w:tcMar>
          </w:tcPr>
          <w:p w14:paraId="000002B5" w14:textId="77777777" w:rsidR="00655AEF" w:rsidRDefault="00000000">
            <w:pPr>
              <w:rPr>
                <w:sz w:val="24"/>
                <w:szCs w:val="24"/>
              </w:rPr>
            </w:pPr>
            <w:r>
              <w:rPr>
                <w:sz w:val="24"/>
                <w:szCs w:val="24"/>
              </w:rPr>
              <w:t>Percent</w:t>
            </w:r>
          </w:p>
        </w:tc>
      </w:tr>
      <w:tr w:rsidR="00655AEF" w14:paraId="05E12446" w14:textId="77777777">
        <w:trPr>
          <w:cantSplit/>
        </w:trPr>
        <w:tc>
          <w:tcPr>
            <w:tcW w:w="734" w:type="dxa"/>
            <w:vMerge w:val="restart"/>
            <w:shd w:val="clear" w:color="auto" w:fill="FFFFFF"/>
            <w:tcMar>
              <w:top w:w="0" w:type="dxa"/>
              <w:left w:w="0" w:type="dxa"/>
              <w:bottom w:w="0" w:type="dxa"/>
              <w:right w:w="0" w:type="dxa"/>
            </w:tcMar>
            <w:vAlign w:val="center"/>
          </w:tcPr>
          <w:p w14:paraId="000002B6" w14:textId="77777777" w:rsidR="00655AEF" w:rsidRDefault="00655AEF">
            <w:pPr>
              <w:rPr>
                <w:sz w:val="24"/>
                <w:szCs w:val="24"/>
              </w:rPr>
            </w:pPr>
          </w:p>
        </w:tc>
        <w:tc>
          <w:tcPr>
            <w:tcW w:w="5386" w:type="dxa"/>
            <w:tcBorders>
              <w:top w:val="single" w:sz="4" w:space="0" w:color="000000"/>
            </w:tcBorders>
            <w:shd w:val="clear" w:color="auto" w:fill="FFFFFF"/>
            <w:tcMar>
              <w:top w:w="0" w:type="dxa"/>
              <w:left w:w="0" w:type="dxa"/>
              <w:bottom w:w="0" w:type="dxa"/>
              <w:right w:w="0" w:type="dxa"/>
            </w:tcMar>
            <w:vAlign w:val="center"/>
          </w:tcPr>
          <w:p w14:paraId="000002B7" w14:textId="77777777" w:rsidR="00655AEF" w:rsidRDefault="00000000">
            <w:pPr>
              <w:rPr>
                <w:sz w:val="24"/>
                <w:szCs w:val="24"/>
              </w:rPr>
            </w:pPr>
            <w:r>
              <w:rPr>
                <w:sz w:val="24"/>
                <w:szCs w:val="24"/>
              </w:rPr>
              <w:t>No formal education</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B8" w14:textId="77777777" w:rsidR="00655AEF" w:rsidRDefault="00000000">
            <w:pPr>
              <w:rPr>
                <w:sz w:val="24"/>
                <w:szCs w:val="24"/>
              </w:rPr>
            </w:pPr>
            <w:r>
              <w:rPr>
                <w:sz w:val="24"/>
                <w:szCs w:val="24"/>
              </w:rPr>
              <w:t>31</w:t>
            </w:r>
          </w:p>
        </w:tc>
        <w:tc>
          <w:tcPr>
            <w:tcW w:w="1260" w:type="dxa"/>
            <w:tcBorders>
              <w:top w:val="single" w:sz="4" w:space="0" w:color="000000"/>
            </w:tcBorders>
            <w:shd w:val="clear" w:color="auto" w:fill="FFFFFF"/>
            <w:tcMar>
              <w:top w:w="0" w:type="dxa"/>
              <w:left w:w="0" w:type="dxa"/>
              <w:bottom w:w="0" w:type="dxa"/>
              <w:right w:w="0" w:type="dxa"/>
            </w:tcMar>
            <w:vAlign w:val="center"/>
          </w:tcPr>
          <w:p w14:paraId="000002B9" w14:textId="77777777" w:rsidR="00655AEF" w:rsidRDefault="00000000">
            <w:pPr>
              <w:rPr>
                <w:sz w:val="24"/>
                <w:szCs w:val="24"/>
              </w:rPr>
            </w:pPr>
            <w:r>
              <w:rPr>
                <w:sz w:val="24"/>
                <w:szCs w:val="24"/>
              </w:rPr>
              <w:t>6.2</w:t>
            </w:r>
          </w:p>
        </w:tc>
      </w:tr>
      <w:tr w:rsidR="00655AEF" w14:paraId="293951CB" w14:textId="77777777">
        <w:trPr>
          <w:cantSplit/>
        </w:trPr>
        <w:tc>
          <w:tcPr>
            <w:tcW w:w="734" w:type="dxa"/>
            <w:vMerge/>
            <w:shd w:val="clear" w:color="auto" w:fill="FFFFFF"/>
            <w:tcMar>
              <w:top w:w="0" w:type="dxa"/>
              <w:left w:w="0" w:type="dxa"/>
              <w:bottom w:w="0" w:type="dxa"/>
              <w:right w:w="0" w:type="dxa"/>
            </w:tcMar>
            <w:vAlign w:val="center"/>
          </w:tcPr>
          <w:p w14:paraId="000002BA"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BB" w14:textId="77777777" w:rsidR="00655AEF" w:rsidRDefault="00000000">
            <w:pPr>
              <w:rPr>
                <w:sz w:val="24"/>
                <w:szCs w:val="24"/>
              </w:rPr>
            </w:pPr>
            <w:r>
              <w:rPr>
                <w:sz w:val="24"/>
                <w:szCs w:val="24"/>
              </w:rPr>
              <w:t>Primary education</w:t>
            </w:r>
          </w:p>
        </w:tc>
        <w:tc>
          <w:tcPr>
            <w:tcW w:w="1980" w:type="dxa"/>
            <w:shd w:val="clear" w:color="auto" w:fill="FFFFFF"/>
            <w:tcMar>
              <w:top w:w="0" w:type="dxa"/>
              <w:left w:w="0" w:type="dxa"/>
              <w:bottom w:w="0" w:type="dxa"/>
              <w:right w:w="0" w:type="dxa"/>
            </w:tcMar>
            <w:vAlign w:val="center"/>
          </w:tcPr>
          <w:p w14:paraId="000002BC" w14:textId="77777777" w:rsidR="00655AEF" w:rsidRDefault="00000000">
            <w:pPr>
              <w:rPr>
                <w:sz w:val="24"/>
                <w:szCs w:val="24"/>
              </w:rPr>
            </w:pPr>
            <w:r>
              <w:rPr>
                <w:sz w:val="24"/>
                <w:szCs w:val="24"/>
              </w:rPr>
              <w:t>266</w:t>
            </w:r>
          </w:p>
        </w:tc>
        <w:tc>
          <w:tcPr>
            <w:tcW w:w="1260" w:type="dxa"/>
            <w:shd w:val="clear" w:color="auto" w:fill="FFFFFF"/>
            <w:tcMar>
              <w:top w:w="0" w:type="dxa"/>
              <w:left w:w="0" w:type="dxa"/>
              <w:bottom w:w="0" w:type="dxa"/>
              <w:right w:w="0" w:type="dxa"/>
            </w:tcMar>
            <w:vAlign w:val="center"/>
          </w:tcPr>
          <w:p w14:paraId="000002BD" w14:textId="77777777" w:rsidR="00655AEF" w:rsidRDefault="00000000">
            <w:pPr>
              <w:rPr>
                <w:sz w:val="24"/>
                <w:szCs w:val="24"/>
              </w:rPr>
            </w:pPr>
            <w:r>
              <w:rPr>
                <w:sz w:val="24"/>
                <w:szCs w:val="24"/>
              </w:rPr>
              <w:t>53.2</w:t>
            </w:r>
          </w:p>
        </w:tc>
      </w:tr>
      <w:tr w:rsidR="00655AEF" w14:paraId="1703B3B6" w14:textId="77777777">
        <w:trPr>
          <w:cantSplit/>
        </w:trPr>
        <w:tc>
          <w:tcPr>
            <w:tcW w:w="734" w:type="dxa"/>
            <w:vMerge/>
            <w:shd w:val="clear" w:color="auto" w:fill="FFFFFF"/>
            <w:tcMar>
              <w:top w:w="0" w:type="dxa"/>
              <w:left w:w="0" w:type="dxa"/>
              <w:bottom w:w="0" w:type="dxa"/>
              <w:right w:w="0" w:type="dxa"/>
            </w:tcMar>
            <w:vAlign w:val="center"/>
          </w:tcPr>
          <w:p w14:paraId="000002BE" w14:textId="77777777" w:rsidR="00655AEF" w:rsidRDefault="00655AEF">
            <w:pPr>
              <w:pBdr>
                <w:top w:val="nil"/>
                <w:left w:val="nil"/>
                <w:bottom w:val="nil"/>
                <w:right w:val="nil"/>
                <w:between w:val="nil"/>
              </w:pBdr>
              <w:spacing w:line="276" w:lineRule="auto"/>
              <w:rPr>
                <w:sz w:val="24"/>
                <w:szCs w:val="24"/>
              </w:rPr>
            </w:pPr>
          </w:p>
        </w:tc>
        <w:tc>
          <w:tcPr>
            <w:tcW w:w="5386" w:type="dxa"/>
            <w:shd w:val="clear" w:color="auto" w:fill="FFFFFF"/>
            <w:tcMar>
              <w:top w:w="0" w:type="dxa"/>
              <w:left w:w="0" w:type="dxa"/>
              <w:bottom w:w="0" w:type="dxa"/>
              <w:right w:w="0" w:type="dxa"/>
            </w:tcMar>
            <w:vAlign w:val="center"/>
          </w:tcPr>
          <w:p w14:paraId="000002BF" w14:textId="77777777" w:rsidR="00655AEF" w:rsidRDefault="00000000">
            <w:pPr>
              <w:rPr>
                <w:sz w:val="24"/>
                <w:szCs w:val="24"/>
              </w:rPr>
            </w:pPr>
            <w:r>
              <w:rPr>
                <w:sz w:val="24"/>
                <w:szCs w:val="24"/>
              </w:rPr>
              <w:t>Secondary education or high school</w:t>
            </w:r>
          </w:p>
        </w:tc>
        <w:tc>
          <w:tcPr>
            <w:tcW w:w="1980" w:type="dxa"/>
            <w:shd w:val="clear" w:color="auto" w:fill="FFFFFF"/>
            <w:tcMar>
              <w:top w:w="0" w:type="dxa"/>
              <w:left w:w="0" w:type="dxa"/>
              <w:bottom w:w="0" w:type="dxa"/>
              <w:right w:w="0" w:type="dxa"/>
            </w:tcMar>
            <w:vAlign w:val="center"/>
          </w:tcPr>
          <w:p w14:paraId="000002C0" w14:textId="77777777" w:rsidR="00655AEF" w:rsidRDefault="00000000">
            <w:pPr>
              <w:rPr>
                <w:sz w:val="24"/>
                <w:szCs w:val="24"/>
              </w:rPr>
            </w:pPr>
            <w:r>
              <w:rPr>
                <w:sz w:val="24"/>
                <w:szCs w:val="24"/>
              </w:rPr>
              <w:t>188</w:t>
            </w:r>
          </w:p>
        </w:tc>
        <w:tc>
          <w:tcPr>
            <w:tcW w:w="1260" w:type="dxa"/>
            <w:shd w:val="clear" w:color="auto" w:fill="FFFFFF"/>
            <w:tcMar>
              <w:top w:w="0" w:type="dxa"/>
              <w:left w:w="0" w:type="dxa"/>
              <w:bottom w:w="0" w:type="dxa"/>
              <w:right w:w="0" w:type="dxa"/>
            </w:tcMar>
            <w:vAlign w:val="center"/>
          </w:tcPr>
          <w:p w14:paraId="000002C1" w14:textId="77777777" w:rsidR="00655AEF" w:rsidRDefault="00000000">
            <w:pPr>
              <w:rPr>
                <w:sz w:val="24"/>
                <w:szCs w:val="24"/>
              </w:rPr>
            </w:pPr>
            <w:r>
              <w:rPr>
                <w:sz w:val="24"/>
                <w:szCs w:val="24"/>
              </w:rPr>
              <w:t>37.6</w:t>
            </w:r>
          </w:p>
        </w:tc>
      </w:tr>
      <w:tr w:rsidR="00655AEF" w14:paraId="0412143A" w14:textId="77777777">
        <w:trPr>
          <w:cantSplit/>
        </w:trPr>
        <w:tc>
          <w:tcPr>
            <w:tcW w:w="734" w:type="dxa"/>
            <w:vMerge/>
            <w:shd w:val="clear" w:color="auto" w:fill="FFFFFF"/>
            <w:tcMar>
              <w:top w:w="0" w:type="dxa"/>
              <w:left w:w="0" w:type="dxa"/>
              <w:bottom w:w="0" w:type="dxa"/>
              <w:right w:w="0" w:type="dxa"/>
            </w:tcMar>
            <w:vAlign w:val="center"/>
          </w:tcPr>
          <w:p w14:paraId="000002C2" w14:textId="77777777" w:rsidR="00655AEF" w:rsidRDefault="00655AEF">
            <w:pPr>
              <w:pBdr>
                <w:top w:val="nil"/>
                <w:left w:val="nil"/>
                <w:bottom w:val="nil"/>
                <w:right w:val="nil"/>
                <w:between w:val="nil"/>
              </w:pBdr>
              <w:spacing w:line="276" w:lineRule="auto"/>
              <w:rPr>
                <w:sz w:val="24"/>
                <w:szCs w:val="24"/>
              </w:rPr>
            </w:pPr>
          </w:p>
        </w:tc>
        <w:tc>
          <w:tcPr>
            <w:tcW w:w="5386" w:type="dxa"/>
            <w:tcBorders>
              <w:bottom w:val="single" w:sz="4" w:space="0" w:color="000000"/>
            </w:tcBorders>
            <w:shd w:val="clear" w:color="auto" w:fill="FFFFFF"/>
            <w:tcMar>
              <w:top w:w="0" w:type="dxa"/>
              <w:left w:w="0" w:type="dxa"/>
              <w:bottom w:w="0" w:type="dxa"/>
              <w:right w:w="0" w:type="dxa"/>
            </w:tcMar>
            <w:vAlign w:val="center"/>
          </w:tcPr>
          <w:p w14:paraId="000002C3" w14:textId="77777777" w:rsidR="00655AEF" w:rsidRDefault="00000000">
            <w:pPr>
              <w:rPr>
                <w:sz w:val="24"/>
                <w:szCs w:val="24"/>
              </w:rPr>
            </w:pPr>
            <w:r>
              <w:rPr>
                <w:sz w:val="24"/>
                <w:szCs w:val="24"/>
              </w:rPr>
              <w:t>Vocational qualification</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2C4" w14:textId="77777777" w:rsidR="00655AEF" w:rsidRDefault="00000000">
            <w:pPr>
              <w:rPr>
                <w:sz w:val="24"/>
                <w:szCs w:val="24"/>
              </w:rPr>
            </w:pPr>
            <w:r>
              <w:rPr>
                <w:sz w:val="24"/>
                <w:szCs w:val="24"/>
              </w:rPr>
              <w:t>15</w:t>
            </w:r>
          </w:p>
        </w:tc>
        <w:tc>
          <w:tcPr>
            <w:tcW w:w="1260" w:type="dxa"/>
            <w:tcBorders>
              <w:bottom w:val="single" w:sz="4" w:space="0" w:color="000000"/>
            </w:tcBorders>
            <w:shd w:val="clear" w:color="auto" w:fill="FFFFFF"/>
            <w:tcMar>
              <w:top w:w="0" w:type="dxa"/>
              <w:left w:w="0" w:type="dxa"/>
              <w:bottom w:w="0" w:type="dxa"/>
              <w:right w:w="0" w:type="dxa"/>
            </w:tcMar>
            <w:vAlign w:val="center"/>
          </w:tcPr>
          <w:p w14:paraId="000002C5" w14:textId="77777777" w:rsidR="00655AEF" w:rsidRDefault="00000000">
            <w:pPr>
              <w:rPr>
                <w:sz w:val="24"/>
                <w:szCs w:val="24"/>
              </w:rPr>
            </w:pPr>
            <w:r>
              <w:rPr>
                <w:sz w:val="24"/>
                <w:szCs w:val="24"/>
              </w:rPr>
              <w:t>3.0</w:t>
            </w:r>
          </w:p>
        </w:tc>
      </w:tr>
      <w:tr w:rsidR="00655AEF" w14:paraId="449EB702" w14:textId="77777777">
        <w:trPr>
          <w:cantSplit/>
        </w:trPr>
        <w:tc>
          <w:tcPr>
            <w:tcW w:w="734" w:type="dxa"/>
            <w:vMerge/>
            <w:shd w:val="clear" w:color="auto" w:fill="FFFFFF"/>
            <w:tcMar>
              <w:top w:w="0" w:type="dxa"/>
              <w:left w:w="0" w:type="dxa"/>
              <w:bottom w:w="0" w:type="dxa"/>
              <w:right w:w="0" w:type="dxa"/>
            </w:tcMar>
            <w:vAlign w:val="center"/>
          </w:tcPr>
          <w:p w14:paraId="000002C6" w14:textId="77777777" w:rsidR="00655AEF" w:rsidRDefault="00655AEF">
            <w:pPr>
              <w:pBdr>
                <w:top w:val="nil"/>
                <w:left w:val="nil"/>
                <w:bottom w:val="nil"/>
                <w:right w:val="nil"/>
                <w:between w:val="nil"/>
              </w:pBdr>
              <w:spacing w:line="276" w:lineRule="auto"/>
              <w:rPr>
                <w:sz w:val="24"/>
                <w:szCs w:val="24"/>
              </w:rPr>
            </w:pPr>
          </w:p>
        </w:tc>
        <w:tc>
          <w:tcPr>
            <w:tcW w:w="538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C7"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C8" w14:textId="77777777" w:rsidR="00655AEF" w:rsidRDefault="00000000">
            <w:pPr>
              <w:rPr>
                <w:sz w:val="24"/>
                <w:szCs w:val="24"/>
              </w:rPr>
            </w:pPr>
            <w:r>
              <w:rPr>
                <w:sz w:val="24"/>
                <w:szCs w:val="24"/>
              </w:rPr>
              <w:t>500</w:t>
            </w:r>
          </w:p>
        </w:tc>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2C9" w14:textId="77777777" w:rsidR="00655AEF" w:rsidRDefault="00000000">
            <w:pPr>
              <w:rPr>
                <w:sz w:val="24"/>
                <w:szCs w:val="24"/>
              </w:rPr>
            </w:pPr>
            <w:r>
              <w:rPr>
                <w:sz w:val="24"/>
                <w:szCs w:val="24"/>
              </w:rPr>
              <w:t>100.0</w:t>
            </w:r>
          </w:p>
        </w:tc>
      </w:tr>
    </w:tbl>
    <w:p w14:paraId="000002CA" w14:textId="77777777" w:rsidR="00655AEF" w:rsidRDefault="00655AEF">
      <w:pPr>
        <w:pStyle w:val="Heading3"/>
        <w:ind w:left="720"/>
        <w:rPr>
          <w:rFonts w:ascii="Georgia" w:eastAsia="Georgia" w:hAnsi="Georgia" w:cs="Georgia"/>
          <w:b w:val="0"/>
          <w:color w:val="000000"/>
          <w:sz w:val="24"/>
          <w:szCs w:val="24"/>
        </w:rPr>
      </w:pPr>
    </w:p>
    <w:p w14:paraId="000002CB" w14:textId="77777777" w:rsidR="00655AEF" w:rsidRDefault="00000000">
      <w:pPr>
        <w:keepNext/>
      </w:pPr>
      <w:r>
        <w:rPr>
          <w:noProof/>
        </w:rPr>
        <w:drawing>
          <wp:inline distT="0" distB="0" distL="0" distR="0" wp14:anchorId="07CD8953" wp14:editId="7319E1E2">
            <wp:extent cx="5505450" cy="32194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2CC" w14:textId="77777777" w:rsidR="00655AEF" w:rsidRDefault="00000000">
      <w:pPr>
        <w:pBdr>
          <w:top w:val="nil"/>
          <w:left w:val="nil"/>
          <w:bottom w:val="nil"/>
          <w:right w:val="nil"/>
          <w:between w:val="nil"/>
        </w:pBdr>
        <w:spacing w:after="200"/>
        <w:rPr>
          <w:b/>
          <w:color w:val="4F81BD"/>
          <w:sz w:val="18"/>
          <w:szCs w:val="18"/>
        </w:rPr>
      </w:pPr>
      <w:bookmarkStart w:id="60" w:name="_heading=h.stj9rl56ybhi" w:colFirst="0" w:colLast="0"/>
      <w:bookmarkEnd w:id="60"/>
      <w:r>
        <w:rPr>
          <w:b/>
          <w:color w:val="4F81BD"/>
          <w:sz w:val="18"/>
          <w:szCs w:val="18"/>
        </w:rPr>
        <w:t>Figure 5: Education Level</w:t>
      </w:r>
    </w:p>
    <w:p w14:paraId="000002CD" w14:textId="77777777" w:rsidR="00655AEF" w:rsidRDefault="00655AEF">
      <w:pPr>
        <w:spacing w:after="240" w:line="360" w:lineRule="auto"/>
        <w:jc w:val="both"/>
        <w:rPr>
          <w:sz w:val="24"/>
          <w:szCs w:val="24"/>
        </w:rPr>
      </w:pPr>
    </w:p>
    <w:p w14:paraId="000002CE" w14:textId="77777777" w:rsidR="00655AEF" w:rsidRDefault="00000000">
      <w:pPr>
        <w:pStyle w:val="Heading3"/>
        <w:numPr>
          <w:ilvl w:val="2"/>
          <w:numId w:val="11"/>
        </w:numPr>
        <w:rPr>
          <w:sz w:val="24"/>
          <w:szCs w:val="24"/>
        </w:rPr>
      </w:pPr>
      <w:bookmarkStart w:id="61" w:name="_heading=h.e8so15jmgxc5" w:colFirst="0" w:colLast="0"/>
      <w:bookmarkEnd w:id="61"/>
      <w:r>
        <w:rPr>
          <w:sz w:val="24"/>
          <w:szCs w:val="24"/>
        </w:rPr>
        <w:t>Household Size</w:t>
      </w:r>
    </w:p>
    <w:p w14:paraId="000002CF" w14:textId="77777777" w:rsidR="00655AEF" w:rsidRDefault="00000000">
      <w:pPr>
        <w:spacing w:after="240" w:line="360" w:lineRule="auto"/>
        <w:jc w:val="both"/>
        <w:rPr>
          <w:sz w:val="24"/>
          <w:szCs w:val="24"/>
        </w:rPr>
      </w:pPr>
      <w:r>
        <w:rPr>
          <w:sz w:val="24"/>
          <w:szCs w:val="24"/>
        </w:rPr>
        <w:t xml:space="preserve">The data on household size offers a valuable demographic snapshot of the study population, revealing patterns that are crucial for understanding the social and economic </w:t>
      </w:r>
      <w:r>
        <w:rPr>
          <w:sz w:val="24"/>
          <w:szCs w:val="24"/>
        </w:rPr>
        <w:lastRenderedPageBreak/>
        <w:t xml:space="preserve">context of HIV treatment adherence. While the total frequency of 482 out of 513 represents a significant portion of the sample. The distribution reveals a clear pattern, with </w:t>
      </w:r>
      <w:proofErr w:type="gramStart"/>
      <w:r>
        <w:rPr>
          <w:sz w:val="24"/>
          <w:szCs w:val="24"/>
        </w:rPr>
        <w:t>the majority of</w:t>
      </w:r>
      <w:proofErr w:type="gramEnd"/>
      <w:r>
        <w:rPr>
          <w:sz w:val="24"/>
          <w:szCs w:val="24"/>
        </w:rPr>
        <w:t xml:space="preserve"> households falling within a concentrated range of sizes.</w:t>
      </w:r>
    </w:p>
    <w:p w14:paraId="000002D0" w14:textId="77777777" w:rsidR="00655AEF" w:rsidRDefault="00000000">
      <w:pPr>
        <w:spacing w:after="240" w:line="360" w:lineRule="auto"/>
        <w:jc w:val="both"/>
        <w:rPr>
          <w:sz w:val="24"/>
          <w:szCs w:val="24"/>
        </w:rPr>
      </w:pPr>
      <w:r>
        <w:rPr>
          <w:sz w:val="24"/>
          <w:szCs w:val="24"/>
        </w:rPr>
        <w:t>The most frequent household size is 4 members, representing nearly 20% of the sample. This is followed by significant proportions of households with 3, 2, 5, and 6 members. Combined, these sizes account for a substantial majority of the study population, suggesting a prevalence of either nuclear family structures or small extended families. This finding is consistent with common family dynamics in many parts of Kenya.</w:t>
      </w:r>
    </w:p>
    <w:p w14:paraId="000002D1" w14:textId="77777777" w:rsidR="00655AEF" w:rsidRDefault="00000000">
      <w:pPr>
        <w:spacing w:after="240" w:line="360" w:lineRule="auto"/>
        <w:jc w:val="both"/>
        <w:rPr>
          <w:sz w:val="24"/>
          <w:szCs w:val="24"/>
        </w:rPr>
      </w:pPr>
      <w:r>
        <w:rPr>
          <w:sz w:val="24"/>
          <w:szCs w:val="24"/>
        </w:rPr>
        <w:t>The wide variation in household size, from single-person households to those with 10 or more members, is an important factor to consider in the context of health outcomes, particularly for chronic diseases like HIV. Household size is a crucial proxy for understanding resource availability, social support systems, and potential stressors.</w:t>
      </w:r>
    </w:p>
    <w:p w14:paraId="000002D2" w14:textId="77777777" w:rsidR="00655AEF" w:rsidRDefault="00000000">
      <w:pPr>
        <w:spacing w:after="240" w:line="360" w:lineRule="auto"/>
        <w:jc w:val="both"/>
        <w:rPr>
          <w:sz w:val="24"/>
          <w:szCs w:val="24"/>
        </w:rPr>
      </w:pPr>
      <w:r>
        <w:rPr>
          <w:sz w:val="24"/>
          <w:szCs w:val="24"/>
        </w:rPr>
        <w:t>Larger households, particularly those with more than 6 members, are likely to face greater socio-economic pressure. The financial burden of supporting more individuals can reduce the resources available for a single person's healthcare needs, such as transport to clinics, a balanced diet, or even the opportunity cost of time spent on clinic visits. This aligns with the patient lack of finance reason for stopping treatment identified in the previous analysis.</w:t>
      </w:r>
    </w:p>
    <w:p w14:paraId="000002D3" w14:textId="77777777" w:rsidR="00655AEF" w:rsidRDefault="00000000">
      <w:pPr>
        <w:spacing w:after="240" w:line="360" w:lineRule="auto"/>
        <w:jc w:val="both"/>
        <w:rPr>
          <w:sz w:val="24"/>
          <w:szCs w:val="24"/>
        </w:rPr>
      </w:pPr>
      <w:r>
        <w:rPr>
          <w:sz w:val="24"/>
          <w:szCs w:val="24"/>
        </w:rPr>
        <w:t>The presence of other family members can be a double-edged sword. A larger household may offer a strong social support network, providing encouragement for treatment adherence and practical assistance. Conversely, a patient may be a primary caregiver for a large family, making it difficult to prioritize their own health needs and attend clinic appointments regularly. Conversely, patients from smaller households (1-2 members) might lack this immediate support system, potentially leading to social isolation that can negatively impact their adherence and mental well-being.</w:t>
      </w:r>
    </w:p>
    <w:p w14:paraId="000002D4" w14:textId="77777777" w:rsidR="00655AEF" w:rsidRDefault="00000000">
      <w:pPr>
        <w:spacing w:after="240" w:line="360" w:lineRule="auto"/>
        <w:jc w:val="both"/>
        <w:rPr>
          <w:sz w:val="24"/>
          <w:szCs w:val="24"/>
        </w:rPr>
      </w:pPr>
      <w:r>
        <w:rPr>
          <w:sz w:val="24"/>
          <w:szCs w:val="24"/>
        </w:rPr>
        <w:t xml:space="preserve">In larger, more crowded households, a patient may have less privacy, making it more challenging to take medication discreetly, especially if they fear stigma from family members who are unaware of their HIV status. This lack of privacy can be a significant </w:t>
      </w:r>
      <w:r>
        <w:rPr>
          <w:sz w:val="24"/>
          <w:szCs w:val="24"/>
        </w:rPr>
        <w:lastRenderedPageBreak/>
        <w:t>barrier to consistent adherence.</w:t>
      </w:r>
    </w:p>
    <w:p w14:paraId="000002D5" w14:textId="77777777" w:rsidR="00655AEF" w:rsidRDefault="00000000">
      <w:pPr>
        <w:spacing w:after="240" w:line="360" w:lineRule="auto"/>
        <w:jc w:val="both"/>
        <w:rPr>
          <w:sz w:val="24"/>
          <w:szCs w:val="24"/>
        </w:rPr>
      </w:pPr>
      <w:r>
        <w:rPr>
          <w:sz w:val="24"/>
          <w:szCs w:val="24"/>
        </w:rPr>
        <w:t xml:space="preserve">The demographic data on household size is not merely a descriptive statistic. It is a critical socio-demographic variable that provides insight into the potential drivers of treatment adherence and retention. The prevalence of mid-sized households suggests a strong family context, while the presence of very large and very small households highlights the need for targeted interventions that can address the unique challenges of resource scarcity and social support deficits faced by these patient groups. The study’s reward system must therefore be sensitive to these varying household dynamics to effectively improve treatment outcomes. This is illustrated in the table and figure </w:t>
      </w:r>
      <w:proofErr w:type="gramStart"/>
      <w:r>
        <w:rPr>
          <w:sz w:val="24"/>
          <w:szCs w:val="24"/>
        </w:rPr>
        <w:t>below;</w:t>
      </w:r>
      <w:proofErr w:type="gramEnd"/>
    </w:p>
    <w:p w14:paraId="000002D6" w14:textId="77777777" w:rsidR="00655AEF" w:rsidRDefault="00655AEF">
      <w:pPr>
        <w:spacing w:after="240" w:line="360" w:lineRule="auto"/>
        <w:jc w:val="both"/>
        <w:rPr>
          <w:sz w:val="24"/>
          <w:szCs w:val="24"/>
        </w:rPr>
      </w:pPr>
    </w:p>
    <w:p w14:paraId="000002D7" w14:textId="77777777" w:rsidR="00655AEF" w:rsidRDefault="00655AEF">
      <w:pPr>
        <w:spacing w:after="240" w:line="360" w:lineRule="auto"/>
        <w:jc w:val="both"/>
        <w:rPr>
          <w:sz w:val="24"/>
          <w:szCs w:val="24"/>
        </w:rPr>
      </w:pPr>
    </w:p>
    <w:p w14:paraId="000002D8" w14:textId="77777777" w:rsidR="00655AEF" w:rsidRDefault="00000000">
      <w:pPr>
        <w:keepNext/>
        <w:pBdr>
          <w:top w:val="nil"/>
          <w:left w:val="nil"/>
          <w:bottom w:val="nil"/>
          <w:right w:val="nil"/>
          <w:between w:val="nil"/>
        </w:pBdr>
        <w:spacing w:after="200"/>
        <w:rPr>
          <w:b/>
          <w:color w:val="4F81BD"/>
          <w:sz w:val="18"/>
          <w:szCs w:val="18"/>
        </w:rPr>
      </w:pPr>
      <w:bookmarkStart w:id="62" w:name="_heading=h.3uzuy9ka61r1" w:colFirst="0" w:colLast="0"/>
      <w:bookmarkEnd w:id="62"/>
      <w:r>
        <w:rPr>
          <w:b/>
          <w:color w:val="4F81BD"/>
          <w:sz w:val="18"/>
          <w:szCs w:val="18"/>
        </w:rPr>
        <w:t>Table 9: Household Size</w:t>
      </w:r>
    </w:p>
    <w:tbl>
      <w:tblPr>
        <w:tblStyle w:val="a7"/>
        <w:tblW w:w="9360" w:type="dxa"/>
        <w:tblInd w:w="0" w:type="dxa"/>
        <w:tblLayout w:type="fixed"/>
        <w:tblLook w:val="0000" w:firstRow="0" w:lastRow="0" w:firstColumn="0" w:lastColumn="0" w:noHBand="0" w:noVBand="0"/>
      </w:tblPr>
      <w:tblGrid>
        <w:gridCol w:w="934"/>
        <w:gridCol w:w="5186"/>
        <w:gridCol w:w="1980"/>
        <w:gridCol w:w="1260"/>
      </w:tblGrid>
      <w:tr w:rsidR="00655AEF" w14:paraId="17DF9B93" w14:textId="77777777">
        <w:trPr>
          <w:cantSplit/>
        </w:trPr>
        <w:tc>
          <w:tcPr>
            <w:tcW w:w="6120" w:type="dxa"/>
            <w:gridSpan w:val="2"/>
            <w:shd w:val="clear" w:color="auto" w:fill="FFFFFF"/>
            <w:tcMar>
              <w:top w:w="0" w:type="dxa"/>
              <w:left w:w="0" w:type="dxa"/>
              <w:bottom w:w="0" w:type="dxa"/>
              <w:right w:w="0" w:type="dxa"/>
            </w:tcMar>
          </w:tcPr>
          <w:p w14:paraId="000002D9" w14:textId="77777777" w:rsidR="00655AEF" w:rsidRDefault="00655AEF">
            <w:pPr>
              <w:rPr>
                <w:sz w:val="24"/>
                <w:szCs w:val="24"/>
              </w:rPr>
            </w:pPr>
          </w:p>
        </w:tc>
        <w:tc>
          <w:tcPr>
            <w:tcW w:w="1980" w:type="dxa"/>
            <w:shd w:val="clear" w:color="auto" w:fill="FFFFFF"/>
            <w:tcMar>
              <w:top w:w="0" w:type="dxa"/>
              <w:left w:w="0" w:type="dxa"/>
              <w:bottom w:w="0" w:type="dxa"/>
              <w:right w:w="0" w:type="dxa"/>
            </w:tcMar>
          </w:tcPr>
          <w:p w14:paraId="000002DB" w14:textId="77777777" w:rsidR="00655AEF" w:rsidRDefault="00000000">
            <w:pPr>
              <w:rPr>
                <w:sz w:val="24"/>
                <w:szCs w:val="24"/>
              </w:rPr>
            </w:pPr>
            <w:r>
              <w:rPr>
                <w:sz w:val="24"/>
                <w:szCs w:val="24"/>
              </w:rPr>
              <w:t>Frequency</w:t>
            </w:r>
          </w:p>
        </w:tc>
        <w:tc>
          <w:tcPr>
            <w:tcW w:w="1260" w:type="dxa"/>
            <w:shd w:val="clear" w:color="auto" w:fill="FFFFFF"/>
            <w:tcMar>
              <w:top w:w="0" w:type="dxa"/>
              <w:left w:w="0" w:type="dxa"/>
              <w:bottom w:w="0" w:type="dxa"/>
              <w:right w:w="0" w:type="dxa"/>
            </w:tcMar>
          </w:tcPr>
          <w:p w14:paraId="000002DC" w14:textId="77777777" w:rsidR="00655AEF" w:rsidRDefault="00000000">
            <w:pPr>
              <w:rPr>
                <w:sz w:val="24"/>
                <w:szCs w:val="24"/>
              </w:rPr>
            </w:pPr>
            <w:r>
              <w:rPr>
                <w:sz w:val="24"/>
                <w:szCs w:val="24"/>
              </w:rPr>
              <w:t>Percent</w:t>
            </w:r>
          </w:p>
        </w:tc>
      </w:tr>
      <w:tr w:rsidR="00655AEF" w14:paraId="786013B1" w14:textId="77777777">
        <w:trPr>
          <w:cantSplit/>
        </w:trPr>
        <w:tc>
          <w:tcPr>
            <w:tcW w:w="934" w:type="dxa"/>
            <w:vMerge w:val="restart"/>
            <w:shd w:val="clear" w:color="auto" w:fill="FFFFFF"/>
            <w:tcMar>
              <w:top w:w="0" w:type="dxa"/>
              <w:left w:w="0" w:type="dxa"/>
              <w:bottom w:w="0" w:type="dxa"/>
              <w:right w:w="0" w:type="dxa"/>
            </w:tcMar>
            <w:vAlign w:val="center"/>
          </w:tcPr>
          <w:p w14:paraId="000002DD" w14:textId="77777777" w:rsidR="00655AEF" w:rsidRDefault="00655AEF">
            <w:pPr>
              <w:rPr>
                <w:sz w:val="24"/>
                <w:szCs w:val="24"/>
              </w:rPr>
            </w:pPr>
          </w:p>
        </w:tc>
        <w:tc>
          <w:tcPr>
            <w:tcW w:w="5186" w:type="dxa"/>
            <w:tcBorders>
              <w:top w:val="single" w:sz="4" w:space="0" w:color="000000"/>
            </w:tcBorders>
            <w:shd w:val="clear" w:color="auto" w:fill="FFFFFF"/>
            <w:tcMar>
              <w:top w:w="0" w:type="dxa"/>
              <w:left w:w="0" w:type="dxa"/>
              <w:bottom w:w="0" w:type="dxa"/>
              <w:right w:w="0" w:type="dxa"/>
            </w:tcMar>
            <w:vAlign w:val="center"/>
          </w:tcPr>
          <w:p w14:paraId="000002DE" w14:textId="77777777" w:rsidR="00655AEF" w:rsidRDefault="00000000">
            <w:pPr>
              <w:rPr>
                <w:sz w:val="24"/>
                <w:szCs w:val="24"/>
              </w:rPr>
            </w:pPr>
            <w:r>
              <w:rPr>
                <w:sz w:val="24"/>
                <w:szCs w:val="24"/>
              </w:rPr>
              <w:t>1</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2DF" w14:textId="77777777" w:rsidR="00655AEF" w:rsidRDefault="00000000">
            <w:pPr>
              <w:rPr>
                <w:sz w:val="24"/>
                <w:szCs w:val="24"/>
              </w:rPr>
            </w:pPr>
            <w:r>
              <w:rPr>
                <w:sz w:val="24"/>
                <w:szCs w:val="24"/>
              </w:rPr>
              <w:t>43</w:t>
            </w:r>
          </w:p>
        </w:tc>
        <w:tc>
          <w:tcPr>
            <w:tcW w:w="1260" w:type="dxa"/>
            <w:tcBorders>
              <w:top w:val="single" w:sz="4" w:space="0" w:color="000000"/>
            </w:tcBorders>
            <w:shd w:val="clear" w:color="auto" w:fill="FFFFFF"/>
            <w:tcMar>
              <w:top w:w="0" w:type="dxa"/>
              <w:left w:w="0" w:type="dxa"/>
              <w:bottom w:w="0" w:type="dxa"/>
              <w:right w:w="0" w:type="dxa"/>
            </w:tcMar>
            <w:vAlign w:val="center"/>
          </w:tcPr>
          <w:p w14:paraId="000002E0" w14:textId="77777777" w:rsidR="00655AEF" w:rsidRDefault="00000000">
            <w:pPr>
              <w:rPr>
                <w:sz w:val="24"/>
                <w:szCs w:val="24"/>
              </w:rPr>
            </w:pPr>
            <w:r>
              <w:rPr>
                <w:sz w:val="24"/>
                <w:szCs w:val="24"/>
              </w:rPr>
              <w:t>8.9</w:t>
            </w:r>
          </w:p>
        </w:tc>
      </w:tr>
      <w:tr w:rsidR="00655AEF" w14:paraId="18E05D79" w14:textId="77777777">
        <w:trPr>
          <w:cantSplit/>
        </w:trPr>
        <w:tc>
          <w:tcPr>
            <w:tcW w:w="934" w:type="dxa"/>
            <w:vMerge/>
            <w:shd w:val="clear" w:color="auto" w:fill="FFFFFF"/>
            <w:tcMar>
              <w:top w:w="0" w:type="dxa"/>
              <w:left w:w="0" w:type="dxa"/>
              <w:bottom w:w="0" w:type="dxa"/>
              <w:right w:w="0" w:type="dxa"/>
            </w:tcMar>
            <w:vAlign w:val="center"/>
          </w:tcPr>
          <w:p w14:paraId="000002E1"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E2" w14:textId="77777777" w:rsidR="00655AEF" w:rsidRDefault="00000000">
            <w:pPr>
              <w:rPr>
                <w:sz w:val="24"/>
                <w:szCs w:val="24"/>
              </w:rPr>
            </w:pPr>
            <w:r>
              <w:rPr>
                <w:sz w:val="24"/>
                <w:szCs w:val="24"/>
              </w:rPr>
              <w:t>2</w:t>
            </w:r>
          </w:p>
        </w:tc>
        <w:tc>
          <w:tcPr>
            <w:tcW w:w="1980" w:type="dxa"/>
            <w:shd w:val="clear" w:color="auto" w:fill="FFFFFF"/>
            <w:tcMar>
              <w:top w:w="0" w:type="dxa"/>
              <w:left w:w="0" w:type="dxa"/>
              <w:bottom w:w="0" w:type="dxa"/>
              <w:right w:w="0" w:type="dxa"/>
            </w:tcMar>
            <w:vAlign w:val="center"/>
          </w:tcPr>
          <w:p w14:paraId="000002E3" w14:textId="77777777" w:rsidR="00655AEF" w:rsidRDefault="00000000">
            <w:pPr>
              <w:rPr>
                <w:sz w:val="24"/>
                <w:szCs w:val="24"/>
              </w:rPr>
            </w:pPr>
            <w:r>
              <w:rPr>
                <w:sz w:val="24"/>
                <w:szCs w:val="24"/>
              </w:rPr>
              <w:t>59</w:t>
            </w:r>
          </w:p>
        </w:tc>
        <w:tc>
          <w:tcPr>
            <w:tcW w:w="1260" w:type="dxa"/>
            <w:shd w:val="clear" w:color="auto" w:fill="FFFFFF"/>
            <w:tcMar>
              <w:top w:w="0" w:type="dxa"/>
              <w:left w:w="0" w:type="dxa"/>
              <w:bottom w:w="0" w:type="dxa"/>
              <w:right w:w="0" w:type="dxa"/>
            </w:tcMar>
            <w:vAlign w:val="center"/>
          </w:tcPr>
          <w:p w14:paraId="000002E4" w14:textId="77777777" w:rsidR="00655AEF" w:rsidRDefault="00000000">
            <w:pPr>
              <w:rPr>
                <w:sz w:val="24"/>
                <w:szCs w:val="24"/>
              </w:rPr>
            </w:pPr>
            <w:r>
              <w:rPr>
                <w:sz w:val="24"/>
                <w:szCs w:val="24"/>
              </w:rPr>
              <w:t>12.2</w:t>
            </w:r>
          </w:p>
        </w:tc>
      </w:tr>
      <w:tr w:rsidR="00655AEF" w14:paraId="726E9B48" w14:textId="77777777">
        <w:trPr>
          <w:cantSplit/>
        </w:trPr>
        <w:tc>
          <w:tcPr>
            <w:tcW w:w="934" w:type="dxa"/>
            <w:vMerge/>
            <w:shd w:val="clear" w:color="auto" w:fill="FFFFFF"/>
            <w:tcMar>
              <w:top w:w="0" w:type="dxa"/>
              <w:left w:w="0" w:type="dxa"/>
              <w:bottom w:w="0" w:type="dxa"/>
              <w:right w:w="0" w:type="dxa"/>
            </w:tcMar>
            <w:vAlign w:val="center"/>
          </w:tcPr>
          <w:p w14:paraId="000002E5"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E6" w14:textId="77777777" w:rsidR="00655AEF" w:rsidRDefault="00000000">
            <w:pPr>
              <w:rPr>
                <w:sz w:val="24"/>
                <w:szCs w:val="24"/>
              </w:rPr>
            </w:pPr>
            <w:r>
              <w:rPr>
                <w:sz w:val="24"/>
                <w:szCs w:val="24"/>
              </w:rPr>
              <w:t>3</w:t>
            </w:r>
          </w:p>
        </w:tc>
        <w:tc>
          <w:tcPr>
            <w:tcW w:w="1980" w:type="dxa"/>
            <w:shd w:val="clear" w:color="auto" w:fill="FFFFFF"/>
            <w:tcMar>
              <w:top w:w="0" w:type="dxa"/>
              <w:left w:w="0" w:type="dxa"/>
              <w:bottom w:w="0" w:type="dxa"/>
              <w:right w:w="0" w:type="dxa"/>
            </w:tcMar>
            <w:vAlign w:val="center"/>
          </w:tcPr>
          <w:p w14:paraId="000002E7" w14:textId="77777777" w:rsidR="00655AEF" w:rsidRDefault="00000000">
            <w:pPr>
              <w:rPr>
                <w:sz w:val="24"/>
                <w:szCs w:val="24"/>
              </w:rPr>
            </w:pPr>
            <w:r>
              <w:rPr>
                <w:sz w:val="24"/>
                <w:szCs w:val="24"/>
              </w:rPr>
              <w:t>78</w:t>
            </w:r>
          </w:p>
        </w:tc>
        <w:tc>
          <w:tcPr>
            <w:tcW w:w="1260" w:type="dxa"/>
            <w:shd w:val="clear" w:color="auto" w:fill="FFFFFF"/>
            <w:tcMar>
              <w:top w:w="0" w:type="dxa"/>
              <w:left w:w="0" w:type="dxa"/>
              <w:bottom w:w="0" w:type="dxa"/>
              <w:right w:w="0" w:type="dxa"/>
            </w:tcMar>
            <w:vAlign w:val="center"/>
          </w:tcPr>
          <w:p w14:paraId="000002E8" w14:textId="77777777" w:rsidR="00655AEF" w:rsidRDefault="00000000">
            <w:pPr>
              <w:rPr>
                <w:sz w:val="24"/>
                <w:szCs w:val="24"/>
              </w:rPr>
            </w:pPr>
            <w:r>
              <w:rPr>
                <w:sz w:val="24"/>
                <w:szCs w:val="24"/>
              </w:rPr>
              <w:t>16.2</w:t>
            </w:r>
          </w:p>
        </w:tc>
      </w:tr>
      <w:tr w:rsidR="00655AEF" w14:paraId="18481F6E" w14:textId="77777777">
        <w:trPr>
          <w:cantSplit/>
        </w:trPr>
        <w:tc>
          <w:tcPr>
            <w:tcW w:w="934" w:type="dxa"/>
            <w:vMerge/>
            <w:shd w:val="clear" w:color="auto" w:fill="FFFFFF"/>
            <w:tcMar>
              <w:top w:w="0" w:type="dxa"/>
              <w:left w:w="0" w:type="dxa"/>
              <w:bottom w:w="0" w:type="dxa"/>
              <w:right w:w="0" w:type="dxa"/>
            </w:tcMar>
            <w:vAlign w:val="center"/>
          </w:tcPr>
          <w:p w14:paraId="000002E9"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EA" w14:textId="77777777" w:rsidR="00655AEF" w:rsidRDefault="00000000">
            <w:pPr>
              <w:rPr>
                <w:sz w:val="24"/>
                <w:szCs w:val="24"/>
              </w:rPr>
            </w:pPr>
            <w:r>
              <w:rPr>
                <w:sz w:val="24"/>
                <w:szCs w:val="24"/>
              </w:rPr>
              <w:t>4</w:t>
            </w:r>
          </w:p>
        </w:tc>
        <w:tc>
          <w:tcPr>
            <w:tcW w:w="1980" w:type="dxa"/>
            <w:shd w:val="clear" w:color="auto" w:fill="FFFFFF"/>
            <w:tcMar>
              <w:top w:w="0" w:type="dxa"/>
              <w:left w:w="0" w:type="dxa"/>
              <w:bottom w:w="0" w:type="dxa"/>
              <w:right w:w="0" w:type="dxa"/>
            </w:tcMar>
            <w:vAlign w:val="center"/>
          </w:tcPr>
          <w:p w14:paraId="000002EB" w14:textId="77777777" w:rsidR="00655AEF" w:rsidRDefault="00000000">
            <w:pPr>
              <w:rPr>
                <w:sz w:val="24"/>
                <w:szCs w:val="24"/>
              </w:rPr>
            </w:pPr>
            <w:r>
              <w:rPr>
                <w:sz w:val="24"/>
                <w:szCs w:val="24"/>
              </w:rPr>
              <w:t>96</w:t>
            </w:r>
          </w:p>
        </w:tc>
        <w:tc>
          <w:tcPr>
            <w:tcW w:w="1260" w:type="dxa"/>
            <w:shd w:val="clear" w:color="auto" w:fill="FFFFFF"/>
            <w:tcMar>
              <w:top w:w="0" w:type="dxa"/>
              <w:left w:w="0" w:type="dxa"/>
              <w:bottom w:w="0" w:type="dxa"/>
              <w:right w:w="0" w:type="dxa"/>
            </w:tcMar>
            <w:vAlign w:val="center"/>
          </w:tcPr>
          <w:p w14:paraId="000002EC" w14:textId="77777777" w:rsidR="00655AEF" w:rsidRDefault="00000000">
            <w:pPr>
              <w:rPr>
                <w:sz w:val="24"/>
                <w:szCs w:val="24"/>
              </w:rPr>
            </w:pPr>
            <w:r>
              <w:rPr>
                <w:sz w:val="24"/>
                <w:szCs w:val="24"/>
              </w:rPr>
              <w:t>19.9</w:t>
            </w:r>
          </w:p>
        </w:tc>
      </w:tr>
      <w:tr w:rsidR="00655AEF" w14:paraId="21EA859F" w14:textId="77777777">
        <w:trPr>
          <w:cantSplit/>
        </w:trPr>
        <w:tc>
          <w:tcPr>
            <w:tcW w:w="934" w:type="dxa"/>
            <w:vMerge/>
            <w:shd w:val="clear" w:color="auto" w:fill="FFFFFF"/>
            <w:tcMar>
              <w:top w:w="0" w:type="dxa"/>
              <w:left w:w="0" w:type="dxa"/>
              <w:bottom w:w="0" w:type="dxa"/>
              <w:right w:w="0" w:type="dxa"/>
            </w:tcMar>
            <w:vAlign w:val="center"/>
          </w:tcPr>
          <w:p w14:paraId="000002ED"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EE" w14:textId="77777777" w:rsidR="00655AEF" w:rsidRDefault="00000000">
            <w:pPr>
              <w:rPr>
                <w:sz w:val="24"/>
                <w:szCs w:val="24"/>
              </w:rPr>
            </w:pPr>
            <w:r>
              <w:rPr>
                <w:sz w:val="24"/>
                <w:szCs w:val="24"/>
              </w:rPr>
              <w:t>5</w:t>
            </w:r>
          </w:p>
        </w:tc>
        <w:tc>
          <w:tcPr>
            <w:tcW w:w="1980" w:type="dxa"/>
            <w:shd w:val="clear" w:color="auto" w:fill="FFFFFF"/>
            <w:tcMar>
              <w:top w:w="0" w:type="dxa"/>
              <w:left w:w="0" w:type="dxa"/>
              <w:bottom w:w="0" w:type="dxa"/>
              <w:right w:w="0" w:type="dxa"/>
            </w:tcMar>
            <w:vAlign w:val="center"/>
          </w:tcPr>
          <w:p w14:paraId="000002EF" w14:textId="77777777" w:rsidR="00655AEF" w:rsidRDefault="00000000">
            <w:pPr>
              <w:rPr>
                <w:sz w:val="24"/>
                <w:szCs w:val="24"/>
              </w:rPr>
            </w:pPr>
            <w:r>
              <w:rPr>
                <w:sz w:val="24"/>
                <w:szCs w:val="24"/>
              </w:rPr>
              <w:t>59</w:t>
            </w:r>
          </w:p>
        </w:tc>
        <w:tc>
          <w:tcPr>
            <w:tcW w:w="1260" w:type="dxa"/>
            <w:shd w:val="clear" w:color="auto" w:fill="FFFFFF"/>
            <w:tcMar>
              <w:top w:w="0" w:type="dxa"/>
              <w:left w:w="0" w:type="dxa"/>
              <w:bottom w:w="0" w:type="dxa"/>
              <w:right w:w="0" w:type="dxa"/>
            </w:tcMar>
            <w:vAlign w:val="center"/>
          </w:tcPr>
          <w:p w14:paraId="000002F0" w14:textId="77777777" w:rsidR="00655AEF" w:rsidRDefault="00000000">
            <w:pPr>
              <w:rPr>
                <w:sz w:val="24"/>
                <w:szCs w:val="24"/>
              </w:rPr>
            </w:pPr>
            <w:r>
              <w:rPr>
                <w:sz w:val="24"/>
                <w:szCs w:val="24"/>
              </w:rPr>
              <w:t>12.2</w:t>
            </w:r>
          </w:p>
        </w:tc>
      </w:tr>
      <w:tr w:rsidR="00655AEF" w14:paraId="3D14E341" w14:textId="77777777">
        <w:trPr>
          <w:cantSplit/>
        </w:trPr>
        <w:tc>
          <w:tcPr>
            <w:tcW w:w="934" w:type="dxa"/>
            <w:vMerge/>
            <w:shd w:val="clear" w:color="auto" w:fill="FFFFFF"/>
            <w:tcMar>
              <w:top w:w="0" w:type="dxa"/>
              <w:left w:w="0" w:type="dxa"/>
              <w:bottom w:w="0" w:type="dxa"/>
              <w:right w:w="0" w:type="dxa"/>
            </w:tcMar>
            <w:vAlign w:val="center"/>
          </w:tcPr>
          <w:p w14:paraId="000002F1"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F2" w14:textId="77777777" w:rsidR="00655AEF" w:rsidRDefault="00000000">
            <w:pPr>
              <w:rPr>
                <w:sz w:val="24"/>
                <w:szCs w:val="24"/>
              </w:rPr>
            </w:pPr>
            <w:r>
              <w:rPr>
                <w:sz w:val="24"/>
                <w:szCs w:val="24"/>
              </w:rPr>
              <w:t>6</w:t>
            </w:r>
          </w:p>
        </w:tc>
        <w:tc>
          <w:tcPr>
            <w:tcW w:w="1980" w:type="dxa"/>
            <w:shd w:val="clear" w:color="auto" w:fill="FFFFFF"/>
            <w:tcMar>
              <w:top w:w="0" w:type="dxa"/>
              <w:left w:w="0" w:type="dxa"/>
              <w:bottom w:w="0" w:type="dxa"/>
              <w:right w:w="0" w:type="dxa"/>
            </w:tcMar>
            <w:vAlign w:val="center"/>
          </w:tcPr>
          <w:p w14:paraId="000002F3" w14:textId="77777777" w:rsidR="00655AEF" w:rsidRDefault="00000000">
            <w:pPr>
              <w:rPr>
                <w:sz w:val="24"/>
                <w:szCs w:val="24"/>
              </w:rPr>
            </w:pPr>
            <w:r>
              <w:rPr>
                <w:sz w:val="24"/>
                <w:szCs w:val="24"/>
              </w:rPr>
              <w:t>51</w:t>
            </w:r>
          </w:p>
        </w:tc>
        <w:tc>
          <w:tcPr>
            <w:tcW w:w="1260" w:type="dxa"/>
            <w:shd w:val="clear" w:color="auto" w:fill="FFFFFF"/>
            <w:tcMar>
              <w:top w:w="0" w:type="dxa"/>
              <w:left w:w="0" w:type="dxa"/>
              <w:bottom w:w="0" w:type="dxa"/>
              <w:right w:w="0" w:type="dxa"/>
            </w:tcMar>
            <w:vAlign w:val="center"/>
          </w:tcPr>
          <w:p w14:paraId="000002F4" w14:textId="77777777" w:rsidR="00655AEF" w:rsidRDefault="00000000">
            <w:pPr>
              <w:rPr>
                <w:sz w:val="24"/>
                <w:szCs w:val="24"/>
              </w:rPr>
            </w:pPr>
            <w:r>
              <w:rPr>
                <w:sz w:val="24"/>
                <w:szCs w:val="24"/>
              </w:rPr>
              <w:t>10.6</w:t>
            </w:r>
          </w:p>
        </w:tc>
      </w:tr>
      <w:tr w:rsidR="00655AEF" w14:paraId="655EFAD2" w14:textId="77777777">
        <w:trPr>
          <w:cantSplit/>
        </w:trPr>
        <w:tc>
          <w:tcPr>
            <w:tcW w:w="934" w:type="dxa"/>
            <w:vMerge/>
            <w:shd w:val="clear" w:color="auto" w:fill="FFFFFF"/>
            <w:tcMar>
              <w:top w:w="0" w:type="dxa"/>
              <w:left w:w="0" w:type="dxa"/>
              <w:bottom w:w="0" w:type="dxa"/>
              <w:right w:w="0" w:type="dxa"/>
            </w:tcMar>
            <w:vAlign w:val="center"/>
          </w:tcPr>
          <w:p w14:paraId="000002F5"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F6" w14:textId="77777777" w:rsidR="00655AEF" w:rsidRDefault="00000000">
            <w:pPr>
              <w:rPr>
                <w:sz w:val="24"/>
                <w:szCs w:val="24"/>
              </w:rPr>
            </w:pPr>
            <w:r>
              <w:rPr>
                <w:sz w:val="24"/>
                <w:szCs w:val="24"/>
              </w:rPr>
              <w:t>7</w:t>
            </w:r>
          </w:p>
        </w:tc>
        <w:tc>
          <w:tcPr>
            <w:tcW w:w="1980" w:type="dxa"/>
            <w:shd w:val="clear" w:color="auto" w:fill="FFFFFF"/>
            <w:tcMar>
              <w:top w:w="0" w:type="dxa"/>
              <w:left w:w="0" w:type="dxa"/>
              <w:bottom w:w="0" w:type="dxa"/>
              <w:right w:w="0" w:type="dxa"/>
            </w:tcMar>
            <w:vAlign w:val="center"/>
          </w:tcPr>
          <w:p w14:paraId="000002F7" w14:textId="77777777" w:rsidR="00655AEF" w:rsidRDefault="00000000">
            <w:pPr>
              <w:rPr>
                <w:sz w:val="24"/>
                <w:szCs w:val="24"/>
              </w:rPr>
            </w:pPr>
            <w:r>
              <w:rPr>
                <w:sz w:val="24"/>
                <w:szCs w:val="24"/>
              </w:rPr>
              <w:t>37</w:t>
            </w:r>
          </w:p>
        </w:tc>
        <w:tc>
          <w:tcPr>
            <w:tcW w:w="1260" w:type="dxa"/>
            <w:shd w:val="clear" w:color="auto" w:fill="FFFFFF"/>
            <w:tcMar>
              <w:top w:w="0" w:type="dxa"/>
              <w:left w:w="0" w:type="dxa"/>
              <w:bottom w:w="0" w:type="dxa"/>
              <w:right w:w="0" w:type="dxa"/>
            </w:tcMar>
            <w:vAlign w:val="center"/>
          </w:tcPr>
          <w:p w14:paraId="000002F8" w14:textId="77777777" w:rsidR="00655AEF" w:rsidRDefault="00000000">
            <w:pPr>
              <w:rPr>
                <w:sz w:val="24"/>
                <w:szCs w:val="24"/>
              </w:rPr>
            </w:pPr>
            <w:r>
              <w:rPr>
                <w:sz w:val="24"/>
                <w:szCs w:val="24"/>
              </w:rPr>
              <w:t>7.7</w:t>
            </w:r>
          </w:p>
        </w:tc>
      </w:tr>
      <w:tr w:rsidR="00655AEF" w14:paraId="07C92BB3" w14:textId="77777777">
        <w:trPr>
          <w:cantSplit/>
        </w:trPr>
        <w:tc>
          <w:tcPr>
            <w:tcW w:w="934" w:type="dxa"/>
            <w:vMerge/>
            <w:shd w:val="clear" w:color="auto" w:fill="FFFFFF"/>
            <w:tcMar>
              <w:top w:w="0" w:type="dxa"/>
              <w:left w:w="0" w:type="dxa"/>
              <w:bottom w:w="0" w:type="dxa"/>
              <w:right w:w="0" w:type="dxa"/>
            </w:tcMar>
            <w:vAlign w:val="center"/>
          </w:tcPr>
          <w:p w14:paraId="000002F9"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FA" w14:textId="77777777" w:rsidR="00655AEF" w:rsidRDefault="00000000">
            <w:pPr>
              <w:rPr>
                <w:sz w:val="24"/>
                <w:szCs w:val="24"/>
              </w:rPr>
            </w:pPr>
            <w:r>
              <w:rPr>
                <w:sz w:val="24"/>
                <w:szCs w:val="24"/>
              </w:rPr>
              <w:t>8</w:t>
            </w:r>
          </w:p>
        </w:tc>
        <w:tc>
          <w:tcPr>
            <w:tcW w:w="1980" w:type="dxa"/>
            <w:shd w:val="clear" w:color="auto" w:fill="FFFFFF"/>
            <w:tcMar>
              <w:top w:w="0" w:type="dxa"/>
              <w:left w:w="0" w:type="dxa"/>
              <w:bottom w:w="0" w:type="dxa"/>
              <w:right w:w="0" w:type="dxa"/>
            </w:tcMar>
            <w:vAlign w:val="center"/>
          </w:tcPr>
          <w:p w14:paraId="000002FB" w14:textId="77777777" w:rsidR="00655AEF" w:rsidRDefault="00000000">
            <w:pPr>
              <w:rPr>
                <w:sz w:val="24"/>
                <w:szCs w:val="24"/>
              </w:rPr>
            </w:pPr>
            <w:r>
              <w:rPr>
                <w:sz w:val="24"/>
                <w:szCs w:val="24"/>
              </w:rPr>
              <w:t>28</w:t>
            </w:r>
          </w:p>
        </w:tc>
        <w:tc>
          <w:tcPr>
            <w:tcW w:w="1260" w:type="dxa"/>
            <w:shd w:val="clear" w:color="auto" w:fill="FFFFFF"/>
            <w:tcMar>
              <w:top w:w="0" w:type="dxa"/>
              <w:left w:w="0" w:type="dxa"/>
              <w:bottom w:w="0" w:type="dxa"/>
              <w:right w:w="0" w:type="dxa"/>
            </w:tcMar>
            <w:vAlign w:val="center"/>
          </w:tcPr>
          <w:p w14:paraId="000002FC" w14:textId="77777777" w:rsidR="00655AEF" w:rsidRDefault="00000000">
            <w:pPr>
              <w:rPr>
                <w:sz w:val="24"/>
                <w:szCs w:val="24"/>
              </w:rPr>
            </w:pPr>
            <w:r>
              <w:rPr>
                <w:sz w:val="24"/>
                <w:szCs w:val="24"/>
              </w:rPr>
              <w:t>5.8</w:t>
            </w:r>
          </w:p>
        </w:tc>
      </w:tr>
      <w:tr w:rsidR="00655AEF" w14:paraId="4B9E2A99" w14:textId="77777777">
        <w:trPr>
          <w:cantSplit/>
        </w:trPr>
        <w:tc>
          <w:tcPr>
            <w:tcW w:w="934" w:type="dxa"/>
            <w:vMerge/>
            <w:shd w:val="clear" w:color="auto" w:fill="FFFFFF"/>
            <w:tcMar>
              <w:top w:w="0" w:type="dxa"/>
              <w:left w:w="0" w:type="dxa"/>
              <w:bottom w:w="0" w:type="dxa"/>
              <w:right w:w="0" w:type="dxa"/>
            </w:tcMar>
            <w:vAlign w:val="center"/>
          </w:tcPr>
          <w:p w14:paraId="000002FD"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2FE" w14:textId="77777777" w:rsidR="00655AEF" w:rsidRDefault="00000000">
            <w:pPr>
              <w:rPr>
                <w:sz w:val="24"/>
                <w:szCs w:val="24"/>
              </w:rPr>
            </w:pPr>
            <w:r>
              <w:rPr>
                <w:sz w:val="24"/>
                <w:szCs w:val="24"/>
              </w:rPr>
              <w:t>9</w:t>
            </w:r>
          </w:p>
        </w:tc>
        <w:tc>
          <w:tcPr>
            <w:tcW w:w="1980" w:type="dxa"/>
            <w:shd w:val="clear" w:color="auto" w:fill="FFFFFF"/>
            <w:tcMar>
              <w:top w:w="0" w:type="dxa"/>
              <w:left w:w="0" w:type="dxa"/>
              <w:bottom w:w="0" w:type="dxa"/>
              <w:right w:w="0" w:type="dxa"/>
            </w:tcMar>
            <w:vAlign w:val="center"/>
          </w:tcPr>
          <w:p w14:paraId="000002FF" w14:textId="77777777" w:rsidR="00655AEF" w:rsidRDefault="00000000">
            <w:pPr>
              <w:rPr>
                <w:sz w:val="24"/>
                <w:szCs w:val="24"/>
              </w:rPr>
            </w:pPr>
            <w:r>
              <w:rPr>
                <w:sz w:val="24"/>
                <w:szCs w:val="24"/>
              </w:rPr>
              <w:t>16</w:t>
            </w:r>
          </w:p>
        </w:tc>
        <w:tc>
          <w:tcPr>
            <w:tcW w:w="1260" w:type="dxa"/>
            <w:shd w:val="clear" w:color="auto" w:fill="FFFFFF"/>
            <w:tcMar>
              <w:top w:w="0" w:type="dxa"/>
              <w:left w:w="0" w:type="dxa"/>
              <w:bottom w:w="0" w:type="dxa"/>
              <w:right w:w="0" w:type="dxa"/>
            </w:tcMar>
            <w:vAlign w:val="center"/>
          </w:tcPr>
          <w:p w14:paraId="00000300" w14:textId="77777777" w:rsidR="00655AEF" w:rsidRDefault="00000000">
            <w:pPr>
              <w:rPr>
                <w:sz w:val="24"/>
                <w:szCs w:val="24"/>
              </w:rPr>
            </w:pPr>
            <w:r>
              <w:rPr>
                <w:sz w:val="24"/>
                <w:szCs w:val="24"/>
              </w:rPr>
              <w:t>3.3</w:t>
            </w:r>
          </w:p>
        </w:tc>
      </w:tr>
      <w:tr w:rsidR="00655AEF" w14:paraId="0DD50EBF" w14:textId="77777777">
        <w:trPr>
          <w:cantSplit/>
        </w:trPr>
        <w:tc>
          <w:tcPr>
            <w:tcW w:w="934" w:type="dxa"/>
            <w:vMerge/>
            <w:shd w:val="clear" w:color="auto" w:fill="FFFFFF"/>
            <w:tcMar>
              <w:top w:w="0" w:type="dxa"/>
              <w:left w:w="0" w:type="dxa"/>
              <w:bottom w:w="0" w:type="dxa"/>
              <w:right w:w="0" w:type="dxa"/>
            </w:tcMar>
            <w:vAlign w:val="center"/>
          </w:tcPr>
          <w:p w14:paraId="00000301"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302" w14:textId="77777777" w:rsidR="00655AEF" w:rsidRDefault="00000000">
            <w:pPr>
              <w:rPr>
                <w:sz w:val="24"/>
                <w:szCs w:val="24"/>
              </w:rPr>
            </w:pPr>
            <w:r>
              <w:rPr>
                <w:sz w:val="24"/>
                <w:szCs w:val="24"/>
              </w:rPr>
              <w:t>10</w:t>
            </w:r>
          </w:p>
        </w:tc>
        <w:tc>
          <w:tcPr>
            <w:tcW w:w="1980" w:type="dxa"/>
            <w:shd w:val="clear" w:color="auto" w:fill="FFFFFF"/>
            <w:tcMar>
              <w:top w:w="0" w:type="dxa"/>
              <w:left w:w="0" w:type="dxa"/>
              <w:bottom w:w="0" w:type="dxa"/>
              <w:right w:w="0" w:type="dxa"/>
            </w:tcMar>
            <w:vAlign w:val="center"/>
          </w:tcPr>
          <w:p w14:paraId="00000303" w14:textId="77777777" w:rsidR="00655AEF" w:rsidRDefault="00000000">
            <w:pPr>
              <w:rPr>
                <w:sz w:val="24"/>
                <w:szCs w:val="24"/>
              </w:rPr>
            </w:pPr>
            <w:r>
              <w:rPr>
                <w:sz w:val="24"/>
                <w:szCs w:val="24"/>
              </w:rPr>
              <w:t>13</w:t>
            </w:r>
          </w:p>
        </w:tc>
        <w:tc>
          <w:tcPr>
            <w:tcW w:w="1260" w:type="dxa"/>
            <w:shd w:val="clear" w:color="auto" w:fill="FFFFFF"/>
            <w:tcMar>
              <w:top w:w="0" w:type="dxa"/>
              <w:left w:w="0" w:type="dxa"/>
              <w:bottom w:w="0" w:type="dxa"/>
              <w:right w:w="0" w:type="dxa"/>
            </w:tcMar>
            <w:vAlign w:val="center"/>
          </w:tcPr>
          <w:p w14:paraId="00000304" w14:textId="77777777" w:rsidR="00655AEF" w:rsidRDefault="00000000">
            <w:pPr>
              <w:rPr>
                <w:sz w:val="24"/>
                <w:szCs w:val="24"/>
              </w:rPr>
            </w:pPr>
            <w:r>
              <w:rPr>
                <w:sz w:val="24"/>
                <w:szCs w:val="24"/>
              </w:rPr>
              <w:t>2.7</w:t>
            </w:r>
          </w:p>
        </w:tc>
      </w:tr>
      <w:tr w:rsidR="00655AEF" w14:paraId="41A35CB9" w14:textId="77777777">
        <w:trPr>
          <w:cantSplit/>
        </w:trPr>
        <w:tc>
          <w:tcPr>
            <w:tcW w:w="934" w:type="dxa"/>
            <w:vMerge/>
            <w:shd w:val="clear" w:color="auto" w:fill="FFFFFF"/>
            <w:tcMar>
              <w:top w:w="0" w:type="dxa"/>
              <w:left w:w="0" w:type="dxa"/>
              <w:bottom w:w="0" w:type="dxa"/>
              <w:right w:w="0" w:type="dxa"/>
            </w:tcMar>
            <w:vAlign w:val="center"/>
          </w:tcPr>
          <w:p w14:paraId="00000305" w14:textId="77777777" w:rsidR="00655AEF" w:rsidRDefault="00655AEF">
            <w:pPr>
              <w:pBdr>
                <w:top w:val="nil"/>
                <w:left w:val="nil"/>
                <w:bottom w:val="nil"/>
                <w:right w:val="nil"/>
                <w:between w:val="nil"/>
              </w:pBdr>
              <w:spacing w:line="276" w:lineRule="auto"/>
              <w:rPr>
                <w:sz w:val="24"/>
                <w:szCs w:val="24"/>
              </w:rPr>
            </w:pPr>
          </w:p>
        </w:tc>
        <w:tc>
          <w:tcPr>
            <w:tcW w:w="5186" w:type="dxa"/>
            <w:shd w:val="clear" w:color="auto" w:fill="FFFFFF"/>
            <w:tcMar>
              <w:top w:w="0" w:type="dxa"/>
              <w:left w:w="0" w:type="dxa"/>
              <w:bottom w:w="0" w:type="dxa"/>
              <w:right w:w="0" w:type="dxa"/>
            </w:tcMar>
            <w:vAlign w:val="center"/>
          </w:tcPr>
          <w:p w14:paraId="00000306" w14:textId="77777777" w:rsidR="00655AEF" w:rsidRDefault="00000000">
            <w:pPr>
              <w:rPr>
                <w:sz w:val="24"/>
                <w:szCs w:val="24"/>
              </w:rPr>
            </w:pPr>
            <w:r>
              <w:rPr>
                <w:sz w:val="24"/>
                <w:szCs w:val="24"/>
              </w:rPr>
              <w:t>11</w:t>
            </w:r>
          </w:p>
        </w:tc>
        <w:tc>
          <w:tcPr>
            <w:tcW w:w="1980" w:type="dxa"/>
            <w:shd w:val="clear" w:color="auto" w:fill="FFFFFF"/>
            <w:tcMar>
              <w:top w:w="0" w:type="dxa"/>
              <w:left w:w="0" w:type="dxa"/>
              <w:bottom w:w="0" w:type="dxa"/>
              <w:right w:w="0" w:type="dxa"/>
            </w:tcMar>
            <w:vAlign w:val="center"/>
          </w:tcPr>
          <w:p w14:paraId="00000307" w14:textId="77777777" w:rsidR="00655AEF" w:rsidRDefault="00000000">
            <w:pPr>
              <w:rPr>
                <w:sz w:val="24"/>
                <w:szCs w:val="24"/>
              </w:rPr>
            </w:pPr>
            <w:r>
              <w:rPr>
                <w:sz w:val="24"/>
                <w:szCs w:val="24"/>
              </w:rPr>
              <w:t>1</w:t>
            </w:r>
          </w:p>
        </w:tc>
        <w:tc>
          <w:tcPr>
            <w:tcW w:w="1260" w:type="dxa"/>
            <w:shd w:val="clear" w:color="auto" w:fill="FFFFFF"/>
            <w:tcMar>
              <w:top w:w="0" w:type="dxa"/>
              <w:left w:w="0" w:type="dxa"/>
              <w:bottom w:w="0" w:type="dxa"/>
              <w:right w:w="0" w:type="dxa"/>
            </w:tcMar>
            <w:vAlign w:val="center"/>
          </w:tcPr>
          <w:p w14:paraId="00000308" w14:textId="77777777" w:rsidR="00655AEF" w:rsidRDefault="00000000">
            <w:pPr>
              <w:rPr>
                <w:sz w:val="24"/>
                <w:szCs w:val="24"/>
              </w:rPr>
            </w:pPr>
            <w:r>
              <w:rPr>
                <w:sz w:val="24"/>
                <w:szCs w:val="24"/>
              </w:rPr>
              <w:t>.2</w:t>
            </w:r>
          </w:p>
        </w:tc>
      </w:tr>
      <w:tr w:rsidR="00655AEF" w14:paraId="33290CE9" w14:textId="77777777">
        <w:trPr>
          <w:cantSplit/>
        </w:trPr>
        <w:tc>
          <w:tcPr>
            <w:tcW w:w="934" w:type="dxa"/>
            <w:vMerge/>
            <w:shd w:val="clear" w:color="auto" w:fill="FFFFFF"/>
            <w:tcMar>
              <w:top w:w="0" w:type="dxa"/>
              <w:left w:w="0" w:type="dxa"/>
              <w:bottom w:w="0" w:type="dxa"/>
              <w:right w:w="0" w:type="dxa"/>
            </w:tcMar>
            <w:vAlign w:val="center"/>
          </w:tcPr>
          <w:p w14:paraId="00000309" w14:textId="77777777" w:rsidR="00655AEF" w:rsidRDefault="00655AEF">
            <w:pPr>
              <w:pBdr>
                <w:top w:val="nil"/>
                <w:left w:val="nil"/>
                <w:bottom w:val="nil"/>
                <w:right w:val="nil"/>
                <w:between w:val="nil"/>
              </w:pBdr>
              <w:spacing w:line="276" w:lineRule="auto"/>
              <w:rPr>
                <w:sz w:val="24"/>
                <w:szCs w:val="24"/>
              </w:rPr>
            </w:pPr>
          </w:p>
        </w:tc>
        <w:tc>
          <w:tcPr>
            <w:tcW w:w="5186" w:type="dxa"/>
            <w:tcBorders>
              <w:bottom w:val="single" w:sz="4" w:space="0" w:color="000000"/>
            </w:tcBorders>
            <w:shd w:val="clear" w:color="auto" w:fill="FFFFFF"/>
            <w:tcMar>
              <w:top w:w="0" w:type="dxa"/>
              <w:left w:w="0" w:type="dxa"/>
              <w:bottom w:w="0" w:type="dxa"/>
              <w:right w:w="0" w:type="dxa"/>
            </w:tcMar>
            <w:vAlign w:val="center"/>
          </w:tcPr>
          <w:p w14:paraId="0000030A" w14:textId="77777777" w:rsidR="00655AEF" w:rsidRDefault="00000000">
            <w:pPr>
              <w:rPr>
                <w:sz w:val="24"/>
                <w:szCs w:val="24"/>
              </w:rPr>
            </w:pPr>
            <w:r>
              <w:rPr>
                <w:sz w:val="24"/>
                <w:szCs w:val="24"/>
              </w:rPr>
              <w:t>16</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30B" w14:textId="77777777" w:rsidR="00655AEF" w:rsidRDefault="00000000">
            <w:pPr>
              <w:rPr>
                <w:sz w:val="24"/>
                <w:szCs w:val="24"/>
              </w:rPr>
            </w:pPr>
            <w:r>
              <w:rPr>
                <w:sz w:val="24"/>
                <w:szCs w:val="24"/>
              </w:rPr>
              <w:t>1</w:t>
            </w:r>
          </w:p>
        </w:tc>
        <w:tc>
          <w:tcPr>
            <w:tcW w:w="1260" w:type="dxa"/>
            <w:tcBorders>
              <w:bottom w:val="single" w:sz="4" w:space="0" w:color="000000"/>
            </w:tcBorders>
            <w:shd w:val="clear" w:color="auto" w:fill="FFFFFF"/>
            <w:tcMar>
              <w:top w:w="0" w:type="dxa"/>
              <w:left w:w="0" w:type="dxa"/>
              <w:bottom w:w="0" w:type="dxa"/>
              <w:right w:w="0" w:type="dxa"/>
            </w:tcMar>
            <w:vAlign w:val="center"/>
          </w:tcPr>
          <w:p w14:paraId="0000030C" w14:textId="77777777" w:rsidR="00655AEF" w:rsidRDefault="00000000">
            <w:pPr>
              <w:rPr>
                <w:sz w:val="24"/>
                <w:szCs w:val="24"/>
              </w:rPr>
            </w:pPr>
            <w:r>
              <w:rPr>
                <w:sz w:val="24"/>
                <w:szCs w:val="24"/>
              </w:rPr>
              <w:t>.2</w:t>
            </w:r>
          </w:p>
        </w:tc>
      </w:tr>
      <w:tr w:rsidR="00655AEF" w14:paraId="48E1091B" w14:textId="77777777">
        <w:trPr>
          <w:cantSplit/>
        </w:trPr>
        <w:tc>
          <w:tcPr>
            <w:tcW w:w="934" w:type="dxa"/>
            <w:vMerge/>
            <w:shd w:val="clear" w:color="auto" w:fill="FFFFFF"/>
            <w:tcMar>
              <w:top w:w="0" w:type="dxa"/>
              <w:left w:w="0" w:type="dxa"/>
              <w:bottom w:w="0" w:type="dxa"/>
              <w:right w:w="0" w:type="dxa"/>
            </w:tcMar>
            <w:vAlign w:val="center"/>
          </w:tcPr>
          <w:p w14:paraId="0000030D" w14:textId="77777777" w:rsidR="00655AEF" w:rsidRDefault="00655AEF">
            <w:pPr>
              <w:pBdr>
                <w:top w:val="nil"/>
                <w:left w:val="nil"/>
                <w:bottom w:val="nil"/>
                <w:right w:val="nil"/>
                <w:between w:val="nil"/>
              </w:pBdr>
              <w:spacing w:line="276" w:lineRule="auto"/>
              <w:rPr>
                <w:sz w:val="24"/>
                <w:szCs w:val="24"/>
              </w:rPr>
            </w:pPr>
          </w:p>
        </w:tc>
        <w:tc>
          <w:tcPr>
            <w:tcW w:w="518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0E" w14:textId="77777777" w:rsidR="00655AEF" w:rsidRDefault="00000000">
            <w:pPr>
              <w:rPr>
                <w:sz w:val="24"/>
                <w:szCs w:val="24"/>
              </w:rPr>
            </w:pPr>
            <w:r>
              <w:rPr>
                <w:sz w:val="24"/>
                <w:szCs w:val="24"/>
              </w:rPr>
              <w:t>Total</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0F" w14:textId="77777777" w:rsidR="00655AEF" w:rsidRDefault="00000000">
            <w:pPr>
              <w:rPr>
                <w:sz w:val="24"/>
                <w:szCs w:val="24"/>
              </w:rPr>
            </w:pPr>
            <w:r>
              <w:rPr>
                <w:sz w:val="24"/>
                <w:szCs w:val="24"/>
              </w:rPr>
              <w:t>482</w:t>
            </w:r>
          </w:p>
        </w:tc>
        <w:tc>
          <w:tcPr>
            <w:tcW w:w="126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10" w14:textId="77777777" w:rsidR="00655AEF" w:rsidRDefault="00000000">
            <w:pPr>
              <w:rPr>
                <w:sz w:val="24"/>
                <w:szCs w:val="24"/>
              </w:rPr>
            </w:pPr>
            <w:r>
              <w:rPr>
                <w:sz w:val="24"/>
                <w:szCs w:val="24"/>
              </w:rPr>
              <w:t>100</w:t>
            </w:r>
          </w:p>
        </w:tc>
      </w:tr>
    </w:tbl>
    <w:p w14:paraId="00000311" w14:textId="77777777" w:rsidR="00655AEF" w:rsidRDefault="00655AEF">
      <w:pPr>
        <w:rPr>
          <w:sz w:val="24"/>
          <w:szCs w:val="24"/>
        </w:rPr>
      </w:pPr>
    </w:p>
    <w:p w14:paraId="00000312" w14:textId="77777777" w:rsidR="00655AEF" w:rsidRDefault="00655AEF">
      <w:pPr>
        <w:rPr>
          <w:sz w:val="24"/>
          <w:szCs w:val="24"/>
        </w:rPr>
      </w:pPr>
    </w:p>
    <w:p w14:paraId="00000313" w14:textId="77777777" w:rsidR="00655AEF" w:rsidRDefault="00655AEF">
      <w:pPr>
        <w:rPr>
          <w:sz w:val="24"/>
          <w:szCs w:val="24"/>
        </w:rPr>
      </w:pPr>
    </w:p>
    <w:p w14:paraId="00000314" w14:textId="77777777" w:rsidR="00655AEF" w:rsidRDefault="00655AEF">
      <w:pPr>
        <w:rPr>
          <w:sz w:val="24"/>
          <w:szCs w:val="24"/>
        </w:rPr>
      </w:pPr>
    </w:p>
    <w:p w14:paraId="00000315" w14:textId="77777777" w:rsidR="00655AEF" w:rsidRDefault="00655AEF">
      <w:pPr>
        <w:rPr>
          <w:sz w:val="24"/>
          <w:szCs w:val="24"/>
        </w:rPr>
      </w:pPr>
    </w:p>
    <w:p w14:paraId="00000316" w14:textId="77777777" w:rsidR="00655AEF" w:rsidRDefault="00655AEF">
      <w:pPr>
        <w:rPr>
          <w:sz w:val="24"/>
          <w:szCs w:val="24"/>
        </w:rPr>
      </w:pPr>
    </w:p>
    <w:p w14:paraId="00000317" w14:textId="77777777" w:rsidR="00655AEF" w:rsidRDefault="00000000">
      <w:pPr>
        <w:rPr>
          <w:sz w:val="24"/>
          <w:szCs w:val="24"/>
        </w:rPr>
      </w:pPr>
      <w:r>
        <w:rPr>
          <w:noProof/>
          <w:sz w:val="24"/>
          <w:szCs w:val="24"/>
        </w:rPr>
        <w:lastRenderedPageBreak/>
        <w:drawing>
          <wp:inline distT="0" distB="0" distL="0" distR="0" wp14:anchorId="42FB85CD" wp14:editId="4648D620">
            <wp:extent cx="5505450" cy="32194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318" w14:textId="77777777" w:rsidR="00655AEF" w:rsidRDefault="00655AEF">
      <w:pPr>
        <w:keepNext/>
      </w:pPr>
    </w:p>
    <w:p w14:paraId="00000319" w14:textId="77777777" w:rsidR="00655AEF" w:rsidRDefault="00000000">
      <w:pPr>
        <w:pBdr>
          <w:top w:val="nil"/>
          <w:left w:val="nil"/>
          <w:bottom w:val="nil"/>
          <w:right w:val="nil"/>
          <w:between w:val="nil"/>
        </w:pBdr>
        <w:spacing w:after="200"/>
        <w:rPr>
          <w:b/>
          <w:color w:val="4F81BD"/>
          <w:sz w:val="24"/>
          <w:szCs w:val="24"/>
        </w:rPr>
      </w:pPr>
      <w:bookmarkStart w:id="63" w:name="_heading=h.vsvzmjsft3tl" w:colFirst="0" w:colLast="0"/>
      <w:bookmarkEnd w:id="63"/>
      <w:r>
        <w:rPr>
          <w:b/>
          <w:color w:val="4F81BD"/>
          <w:sz w:val="18"/>
          <w:szCs w:val="18"/>
        </w:rPr>
        <w:t>Figure 6: Household Size</w:t>
      </w:r>
    </w:p>
    <w:p w14:paraId="0000031A" w14:textId="77777777" w:rsidR="00655AEF" w:rsidRDefault="00655AEF">
      <w:pPr>
        <w:rPr>
          <w:sz w:val="24"/>
          <w:szCs w:val="24"/>
        </w:rPr>
      </w:pPr>
    </w:p>
    <w:p w14:paraId="0000031B" w14:textId="77777777" w:rsidR="00655AEF" w:rsidRDefault="00655AEF">
      <w:pPr>
        <w:rPr>
          <w:rFonts w:ascii="Times New Roman" w:eastAsia="Times New Roman" w:hAnsi="Times New Roman" w:cs="Times New Roman"/>
          <w:sz w:val="24"/>
          <w:szCs w:val="24"/>
        </w:rPr>
      </w:pPr>
    </w:p>
    <w:p w14:paraId="0000031C" w14:textId="77777777" w:rsidR="00655AEF" w:rsidRDefault="00000000">
      <w:pPr>
        <w:pStyle w:val="Heading3"/>
        <w:numPr>
          <w:ilvl w:val="2"/>
          <w:numId w:val="11"/>
        </w:numPr>
        <w:rPr>
          <w:sz w:val="24"/>
          <w:szCs w:val="24"/>
        </w:rPr>
      </w:pPr>
      <w:bookmarkStart w:id="64" w:name="_heading=h.8r3jgaec6jal" w:colFirst="0" w:colLast="0"/>
      <w:bookmarkEnd w:id="64"/>
      <w:r>
        <w:rPr>
          <w:sz w:val="24"/>
          <w:szCs w:val="24"/>
        </w:rPr>
        <w:t>House Characteristics and Socioeconomic Status</w:t>
      </w:r>
    </w:p>
    <w:p w14:paraId="0000031D" w14:textId="77777777" w:rsidR="00655AEF" w:rsidRDefault="00000000">
      <w:pPr>
        <w:spacing w:after="240" w:line="360" w:lineRule="auto"/>
        <w:jc w:val="both"/>
        <w:rPr>
          <w:sz w:val="24"/>
          <w:szCs w:val="24"/>
        </w:rPr>
      </w:pPr>
      <w:r>
        <w:rPr>
          <w:sz w:val="24"/>
          <w:szCs w:val="24"/>
        </w:rPr>
        <w:t>Data on house characteristics offers a clear and compelling snapshot of the socioeconomic status of the study population. The findings reveal a stark disparity in housing types, with one category overwhelmingly dominant.</w:t>
      </w:r>
    </w:p>
    <w:p w14:paraId="0000031E" w14:textId="77777777" w:rsidR="00655AEF" w:rsidRDefault="00000000">
      <w:pPr>
        <w:spacing w:after="240" w:line="360" w:lineRule="auto"/>
        <w:jc w:val="both"/>
        <w:rPr>
          <w:sz w:val="24"/>
          <w:szCs w:val="24"/>
        </w:rPr>
      </w:pPr>
      <w:r>
        <w:rPr>
          <w:sz w:val="24"/>
          <w:szCs w:val="24"/>
        </w:rPr>
        <w:t xml:space="preserve">The most striking observation is that </w:t>
      </w:r>
      <w:proofErr w:type="gramStart"/>
      <w:r>
        <w:rPr>
          <w:sz w:val="24"/>
          <w:szCs w:val="24"/>
        </w:rPr>
        <w:t>the vast majority of</w:t>
      </w:r>
      <w:proofErr w:type="gramEnd"/>
      <w:r>
        <w:rPr>
          <w:sz w:val="24"/>
          <w:szCs w:val="24"/>
        </w:rPr>
        <w:t xml:space="preserve"> patients, 69.2% (355 individuals), live in houses constructed of Mud &amp; Thatched materials. This finding is highly significant as it serves as a powerful proxy for the low socioeconomic status of the study participants. In many rural and developing regions, mud and thatched houses are indicative of limited resources, subsistence living, and a lack of access to modern building materials and infrastructure. This aligns directly with the problem statement of the study, which identified low socioeconomic status as a key factor hampering retention in care.</w:t>
      </w:r>
    </w:p>
    <w:p w14:paraId="0000031F" w14:textId="77777777" w:rsidR="00655AEF" w:rsidRDefault="00000000">
      <w:pPr>
        <w:spacing w:after="240" w:line="360" w:lineRule="auto"/>
        <w:jc w:val="both"/>
        <w:rPr>
          <w:sz w:val="24"/>
          <w:szCs w:val="24"/>
        </w:rPr>
      </w:pPr>
      <w:r>
        <w:rPr>
          <w:sz w:val="24"/>
          <w:szCs w:val="24"/>
        </w:rPr>
        <w:t xml:space="preserve">In contrast, the more durable and expensive housing types, such as Brick (23.0%), Wooden (3.1%), and Stone (2.9%), represent a small minority of the population. This indicates that while there is some socioeconomic diversity, the study is predominantly </w:t>
      </w:r>
      <w:r>
        <w:rPr>
          <w:sz w:val="24"/>
          <w:szCs w:val="24"/>
        </w:rPr>
        <w:lastRenderedPageBreak/>
        <w:t>focused on a highly vulnerable population.</w:t>
      </w:r>
    </w:p>
    <w:p w14:paraId="00000320" w14:textId="77777777" w:rsidR="00655AEF" w:rsidRDefault="00000000">
      <w:pPr>
        <w:spacing w:after="240" w:line="360" w:lineRule="auto"/>
        <w:jc w:val="both"/>
        <w:rPr>
          <w:sz w:val="24"/>
          <w:szCs w:val="24"/>
        </w:rPr>
      </w:pPr>
      <w:r>
        <w:rPr>
          <w:sz w:val="24"/>
          <w:szCs w:val="24"/>
        </w:rPr>
        <w:t>This distribution of housing types has direct implications for the study’s core objectives. The challenges associated with poverty; including food insecurity, limited access to clean water, poor sanitation, and the high cost of transportation to and from health facilities; are magnified for individuals living in such conditions. These factors can create significant barriers to consistent adherence to complex ART regimens and regular clinic attendance, which are essential for achieving viral suppression.</w:t>
      </w:r>
    </w:p>
    <w:p w14:paraId="00000321" w14:textId="77777777" w:rsidR="00655AEF" w:rsidRDefault="00000000">
      <w:pPr>
        <w:spacing w:after="240" w:line="360" w:lineRule="auto"/>
        <w:jc w:val="both"/>
        <w:rPr>
          <w:sz w:val="24"/>
          <w:szCs w:val="24"/>
        </w:rPr>
      </w:pPr>
      <w:r>
        <w:rPr>
          <w:sz w:val="24"/>
          <w:szCs w:val="24"/>
        </w:rPr>
        <w:t>Therefore, the housing characteristics data provides crucial context for understanding the high rates of severe side effects and other treatment-related challenges observed in the study. It reinforces the rationale for exploring interventions, such as a reward system, that could help mitigate these socio-economic barriers by providing incentives that address the daily struggles of patients. The data suggests that any successful intervention must be designed with the realities of this population’s economic circumstances firmly in mind.</w:t>
      </w:r>
    </w:p>
    <w:p w14:paraId="00000322" w14:textId="77777777" w:rsidR="00655AEF" w:rsidRDefault="00000000">
      <w:pPr>
        <w:keepNext/>
        <w:pBdr>
          <w:top w:val="nil"/>
          <w:left w:val="nil"/>
          <w:bottom w:val="nil"/>
          <w:right w:val="nil"/>
          <w:between w:val="nil"/>
        </w:pBdr>
        <w:spacing w:after="200"/>
        <w:rPr>
          <w:b/>
          <w:color w:val="4F81BD"/>
          <w:sz w:val="18"/>
          <w:szCs w:val="18"/>
        </w:rPr>
      </w:pPr>
      <w:bookmarkStart w:id="65" w:name="_heading=h.sno3ghqxmkx3" w:colFirst="0" w:colLast="0"/>
      <w:bookmarkEnd w:id="65"/>
      <w:r>
        <w:rPr>
          <w:b/>
          <w:color w:val="4F81BD"/>
          <w:sz w:val="18"/>
          <w:szCs w:val="18"/>
        </w:rPr>
        <w:t>Table 10: House Characteristics</w:t>
      </w:r>
    </w:p>
    <w:tbl>
      <w:tblPr>
        <w:tblStyle w:val="a8"/>
        <w:tblW w:w="9360" w:type="dxa"/>
        <w:tblInd w:w="0" w:type="dxa"/>
        <w:tblLayout w:type="fixed"/>
        <w:tblLook w:val="0000" w:firstRow="0" w:lastRow="0" w:firstColumn="0" w:lastColumn="0" w:noHBand="0" w:noVBand="0"/>
      </w:tblPr>
      <w:tblGrid>
        <w:gridCol w:w="734"/>
        <w:gridCol w:w="5566"/>
        <w:gridCol w:w="1620"/>
        <w:gridCol w:w="1440"/>
      </w:tblGrid>
      <w:tr w:rsidR="00655AEF" w14:paraId="7C272F11" w14:textId="77777777">
        <w:trPr>
          <w:cantSplit/>
        </w:trPr>
        <w:tc>
          <w:tcPr>
            <w:tcW w:w="6300" w:type="dxa"/>
            <w:gridSpan w:val="2"/>
            <w:shd w:val="clear" w:color="auto" w:fill="FFFFFF"/>
            <w:tcMar>
              <w:top w:w="0" w:type="dxa"/>
              <w:left w:w="0" w:type="dxa"/>
              <w:bottom w:w="0" w:type="dxa"/>
              <w:right w:w="0" w:type="dxa"/>
            </w:tcMar>
          </w:tcPr>
          <w:p w14:paraId="00000323" w14:textId="77777777" w:rsidR="00655AEF" w:rsidRDefault="00655AEF">
            <w:pPr>
              <w:rPr>
                <w:sz w:val="24"/>
                <w:szCs w:val="24"/>
              </w:rPr>
            </w:pPr>
          </w:p>
        </w:tc>
        <w:tc>
          <w:tcPr>
            <w:tcW w:w="1620" w:type="dxa"/>
            <w:shd w:val="clear" w:color="auto" w:fill="FFFFFF"/>
            <w:tcMar>
              <w:top w:w="0" w:type="dxa"/>
              <w:left w:w="0" w:type="dxa"/>
              <w:bottom w:w="0" w:type="dxa"/>
              <w:right w:w="0" w:type="dxa"/>
            </w:tcMar>
          </w:tcPr>
          <w:p w14:paraId="00000325" w14:textId="77777777" w:rsidR="00655AEF" w:rsidRDefault="00000000">
            <w:pPr>
              <w:rPr>
                <w:sz w:val="24"/>
                <w:szCs w:val="24"/>
              </w:rPr>
            </w:pPr>
            <w:r>
              <w:rPr>
                <w:sz w:val="24"/>
                <w:szCs w:val="24"/>
              </w:rPr>
              <w:t>Frequency</w:t>
            </w:r>
          </w:p>
        </w:tc>
        <w:tc>
          <w:tcPr>
            <w:tcW w:w="1440" w:type="dxa"/>
            <w:shd w:val="clear" w:color="auto" w:fill="FFFFFF"/>
            <w:tcMar>
              <w:top w:w="0" w:type="dxa"/>
              <w:left w:w="0" w:type="dxa"/>
              <w:bottom w:w="0" w:type="dxa"/>
              <w:right w:w="0" w:type="dxa"/>
            </w:tcMar>
          </w:tcPr>
          <w:p w14:paraId="00000326" w14:textId="77777777" w:rsidR="00655AEF" w:rsidRDefault="00000000">
            <w:pPr>
              <w:rPr>
                <w:sz w:val="24"/>
                <w:szCs w:val="24"/>
              </w:rPr>
            </w:pPr>
            <w:r>
              <w:rPr>
                <w:sz w:val="24"/>
                <w:szCs w:val="24"/>
              </w:rPr>
              <w:t>Percent</w:t>
            </w:r>
          </w:p>
        </w:tc>
      </w:tr>
      <w:tr w:rsidR="00655AEF" w14:paraId="06458C5A" w14:textId="77777777">
        <w:trPr>
          <w:cantSplit/>
        </w:trPr>
        <w:tc>
          <w:tcPr>
            <w:tcW w:w="734" w:type="dxa"/>
            <w:vMerge w:val="restart"/>
            <w:shd w:val="clear" w:color="auto" w:fill="FFFFFF"/>
            <w:tcMar>
              <w:top w:w="0" w:type="dxa"/>
              <w:left w:w="0" w:type="dxa"/>
              <w:bottom w:w="0" w:type="dxa"/>
              <w:right w:w="0" w:type="dxa"/>
            </w:tcMar>
            <w:vAlign w:val="center"/>
          </w:tcPr>
          <w:p w14:paraId="00000327" w14:textId="77777777" w:rsidR="00655AEF" w:rsidRDefault="00655AEF">
            <w:pPr>
              <w:rPr>
                <w:sz w:val="24"/>
                <w:szCs w:val="24"/>
              </w:rPr>
            </w:pPr>
          </w:p>
        </w:tc>
        <w:tc>
          <w:tcPr>
            <w:tcW w:w="5566" w:type="dxa"/>
            <w:tcBorders>
              <w:top w:val="single" w:sz="4" w:space="0" w:color="000000"/>
            </w:tcBorders>
            <w:shd w:val="clear" w:color="auto" w:fill="FFFFFF"/>
            <w:tcMar>
              <w:top w:w="0" w:type="dxa"/>
              <w:left w:w="0" w:type="dxa"/>
              <w:bottom w:w="0" w:type="dxa"/>
              <w:right w:w="0" w:type="dxa"/>
            </w:tcMar>
            <w:vAlign w:val="center"/>
          </w:tcPr>
          <w:p w14:paraId="00000328" w14:textId="77777777" w:rsidR="00655AEF" w:rsidRDefault="00000000">
            <w:pPr>
              <w:rPr>
                <w:sz w:val="24"/>
                <w:szCs w:val="24"/>
              </w:rPr>
            </w:pPr>
            <w:r>
              <w:rPr>
                <w:sz w:val="24"/>
                <w:szCs w:val="24"/>
              </w:rPr>
              <w:t>Brick</w:t>
            </w:r>
          </w:p>
        </w:tc>
        <w:tc>
          <w:tcPr>
            <w:tcW w:w="1620" w:type="dxa"/>
            <w:tcBorders>
              <w:top w:val="single" w:sz="4" w:space="0" w:color="000000"/>
            </w:tcBorders>
            <w:shd w:val="clear" w:color="auto" w:fill="FFFFFF"/>
            <w:tcMar>
              <w:top w:w="0" w:type="dxa"/>
              <w:left w:w="0" w:type="dxa"/>
              <w:bottom w:w="0" w:type="dxa"/>
              <w:right w:w="0" w:type="dxa"/>
            </w:tcMar>
            <w:vAlign w:val="center"/>
          </w:tcPr>
          <w:p w14:paraId="00000329" w14:textId="77777777" w:rsidR="00655AEF" w:rsidRDefault="00000000">
            <w:pPr>
              <w:rPr>
                <w:sz w:val="24"/>
                <w:szCs w:val="24"/>
              </w:rPr>
            </w:pPr>
            <w:r>
              <w:rPr>
                <w:sz w:val="24"/>
                <w:szCs w:val="24"/>
              </w:rPr>
              <w:t>118</w:t>
            </w:r>
          </w:p>
        </w:tc>
        <w:tc>
          <w:tcPr>
            <w:tcW w:w="1440" w:type="dxa"/>
            <w:tcBorders>
              <w:top w:val="single" w:sz="4" w:space="0" w:color="000000"/>
            </w:tcBorders>
            <w:shd w:val="clear" w:color="auto" w:fill="FFFFFF"/>
            <w:tcMar>
              <w:top w:w="0" w:type="dxa"/>
              <w:left w:w="0" w:type="dxa"/>
              <w:bottom w:w="0" w:type="dxa"/>
              <w:right w:w="0" w:type="dxa"/>
            </w:tcMar>
            <w:vAlign w:val="center"/>
          </w:tcPr>
          <w:p w14:paraId="0000032A" w14:textId="77777777" w:rsidR="00655AEF" w:rsidRDefault="00000000">
            <w:pPr>
              <w:rPr>
                <w:sz w:val="24"/>
                <w:szCs w:val="24"/>
              </w:rPr>
            </w:pPr>
            <w:r>
              <w:rPr>
                <w:sz w:val="24"/>
                <w:szCs w:val="24"/>
              </w:rPr>
              <w:t>23.0</w:t>
            </w:r>
          </w:p>
        </w:tc>
      </w:tr>
      <w:tr w:rsidR="00655AEF" w14:paraId="3525FED6" w14:textId="77777777">
        <w:trPr>
          <w:cantSplit/>
        </w:trPr>
        <w:tc>
          <w:tcPr>
            <w:tcW w:w="734" w:type="dxa"/>
            <w:vMerge/>
            <w:shd w:val="clear" w:color="auto" w:fill="FFFFFF"/>
            <w:tcMar>
              <w:top w:w="0" w:type="dxa"/>
              <w:left w:w="0" w:type="dxa"/>
              <w:bottom w:w="0" w:type="dxa"/>
              <w:right w:w="0" w:type="dxa"/>
            </w:tcMar>
            <w:vAlign w:val="center"/>
          </w:tcPr>
          <w:p w14:paraId="0000032B" w14:textId="77777777" w:rsidR="00655AEF" w:rsidRDefault="00655AEF">
            <w:pPr>
              <w:pBdr>
                <w:top w:val="nil"/>
                <w:left w:val="nil"/>
                <w:bottom w:val="nil"/>
                <w:right w:val="nil"/>
                <w:between w:val="nil"/>
              </w:pBdr>
              <w:spacing w:line="276" w:lineRule="auto"/>
              <w:rPr>
                <w:sz w:val="24"/>
                <w:szCs w:val="24"/>
              </w:rPr>
            </w:pPr>
          </w:p>
        </w:tc>
        <w:tc>
          <w:tcPr>
            <w:tcW w:w="5566" w:type="dxa"/>
            <w:shd w:val="clear" w:color="auto" w:fill="FFFFFF"/>
            <w:tcMar>
              <w:top w:w="0" w:type="dxa"/>
              <w:left w:w="0" w:type="dxa"/>
              <w:bottom w:w="0" w:type="dxa"/>
              <w:right w:w="0" w:type="dxa"/>
            </w:tcMar>
            <w:vAlign w:val="center"/>
          </w:tcPr>
          <w:p w14:paraId="0000032C" w14:textId="77777777" w:rsidR="00655AEF" w:rsidRDefault="00000000">
            <w:pPr>
              <w:rPr>
                <w:sz w:val="24"/>
                <w:szCs w:val="24"/>
              </w:rPr>
            </w:pPr>
            <w:r>
              <w:rPr>
                <w:sz w:val="24"/>
                <w:szCs w:val="24"/>
              </w:rPr>
              <w:t xml:space="preserve">Mud &amp; </w:t>
            </w:r>
            <w:proofErr w:type="gramStart"/>
            <w:r>
              <w:rPr>
                <w:sz w:val="24"/>
                <w:szCs w:val="24"/>
              </w:rPr>
              <w:t>Thatched</w:t>
            </w:r>
            <w:proofErr w:type="gramEnd"/>
          </w:p>
        </w:tc>
        <w:tc>
          <w:tcPr>
            <w:tcW w:w="1620" w:type="dxa"/>
            <w:shd w:val="clear" w:color="auto" w:fill="FFFFFF"/>
            <w:tcMar>
              <w:top w:w="0" w:type="dxa"/>
              <w:left w:w="0" w:type="dxa"/>
              <w:bottom w:w="0" w:type="dxa"/>
              <w:right w:w="0" w:type="dxa"/>
            </w:tcMar>
            <w:vAlign w:val="center"/>
          </w:tcPr>
          <w:p w14:paraId="0000032D" w14:textId="77777777" w:rsidR="00655AEF" w:rsidRDefault="00000000">
            <w:pPr>
              <w:rPr>
                <w:sz w:val="24"/>
                <w:szCs w:val="24"/>
              </w:rPr>
            </w:pPr>
            <w:r>
              <w:rPr>
                <w:sz w:val="24"/>
                <w:szCs w:val="24"/>
              </w:rPr>
              <w:t>355</w:t>
            </w:r>
          </w:p>
        </w:tc>
        <w:tc>
          <w:tcPr>
            <w:tcW w:w="1440" w:type="dxa"/>
            <w:shd w:val="clear" w:color="auto" w:fill="FFFFFF"/>
            <w:tcMar>
              <w:top w:w="0" w:type="dxa"/>
              <w:left w:w="0" w:type="dxa"/>
              <w:bottom w:w="0" w:type="dxa"/>
              <w:right w:w="0" w:type="dxa"/>
            </w:tcMar>
            <w:vAlign w:val="center"/>
          </w:tcPr>
          <w:p w14:paraId="0000032E" w14:textId="77777777" w:rsidR="00655AEF" w:rsidRDefault="00000000">
            <w:pPr>
              <w:rPr>
                <w:sz w:val="24"/>
                <w:szCs w:val="24"/>
              </w:rPr>
            </w:pPr>
            <w:r>
              <w:rPr>
                <w:sz w:val="24"/>
                <w:szCs w:val="24"/>
              </w:rPr>
              <w:t>69.2</w:t>
            </w:r>
          </w:p>
        </w:tc>
      </w:tr>
      <w:tr w:rsidR="00655AEF" w14:paraId="0DAE1CAE" w14:textId="77777777">
        <w:trPr>
          <w:cantSplit/>
        </w:trPr>
        <w:tc>
          <w:tcPr>
            <w:tcW w:w="734" w:type="dxa"/>
            <w:vMerge/>
            <w:shd w:val="clear" w:color="auto" w:fill="FFFFFF"/>
            <w:tcMar>
              <w:top w:w="0" w:type="dxa"/>
              <w:left w:w="0" w:type="dxa"/>
              <w:bottom w:w="0" w:type="dxa"/>
              <w:right w:w="0" w:type="dxa"/>
            </w:tcMar>
            <w:vAlign w:val="center"/>
          </w:tcPr>
          <w:p w14:paraId="0000032F" w14:textId="77777777" w:rsidR="00655AEF" w:rsidRDefault="00655AEF">
            <w:pPr>
              <w:pBdr>
                <w:top w:val="nil"/>
                <w:left w:val="nil"/>
                <w:bottom w:val="nil"/>
                <w:right w:val="nil"/>
                <w:between w:val="nil"/>
              </w:pBdr>
              <w:spacing w:line="276" w:lineRule="auto"/>
              <w:rPr>
                <w:sz w:val="24"/>
                <w:szCs w:val="24"/>
              </w:rPr>
            </w:pPr>
          </w:p>
        </w:tc>
        <w:tc>
          <w:tcPr>
            <w:tcW w:w="5566" w:type="dxa"/>
            <w:shd w:val="clear" w:color="auto" w:fill="FFFFFF"/>
            <w:tcMar>
              <w:top w:w="0" w:type="dxa"/>
              <w:left w:w="0" w:type="dxa"/>
              <w:bottom w:w="0" w:type="dxa"/>
              <w:right w:w="0" w:type="dxa"/>
            </w:tcMar>
            <w:vAlign w:val="center"/>
          </w:tcPr>
          <w:p w14:paraId="00000330" w14:textId="77777777" w:rsidR="00655AEF" w:rsidRDefault="00000000">
            <w:pPr>
              <w:rPr>
                <w:sz w:val="24"/>
                <w:szCs w:val="24"/>
              </w:rPr>
            </w:pPr>
            <w:r>
              <w:rPr>
                <w:sz w:val="24"/>
                <w:szCs w:val="24"/>
              </w:rPr>
              <w:t>Other</w:t>
            </w:r>
          </w:p>
        </w:tc>
        <w:tc>
          <w:tcPr>
            <w:tcW w:w="1620" w:type="dxa"/>
            <w:shd w:val="clear" w:color="auto" w:fill="FFFFFF"/>
            <w:tcMar>
              <w:top w:w="0" w:type="dxa"/>
              <w:left w:w="0" w:type="dxa"/>
              <w:bottom w:w="0" w:type="dxa"/>
              <w:right w:w="0" w:type="dxa"/>
            </w:tcMar>
            <w:vAlign w:val="center"/>
          </w:tcPr>
          <w:p w14:paraId="00000331" w14:textId="77777777" w:rsidR="00655AEF" w:rsidRDefault="00000000">
            <w:pPr>
              <w:rPr>
                <w:sz w:val="24"/>
                <w:szCs w:val="24"/>
              </w:rPr>
            </w:pPr>
            <w:r>
              <w:rPr>
                <w:sz w:val="24"/>
                <w:szCs w:val="24"/>
              </w:rPr>
              <w:t>1</w:t>
            </w:r>
          </w:p>
        </w:tc>
        <w:tc>
          <w:tcPr>
            <w:tcW w:w="1440" w:type="dxa"/>
            <w:shd w:val="clear" w:color="auto" w:fill="FFFFFF"/>
            <w:tcMar>
              <w:top w:w="0" w:type="dxa"/>
              <w:left w:w="0" w:type="dxa"/>
              <w:bottom w:w="0" w:type="dxa"/>
              <w:right w:w="0" w:type="dxa"/>
            </w:tcMar>
            <w:vAlign w:val="center"/>
          </w:tcPr>
          <w:p w14:paraId="00000332" w14:textId="77777777" w:rsidR="00655AEF" w:rsidRDefault="00000000">
            <w:pPr>
              <w:rPr>
                <w:sz w:val="24"/>
                <w:szCs w:val="24"/>
              </w:rPr>
            </w:pPr>
            <w:r>
              <w:rPr>
                <w:sz w:val="24"/>
                <w:szCs w:val="24"/>
              </w:rPr>
              <w:t>.2</w:t>
            </w:r>
          </w:p>
        </w:tc>
      </w:tr>
      <w:tr w:rsidR="00655AEF" w14:paraId="6B8EF6E1" w14:textId="77777777">
        <w:trPr>
          <w:cantSplit/>
        </w:trPr>
        <w:tc>
          <w:tcPr>
            <w:tcW w:w="734" w:type="dxa"/>
            <w:vMerge/>
            <w:shd w:val="clear" w:color="auto" w:fill="FFFFFF"/>
            <w:tcMar>
              <w:top w:w="0" w:type="dxa"/>
              <w:left w:w="0" w:type="dxa"/>
              <w:bottom w:w="0" w:type="dxa"/>
              <w:right w:w="0" w:type="dxa"/>
            </w:tcMar>
            <w:vAlign w:val="center"/>
          </w:tcPr>
          <w:p w14:paraId="00000333" w14:textId="77777777" w:rsidR="00655AEF" w:rsidRDefault="00655AEF">
            <w:pPr>
              <w:pBdr>
                <w:top w:val="nil"/>
                <w:left w:val="nil"/>
                <w:bottom w:val="nil"/>
                <w:right w:val="nil"/>
                <w:between w:val="nil"/>
              </w:pBdr>
              <w:spacing w:line="276" w:lineRule="auto"/>
              <w:rPr>
                <w:sz w:val="24"/>
                <w:szCs w:val="24"/>
              </w:rPr>
            </w:pPr>
          </w:p>
        </w:tc>
        <w:tc>
          <w:tcPr>
            <w:tcW w:w="5566" w:type="dxa"/>
            <w:shd w:val="clear" w:color="auto" w:fill="FFFFFF"/>
            <w:tcMar>
              <w:top w:w="0" w:type="dxa"/>
              <w:left w:w="0" w:type="dxa"/>
              <w:bottom w:w="0" w:type="dxa"/>
              <w:right w:w="0" w:type="dxa"/>
            </w:tcMar>
            <w:vAlign w:val="center"/>
          </w:tcPr>
          <w:p w14:paraId="00000334" w14:textId="77777777" w:rsidR="00655AEF" w:rsidRDefault="00000000">
            <w:pPr>
              <w:rPr>
                <w:sz w:val="24"/>
                <w:szCs w:val="24"/>
              </w:rPr>
            </w:pPr>
            <w:r>
              <w:rPr>
                <w:sz w:val="24"/>
                <w:szCs w:val="24"/>
              </w:rPr>
              <w:t>Stone</w:t>
            </w:r>
          </w:p>
        </w:tc>
        <w:tc>
          <w:tcPr>
            <w:tcW w:w="1620" w:type="dxa"/>
            <w:shd w:val="clear" w:color="auto" w:fill="FFFFFF"/>
            <w:tcMar>
              <w:top w:w="0" w:type="dxa"/>
              <w:left w:w="0" w:type="dxa"/>
              <w:bottom w:w="0" w:type="dxa"/>
              <w:right w:w="0" w:type="dxa"/>
            </w:tcMar>
            <w:vAlign w:val="center"/>
          </w:tcPr>
          <w:p w14:paraId="00000335" w14:textId="77777777" w:rsidR="00655AEF" w:rsidRDefault="00000000">
            <w:pPr>
              <w:rPr>
                <w:sz w:val="24"/>
                <w:szCs w:val="24"/>
              </w:rPr>
            </w:pPr>
            <w:r>
              <w:rPr>
                <w:sz w:val="24"/>
                <w:szCs w:val="24"/>
              </w:rPr>
              <w:t>15</w:t>
            </w:r>
          </w:p>
        </w:tc>
        <w:tc>
          <w:tcPr>
            <w:tcW w:w="1440" w:type="dxa"/>
            <w:shd w:val="clear" w:color="auto" w:fill="FFFFFF"/>
            <w:tcMar>
              <w:top w:w="0" w:type="dxa"/>
              <w:left w:w="0" w:type="dxa"/>
              <w:bottom w:w="0" w:type="dxa"/>
              <w:right w:w="0" w:type="dxa"/>
            </w:tcMar>
            <w:vAlign w:val="center"/>
          </w:tcPr>
          <w:p w14:paraId="00000336" w14:textId="77777777" w:rsidR="00655AEF" w:rsidRDefault="00000000">
            <w:pPr>
              <w:rPr>
                <w:sz w:val="24"/>
                <w:szCs w:val="24"/>
              </w:rPr>
            </w:pPr>
            <w:r>
              <w:rPr>
                <w:sz w:val="24"/>
                <w:szCs w:val="24"/>
              </w:rPr>
              <w:t>2.9</w:t>
            </w:r>
          </w:p>
        </w:tc>
      </w:tr>
      <w:tr w:rsidR="00655AEF" w14:paraId="66A2145D" w14:textId="77777777">
        <w:trPr>
          <w:cantSplit/>
        </w:trPr>
        <w:tc>
          <w:tcPr>
            <w:tcW w:w="734" w:type="dxa"/>
            <w:vMerge/>
            <w:shd w:val="clear" w:color="auto" w:fill="FFFFFF"/>
            <w:tcMar>
              <w:top w:w="0" w:type="dxa"/>
              <w:left w:w="0" w:type="dxa"/>
              <w:bottom w:w="0" w:type="dxa"/>
              <w:right w:w="0" w:type="dxa"/>
            </w:tcMar>
            <w:vAlign w:val="center"/>
          </w:tcPr>
          <w:p w14:paraId="00000337" w14:textId="77777777" w:rsidR="00655AEF" w:rsidRDefault="00655AEF">
            <w:pPr>
              <w:pBdr>
                <w:top w:val="nil"/>
                <w:left w:val="nil"/>
                <w:bottom w:val="nil"/>
                <w:right w:val="nil"/>
                <w:between w:val="nil"/>
              </w:pBdr>
              <w:spacing w:line="276" w:lineRule="auto"/>
              <w:rPr>
                <w:sz w:val="24"/>
                <w:szCs w:val="24"/>
              </w:rPr>
            </w:pPr>
          </w:p>
        </w:tc>
        <w:tc>
          <w:tcPr>
            <w:tcW w:w="5566" w:type="dxa"/>
            <w:tcBorders>
              <w:bottom w:val="single" w:sz="4" w:space="0" w:color="000000"/>
            </w:tcBorders>
            <w:shd w:val="clear" w:color="auto" w:fill="FFFFFF"/>
            <w:tcMar>
              <w:top w:w="0" w:type="dxa"/>
              <w:left w:w="0" w:type="dxa"/>
              <w:bottom w:w="0" w:type="dxa"/>
              <w:right w:w="0" w:type="dxa"/>
            </w:tcMar>
            <w:vAlign w:val="center"/>
          </w:tcPr>
          <w:p w14:paraId="00000338" w14:textId="77777777" w:rsidR="00655AEF" w:rsidRDefault="00000000">
            <w:pPr>
              <w:rPr>
                <w:sz w:val="24"/>
                <w:szCs w:val="24"/>
              </w:rPr>
            </w:pPr>
            <w:r>
              <w:rPr>
                <w:sz w:val="24"/>
                <w:szCs w:val="24"/>
              </w:rPr>
              <w:t>Wooden</w:t>
            </w:r>
          </w:p>
        </w:tc>
        <w:tc>
          <w:tcPr>
            <w:tcW w:w="1620" w:type="dxa"/>
            <w:tcBorders>
              <w:bottom w:val="single" w:sz="4" w:space="0" w:color="000000"/>
            </w:tcBorders>
            <w:shd w:val="clear" w:color="auto" w:fill="FFFFFF"/>
            <w:tcMar>
              <w:top w:w="0" w:type="dxa"/>
              <w:left w:w="0" w:type="dxa"/>
              <w:bottom w:w="0" w:type="dxa"/>
              <w:right w:w="0" w:type="dxa"/>
            </w:tcMar>
            <w:vAlign w:val="center"/>
          </w:tcPr>
          <w:p w14:paraId="00000339" w14:textId="77777777" w:rsidR="00655AEF" w:rsidRDefault="00000000">
            <w:pPr>
              <w:rPr>
                <w:sz w:val="24"/>
                <w:szCs w:val="24"/>
              </w:rPr>
            </w:pPr>
            <w:r>
              <w:rPr>
                <w:sz w:val="24"/>
                <w:szCs w:val="24"/>
              </w:rPr>
              <w:t>16</w:t>
            </w:r>
          </w:p>
        </w:tc>
        <w:tc>
          <w:tcPr>
            <w:tcW w:w="1440" w:type="dxa"/>
            <w:tcBorders>
              <w:bottom w:val="single" w:sz="4" w:space="0" w:color="000000"/>
            </w:tcBorders>
            <w:shd w:val="clear" w:color="auto" w:fill="FFFFFF"/>
            <w:tcMar>
              <w:top w:w="0" w:type="dxa"/>
              <w:left w:w="0" w:type="dxa"/>
              <w:bottom w:w="0" w:type="dxa"/>
              <w:right w:w="0" w:type="dxa"/>
            </w:tcMar>
            <w:vAlign w:val="center"/>
          </w:tcPr>
          <w:p w14:paraId="0000033A" w14:textId="77777777" w:rsidR="00655AEF" w:rsidRDefault="00000000">
            <w:pPr>
              <w:rPr>
                <w:sz w:val="24"/>
                <w:szCs w:val="24"/>
              </w:rPr>
            </w:pPr>
            <w:r>
              <w:rPr>
                <w:sz w:val="24"/>
                <w:szCs w:val="24"/>
              </w:rPr>
              <w:t>3.1</w:t>
            </w:r>
          </w:p>
        </w:tc>
      </w:tr>
      <w:tr w:rsidR="00655AEF" w14:paraId="72F432F0" w14:textId="77777777">
        <w:trPr>
          <w:cantSplit/>
        </w:trPr>
        <w:tc>
          <w:tcPr>
            <w:tcW w:w="734" w:type="dxa"/>
            <w:vMerge/>
            <w:shd w:val="clear" w:color="auto" w:fill="FFFFFF"/>
            <w:tcMar>
              <w:top w:w="0" w:type="dxa"/>
              <w:left w:w="0" w:type="dxa"/>
              <w:bottom w:w="0" w:type="dxa"/>
              <w:right w:w="0" w:type="dxa"/>
            </w:tcMar>
            <w:vAlign w:val="center"/>
          </w:tcPr>
          <w:p w14:paraId="0000033B" w14:textId="77777777" w:rsidR="00655AEF" w:rsidRDefault="00655AEF">
            <w:pPr>
              <w:pBdr>
                <w:top w:val="nil"/>
                <w:left w:val="nil"/>
                <w:bottom w:val="nil"/>
                <w:right w:val="nil"/>
                <w:between w:val="nil"/>
              </w:pBdr>
              <w:spacing w:line="276" w:lineRule="auto"/>
              <w:rPr>
                <w:sz w:val="24"/>
                <w:szCs w:val="24"/>
              </w:rPr>
            </w:pPr>
          </w:p>
        </w:tc>
        <w:tc>
          <w:tcPr>
            <w:tcW w:w="556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3C" w14:textId="77777777" w:rsidR="00655AEF" w:rsidRDefault="00000000">
            <w:pPr>
              <w:rPr>
                <w:sz w:val="24"/>
                <w:szCs w:val="24"/>
              </w:rPr>
            </w:pPr>
            <w:r>
              <w:rPr>
                <w:sz w:val="24"/>
                <w:szCs w:val="24"/>
              </w:rPr>
              <w:t>Total</w:t>
            </w:r>
          </w:p>
        </w:tc>
        <w:tc>
          <w:tcPr>
            <w:tcW w:w="162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3D" w14:textId="77777777" w:rsidR="00655AEF" w:rsidRDefault="00000000">
            <w:pPr>
              <w:rPr>
                <w:sz w:val="24"/>
                <w:szCs w:val="24"/>
              </w:rPr>
            </w:pPr>
            <w:r>
              <w:rPr>
                <w:sz w:val="24"/>
                <w:szCs w:val="24"/>
              </w:rPr>
              <w:t>505</w:t>
            </w:r>
          </w:p>
        </w:tc>
        <w:tc>
          <w:tcPr>
            <w:tcW w:w="14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3E" w14:textId="77777777" w:rsidR="00655AEF" w:rsidRDefault="00000000">
            <w:pPr>
              <w:rPr>
                <w:sz w:val="24"/>
                <w:szCs w:val="24"/>
              </w:rPr>
            </w:pPr>
            <w:r>
              <w:rPr>
                <w:sz w:val="24"/>
                <w:szCs w:val="24"/>
              </w:rPr>
              <w:t>100.0</w:t>
            </w:r>
          </w:p>
        </w:tc>
      </w:tr>
    </w:tbl>
    <w:p w14:paraId="0000033F" w14:textId="77777777" w:rsidR="00655AEF" w:rsidRDefault="00655AEF">
      <w:pPr>
        <w:spacing w:after="240" w:line="360" w:lineRule="auto"/>
        <w:jc w:val="both"/>
        <w:rPr>
          <w:sz w:val="24"/>
          <w:szCs w:val="24"/>
        </w:rPr>
      </w:pPr>
    </w:p>
    <w:p w14:paraId="00000340" w14:textId="77777777" w:rsidR="00655AEF" w:rsidRDefault="00000000">
      <w:pPr>
        <w:pStyle w:val="Heading3"/>
        <w:numPr>
          <w:ilvl w:val="2"/>
          <w:numId w:val="11"/>
        </w:numPr>
        <w:rPr>
          <w:sz w:val="24"/>
          <w:szCs w:val="24"/>
        </w:rPr>
      </w:pPr>
      <w:bookmarkStart w:id="66" w:name="_heading=h.x750cp2vd2iu" w:colFirst="0" w:colLast="0"/>
      <w:bookmarkEnd w:id="66"/>
      <w:r>
        <w:rPr>
          <w:sz w:val="24"/>
          <w:szCs w:val="24"/>
        </w:rPr>
        <w:t>NHIF Insurance Cover</w:t>
      </w:r>
    </w:p>
    <w:p w14:paraId="00000341" w14:textId="77777777" w:rsidR="00655AEF" w:rsidRDefault="00000000">
      <w:pPr>
        <w:spacing w:after="240" w:line="360" w:lineRule="auto"/>
        <w:jc w:val="both"/>
        <w:rPr>
          <w:sz w:val="24"/>
          <w:szCs w:val="24"/>
        </w:rPr>
      </w:pPr>
      <w:r>
        <w:rPr>
          <w:sz w:val="24"/>
          <w:szCs w:val="24"/>
        </w:rPr>
        <w:t>The data presented is both stark and alarming: out of a sample of 513 patients, a staggering 99.0% (508 individuals) do not have National Hospital Insurance Fund (NHIF) insurance cover. This finding reveals a profound and systemic barrier to healthcare access that has significant implications for both the individual patients and the broader public health system in Kakamega County.</w:t>
      </w:r>
    </w:p>
    <w:p w14:paraId="00000342" w14:textId="77777777" w:rsidR="00655AEF" w:rsidRDefault="00000000">
      <w:pPr>
        <w:spacing w:after="240" w:line="360" w:lineRule="auto"/>
        <w:jc w:val="both"/>
        <w:rPr>
          <w:sz w:val="24"/>
          <w:szCs w:val="24"/>
        </w:rPr>
      </w:pPr>
      <w:r>
        <w:rPr>
          <w:sz w:val="24"/>
          <w:szCs w:val="24"/>
        </w:rPr>
        <w:t xml:space="preserve">The National Hospital Insurance Fund is Kenya’s government health insurance scheme, designed to provide affordable medical care, including coverage for inpatient and </w:t>
      </w:r>
      <w:r>
        <w:rPr>
          <w:sz w:val="24"/>
          <w:szCs w:val="24"/>
        </w:rPr>
        <w:lastRenderedPageBreak/>
        <w:t>outpatient services, surgical procedures, and the management of chronic illnesses like HIV/AIDS. For self-employed individuals, the monthly contribution was previously a flat KES 500. However, recent legal reforms have transitioned this to the Social Health Insurance Fund (SHIF), where non-salaried individuals are required to contribute 2.75% of their annual household income, with a minimum monthly contribution of KES 300.</w:t>
      </w:r>
    </w:p>
    <w:p w14:paraId="00000343" w14:textId="77777777" w:rsidR="00655AEF" w:rsidRDefault="00000000">
      <w:pPr>
        <w:spacing w:after="240" w:line="360" w:lineRule="auto"/>
        <w:jc w:val="both"/>
        <w:rPr>
          <w:sz w:val="24"/>
          <w:szCs w:val="24"/>
        </w:rPr>
      </w:pPr>
      <w:r>
        <w:rPr>
          <w:sz w:val="24"/>
          <w:szCs w:val="24"/>
        </w:rPr>
        <w:t xml:space="preserve">The almost complete lack of coverage in this patient sample suggests that </w:t>
      </w:r>
      <w:proofErr w:type="gramStart"/>
      <w:r>
        <w:rPr>
          <w:sz w:val="24"/>
          <w:szCs w:val="24"/>
        </w:rPr>
        <w:t>the vast majority of</w:t>
      </w:r>
      <w:proofErr w:type="gramEnd"/>
      <w:r>
        <w:rPr>
          <w:sz w:val="24"/>
          <w:szCs w:val="24"/>
        </w:rPr>
        <w:t xml:space="preserve"> these individuals are likely in the informal sector, unemployed, or living in poverty, making even the minimum monthly contribution unaffordable or not a priority compared to other basic needs. </w:t>
      </w:r>
    </w:p>
    <w:p w14:paraId="00000344" w14:textId="77777777" w:rsidR="00655AEF" w:rsidRDefault="00000000">
      <w:pPr>
        <w:spacing w:after="240" w:line="360" w:lineRule="auto"/>
        <w:jc w:val="both"/>
        <w:rPr>
          <w:sz w:val="24"/>
          <w:szCs w:val="24"/>
        </w:rPr>
      </w:pPr>
      <w:r>
        <w:rPr>
          <w:sz w:val="24"/>
          <w:szCs w:val="24"/>
        </w:rPr>
        <w:t>This lack of financial protection has several critical consequences. While ART drugs are often provided for free, managing HIV involves more than just pills. Patients require regular viral load and CD4 count monitoring, treatment for opportunistic infections, and management of co-morbidities like hypertension or diabetes. Without NHIF, these services are not free and must be paid for out-of-pocket, creating a significant financial burden that can lead to delayed care or avoidance of necessary medical attention. This directly contributes to the treatment failure a patient might experience.</w:t>
      </w:r>
    </w:p>
    <w:p w14:paraId="00000345" w14:textId="77777777" w:rsidR="00655AEF" w:rsidRDefault="00000000">
      <w:pPr>
        <w:spacing w:after="240" w:line="360" w:lineRule="auto"/>
        <w:jc w:val="both"/>
        <w:rPr>
          <w:sz w:val="24"/>
          <w:szCs w:val="24"/>
        </w:rPr>
      </w:pPr>
      <w:r>
        <w:rPr>
          <w:sz w:val="24"/>
          <w:szCs w:val="24"/>
        </w:rPr>
        <w:t>The absence of insurance coverage makes patients highly vulnerable to catastrophic health expenditures. A sudden hospitalization, an unexpected surgery, or a complex medical issue could drive an already economically marginalized individual or household deeper into poverty, creating a cycle where poor health leads to financial destitution, which in turn leads to poorer health outcomes.</w:t>
      </w:r>
    </w:p>
    <w:p w14:paraId="00000346" w14:textId="77777777" w:rsidR="00655AEF" w:rsidRDefault="00000000">
      <w:pPr>
        <w:spacing w:after="240" w:line="360" w:lineRule="auto"/>
        <w:jc w:val="both"/>
        <w:rPr>
          <w:sz w:val="24"/>
          <w:szCs w:val="24"/>
        </w:rPr>
      </w:pPr>
      <w:r>
        <w:rPr>
          <w:sz w:val="24"/>
          <w:szCs w:val="24"/>
        </w:rPr>
        <w:t>The study’s problem statement correctly identifies low socioeconomic status as a factor hindering retention in care. The inability to afford transport to a clinic, pay for essential lab tests, or cover the cost of a non-ART prescription can lead to missed appointments and, as the previous data showed, severe side effects and treatment cessation. The lack of NHIF cover is a powerful manifestation of this socio-economic barrier.</w:t>
      </w:r>
    </w:p>
    <w:p w14:paraId="00000347" w14:textId="77777777" w:rsidR="00655AEF" w:rsidRDefault="00000000">
      <w:pPr>
        <w:spacing w:after="240" w:line="360" w:lineRule="auto"/>
        <w:jc w:val="both"/>
        <w:rPr>
          <w:sz w:val="24"/>
          <w:szCs w:val="24"/>
        </w:rPr>
      </w:pPr>
      <w:r>
        <w:rPr>
          <w:sz w:val="24"/>
          <w:szCs w:val="24"/>
        </w:rPr>
        <w:t xml:space="preserve">This data points to a critical public health and policy gap. While the government has introduced subsidy programs, such as the Health Insurance Subsidy Program (HISP) and </w:t>
      </w:r>
      <w:r>
        <w:rPr>
          <w:sz w:val="24"/>
          <w:szCs w:val="24"/>
        </w:rPr>
        <w:lastRenderedPageBreak/>
        <w:t>the Linda Mama program, to assist vulnerable populations, the overwhelming non-coverage among this patient sample suggests that these programs are either not reaching this specific demographic effectively, or the barriers to enrollment are too high. For instance, the identification of indigent or vulnerable households, which is a requirement for premium subsidies, can be a complex and imperfect process.</w:t>
      </w:r>
    </w:p>
    <w:p w14:paraId="00000348" w14:textId="77777777" w:rsidR="00655AEF" w:rsidRDefault="00000000">
      <w:pPr>
        <w:spacing w:after="240" w:line="360" w:lineRule="auto"/>
        <w:jc w:val="both"/>
        <w:rPr>
          <w:sz w:val="24"/>
          <w:szCs w:val="24"/>
        </w:rPr>
      </w:pPr>
      <w:r>
        <w:rPr>
          <w:sz w:val="24"/>
          <w:szCs w:val="24"/>
        </w:rPr>
        <w:t>The minuscule percentage of patients with NHIF cover is not just a statistic; it is a clear indicator of systemic failure to provide financial protection for a highly vulnerable population. Any intervention aimed at improving HIV treatment outcomes, including the proposed reward system, must be complemented by efforts to address this foundational issue. A comprehensive approach would involve increasing awareness about NHIF/SHIF benefits and enrollment processes, simplifying registration for the informal and vulnerable sectors, and perhaps exploring direct financial support for premium contributions for patients with suspected treatment failure as a form of reward or incentive. Without such measures, the high rate of non-coverage will continue to undermine efforts to achieve universal health coverage and control the HIV epidemic in Kakamega County.</w:t>
      </w:r>
    </w:p>
    <w:p w14:paraId="00000349" w14:textId="77777777" w:rsidR="00655AEF" w:rsidRDefault="00000000">
      <w:pPr>
        <w:keepNext/>
        <w:pBdr>
          <w:top w:val="nil"/>
          <w:left w:val="nil"/>
          <w:bottom w:val="nil"/>
          <w:right w:val="nil"/>
          <w:between w:val="nil"/>
        </w:pBdr>
        <w:spacing w:after="200"/>
        <w:rPr>
          <w:b/>
          <w:color w:val="4F81BD"/>
          <w:sz w:val="18"/>
          <w:szCs w:val="18"/>
        </w:rPr>
      </w:pPr>
      <w:bookmarkStart w:id="67" w:name="_heading=h.y2d1mox87dkh" w:colFirst="0" w:colLast="0"/>
      <w:bookmarkEnd w:id="67"/>
      <w:r>
        <w:rPr>
          <w:b/>
          <w:color w:val="4F81BD"/>
          <w:sz w:val="18"/>
          <w:szCs w:val="18"/>
        </w:rPr>
        <w:t>Table 11: NHIF insurance cover</w:t>
      </w:r>
    </w:p>
    <w:tbl>
      <w:tblPr>
        <w:tblStyle w:val="a9"/>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6408"/>
        <w:gridCol w:w="1620"/>
        <w:gridCol w:w="1548"/>
      </w:tblGrid>
      <w:tr w:rsidR="00655AEF" w14:paraId="1D530465" w14:textId="77777777">
        <w:tc>
          <w:tcPr>
            <w:tcW w:w="6408" w:type="dxa"/>
            <w:tcBorders>
              <w:top w:val="nil"/>
              <w:left w:val="nil"/>
              <w:bottom w:val="single" w:sz="4" w:space="0" w:color="000000"/>
              <w:right w:val="nil"/>
            </w:tcBorders>
            <w:tcMar>
              <w:top w:w="0" w:type="dxa"/>
              <w:left w:w="108" w:type="dxa"/>
              <w:bottom w:w="0" w:type="dxa"/>
              <w:right w:w="108" w:type="dxa"/>
            </w:tcMar>
          </w:tcPr>
          <w:p w14:paraId="0000034A" w14:textId="77777777" w:rsidR="00655AEF" w:rsidRDefault="00655AEF">
            <w:pPr>
              <w:rPr>
                <w:sz w:val="24"/>
                <w:szCs w:val="24"/>
              </w:rPr>
            </w:pPr>
          </w:p>
        </w:tc>
        <w:tc>
          <w:tcPr>
            <w:tcW w:w="1620" w:type="dxa"/>
            <w:tcBorders>
              <w:top w:val="nil"/>
              <w:left w:val="nil"/>
              <w:bottom w:val="single" w:sz="4" w:space="0" w:color="000000"/>
              <w:right w:val="nil"/>
            </w:tcBorders>
            <w:tcMar>
              <w:top w:w="0" w:type="dxa"/>
              <w:left w:w="108" w:type="dxa"/>
              <w:bottom w:w="0" w:type="dxa"/>
              <w:right w:w="108" w:type="dxa"/>
            </w:tcMar>
          </w:tcPr>
          <w:p w14:paraId="0000034B" w14:textId="77777777" w:rsidR="00655AEF" w:rsidRDefault="00000000">
            <w:pPr>
              <w:rPr>
                <w:sz w:val="24"/>
                <w:szCs w:val="24"/>
              </w:rPr>
            </w:pPr>
            <w:r>
              <w:rPr>
                <w:sz w:val="24"/>
                <w:szCs w:val="24"/>
              </w:rPr>
              <w:t>Frequency</w:t>
            </w:r>
          </w:p>
        </w:tc>
        <w:tc>
          <w:tcPr>
            <w:tcW w:w="1548" w:type="dxa"/>
            <w:tcBorders>
              <w:top w:val="nil"/>
              <w:left w:val="nil"/>
              <w:bottom w:val="single" w:sz="4" w:space="0" w:color="000000"/>
              <w:right w:val="nil"/>
            </w:tcBorders>
            <w:tcMar>
              <w:top w:w="0" w:type="dxa"/>
              <w:left w:w="108" w:type="dxa"/>
              <w:bottom w:w="0" w:type="dxa"/>
              <w:right w:w="108" w:type="dxa"/>
            </w:tcMar>
          </w:tcPr>
          <w:p w14:paraId="0000034C" w14:textId="77777777" w:rsidR="00655AEF" w:rsidRDefault="00000000">
            <w:pPr>
              <w:rPr>
                <w:sz w:val="24"/>
                <w:szCs w:val="24"/>
              </w:rPr>
            </w:pPr>
            <w:r>
              <w:rPr>
                <w:sz w:val="24"/>
                <w:szCs w:val="24"/>
              </w:rPr>
              <w:t>Percent</w:t>
            </w:r>
          </w:p>
        </w:tc>
      </w:tr>
      <w:tr w:rsidR="00655AEF" w14:paraId="14DC5D0D" w14:textId="77777777">
        <w:tc>
          <w:tcPr>
            <w:tcW w:w="6408" w:type="dxa"/>
            <w:tcBorders>
              <w:top w:val="single" w:sz="4" w:space="0" w:color="000000"/>
              <w:left w:val="nil"/>
              <w:bottom w:val="nil"/>
              <w:right w:val="nil"/>
            </w:tcBorders>
            <w:tcMar>
              <w:top w:w="0" w:type="dxa"/>
              <w:left w:w="108" w:type="dxa"/>
              <w:bottom w:w="0" w:type="dxa"/>
              <w:right w:w="108" w:type="dxa"/>
            </w:tcMar>
          </w:tcPr>
          <w:p w14:paraId="0000034D" w14:textId="77777777" w:rsidR="00655AEF" w:rsidRDefault="00000000">
            <w:pPr>
              <w:rPr>
                <w:sz w:val="24"/>
                <w:szCs w:val="24"/>
              </w:rPr>
            </w:pPr>
            <w:r>
              <w:rPr>
                <w:sz w:val="24"/>
                <w:szCs w:val="24"/>
              </w:rPr>
              <w:t>Have NHIF insurance cover</w:t>
            </w:r>
          </w:p>
        </w:tc>
        <w:tc>
          <w:tcPr>
            <w:tcW w:w="1620" w:type="dxa"/>
            <w:tcBorders>
              <w:top w:val="single" w:sz="4" w:space="0" w:color="000000"/>
              <w:left w:val="nil"/>
              <w:bottom w:val="nil"/>
              <w:right w:val="nil"/>
            </w:tcBorders>
            <w:tcMar>
              <w:top w:w="0" w:type="dxa"/>
              <w:left w:w="108" w:type="dxa"/>
              <w:bottom w:w="0" w:type="dxa"/>
              <w:right w:w="108" w:type="dxa"/>
            </w:tcMar>
          </w:tcPr>
          <w:p w14:paraId="0000034E" w14:textId="77777777" w:rsidR="00655AEF" w:rsidRDefault="00000000">
            <w:pPr>
              <w:rPr>
                <w:sz w:val="24"/>
                <w:szCs w:val="24"/>
              </w:rPr>
            </w:pPr>
            <w:r>
              <w:rPr>
                <w:sz w:val="24"/>
                <w:szCs w:val="24"/>
              </w:rPr>
              <w:t>5</w:t>
            </w:r>
          </w:p>
        </w:tc>
        <w:tc>
          <w:tcPr>
            <w:tcW w:w="1548" w:type="dxa"/>
            <w:tcBorders>
              <w:top w:val="single" w:sz="4" w:space="0" w:color="000000"/>
              <w:left w:val="nil"/>
              <w:bottom w:val="nil"/>
              <w:right w:val="nil"/>
            </w:tcBorders>
            <w:tcMar>
              <w:top w:w="0" w:type="dxa"/>
              <w:left w:w="108" w:type="dxa"/>
              <w:bottom w:w="0" w:type="dxa"/>
              <w:right w:w="108" w:type="dxa"/>
            </w:tcMar>
          </w:tcPr>
          <w:p w14:paraId="0000034F" w14:textId="77777777" w:rsidR="00655AEF" w:rsidRDefault="00000000">
            <w:pPr>
              <w:rPr>
                <w:sz w:val="24"/>
                <w:szCs w:val="24"/>
              </w:rPr>
            </w:pPr>
            <w:r>
              <w:rPr>
                <w:sz w:val="24"/>
                <w:szCs w:val="24"/>
              </w:rPr>
              <w:t>1.0</w:t>
            </w:r>
          </w:p>
        </w:tc>
      </w:tr>
      <w:tr w:rsidR="00655AEF" w14:paraId="64EA84B3" w14:textId="77777777">
        <w:tc>
          <w:tcPr>
            <w:tcW w:w="6408" w:type="dxa"/>
            <w:tcBorders>
              <w:top w:val="nil"/>
              <w:left w:val="nil"/>
              <w:bottom w:val="single" w:sz="4" w:space="0" w:color="000000"/>
              <w:right w:val="nil"/>
            </w:tcBorders>
            <w:tcMar>
              <w:top w:w="0" w:type="dxa"/>
              <w:left w:w="108" w:type="dxa"/>
              <w:bottom w:w="0" w:type="dxa"/>
              <w:right w:w="108" w:type="dxa"/>
            </w:tcMar>
          </w:tcPr>
          <w:p w14:paraId="00000350" w14:textId="77777777" w:rsidR="00655AEF" w:rsidRDefault="00000000">
            <w:pPr>
              <w:rPr>
                <w:sz w:val="24"/>
                <w:szCs w:val="24"/>
              </w:rPr>
            </w:pPr>
            <w:r>
              <w:rPr>
                <w:sz w:val="24"/>
                <w:szCs w:val="24"/>
              </w:rPr>
              <w:t>No NHIF insurance cover</w:t>
            </w:r>
          </w:p>
        </w:tc>
        <w:tc>
          <w:tcPr>
            <w:tcW w:w="1620" w:type="dxa"/>
            <w:tcBorders>
              <w:top w:val="nil"/>
              <w:left w:val="nil"/>
              <w:bottom w:val="single" w:sz="4" w:space="0" w:color="000000"/>
              <w:right w:val="nil"/>
            </w:tcBorders>
            <w:tcMar>
              <w:top w:w="0" w:type="dxa"/>
              <w:left w:w="108" w:type="dxa"/>
              <w:bottom w:w="0" w:type="dxa"/>
              <w:right w:w="108" w:type="dxa"/>
            </w:tcMar>
          </w:tcPr>
          <w:p w14:paraId="00000351" w14:textId="77777777" w:rsidR="00655AEF" w:rsidRDefault="00000000">
            <w:pPr>
              <w:rPr>
                <w:sz w:val="24"/>
                <w:szCs w:val="24"/>
              </w:rPr>
            </w:pPr>
            <w:r>
              <w:rPr>
                <w:sz w:val="24"/>
                <w:szCs w:val="24"/>
              </w:rPr>
              <w:t>508</w:t>
            </w:r>
          </w:p>
        </w:tc>
        <w:tc>
          <w:tcPr>
            <w:tcW w:w="1548" w:type="dxa"/>
            <w:tcBorders>
              <w:top w:val="nil"/>
              <w:left w:val="nil"/>
              <w:bottom w:val="single" w:sz="4" w:space="0" w:color="000000"/>
              <w:right w:val="nil"/>
            </w:tcBorders>
            <w:tcMar>
              <w:top w:w="0" w:type="dxa"/>
              <w:left w:w="108" w:type="dxa"/>
              <w:bottom w:w="0" w:type="dxa"/>
              <w:right w:w="108" w:type="dxa"/>
            </w:tcMar>
          </w:tcPr>
          <w:p w14:paraId="00000352" w14:textId="77777777" w:rsidR="00655AEF" w:rsidRDefault="00000000">
            <w:pPr>
              <w:rPr>
                <w:sz w:val="24"/>
                <w:szCs w:val="24"/>
              </w:rPr>
            </w:pPr>
            <w:r>
              <w:rPr>
                <w:sz w:val="24"/>
                <w:szCs w:val="24"/>
              </w:rPr>
              <w:t>99.0</w:t>
            </w:r>
          </w:p>
        </w:tc>
      </w:tr>
      <w:tr w:rsidR="00655AEF" w14:paraId="13F1C416" w14:textId="77777777">
        <w:tc>
          <w:tcPr>
            <w:tcW w:w="6408" w:type="dxa"/>
            <w:tcBorders>
              <w:top w:val="single" w:sz="4" w:space="0" w:color="000000"/>
              <w:left w:val="nil"/>
              <w:bottom w:val="single" w:sz="4" w:space="0" w:color="000000"/>
              <w:right w:val="nil"/>
            </w:tcBorders>
            <w:tcMar>
              <w:top w:w="0" w:type="dxa"/>
              <w:left w:w="108" w:type="dxa"/>
              <w:bottom w:w="0" w:type="dxa"/>
              <w:right w:w="108" w:type="dxa"/>
            </w:tcMar>
          </w:tcPr>
          <w:p w14:paraId="00000353" w14:textId="77777777" w:rsidR="00655AEF" w:rsidRDefault="00000000">
            <w:pPr>
              <w:rPr>
                <w:sz w:val="24"/>
                <w:szCs w:val="24"/>
              </w:rPr>
            </w:pPr>
            <w:r>
              <w:rPr>
                <w:sz w:val="24"/>
                <w:szCs w:val="24"/>
              </w:rPr>
              <w:t>Total</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00000354" w14:textId="77777777" w:rsidR="00655AEF" w:rsidRDefault="00000000">
            <w:pPr>
              <w:rPr>
                <w:sz w:val="24"/>
                <w:szCs w:val="24"/>
              </w:rPr>
            </w:pPr>
            <w:r>
              <w:rPr>
                <w:sz w:val="24"/>
                <w:szCs w:val="24"/>
              </w:rPr>
              <w:t>513</w:t>
            </w:r>
          </w:p>
        </w:tc>
        <w:tc>
          <w:tcPr>
            <w:tcW w:w="1548" w:type="dxa"/>
            <w:tcBorders>
              <w:top w:val="single" w:sz="4" w:space="0" w:color="000000"/>
              <w:left w:val="nil"/>
              <w:bottom w:val="single" w:sz="4" w:space="0" w:color="000000"/>
              <w:right w:val="nil"/>
            </w:tcBorders>
            <w:tcMar>
              <w:top w:w="0" w:type="dxa"/>
              <w:left w:w="108" w:type="dxa"/>
              <w:bottom w:w="0" w:type="dxa"/>
              <w:right w:w="108" w:type="dxa"/>
            </w:tcMar>
          </w:tcPr>
          <w:p w14:paraId="00000355" w14:textId="77777777" w:rsidR="00655AEF" w:rsidRDefault="00000000">
            <w:pPr>
              <w:rPr>
                <w:sz w:val="24"/>
                <w:szCs w:val="24"/>
              </w:rPr>
            </w:pPr>
            <w:r>
              <w:rPr>
                <w:sz w:val="24"/>
                <w:szCs w:val="24"/>
              </w:rPr>
              <w:t>100.0</w:t>
            </w:r>
          </w:p>
        </w:tc>
      </w:tr>
    </w:tbl>
    <w:p w14:paraId="00000356" w14:textId="77777777" w:rsidR="00655AEF" w:rsidRDefault="00655AEF">
      <w:pPr>
        <w:rPr>
          <w:sz w:val="24"/>
          <w:szCs w:val="24"/>
        </w:rPr>
      </w:pPr>
    </w:p>
    <w:p w14:paraId="00000357" w14:textId="77777777" w:rsidR="00655AEF" w:rsidRDefault="00655AEF">
      <w:pPr>
        <w:rPr>
          <w:sz w:val="24"/>
          <w:szCs w:val="24"/>
        </w:rPr>
      </w:pPr>
    </w:p>
    <w:p w14:paraId="00000358" w14:textId="77777777" w:rsidR="00655AEF" w:rsidRDefault="00000000">
      <w:pPr>
        <w:keepNext/>
      </w:pPr>
      <w:r>
        <w:rPr>
          <w:noProof/>
          <w:sz w:val="24"/>
          <w:szCs w:val="24"/>
        </w:rPr>
        <w:lastRenderedPageBreak/>
        <w:drawing>
          <wp:inline distT="0" distB="0" distL="0" distR="0" wp14:anchorId="734B5C7E" wp14:editId="2D2849EE">
            <wp:extent cx="4533900" cy="2362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359" w14:textId="77777777" w:rsidR="00655AEF" w:rsidRDefault="00000000">
      <w:pPr>
        <w:pBdr>
          <w:top w:val="nil"/>
          <w:left w:val="nil"/>
          <w:bottom w:val="nil"/>
          <w:right w:val="nil"/>
          <w:between w:val="nil"/>
        </w:pBdr>
        <w:spacing w:after="200"/>
        <w:rPr>
          <w:b/>
          <w:color w:val="4F81BD"/>
          <w:sz w:val="24"/>
          <w:szCs w:val="24"/>
        </w:rPr>
      </w:pPr>
      <w:bookmarkStart w:id="68" w:name="_heading=h.c95aj0mfrpan" w:colFirst="0" w:colLast="0"/>
      <w:bookmarkEnd w:id="68"/>
      <w:r>
        <w:rPr>
          <w:b/>
          <w:color w:val="4F81BD"/>
          <w:sz w:val="18"/>
          <w:szCs w:val="18"/>
        </w:rPr>
        <w:t>Figure 7: NHIF insurance cover</w:t>
      </w:r>
    </w:p>
    <w:p w14:paraId="0000035A" w14:textId="77777777" w:rsidR="00655AEF" w:rsidRDefault="00655AEF">
      <w:pPr>
        <w:spacing w:after="240" w:line="360" w:lineRule="auto"/>
        <w:jc w:val="both"/>
        <w:rPr>
          <w:sz w:val="24"/>
          <w:szCs w:val="24"/>
        </w:rPr>
      </w:pPr>
    </w:p>
    <w:p w14:paraId="0000035B" w14:textId="77777777" w:rsidR="00655AEF" w:rsidRDefault="00000000">
      <w:pPr>
        <w:pStyle w:val="Heading3"/>
        <w:numPr>
          <w:ilvl w:val="2"/>
          <w:numId w:val="11"/>
        </w:numPr>
        <w:rPr>
          <w:sz w:val="24"/>
          <w:szCs w:val="24"/>
        </w:rPr>
      </w:pPr>
      <w:bookmarkStart w:id="69" w:name="_heading=h.s9cencj6nz7v" w:colFirst="0" w:colLast="0"/>
      <w:bookmarkEnd w:id="69"/>
      <w:r>
        <w:rPr>
          <w:sz w:val="24"/>
          <w:szCs w:val="24"/>
        </w:rPr>
        <w:t>Other Active Insurance Cover</w:t>
      </w:r>
    </w:p>
    <w:p w14:paraId="0000035C" w14:textId="77777777" w:rsidR="00655AEF" w:rsidRDefault="00000000">
      <w:pPr>
        <w:spacing w:after="240" w:line="360" w:lineRule="auto"/>
        <w:jc w:val="both"/>
        <w:rPr>
          <w:sz w:val="24"/>
          <w:szCs w:val="24"/>
        </w:rPr>
      </w:pPr>
      <w:r>
        <w:rPr>
          <w:sz w:val="24"/>
          <w:szCs w:val="24"/>
        </w:rPr>
        <w:t>Data on other active insurance cover presents a stark and critical finding: an overwhelming majority of the patients in the study cohort (99.4%, or 510 out of 513) have no form of health insurance cover. Only a negligible fraction (0.6%) reported having a separate insurance plan.</w:t>
      </w:r>
    </w:p>
    <w:p w14:paraId="0000035D" w14:textId="77777777" w:rsidR="00655AEF" w:rsidRDefault="00000000">
      <w:pPr>
        <w:spacing w:after="240" w:line="360" w:lineRule="auto"/>
        <w:jc w:val="both"/>
        <w:rPr>
          <w:sz w:val="24"/>
          <w:szCs w:val="24"/>
        </w:rPr>
      </w:pPr>
      <w:r>
        <w:rPr>
          <w:sz w:val="24"/>
          <w:szCs w:val="24"/>
        </w:rPr>
        <w:t xml:space="preserve">This finding carries significant implications for the health and financial well-being of the patient population and for the success of HIV treatment programs. While antiretroviral drugs are often provided free of charge in Kenya through government and international donor support, this data highlight that </w:t>
      </w:r>
      <w:proofErr w:type="gramStart"/>
      <w:r>
        <w:rPr>
          <w:sz w:val="24"/>
          <w:szCs w:val="24"/>
        </w:rPr>
        <w:t>the vast majority of</w:t>
      </w:r>
      <w:proofErr w:type="gramEnd"/>
      <w:r>
        <w:rPr>
          <w:sz w:val="24"/>
          <w:szCs w:val="24"/>
        </w:rPr>
        <w:t xml:space="preserve"> patients are highly vulnerable to the indirect and associated costs of healthcare. These costs include transportation to and from clinics, consultation fees for services not covered by the program, laboratory tests outside of routine monitoring, and treatment for opportunistic infections or other co-morbidities. Without a financial safety net, any minor health issue can quickly escalate into a major financial crisis, potentially leading to a choice between </w:t>
      </w:r>
      <w:proofErr w:type="gramStart"/>
      <w:r>
        <w:rPr>
          <w:sz w:val="24"/>
          <w:szCs w:val="24"/>
        </w:rPr>
        <w:t>basic necessities</w:t>
      </w:r>
      <w:proofErr w:type="gramEnd"/>
      <w:r>
        <w:rPr>
          <w:sz w:val="24"/>
          <w:szCs w:val="24"/>
        </w:rPr>
        <w:t xml:space="preserve"> and healthcare.</w:t>
      </w:r>
    </w:p>
    <w:p w14:paraId="0000035E" w14:textId="77777777" w:rsidR="00655AEF" w:rsidRDefault="00000000">
      <w:pPr>
        <w:spacing w:after="240" w:line="360" w:lineRule="auto"/>
        <w:jc w:val="both"/>
        <w:rPr>
          <w:sz w:val="24"/>
          <w:szCs w:val="24"/>
        </w:rPr>
      </w:pPr>
      <w:r>
        <w:rPr>
          <w:sz w:val="24"/>
          <w:szCs w:val="24"/>
        </w:rPr>
        <w:t xml:space="preserve">The almost complete lack of insurance coverage also directly links to the previously discussed problem of patient lack of finance as a reason for stopping treatment. This financial challenge is a major structural barrier to consistent care. Patients without </w:t>
      </w:r>
      <w:r>
        <w:rPr>
          <w:sz w:val="24"/>
          <w:szCs w:val="24"/>
        </w:rPr>
        <w:lastRenderedPageBreak/>
        <w:t>insurance are less likely to seek care for non-HIV related health issues, which can compromise their overall health and ability to adhere to their ART regimen. It also places a greater burden on the public health system, as patients may only present for care when their condition has become advanced and requires more complex and expensive, interventions.</w:t>
      </w:r>
    </w:p>
    <w:p w14:paraId="0000035F" w14:textId="77777777" w:rsidR="00655AEF" w:rsidRDefault="00000000">
      <w:pPr>
        <w:spacing w:after="240" w:line="360" w:lineRule="auto"/>
        <w:jc w:val="both"/>
        <w:rPr>
          <w:sz w:val="24"/>
          <w:szCs w:val="24"/>
        </w:rPr>
      </w:pPr>
      <w:r>
        <w:rPr>
          <w:sz w:val="24"/>
          <w:szCs w:val="24"/>
        </w:rPr>
        <w:t>In the context of a study evaluating a reward system, this finding provides a powerful justification for the intervention. The proposed rewards, whether financial or in-kind, could serve as a direct mechanism to mitigate the financial barriers faced by these patients. The incentives could help cover the very costs; like transport and food; that a lack of insurance would otherwise make prohibitive. The study’s focus on a reward system therefore not only addresses the behavioral aspect of adherence but also implicitly acknowledges and attempts to alleviate the deep-seated socio-economic vulnerabilities of the patient population.</w:t>
      </w:r>
    </w:p>
    <w:p w14:paraId="00000360" w14:textId="77777777" w:rsidR="00655AEF" w:rsidRDefault="00000000">
      <w:pPr>
        <w:spacing w:after="240" w:line="360" w:lineRule="auto"/>
        <w:jc w:val="both"/>
        <w:rPr>
          <w:sz w:val="24"/>
          <w:szCs w:val="24"/>
        </w:rPr>
      </w:pPr>
      <w:r>
        <w:rPr>
          <w:sz w:val="24"/>
          <w:szCs w:val="24"/>
        </w:rPr>
        <w:t>The data clearly demonstrates that this patient population is highly financially exposed. Designing and implementing effective interventions for HIV care in Kakamega County must recognize and address this reality. The success of programs aimed at improving adherence and retention is inextricably linked to their ability to provide support that helps patients overcome the financial obstacles posed by a lack of health insurance.</w:t>
      </w:r>
    </w:p>
    <w:p w14:paraId="00000361" w14:textId="77777777" w:rsidR="00655AEF" w:rsidRDefault="00000000">
      <w:pPr>
        <w:keepNext/>
        <w:pBdr>
          <w:top w:val="nil"/>
          <w:left w:val="nil"/>
          <w:bottom w:val="nil"/>
          <w:right w:val="nil"/>
          <w:between w:val="nil"/>
        </w:pBdr>
        <w:spacing w:after="200"/>
        <w:rPr>
          <w:b/>
          <w:color w:val="4F81BD"/>
          <w:sz w:val="18"/>
          <w:szCs w:val="18"/>
        </w:rPr>
      </w:pPr>
      <w:bookmarkStart w:id="70" w:name="_heading=h.1qwobauheibw" w:colFirst="0" w:colLast="0"/>
      <w:bookmarkEnd w:id="70"/>
      <w:r>
        <w:rPr>
          <w:b/>
          <w:color w:val="4F81BD"/>
          <w:sz w:val="18"/>
          <w:szCs w:val="18"/>
        </w:rPr>
        <w:t>Table 12: Other active insurance cover</w:t>
      </w:r>
    </w:p>
    <w:tbl>
      <w:tblPr>
        <w:tblStyle w:val="aa"/>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6318"/>
        <w:gridCol w:w="1710"/>
        <w:gridCol w:w="1548"/>
      </w:tblGrid>
      <w:tr w:rsidR="00655AEF" w14:paraId="3CFC398A" w14:textId="77777777">
        <w:tc>
          <w:tcPr>
            <w:tcW w:w="6318" w:type="dxa"/>
            <w:tcBorders>
              <w:top w:val="nil"/>
              <w:left w:val="nil"/>
              <w:bottom w:val="single" w:sz="4" w:space="0" w:color="000000"/>
              <w:right w:val="nil"/>
            </w:tcBorders>
            <w:tcMar>
              <w:top w:w="0" w:type="dxa"/>
              <w:left w:w="108" w:type="dxa"/>
              <w:bottom w:w="0" w:type="dxa"/>
              <w:right w:w="108" w:type="dxa"/>
            </w:tcMar>
          </w:tcPr>
          <w:p w14:paraId="00000362" w14:textId="77777777" w:rsidR="00655AEF" w:rsidRDefault="00655AEF">
            <w:pPr>
              <w:rPr>
                <w:sz w:val="24"/>
                <w:szCs w:val="24"/>
              </w:rPr>
            </w:pPr>
          </w:p>
        </w:tc>
        <w:tc>
          <w:tcPr>
            <w:tcW w:w="1710" w:type="dxa"/>
            <w:tcBorders>
              <w:top w:val="nil"/>
              <w:left w:val="nil"/>
              <w:bottom w:val="single" w:sz="4" w:space="0" w:color="000000"/>
              <w:right w:val="nil"/>
            </w:tcBorders>
            <w:tcMar>
              <w:top w:w="0" w:type="dxa"/>
              <w:left w:w="108" w:type="dxa"/>
              <w:bottom w:w="0" w:type="dxa"/>
              <w:right w:w="108" w:type="dxa"/>
            </w:tcMar>
          </w:tcPr>
          <w:p w14:paraId="00000363" w14:textId="77777777" w:rsidR="00655AEF" w:rsidRDefault="00000000">
            <w:pPr>
              <w:rPr>
                <w:sz w:val="24"/>
                <w:szCs w:val="24"/>
              </w:rPr>
            </w:pPr>
            <w:r>
              <w:rPr>
                <w:sz w:val="24"/>
                <w:szCs w:val="24"/>
              </w:rPr>
              <w:t>Frequency</w:t>
            </w:r>
          </w:p>
        </w:tc>
        <w:tc>
          <w:tcPr>
            <w:tcW w:w="1548" w:type="dxa"/>
            <w:tcBorders>
              <w:top w:val="nil"/>
              <w:left w:val="nil"/>
              <w:bottom w:val="single" w:sz="4" w:space="0" w:color="000000"/>
              <w:right w:val="nil"/>
            </w:tcBorders>
            <w:tcMar>
              <w:top w:w="0" w:type="dxa"/>
              <w:left w:w="108" w:type="dxa"/>
              <w:bottom w:w="0" w:type="dxa"/>
              <w:right w:w="108" w:type="dxa"/>
            </w:tcMar>
          </w:tcPr>
          <w:p w14:paraId="00000364" w14:textId="77777777" w:rsidR="00655AEF" w:rsidRDefault="00000000">
            <w:pPr>
              <w:rPr>
                <w:sz w:val="24"/>
                <w:szCs w:val="24"/>
              </w:rPr>
            </w:pPr>
            <w:r>
              <w:rPr>
                <w:sz w:val="24"/>
                <w:szCs w:val="24"/>
              </w:rPr>
              <w:t>Percent</w:t>
            </w:r>
          </w:p>
        </w:tc>
      </w:tr>
      <w:tr w:rsidR="00655AEF" w14:paraId="333829CB" w14:textId="77777777">
        <w:tc>
          <w:tcPr>
            <w:tcW w:w="6318" w:type="dxa"/>
            <w:tcBorders>
              <w:top w:val="single" w:sz="4" w:space="0" w:color="000000"/>
              <w:left w:val="nil"/>
              <w:bottom w:val="nil"/>
              <w:right w:val="nil"/>
            </w:tcBorders>
            <w:tcMar>
              <w:top w:w="0" w:type="dxa"/>
              <w:left w:w="108" w:type="dxa"/>
              <w:bottom w:w="0" w:type="dxa"/>
              <w:right w:w="108" w:type="dxa"/>
            </w:tcMar>
          </w:tcPr>
          <w:p w14:paraId="00000365" w14:textId="77777777" w:rsidR="00655AEF" w:rsidRDefault="00000000">
            <w:pPr>
              <w:rPr>
                <w:sz w:val="24"/>
                <w:szCs w:val="24"/>
              </w:rPr>
            </w:pPr>
            <w:r>
              <w:rPr>
                <w:sz w:val="24"/>
                <w:szCs w:val="24"/>
              </w:rPr>
              <w:t>Have other insurance cover</w:t>
            </w:r>
          </w:p>
        </w:tc>
        <w:tc>
          <w:tcPr>
            <w:tcW w:w="1710" w:type="dxa"/>
            <w:tcBorders>
              <w:top w:val="single" w:sz="4" w:space="0" w:color="000000"/>
              <w:left w:val="nil"/>
              <w:bottom w:val="nil"/>
              <w:right w:val="nil"/>
            </w:tcBorders>
            <w:tcMar>
              <w:top w:w="0" w:type="dxa"/>
              <w:left w:w="108" w:type="dxa"/>
              <w:bottom w:w="0" w:type="dxa"/>
              <w:right w:w="108" w:type="dxa"/>
            </w:tcMar>
          </w:tcPr>
          <w:p w14:paraId="00000366" w14:textId="77777777" w:rsidR="00655AEF" w:rsidRDefault="00000000">
            <w:pPr>
              <w:rPr>
                <w:sz w:val="24"/>
                <w:szCs w:val="24"/>
              </w:rPr>
            </w:pPr>
            <w:r>
              <w:rPr>
                <w:sz w:val="24"/>
                <w:szCs w:val="24"/>
              </w:rPr>
              <w:t>3</w:t>
            </w:r>
          </w:p>
        </w:tc>
        <w:tc>
          <w:tcPr>
            <w:tcW w:w="1548" w:type="dxa"/>
            <w:tcBorders>
              <w:top w:val="single" w:sz="4" w:space="0" w:color="000000"/>
              <w:left w:val="nil"/>
              <w:bottom w:val="nil"/>
              <w:right w:val="nil"/>
            </w:tcBorders>
            <w:tcMar>
              <w:top w:w="0" w:type="dxa"/>
              <w:left w:w="108" w:type="dxa"/>
              <w:bottom w:w="0" w:type="dxa"/>
              <w:right w:w="108" w:type="dxa"/>
            </w:tcMar>
          </w:tcPr>
          <w:p w14:paraId="00000367" w14:textId="77777777" w:rsidR="00655AEF" w:rsidRDefault="00000000">
            <w:pPr>
              <w:rPr>
                <w:sz w:val="24"/>
                <w:szCs w:val="24"/>
              </w:rPr>
            </w:pPr>
            <w:r>
              <w:rPr>
                <w:sz w:val="24"/>
                <w:szCs w:val="24"/>
              </w:rPr>
              <w:t>0.6</w:t>
            </w:r>
          </w:p>
        </w:tc>
      </w:tr>
      <w:tr w:rsidR="00655AEF" w14:paraId="0CA80F3D" w14:textId="77777777">
        <w:tc>
          <w:tcPr>
            <w:tcW w:w="6318" w:type="dxa"/>
            <w:tcBorders>
              <w:top w:val="nil"/>
              <w:left w:val="nil"/>
              <w:bottom w:val="single" w:sz="4" w:space="0" w:color="000000"/>
              <w:right w:val="nil"/>
            </w:tcBorders>
            <w:tcMar>
              <w:top w:w="0" w:type="dxa"/>
              <w:left w:w="108" w:type="dxa"/>
              <w:bottom w:w="0" w:type="dxa"/>
              <w:right w:w="108" w:type="dxa"/>
            </w:tcMar>
          </w:tcPr>
          <w:p w14:paraId="00000368" w14:textId="77777777" w:rsidR="00655AEF" w:rsidRDefault="00000000">
            <w:pPr>
              <w:rPr>
                <w:sz w:val="24"/>
                <w:szCs w:val="24"/>
              </w:rPr>
            </w:pPr>
            <w:r>
              <w:rPr>
                <w:sz w:val="24"/>
                <w:szCs w:val="24"/>
              </w:rPr>
              <w:t>No insurance cover</w:t>
            </w:r>
          </w:p>
        </w:tc>
        <w:tc>
          <w:tcPr>
            <w:tcW w:w="1710" w:type="dxa"/>
            <w:tcBorders>
              <w:top w:val="nil"/>
              <w:left w:val="nil"/>
              <w:bottom w:val="single" w:sz="4" w:space="0" w:color="000000"/>
              <w:right w:val="nil"/>
            </w:tcBorders>
            <w:tcMar>
              <w:top w:w="0" w:type="dxa"/>
              <w:left w:w="108" w:type="dxa"/>
              <w:bottom w:w="0" w:type="dxa"/>
              <w:right w:w="108" w:type="dxa"/>
            </w:tcMar>
          </w:tcPr>
          <w:p w14:paraId="00000369" w14:textId="77777777" w:rsidR="00655AEF" w:rsidRDefault="00000000">
            <w:pPr>
              <w:rPr>
                <w:sz w:val="24"/>
                <w:szCs w:val="24"/>
              </w:rPr>
            </w:pPr>
            <w:r>
              <w:rPr>
                <w:sz w:val="24"/>
                <w:szCs w:val="24"/>
              </w:rPr>
              <w:t>510</w:t>
            </w:r>
          </w:p>
        </w:tc>
        <w:tc>
          <w:tcPr>
            <w:tcW w:w="1548" w:type="dxa"/>
            <w:tcBorders>
              <w:top w:val="nil"/>
              <w:left w:val="nil"/>
              <w:bottom w:val="single" w:sz="4" w:space="0" w:color="000000"/>
              <w:right w:val="nil"/>
            </w:tcBorders>
            <w:tcMar>
              <w:top w:w="0" w:type="dxa"/>
              <w:left w:w="108" w:type="dxa"/>
              <w:bottom w:w="0" w:type="dxa"/>
              <w:right w:w="108" w:type="dxa"/>
            </w:tcMar>
          </w:tcPr>
          <w:p w14:paraId="0000036A" w14:textId="77777777" w:rsidR="00655AEF" w:rsidRDefault="00000000">
            <w:pPr>
              <w:rPr>
                <w:sz w:val="24"/>
                <w:szCs w:val="24"/>
              </w:rPr>
            </w:pPr>
            <w:r>
              <w:rPr>
                <w:sz w:val="24"/>
                <w:szCs w:val="24"/>
              </w:rPr>
              <w:t>99.4</w:t>
            </w:r>
          </w:p>
        </w:tc>
      </w:tr>
      <w:tr w:rsidR="00655AEF" w14:paraId="265D5D5F" w14:textId="77777777">
        <w:tc>
          <w:tcPr>
            <w:tcW w:w="6318" w:type="dxa"/>
            <w:tcBorders>
              <w:top w:val="single" w:sz="4" w:space="0" w:color="000000"/>
              <w:left w:val="nil"/>
              <w:bottom w:val="single" w:sz="4" w:space="0" w:color="000000"/>
              <w:right w:val="nil"/>
            </w:tcBorders>
            <w:tcMar>
              <w:top w:w="0" w:type="dxa"/>
              <w:left w:w="108" w:type="dxa"/>
              <w:bottom w:w="0" w:type="dxa"/>
              <w:right w:w="108" w:type="dxa"/>
            </w:tcMar>
          </w:tcPr>
          <w:p w14:paraId="0000036B" w14:textId="77777777" w:rsidR="00655AEF" w:rsidRDefault="00000000">
            <w:pPr>
              <w:rPr>
                <w:sz w:val="24"/>
                <w:szCs w:val="24"/>
              </w:rPr>
            </w:pPr>
            <w:r>
              <w:rPr>
                <w:sz w:val="24"/>
                <w:szCs w:val="24"/>
              </w:rPr>
              <w:t>Total</w:t>
            </w:r>
          </w:p>
        </w:tc>
        <w:tc>
          <w:tcPr>
            <w:tcW w:w="1710" w:type="dxa"/>
            <w:tcBorders>
              <w:top w:val="single" w:sz="4" w:space="0" w:color="000000"/>
              <w:left w:val="nil"/>
              <w:bottom w:val="single" w:sz="4" w:space="0" w:color="000000"/>
              <w:right w:val="nil"/>
            </w:tcBorders>
            <w:tcMar>
              <w:top w:w="0" w:type="dxa"/>
              <w:left w:w="108" w:type="dxa"/>
              <w:bottom w:w="0" w:type="dxa"/>
              <w:right w:w="108" w:type="dxa"/>
            </w:tcMar>
          </w:tcPr>
          <w:p w14:paraId="0000036C" w14:textId="77777777" w:rsidR="00655AEF" w:rsidRDefault="00000000">
            <w:pPr>
              <w:rPr>
                <w:sz w:val="24"/>
                <w:szCs w:val="24"/>
              </w:rPr>
            </w:pPr>
            <w:r>
              <w:rPr>
                <w:sz w:val="24"/>
                <w:szCs w:val="24"/>
              </w:rPr>
              <w:t>513</w:t>
            </w:r>
          </w:p>
        </w:tc>
        <w:tc>
          <w:tcPr>
            <w:tcW w:w="1548" w:type="dxa"/>
            <w:tcBorders>
              <w:top w:val="single" w:sz="4" w:space="0" w:color="000000"/>
              <w:left w:val="nil"/>
              <w:bottom w:val="single" w:sz="4" w:space="0" w:color="000000"/>
              <w:right w:val="nil"/>
            </w:tcBorders>
            <w:tcMar>
              <w:top w:w="0" w:type="dxa"/>
              <w:left w:w="108" w:type="dxa"/>
              <w:bottom w:w="0" w:type="dxa"/>
              <w:right w:w="108" w:type="dxa"/>
            </w:tcMar>
          </w:tcPr>
          <w:p w14:paraId="0000036D" w14:textId="77777777" w:rsidR="00655AEF" w:rsidRDefault="00000000">
            <w:pPr>
              <w:rPr>
                <w:sz w:val="24"/>
                <w:szCs w:val="24"/>
              </w:rPr>
            </w:pPr>
            <w:r>
              <w:rPr>
                <w:sz w:val="24"/>
                <w:szCs w:val="24"/>
              </w:rPr>
              <w:t>100.0</w:t>
            </w:r>
          </w:p>
        </w:tc>
      </w:tr>
    </w:tbl>
    <w:p w14:paraId="0000036E" w14:textId="77777777" w:rsidR="00655AEF" w:rsidRDefault="00655AEF">
      <w:pPr>
        <w:rPr>
          <w:sz w:val="24"/>
          <w:szCs w:val="24"/>
        </w:rPr>
      </w:pPr>
    </w:p>
    <w:p w14:paraId="0000036F" w14:textId="77777777" w:rsidR="00655AEF" w:rsidRDefault="00655AEF">
      <w:pPr>
        <w:rPr>
          <w:sz w:val="24"/>
          <w:szCs w:val="24"/>
        </w:rPr>
      </w:pPr>
    </w:p>
    <w:p w14:paraId="00000370" w14:textId="77777777" w:rsidR="00655AEF" w:rsidRDefault="00000000">
      <w:pPr>
        <w:keepNext/>
      </w:pPr>
      <w:r>
        <w:rPr>
          <w:rFonts w:ascii="Times New Roman" w:eastAsia="Times New Roman" w:hAnsi="Times New Roman" w:cs="Times New Roman"/>
          <w:noProof/>
          <w:sz w:val="24"/>
          <w:szCs w:val="24"/>
        </w:rPr>
        <w:lastRenderedPageBreak/>
        <w:drawing>
          <wp:inline distT="0" distB="0" distL="0" distR="0" wp14:anchorId="7DA9088C" wp14:editId="58B9E1F0">
            <wp:extent cx="3790950" cy="22098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371" w14:textId="77777777" w:rsidR="00655AEF" w:rsidRDefault="00000000">
      <w:pPr>
        <w:pBdr>
          <w:top w:val="nil"/>
          <w:left w:val="nil"/>
          <w:bottom w:val="nil"/>
          <w:right w:val="nil"/>
          <w:between w:val="nil"/>
        </w:pBdr>
        <w:spacing w:after="200"/>
        <w:rPr>
          <w:rFonts w:ascii="Times New Roman" w:eastAsia="Times New Roman" w:hAnsi="Times New Roman" w:cs="Times New Roman"/>
          <w:b/>
          <w:color w:val="4F81BD"/>
          <w:sz w:val="24"/>
          <w:szCs w:val="24"/>
        </w:rPr>
      </w:pPr>
      <w:bookmarkStart w:id="71" w:name="_heading=h.gr3wejlxi1bi" w:colFirst="0" w:colLast="0"/>
      <w:bookmarkEnd w:id="71"/>
      <w:r>
        <w:rPr>
          <w:b/>
          <w:color w:val="4F81BD"/>
          <w:sz w:val="18"/>
          <w:szCs w:val="18"/>
        </w:rPr>
        <w:t>Figure 8: Other active insurance cover</w:t>
      </w:r>
    </w:p>
    <w:p w14:paraId="00000372" w14:textId="77777777" w:rsidR="00655AEF" w:rsidRDefault="00655AEF">
      <w:pPr>
        <w:spacing w:after="240" w:line="360" w:lineRule="auto"/>
        <w:jc w:val="both"/>
        <w:rPr>
          <w:sz w:val="24"/>
          <w:szCs w:val="24"/>
        </w:rPr>
      </w:pPr>
    </w:p>
    <w:p w14:paraId="00000373" w14:textId="77777777" w:rsidR="00655AEF" w:rsidRDefault="00000000">
      <w:pPr>
        <w:pStyle w:val="Heading3"/>
        <w:numPr>
          <w:ilvl w:val="2"/>
          <w:numId w:val="11"/>
        </w:numPr>
        <w:rPr>
          <w:sz w:val="24"/>
          <w:szCs w:val="24"/>
        </w:rPr>
      </w:pPr>
      <w:bookmarkStart w:id="72" w:name="_heading=h.rmpawmq8f6dx" w:colFirst="0" w:colLast="0"/>
      <w:bookmarkEnd w:id="72"/>
      <w:r>
        <w:rPr>
          <w:sz w:val="24"/>
          <w:szCs w:val="24"/>
        </w:rPr>
        <w:t>Clinic Intervention Group and Clinic Control Group</w:t>
      </w:r>
    </w:p>
    <w:p w14:paraId="00000374" w14:textId="77777777" w:rsidR="00655AEF" w:rsidRDefault="00000000">
      <w:pPr>
        <w:spacing w:after="240" w:line="360" w:lineRule="auto"/>
        <w:jc w:val="both"/>
        <w:rPr>
          <w:sz w:val="24"/>
          <w:szCs w:val="24"/>
        </w:rPr>
      </w:pPr>
      <w:r>
        <w:rPr>
          <w:sz w:val="24"/>
          <w:szCs w:val="24"/>
        </w:rPr>
        <w:t>The provided table illustrates the distribution of study participants into two distinct groups: a Clinic Control Group and a Clinic Intervention (Treatment) Group. Out of a total of 512 out of 513 participants whose responses were captured for this item, 242 individuals (47.27%) were assigned to the Control Group, while 270 individuals (52.73%) were assigned to the Treatment Group.</w:t>
      </w:r>
    </w:p>
    <w:p w14:paraId="00000375" w14:textId="77777777" w:rsidR="00655AEF" w:rsidRDefault="00000000">
      <w:pPr>
        <w:spacing w:after="240" w:line="360" w:lineRule="auto"/>
        <w:jc w:val="both"/>
        <w:rPr>
          <w:sz w:val="24"/>
          <w:szCs w:val="24"/>
        </w:rPr>
      </w:pPr>
      <w:r>
        <w:rPr>
          <w:sz w:val="24"/>
          <w:szCs w:val="24"/>
        </w:rPr>
        <w:t>This distribution is fundamental to the quasi-experimental design outlined in the study methodology. The primary objective of such a design is to evaluate the effectiveness of an intervention; in this case, a reward system; by comparing outcomes between a group that receives the intervention and a group that does not.</w:t>
      </w:r>
    </w:p>
    <w:p w14:paraId="00000376" w14:textId="77777777" w:rsidR="00655AEF" w:rsidRDefault="00000000">
      <w:pPr>
        <w:spacing w:after="240" w:line="360" w:lineRule="auto"/>
        <w:jc w:val="both"/>
        <w:rPr>
          <w:sz w:val="24"/>
          <w:szCs w:val="24"/>
        </w:rPr>
      </w:pPr>
      <w:r>
        <w:rPr>
          <w:sz w:val="24"/>
          <w:szCs w:val="24"/>
        </w:rPr>
        <w:t>The Clinic Treatment Group, comprising a slightly larger proportion of the participants, was exposed to the reward system intervention. Their outcomes, particularly regarding HIV treatment adherence, viral suppression, and retention in care, were observed to determine the impact of the rewards.</w:t>
      </w:r>
    </w:p>
    <w:p w14:paraId="00000377" w14:textId="77777777" w:rsidR="00655AEF" w:rsidRDefault="00000000">
      <w:pPr>
        <w:spacing w:after="240" w:line="360" w:lineRule="auto"/>
        <w:jc w:val="both"/>
        <w:rPr>
          <w:sz w:val="24"/>
          <w:szCs w:val="24"/>
        </w:rPr>
      </w:pPr>
      <w:r>
        <w:rPr>
          <w:sz w:val="24"/>
          <w:szCs w:val="24"/>
        </w:rPr>
        <w:t xml:space="preserve">Conversely, the Clinic Control Group, while not receiving the specific reward intervention, continued to receive standard care. This group served as the crucial counterfactual. By observing the outcomes in the control group, researchers were able to estimate what would have happened to the treatment group participants in the absence of the reward </w:t>
      </w:r>
      <w:r>
        <w:rPr>
          <w:sz w:val="24"/>
          <w:szCs w:val="24"/>
        </w:rPr>
        <w:lastRenderedPageBreak/>
        <w:t>system. Any significant differences in outcomes between the two groups, after accounting for baseline characteristics, were then attributed to the effect of the reward system.</w:t>
      </w:r>
    </w:p>
    <w:p w14:paraId="00000378" w14:textId="77777777" w:rsidR="00655AEF" w:rsidRDefault="00000000">
      <w:pPr>
        <w:spacing w:after="240" w:line="360" w:lineRule="auto"/>
        <w:jc w:val="both"/>
        <w:rPr>
          <w:sz w:val="24"/>
          <w:szCs w:val="24"/>
        </w:rPr>
      </w:pPr>
      <w:r>
        <w:rPr>
          <w:sz w:val="24"/>
          <w:szCs w:val="24"/>
        </w:rPr>
        <w:t>While the distribution is not perfectly balanced (i.e., not exactly 50% in each group), the slight numerical difference between the control and treatment groups (242 vs. 270) is generally acceptable within a quasi-experimental framework. It is common for practical considerations in real-world settings to lead to minor imbalances in group sizes. The key was to ensure that, despite this slight numerical difference, the two groups were as comparable as possible in terms of critical baseline characteristics (e.g., demographics, initial viral load, duration on ART, socio-economic status) that could influence treatment outcomes. Any significant baseline differences needed to be statistically controlled for during the analysis to isolate the true effect of the reward system. This deliberate group assignment was used to set the stage for a robust evaluation of the reward systems potential to improve HIV treatment outcomes in Kakamega County.</w:t>
      </w:r>
    </w:p>
    <w:p w14:paraId="00000379" w14:textId="77777777" w:rsidR="00655AEF" w:rsidRDefault="00000000">
      <w:pPr>
        <w:keepNext/>
        <w:pBdr>
          <w:top w:val="nil"/>
          <w:left w:val="nil"/>
          <w:bottom w:val="nil"/>
          <w:right w:val="nil"/>
          <w:between w:val="nil"/>
        </w:pBdr>
        <w:spacing w:after="200"/>
        <w:rPr>
          <w:b/>
          <w:color w:val="4F81BD"/>
          <w:sz w:val="18"/>
          <w:szCs w:val="18"/>
        </w:rPr>
      </w:pPr>
      <w:bookmarkStart w:id="73" w:name="_heading=h.bnhb8e4l7lgy" w:colFirst="0" w:colLast="0"/>
      <w:bookmarkEnd w:id="73"/>
      <w:r>
        <w:rPr>
          <w:b/>
          <w:color w:val="4F81BD"/>
          <w:sz w:val="18"/>
          <w:szCs w:val="18"/>
        </w:rPr>
        <w:t>Table 13: Clinical intervention and control group</w:t>
      </w:r>
    </w:p>
    <w:tbl>
      <w:tblPr>
        <w:tblStyle w:val="ab"/>
        <w:tblW w:w="957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5778"/>
        <w:gridCol w:w="2070"/>
        <w:gridCol w:w="1728"/>
      </w:tblGrid>
      <w:tr w:rsidR="00655AEF" w14:paraId="66D3C08E" w14:textId="77777777">
        <w:tc>
          <w:tcPr>
            <w:tcW w:w="5778" w:type="dxa"/>
            <w:tcBorders>
              <w:top w:val="nil"/>
              <w:left w:val="nil"/>
              <w:bottom w:val="single" w:sz="4" w:space="0" w:color="000000"/>
              <w:right w:val="nil"/>
            </w:tcBorders>
            <w:tcMar>
              <w:top w:w="0" w:type="dxa"/>
              <w:left w:w="108" w:type="dxa"/>
              <w:bottom w:w="0" w:type="dxa"/>
              <w:right w:w="108" w:type="dxa"/>
            </w:tcMar>
          </w:tcPr>
          <w:p w14:paraId="0000037A" w14:textId="77777777" w:rsidR="00655AEF" w:rsidRDefault="00655AEF">
            <w:pPr>
              <w:rPr>
                <w:sz w:val="24"/>
                <w:szCs w:val="24"/>
              </w:rPr>
            </w:pPr>
          </w:p>
        </w:tc>
        <w:tc>
          <w:tcPr>
            <w:tcW w:w="2070" w:type="dxa"/>
            <w:tcBorders>
              <w:top w:val="nil"/>
              <w:left w:val="nil"/>
              <w:bottom w:val="single" w:sz="4" w:space="0" w:color="000000"/>
              <w:right w:val="nil"/>
            </w:tcBorders>
            <w:tcMar>
              <w:top w:w="0" w:type="dxa"/>
              <w:left w:w="108" w:type="dxa"/>
              <w:bottom w:w="0" w:type="dxa"/>
              <w:right w:w="108" w:type="dxa"/>
            </w:tcMar>
          </w:tcPr>
          <w:p w14:paraId="0000037B" w14:textId="77777777" w:rsidR="00655AEF" w:rsidRDefault="00000000">
            <w:pPr>
              <w:rPr>
                <w:sz w:val="24"/>
                <w:szCs w:val="24"/>
              </w:rPr>
            </w:pPr>
            <w:r>
              <w:rPr>
                <w:sz w:val="24"/>
                <w:szCs w:val="24"/>
              </w:rPr>
              <w:t>Frequency</w:t>
            </w:r>
          </w:p>
        </w:tc>
        <w:tc>
          <w:tcPr>
            <w:tcW w:w="1728" w:type="dxa"/>
            <w:tcBorders>
              <w:top w:val="nil"/>
              <w:left w:val="nil"/>
              <w:bottom w:val="single" w:sz="4" w:space="0" w:color="000000"/>
              <w:right w:val="nil"/>
            </w:tcBorders>
            <w:tcMar>
              <w:top w:w="0" w:type="dxa"/>
              <w:left w:w="108" w:type="dxa"/>
              <w:bottom w:w="0" w:type="dxa"/>
              <w:right w:w="108" w:type="dxa"/>
            </w:tcMar>
          </w:tcPr>
          <w:p w14:paraId="0000037C" w14:textId="77777777" w:rsidR="00655AEF" w:rsidRDefault="00000000">
            <w:pPr>
              <w:rPr>
                <w:sz w:val="24"/>
                <w:szCs w:val="24"/>
              </w:rPr>
            </w:pPr>
            <w:r>
              <w:rPr>
                <w:sz w:val="24"/>
                <w:szCs w:val="24"/>
              </w:rPr>
              <w:t>Percent</w:t>
            </w:r>
          </w:p>
        </w:tc>
      </w:tr>
      <w:tr w:rsidR="00655AEF" w14:paraId="648EE685" w14:textId="77777777">
        <w:tc>
          <w:tcPr>
            <w:tcW w:w="5778" w:type="dxa"/>
            <w:tcBorders>
              <w:top w:val="single" w:sz="4" w:space="0" w:color="000000"/>
              <w:left w:val="nil"/>
              <w:bottom w:val="nil"/>
              <w:right w:val="nil"/>
            </w:tcBorders>
            <w:tcMar>
              <w:top w:w="0" w:type="dxa"/>
              <w:left w:w="108" w:type="dxa"/>
              <w:bottom w:w="0" w:type="dxa"/>
              <w:right w:w="108" w:type="dxa"/>
            </w:tcMar>
          </w:tcPr>
          <w:p w14:paraId="0000037D" w14:textId="77777777" w:rsidR="00655AEF" w:rsidRDefault="00000000">
            <w:pPr>
              <w:rPr>
                <w:sz w:val="24"/>
                <w:szCs w:val="24"/>
              </w:rPr>
            </w:pPr>
            <w:r>
              <w:rPr>
                <w:sz w:val="24"/>
                <w:szCs w:val="24"/>
              </w:rPr>
              <w:t>Control Group</w:t>
            </w:r>
          </w:p>
        </w:tc>
        <w:tc>
          <w:tcPr>
            <w:tcW w:w="2070" w:type="dxa"/>
            <w:tcBorders>
              <w:top w:val="single" w:sz="4" w:space="0" w:color="000000"/>
              <w:left w:val="nil"/>
              <w:bottom w:val="nil"/>
              <w:right w:val="nil"/>
            </w:tcBorders>
            <w:tcMar>
              <w:top w:w="0" w:type="dxa"/>
              <w:left w:w="108" w:type="dxa"/>
              <w:bottom w:w="0" w:type="dxa"/>
              <w:right w:w="108" w:type="dxa"/>
            </w:tcMar>
          </w:tcPr>
          <w:p w14:paraId="0000037E" w14:textId="77777777" w:rsidR="00655AEF" w:rsidRDefault="00000000">
            <w:pPr>
              <w:rPr>
                <w:sz w:val="24"/>
                <w:szCs w:val="24"/>
              </w:rPr>
            </w:pPr>
            <w:r>
              <w:rPr>
                <w:sz w:val="24"/>
                <w:szCs w:val="24"/>
              </w:rPr>
              <w:t>242</w:t>
            </w:r>
          </w:p>
        </w:tc>
        <w:tc>
          <w:tcPr>
            <w:tcW w:w="1728" w:type="dxa"/>
            <w:tcBorders>
              <w:top w:val="single" w:sz="4" w:space="0" w:color="000000"/>
              <w:left w:val="nil"/>
              <w:bottom w:val="nil"/>
              <w:right w:val="nil"/>
            </w:tcBorders>
            <w:tcMar>
              <w:top w:w="0" w:type="dxa"/>
              <w:left w:w="108" w:type="dxa"/>
              <w:bottom w:w="0" w:type="dxa"/>
              <w:right w:w="108" w:type="dxa"/>
            </w:tcMar>
          </w:tcPr>
          <w:p w14:paraId="0000037F" w14:textId="77777777" w:rsidR="00655AEF" w:rsidRDefault="00000000">
            <w:pPr>
              <w:rPr>
                <w:sz w:val="24"/>
                <w:szCs w:val="24"/>
              </w:rPr>
            </w:pPr>
            <w:r>
              <w:rPr>
                <w:sz w:val="24"/>
                <w:szCs w:val="24"/>
              </w:rPr>
              <w:t>47.27</w:t>
            </w:r>
          </w:p>
        </w:tc>
      </w:tr>
      <w:tr w:rsidR="00655AEF" w14:paraId="592E5B79" w14:textId="77777777">
        <w:tc>
          <w:tcPr>
            <w:tcW w:w="5778" w:type="dxa"/>
            <w:tcBorders>
              <w:top w:val="nil"/>
              <w:left w:val="nil"/>
              <w:bottom w:val="single" w:sz="4" w:space="0" w:color="000000"/>
              <w:right w:val="nil"/>
            </w:tcBorders>
            <w:tcMar>
              <w:top w:w="0" w:type="dxa"/>
              <w:left w:w="108" w:type="dxa"/>
              <w:bottom w:w="0" w:type="dxa"/>
              <w:right w:w="108" w:type="dxa"/>
            </w:tcMar>
          </w:tcPr>
          <w:p w14:paraId="00000380" w14:textId="77777777" w:rsidR="00655AEF" w:rsidRDefault="00000000">
            <w:pPr>
              <w:rPr>
                <w:sz w:val="24"/>
                <w:szCs w:val="24"/>
              </w:rPr>
            </w:pPr>
            <w:r>
              <w:rPr>
                <w:sz w:val="24"/>
                <w:szCs w:val="24"/>
              </w:rPr>
              <w:t>Treatment Group</w:t>
            </w:r>
          </w:p>
        </w:tc>
        <w:tc>
          <w:tcPr>
            <w:tcW w:w="2070" w:type="dxa"/>
            <w:tcBorders>
              <w:top w:val="nil"/>
              <w:left w:val="nil"/>
              <w:bottom w:val="single" w:sz="4" w:space="0" w:color="000000"/>
              <w:right w:val="nil"/>
            </w:tcBorders>
            <w:tcMar>
              <w:top w:w="0" w:type="dxa"/>
              <w:left w:w="108" w:type="dxa"/>
              <w:bottom w:w="0" w:type="dxa"/>
              <w:right w:w="108" w:type="dxa"/>
            </w:tcMar>
          </w:tcPr>
          <w:p w14:paraId="00000381" w14:textId="77777777" w:rsidR="00655AEF" w:rsidRDefault="00000000">
            <w:pPr>
              <w:rPr>
                <w:sz w:val="24"/>
                <w:szCs w:val="24"/>
              </w:rPr>
            </w:pPr>
            <w:r>
              <w:rPr>
                <w:sz w:val="24"/>
                <w:szCs w:val="24"/>
              </w:rPr>
              <w:t>270</w:t>
            </w:r>
          </w:p>
        </w:tc>
        <w:tc>
          <w:tcPr>
            <w:tcW w:w="1728" w:type="dxa"/>
            <w:tcBorders>
              <w:top w:val="nil"/>
              <w:left w:val="nil"/>
              <w:bottom w:val="single" w:sz="4" w:space="0" w:color="000000"/>
              <w:right w:val="nil"/>
            </w:tcBorders>
            <w:tcMar>
              <w:top w:w="0" w:type="dxa"/>
              <w:left w:w="108" w:type="dxa"/>
              <w:bottom w:w="0" w:type="dxa"/>
              <w:right w:w="108" w:type="dxa"/>
            </w:tcMar>
          </w:tcPr>
          <w:p w14:paraId="00000382" w14:textId="77777777" w:rsidR="00655AEF" w:rsidRDefault="00000000">
            <w:pPr>
              <w:rPr>
                <w:sz w:val="24"/>
                <w:szCs w:val="24"/>
              </w:rPr>
            </w:pPr>
            <w:r>
              <w:rPr>
                <w:sz w:val="24"/>
                <w:szCs w:val="24"/>
              </w:rPr>
              <w:t>52.73</w:t>
            </w:r>
          </w:p>
        </w:tc>
      </w:tr>
      <w:tr w:rsidR="00655AEF" w14:paraId="62782505" w14:textId="77777777">
        <w:tc>
          <w:tcPr>
            <w:tcW w:w="5778" w:type="dxa"/>
            <w:tcBorders>
              <w:top w:val="single" w:sz="4" w:space="0" w:color="000000"/>
              <w:left w:val="nil"/>
              <w:bottom w:val="single" w:sz="4" w:space="0" w:color="000000"/>
              <w:right w:val="nil"/>
            </w:tcBorders>
            <w:tcMar>
              <w:top w:w="0" w:type="dxa"/>
              <w:left w:w="108" w:type="dxa"/>
              <w:bottom w:w="0" w:type="dxa"/>
              <w:right w:w="108" w:type="dxa"/>
            </w:tcMar>
          </w:tcPr>
          <w:p w14:paraId="00000383" w14:textId="77777777" w:rsidR="00655AEF" w:rsidRDefault="00000000">
            <w:pPr>
              <w:rPr>
                <w:sz w:val="24"/>
                <w:szCs w:val="24"/>
              </w:rPr>
            </w:pPr>
            <w:r>
              <w:rPr>
                <w:sz w:val="24"/>
                <w:szCs w:val="24"/>
              </w:rPr>
              <w:t>Total</w:t>
            </w:r>
          </w:p>
        </w:tc>
        <w:tc>
          <w:tcPr>
            <w:tcW w:w="2070" w:type="dxa"/>
            <w:tcBorders>
              <w:top w:val="single" w:sz="4" w:space="0" w:color="000000"/>
              <w:left w:val="nil"/>
              <w:bottom w:val="single" w:sz="4" w:space="0" w:color="000000"/>
              <w:right w:val="nil"/>
            </w:tcBorders>
            <w:tcMar>
              <w:top w:w="0" w:type="dxa"/>
              <w:left w:w="108" w:type="dxa"/>
              <w:bottom w:w="0" w:type="dxa"/>
              <w:right w:w="108" w:type="dxa"/>
            </w:tcMar>
          </w:tcPr>
          <w:p w14:paraId="00000384" w14:textId="77777777" w:rsidR="00655AEF" w:rsidRDefault="00000000">
            <w:pPr>
              <w:rPr>
                <w:sz w:val="24"/>
                <w:szCs w:val="24"/>
              </w:rPr>
            </w:pPr>
            <w:r>
              <w:rPr>
                <w:sz w:val="24"/>
                <w:szCs w:val="24"/>
              </w:rPr>
              <w:t>512</w:t>
            </w:r>
          </w:p>
        </w:tc>
        <w:tc>
          <w:tcPr>
            <w:tcW w:w="1728" w:type="dxa"/>
            <w:tcBorders>
              <w:top w:val="single" w:sz="4" w:space="0" w:color="000000"/>
              <w:left w:val="nil"/>
              <w:bottom w:val="single" w:sz="4" w:space="0" w:color="000000"/>
              <w:right w:val="nil"/>
            </w:tcBorders>
            <w:tcMar>
              <w:top w:w="0" w:type="dxa"/>
              <w:left w:w="108" w:type="dxa"/>
              <w:bottom w:w="0" w:type="dxa"/>
              <w:right w:w="108" w:type="dxa"/>
            </w:tcMar>
          </w:tcPr>
          <w:p w14:paraId="00000385" w14:textId="77777777" w:rsidR="00655AEF" w:rsidRDefault="00000000">
            <w:pPr>
              <w:rPr>
                <w:sz w:val="24"/>
                <w:szCs w:val="24"/>
              </w:rPr>
            </w:pPr>
            <w:r>
              <w:rPr>
                <w:sz w:val="24"/>
                <w:szCs w:val="24"/>
              </w:rPr>
              <w:t>100.00</w:t>
            </w:r>
          </w:p>
        </w:tc>
      </w:tr>
    </w:tbl>
    <w:p w14:paraId="00000386" w14:textId="77777777" w:rsidR="00655AEF" w:rsidRDefault="00655AEF">
      <w:pPr>
        <w:rPr>
          <w:sz w:val="24"/>
          <w:szCs w:val="24"/>
        </w:rPr>
      </w:pPr>
    </w:p>
    <w:p w14:paraId="00000387" w14:textId="77777777" w:rsidR="00655AEF" w:rsidRDefault="00655AEF">
      <w:pPr>
        <w:rPr>
          <w:sz w:val="24"/>
          <w:szCs w:val="24"/>
        </w:rPr>
      </w:pPr>
    </w:p>
    <w:p w14:paraId="00000388" w14:textId="77777777" w:rsidR="00655AEF" w:rsidRDefault="00000000">
      <w:pPr>
        <w:keepNext/>
      </w:pPr>
      <w:r>
        <w:rPr>
          <w:rFonts w:ascii="Times New Roman" w:eastAsia="Times New Roman" w:hAnsi="Times New Roman" w:cs="Times New Roman"/>
          <w:noProof/>
          <w:sz w:val="24"/>
          <w:szCs w:val="24"/>
        </w:rPr>
        <w:drawing>
          <wp:inline distT="0" distB="0" distL="0" distR="0" wp14:anchorId="6E1D906C" wp14:editId="7F3A7013">
            <wp:extent cx="4800600" cy="27051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389" w14:textId="77777777" w:rsidR="00655AEF" w:rsidRDefault="00000000">
      <w:pPr>
        <w:pBdr>
          <w:top w:val="nil"/>
          <w:left w:val="nil"/>
          <w:bottom w:val="nil"/>
          <w:right w:val="nil"/>
          <w:between w:val="nil"/>
        </w:pBdr>
        <w:spacing w:after="200"/>
        <w:rPr>
          <w:rFonts w:ascii="Times New Roman" w:eastAsia="Times New Roman" w:hAnsi="Times New Roman" w:cs="Times New Roman"/>
          <w:b/>
          <w:color w:val="4F81BD"/>
          <w:sz w:val="24"/>
          <w:szCs w:val="24"/>
        </w:rPr>
      </w:pPr>
      <w:bookmarkStart w:id="74" w:name="_heading=h.hkikta82api0" w:colFirst="0" w:colLast="0"/>
      <w:bookmarkEnd w:id="74"/>
      <w:r>
        <w:rPr>
          <w:b/>
          <w:color w:val="4F81BD"/>
          <w:sz w:val="18"/>
          <w:szCs w:val="18"/>
        </w:rPr>
        <w:t>Figure 9: Clinical intervention and control group</w:t>
      </w:r>
    </w:p>
    <w:p w14:paraId="0000038A" w14:textId="77777777" w:rsidR="00655AEF" w:rsidRDefault="00655AEF">
      <w:pPr>
        <w:rPr>
          <w:rFonts w:ascii="Times New Roman" w:eastAsia="Times New Roman" w:hAnsi="Times New Roman" w:cs="Times New Roman"/>
          <w:sz w:val="24"/>
          <w:szCs w:val="24"/>
        </w:rPr>
      </w:pPr>
    </w:p>
    <w:p w14:paraId="0000038B" w14:textId="77777777" w:rsidR="00655AEF" w:rsidRDefault="00000000">
      <w:pPr>
        <w:pStyle w:val="Heading3"/>
        <w:numPr>
          <w:ilvl w:val="2"/>
          <w:numId w:val="11"/>
        </w:numPr>
        <w:rPr>
          <w:sz w:val="24"/>
          <w:szCs w:val="24"/>
        </w:rPr>
      </w:pPr>
      <w:bookmarkStart w:id="75" w:name="_heading=h.upkt2xsorhz4" w:colFirst="0" w:colLast="0"/>
      <w:bookmarkEnd w:id="75"/>
      <w:r>
        <w:rPr>
          <w:sz w:val="24"/>
          <w:szCs w:val="24"/>
        </w:rPr>
        <w:t>Reasons for Antiretroviral Drug Substitution</w:t>
      </w:r>
    </w:p>
    <w:p w14:paraId="0000038C" w14:textId="77777777" w:rsidR="00655AEF" w:rsidRDefault="00000000">
      <w:pPr>
        <w:spacing w:after="240" w:line="360" w:lineRule="auto"/>
        <w:jc w:val="both"/>
        <w:rPr>
          <w:sz w:val="24"/>
          <w:szCs w:val="24"/>
        </w:rPr>
      </w:pPr>
      <w:r>
        <w:rPr>
          <w:sz w:val="24"/>
          <w:szCs w:val="24"/>
        </w:rPr>
        <w:t>The data, detail the reasons for antiretroviral (ARV) drug substitution among 79 instances, and offers crucial insights into the operational and clinical challenges faced in maintaining optimal HIV treatment regimens.</w:t>
      </w:r>
    </w:p>
    <w:p w14:paraId="0000038D" w14:textId="77777777" w:rsidR="00655AEF" w:rsidRDefault="00000000">
      <w:pPr>
        <w:spacing w:after="240" w:line="360" w:lineRule="auto"/>
        <w:jc w:val="both"/>
        <w:rPr>
          <w:sz w:val="24"/>
          <w:szCs w:val="24"/>
        </w:rPr>
      </w:pPr>
      <w:r>
        <w:rPr>
          <w:sz w:val="24"/>
          <w:szCs w:val="24"/>
        </w:rPr>
        <w:t>Overwhelmingly, drug out of stock stood out as the primary driver for drug substitution, accounting for a staggering 79.75% (63 out of 79 cases). This finding was extremely concerning and points to significant systemic vulnerabilities in the ARV supply chain or inventory management within healthcare facilities in Kakamega County. Frequent stock-outs necessitated immediate changes to patient regimens, which could have several detrimental effects.</w:t>
      </w:r>
    </w:p>
    <w:p w14:paraId="0000038E" w14:textId="77777777" w:rsidR="00655AEF" w:rsidRDefault="00000000">
      <w:pPr>
        <w:spacing w:after="240" w:line="360" w:lineRule="auto"/>
        <w:jc w:val="both"/>
        <w:rPr>
          <w:sz w:val="24"/>
          <w:szCs w:val="24"/>
        </w:rPr>
      </w:pPr>
      <w:r>
        <w:rPr>
          <w:sz w:val="24"/>
          <w:szCs w:val="24"/>
        </w:rPr>
        <w:t>Patients may be switched to less optimal or second-line regimens, potentially impacting viral suppression rates. Further, unplanned switches or interruptions due to stock-outs can increase the risk of developing drug resistance, limiting future treatment options.</w:t>
      </w:r>
    </w:p>
    <w:p w14:paraId="0000038F" w14:textId="77777777" w:rsidR="00655AEF" w:rsidRDefault="00000000">
      <w:pPr>
        <w:spacing w:after="240" w:line="360" w:lineRule="auto"/>
        <w:jc w:val="both"/>
        <w:rPr>
          <w:sz w:val="24"/>
          <w:szCs w:val="24"/>
        </w:rPr>
      </w:pPr>
      <w:r>
        <w:rPr>
          <w:sz w:val="24"/>
          <w:szCs w:val="24"/>
        </w:rPr>
        <w:t>Unexpected changes can confuse patients, erode trust in the healthcare system, and make adherence more difficult, especially if the new regimen has different dosing schedules or side effect profiles.</w:t>
      </w:r>
    </w:p>
    <w:p w14:paraId="00000390" w14:textId="77777777" w:rsidR="00655AEF" w:rsidRDefault="00000000">
      <w:pPr>
        <w:spacing w:after="240" w:line="360" w:lineRule="auto"/>
        <w:jc w:val="both"/>
        <w:rPr>
          <w:sz w:val="24"/>
          <w:szCs w:val="24"/>
        </w:rPr>
      </w:pPr>
      <w:r>
        <w:rPr>
          <w:sz w:val="24"/>
          <w:szCs w:val="24"/>
        </w:rPr>
        <w:t>Finally, managing frequent substitutions due to stock-outs places an additional burden on clinicians and pharmacists, diverting resources from other essential patient care activities.</w:t>
      </w:r>
    </w:p>
    <w:p w14:paraId="00000391" w14:textId="77777777" w:rsidR="00655AEF" w:rsidRDefault="00000000">
      <w:pPr>
        <w:spacing w:after="240" w:line="360" w:lineRule="auto"/>
        <w:jc w:val="both"/>
        <w:rPr>
          <w:sz w:val="24"/>
          <w:szCs w:val="24"/>
        </w:rPr>
      </w:pPr>
      <w:r>
        <w:rPr>
          <w:sz w:val="24"/>
          <w:szCs w:val="24"/>
        </w:rPr>
        <w:t>The high frequency of this reason underscores the urgent need for a more resilient and efficient supply chain management system to ensure consistent availability of essential ARV medications.</w:t>
      </w:r>
    </w:p>
    <w:p w14:paraId="00000392" w14:textId="77777777" w:rsidR="00655AEF" w:rsidRDefault="00000000">
      <w:pPr>
        <w:spacing w:after="240" w:line="360" w:lineRule="auto"/>
        <w:jc w:val="both"/>
        <w:rPr>
          <w:sz w:val="24"/>
          <w:szCs w:val="24"/>
        </w:rPr>
      </w:pPr>
      <w:r>
        <w:rPr>
          <w:sz w:val="24"/>
          <w:szCs w:val="24"/>
        </w:rPr>
        <w:t xml:space="preserve">Other significant reasons for drug substitution reflect clinical best practices and patient safety considerations. New drug available (6.33%, 5 cases) indicates a positive trend where patients are being switched to newer, often more potent, tolerable, or convenient regimens. This aligns with global efforts to optimize ART and improve patient quality of </w:t>
      </w:r>
      <w:r>
        <w:rPr>
          <w:sz w:val="24"/>
          <w:szCs w:val="24"/>
        </w:rPr>
        <w:lastRenderedPageBreak/>
        <w:t>life and adherence.</w:t>
      </w:r>
    </w:p>
    <w:p w14:paraId="00000393" w14:textId="77777777" w:rsidR="00655AEF" w:rsidRDefault="00000000">
      <w:pPr>
        <w:spacing w:after="240" w:line="360" w:lineRule="auto"/>
        <w:jc w:val="both"/>
        <w:rPr>
          <w:sz w:val="24"/>
          <w:szCs w:val="24"/>
        </w:rPr>
      </w:pPr>
      <w:r>
        <w:rPr>
          <w:sz w:val="24"/>
          <w:szCs w:val="24"/>
        </w:rPr>
        <w:t>Risk of pregnancy (6.33%, 5 cases) and Pregnancy (5.06%, 4 cases) collectively represent a substantial proportion of substitutions. This is a critical clinical decision, as certain ARVs have contraindications or are less preferred during pregnancy due to potential risks to the fetus or inadequate data on safety. Switching regimens for pregnant individuals or those at risk is a crucial measure to ensure both maternal and child health, aligning with prevention of mother-to-child transmission (PMTCT) guidelines.</w:t>
      </w:r>
    </w:p>
    <w:p w14:paraId="00000394" w14:textId="77777777" w:rsidR="00655AEF" w:rsidRDefault="00000000">
      <w:pPr>
        <w:spacing w:after="240" w:line="360" w:lineRule="auto"/>
        <w:jc w:val="both"/>
        <w:rPr>
          <w:sz w:val="24"/>
          <w:szCs w:val="24"/>
        </w:rPr>
      </w:pPr>
      <w:r>
        <w:rPr>
          <w:sz w:val="24"/>
          <w:szCs w:val="24"/>
        </w:rPr>
        <w:t>Less frequent, but clinically important, reasons include newly diagnosed TB (1.27%, 1 case) and Toxicity side effects (1.27%, 1 case). Co-infection with Tuberculosis often requires careful adjustment of ARV regimens to avoid drug-drug interactions and manage the combined treatment effectively. Similarly, severe toxicity or intolerable side effects necessitate immediate drug substitution to improve patient tolerance and adherence, thereby preventing treatment discontinuation.</w:t>
      </w:r>
    </w:p>
    <w:p w14:paraId="00000395" w14:textId="77777777" w:rsidR="00655AEF" w:rsidRDefault="00000000">
      <w:pPr>
        <w:spacing w:after="240" w:line="360" w:lineRule="auto"/>
        <w:jc w:val="both"/>
        <w:rPr>
          <w:sz w:val="24"/>
          <w:szCs w:val="24"/>
        </w:rPr>
      </w:pPr>
      <w:r>
        <w:rPr>
          <w:sz w:val="24"/>
          <w:szCs w:val="24"/>
        </w:rPr>
        <w:t>Finally, while clinical considerations like pregnancy, new drug availability, and toxicity are expected reasons for ARV substitution, the overwhelming dominance of drug out of stock as the primary cause is a major concern. Addressing this systemic issue through improved procurement, supply chain logistics, and inventory management is paramount. Simultaneously, robust clinical monitoring and adherence support remain vital to ensure that drug substitutions, whether supply-driven or clinically indicated, do not compromise the long-term success of HIV treatment programs in Kakamega County. This is summarized in the table and figure below.</w:t>
      </w:r>
    </w:p>
    <w:p w14:paraId="00000396" w14:textId="77777777" w:rsidR="00655AEF" w:rsidRDefault="00000000">
      <w:pPr>
        <w:keepNext/>
        <w:pBdr>
          <w:top w:val="nil"/>
          <w:left w:val="nil"/>
          <w:bottom w:val="nil"/>
          <w:right w:val="nil"/>
          <w:between w:val="nil"/>
        </w:pBdr>
        <w:spacing w:after="200"/>
        <w:rPr>
          <w:b/>
          <w:color w:val="4F81BD"/>
          <w:sz w:val="18"/>
          <w:szCs w:val="18"/>
        </w:rPr>
      </w:pPr>
      <w:bookmarkStart w:id="76" w:name="_heading=h.c8a2pwd765qx" w:colFirst="0" w:colLast="0"/>
      <w:bookmarkEnd w:id="76"/>
      <w:r>
        <w:rPr>
          <w:b/>
          <w:color w:val="4F81BD"/>
          <w:sz w:val="18"/>
          <w:szCs w:val="18"/>
        </w:rPr>
        <w:t>Table 14: Reasons for drug substitute</w:t>
      </w:r>
    </w:p>
    <w:tbl>
      <w:tblPr>
        <w:tblStyle w:val="ac"/>
        <w:tblW w:w="8730" w:type="dxa"/>
        <w:tblInd w:w="0" w:type="dxa"/>
        <w:tblLayout w:type="fixed"/>
        <w:tblLook w:val="0000" w:firstRow="0" w:lastRow="0" w:firstColumn="0" w:lastColumn="0" w:noHBand="0" w:noVBand="0"/>
      </w:tblPr>
      <w:tblGrid>
        <w:gridCol w:w="734"/>
        <w:gridCol w:w="4216"/>
        <w:gridCol w:w="1890"/>
        <w:gridCol w:w="1890"/>
      </w:tblGrid>
      <w:tr w:rsidR="00655AEF" w14:paraId="36311885" w14:textId="77777777">
        <w:trPr>
          <w:cantSplit/>
        </w:trPr>
        <w:tc>
          <w:tcPr>
            <w:tcW w:w="4950" w:type="dxa"/>
            <w:gridSpan w:val="2"/>
            <w:shd w:val="clear" w:color="auto" w:fill="FFFFFF"/>
            <w:tcMar>
              <w:top w:w="0" w:type="dxa"/>
              <w:left w:w="0" w:type="dxa"/>
              <w:bottom w:w="0" w:type="dxa"/>
              <w:right w:w="0" w:type="dxa"/>
            </w:tcMar>
          </w:tcPr>
          <w:p w14:paraId="00000397" w14:textId="77777777" w:rsidR="00655AEF" w:rsidRDefault="00655AEF">
            <w:pPr>
              <w:rPr>
                <w:sz w:val="24"/>
                <w:szCs w:val="24"/>
              </w:rPr>
            </w:pPr>
          </w:p>
        </w:tc>
        <w:tc>
          <w:tcPr>
            <w:tcW w:w="1890" w:type="dxa"/>
            <w:shd w:val="clear" w:color="auto" w:fill="FFFFFF"/>
            <w:tcMar>
              <w:top w:w="0" w:type="dxa"/>
              <w:left w:w="0" w:type="dxa"/>
              <w:bottom w:w="0" w:type="dxa"/>
              <w:right w:w="0" w:type="dxa"/>
            </w:tcMar>
          </w:tcPr>
          <w:p w14:paraId="00000399" w14:textId="77777777" w:rsidR="00655AEF" w:rsidRDefault="00000000">
            <w:pPr>
              <w:rPr>
                <w:sz w:val="24"/>
                <w:szCs w:val="24"/>
              </w:rPr>
            </w:pPr>
            <w:r>
              <w:rPr>
                <w:sz w:val="24"/>
                <w:szCs w:val="24"/>
              </w:rPr>
              <w:t>Frequency</w:t>
            </w:r>
          </w:p>
        </w:tc>
        <w:tc>
          <w:tcPr>
            <w:tcW w:w="1890" w:type="dxa"/>
            <w:shd w:val="clear" w:color="auto" w:fill="FFFFFF"/>
            <w:tcMar>
              <w:top w:w="0" w:type="dxa"/>
              <w:left w:w="0" w:type="dxa"/>
              <w:bottom w:w="0" w:type="dxa"/>
              <w:right w:w="0" w:type="dxa"/>
            </w:tcMar>
          </w:tcPr>
          <w:p w14:paraId="0000039A" w14:textId="77777777" w:rsidR="00655AEF" w:rsidRDefault="00000000">
            <w:pPr>
              <w:rPr>
                <w:sz w:val="24"/>
                <w:szCs w:val="24"/>
              </w:rPr>
            </w:pPr>
            <w:r>
              <w:rPr>
                <w:sz w:val="24"/>
                <w:szCs w:val="24"/>
              </w:rPr>
              <w:t>Percent</w:t>
            </w:r>
          </w:p>
        </w:tc>
      </w:tr>
      <w:tr w:rsidR="00655AEF" w14:paraId="148668C8" w14:textId="77777777">
        <w:trPr>
          <w:cantSplit/>
        </w:trPr>
        <w:tc>
          <w:tcPr>
            <w:tcW w:w="734" w:type="dxa"/>
            <w:vMerge w:val="restart"/>
            <w:shd w:val="clear" w:color="auto" w:fill="FFFFFF"/>
            <w:tcMar>
              <w:top w:w="0" w:type="dxa"/>
              <w:left w:w="0" w:type="dxa"/>
              <w:bottom w:w="0" w:type="dxa"/>
              <w:right w:w="0" w:type="dxa"/>
            </w:tcMar>
            <w:vAlign w:val="center"/>
          </w:tcPr>
          <w:p w14:paraId="0000039B" w14:textId="77777777" w:rsidR="00655AEF" w:rsidRDefault="00655AEF">
            <w:pPr>
              <w:rPr>
                <w:sz w:val="24"/>
                <w:szCs w:val="24"/>
              </w:rPr>
            </w:pPr>
          </w:p>
        </w:tc>
        <w:tc>
          <w:tcPr>
            <w:tcW w:w="4216" w:type="dxa"/>
            <w:tcBorders>
              <w:top w:val="single" w:sz="4" w:space="0" w:color="000000"/>
            </w:tcBorders>
            <w:shd w:val="clear" w:color="auto" w:fill="FFFFFF"/>
            <w:tcMar>
              <w:top w:w="0" w:type="dxa"/>
              <w:left w:w="0" w:type="dxa"/>
              <w:bottom w:w="0" w:type="dxa"/>
              <w:right w:w="0" w:type="dxa"/>
            </w:tcMar>
            <w:vAlign w:val="center"/>
          </w:tcPr>
          <w:p w14:paraId="0000039C" w14:textId="77777777" w:rsidR="00655AEF" w:rsidRDefault="00000000">
            <w:pPr>
              <w:rPr>
                <w:sz w:val="24"/>
                <w:szCs w:val="24"/>
              </w:rPr>
            </w:pPr>
            <w:r>
              <w:rPr>
                <w:sz w:val="24"/>
                <w:szCs w:val="24"/>
              </w:rPr>
              <w:t>Drug out of stock</w:t>
            </w:r>
          </w:p>
        </w:tc>
        <w:tc>
          <w:tcPr>
            <w:tcW w:w="1890" w:type="dxa"/>
            <w:tcBorders>
              <w:top w:val="single" w:sz="4" w:space="0" w:color="000000"/>
            </w:tcBorders>
            <w:shd w:val="clear" w:color="auto" w:fill="FFFFFF"/>
            <w:tcMar>
              <w:top w:w="0" w:type="dxa"/>
              <w:left w:w="0" w:type="dxa"/>
              <w:bottom w:w="0" w:type="dxa"/>
              <w:right w:w="0" w:type="dxa"/>
            </w:tcMar>
            <w:vAlign w:val="center"/>
          </w:tcPr>
          <w:p w14:paraId="0000039D" w14:textId="77777777" w:rsidR="00655AEF" w:rsidRDefault="00000000">
            <w:pPr>
              <w:rPr>
                <w:sz w:val="24"/>
                <w:szCs w:val="24"/>
              </w:rPr>
            </w:pPr>
            <w:r>
              <w:rPr>
                <w:sz w:val="24"/>
                <w:szCs w:val="24"/>
              </w:rPr>
              <w:t>63</w:t>
            </w:r>
          </w:p>
        </w:tc>
        <w:tc>
          <w:tcPr>
            <w:tcW w:w="1890" w:type="dxa"/>
            <w:tcBorders>
              <w:top w:val="single" w:sz="4" w:space="0" w:color="000000"/>
            </w:tcBorders>
            <w:shd w:val="clear" w:color="auto" w:fill="FFFFFF"/>
            <w:tcMar>
              <w:top w:w="0" w:type="dxa"/>
              <w:left w:w="0" w:type="dxa"/>
              <w:bottom w:w="0" w:type="dxa"/>
              <w:right w:w="0" w:type="dxa"/>
            </w:tcMar>
            <w:vAlign w:val="center"/>
          </w:tcPr>
          <w:p w14:paraId="0000039E" w14:textId="77777777" w:rsidR="00655AEF" w:rsidRDefault="00000000">
            <w:pPr>
              <w:rPr>
                <w:sz w:val="24"/>
                <w:szCs w:val="24"/>
              </w:rPr>
            </w:pPr>
            <w:r>
              <w:rPr>
                <w:sz w:val="24"/>
                <w:szCs w:val="24"/>
              </w:rPr>
              <w:t>79.75</w:t>
            </w:r>
          </w:p>
        </w:tc>
      </w:tr>
      <w:tr w:rsidR="00655AEF" w14:paraId="036E788F" w14:textId="77777777">
        <w:trPr>
          <w:cantSplit/>
        </w:trPr>
        <w:tc>
          <w:tcPr>
            <w:tcW w:w="734" w:type="dxa"/>
            <w:vMerge/>
            <w:shd w:val="clear" w:color="auto" w:fill="FFFFFF"/>
            <w:tcMar>
              <w:top w:w="0" w:type="dxa"/>
              <w:left w:w="0" w:type="dxa"/>
              <w:bottom w:w="0" w:type="dxa"/>
              <w:right w:w="0" w:type="dxa"/>
            </w:tcMar>
            <w:vAlign w:val="center"/>
          </w:tcPr>
          <w:p w14:paraId="0000039F" w14:textId="77777777" w:rsidR="00655AEF" w:rsidRDefault="00655AEF">
            <w:pPr>
              <w:pBdr>
                <w:top w:val="nil"/>
                <w:left w:val="nil"/>
                <w:bottom w:val="nil"/>
                <w:right w:val="nil"/>
                <w:between w:val="nil"/>
              </w:pBdr>
              <w:spacing w:line="276" w:lineRule="auto"/>
              <w:rPr>
                <w:sz w:val="24"/>
                <w:szCs w:val="24"/>
              </w:rPr>
            </w:pPr>
          </w:p>
        </w:tc>
        <w:tc>
          <w:tcPr>
            <w:tcW w:w="4216" w:type="dxa"/>
            <w:shd w:val="clear" w:color="auto" w:fill="FFFFFF"/>
            <w:tcMar>
              <w:top w:w="0" w:type="dxa"/>
              <w:left w:w="0" w:type="dxa"/>
              <w:bottom w:w="0" w:type="dxa"/>
              <w:right w:w="0" w:type="dxa"/>
            </w:tcMar>
            <w:vAlign w:val="center"/>
          </w:tcPr>
          <w:p w14:paraId="000003A0" w14:textId="77777777" w:rsidR="00655AEF" w:rsidRDefault="00000000">
            <w:pPr>
              <w:rPr>
                <w:sz w:val="24"/>
                <w:szCs w:val="24"/>
              </w:rPr>
            </w:pPr>
            <w:r>
              <w:rPr>
                <w:sz w:val="24"/>
                <w:szCs w:val="24"/>
              </w:rPr>
              <w:t>New drug available</w:t>
            </w:r>
          </w:p>
        </w:tc>
        <w:tc>
          <w:tcPr>
            <w:tcW w:w="1890" w:type="dxa"/>
            <w:shd w:val="clear" w:color="auto" w:fill="FFFFFF"/>
            <w:tcMar>
              <w:top w:w="0" w:type="dxa"/>
              <w:left w:w="0" w:type="dxa"/>
              <w:bottom w:w="0" w:type="dxa"/>
              <w:right w:w="0" w:type="dxa"/>
            </w:tcMar>
            <w:vAlign w:val="center"/>
          </w:tcPr>
          <w:p w14:paraId="000003A1" w14:textId="77777777" w:rsidR="00655AEF" w:rsidRDefault="00000000">
            <w:pPr>
              <w:rPr>
                <w:sz w:val="24"/>
                <w:szCs w:val="24"/>
              </w:rPr>
            </w:pPr>
            <w:r>
              <w:rPr>
                <w:sz w:val="24"/>
                <w:szCs w:val="24"/>
              </w:rPr>
              <w:t>5</w:t>
            </w:r>
          </w:p>
        </w:tc>
        <w:tc>
          <w:tcPr>
            <w:tcW w:w="1890" w:type="dxa"/>
            <w:shd w:val="clear" w:color="auto" w:fill="FFFFFF"/>
            <w:tcMar>
              <w:top w:w="0" w:type="dxa"/>
              <w:left w:w="0" w:type="dxa"/>
              <w:bottom w:w="0" w:type="dxa"/>
              <w:right w:w="0" w:type="dxa"/>
            </w:tcMar>
            <w:vAlign w:val="center"/>
          </w:tcPr>
          <w:p w14:paraId="000003A2" w14:textId="77777777" w:rsidR="00655AEF" w:rsidRDefault="00000000">
            <w:pPr>
              <w:rPr>
                <w:sz w:val="24"/>
                <w:szCs w:val="24"/>
              </w:rPr>
            </w:pPr>
            <w:r>
              <w:rPr>
                <w:sz w:val="24"/>
                <w:szCs w:val="24"/>
              </w:rPr>
              <w:t>6.33</w:t>
            </w:r>
          </w:p>
        </w:tc>
      </w:tr>
      <w:tr w:rsidR="00655AEF" w14:paraId="4013A665" w14:textId="77777777">
        <w:trPr>
          <w:cantSplit/>
        </w:trPr>
        <w:tc>
          <w:tcPr>
            <w:tcW w:w="734" w:type="dxa"/>
            <w:vMerge/>
            <w:shd w:val="clear" w:color="auto" w:fill="FFFFFF"/>
            <w:tcMar>
              <w:top w:w="0" w:type="dxa"/>
              <w:left w:w="0" w:type="dxa"/>
              <w:bottom w:w="0" w:type="dxa"/>
              <w:right w:w="0" w:type="dxa"/>
            </w:tcMar>
            <w:vAlign w:val="center"/>
          </w:tcPr>
          <w:p w14:paraId="000003A3" w14:textId="77777777" w:rsidR="00655AEF" w:rsidRDefault="00655AEF">
            <w:pPr>
              <w:pBdr>
                <w:top w:val="nil"/>
                <w:left w:val="nil"/>
                <w:bottom w:val="nil"/>
                <w:right w:val="nil"/>
                <w:between w:val="nil"/>
              </w:pBdr>
              <w:spacing w:line="276" w:lineRule="auto"/>
              <w:rPr>
                <w:sz w:val="24"/>
                <w:szCs w:val="24"/>
              </w:rPr>
            </w:pPr>
          </w:p>
        </w:tc>
        <w:tc>
          <w:tcPr>
            <w:tcW w:w="4216" w:type="dxa"/>
            <w:shd w:val="clear" w:color="auto" w:fill="FFFFFF"/>
            <w:tcMar>
              <w:top w:w="0" w:type="dxa"/>
              <w:left w:w="0" w:type="dxa"/>
              <w:bottom w:w="0" w:type="dxa"/>
              <w:right w:w="0" w:type="dxa"/>
            </w:tcMar>
            <w:vAlign w:val="center"/>
          </w:tcPr>
          <w:p w14:paraId="000003A4" w14:textId="77777777" w:rsidR="00655AEF" w:rsidRDefault="00000000">
            <w:pPr>
              <w:rPr>
                <w:sz w:val="24"/>
                <w:szCs w:val="24"/>
              </w:rPr>
            </w:pPr>
            <w:r>
              <w:rPr>
                <w:sz w:val="24"/>
                <w:szCs w:val="24"/>
              </w:rPr>
              <w:t>Newly diagnosed TB</w:t>
            </w:r>
          </w:p>
        </w:tc>
        <w:tc>
          <w:tcPr>
            <w:tcW w:w="1890" w:type="dxa"/>
            <w:shd w:val="clear" w:color="auto" w:fill="FFFFFF"/>
            <w:tcMar>
              <w:top w:w="0" w:type="dxa"/>
              <w:left w:w="0" w:type="dxa"/>
              <w:bottom w:w="0" w:type="dxa"/>
              <w:right w:w="0" w:type="dxa"/>
            </w:tcMar>
            <w:vAlign w:val="center"/>
          </w:tcPr>
          <w:p w14:paraId="000003A5" w14:textId="77777777" w:rsidR="00655AEF" w:rsidRDefault="00000000">
            <w:pPr>
              <w:rPr>
                <w:sz w:val="24"/>
                <w:szCs w:val="24"/>
              </w:rPr>
            </w:pPr>
            <w:r>
              <w:rPr>
                <w:sz w:val="24"/>
                <w:szCs w:val="24"/>
              </w:rPr>
              <w:t>1</w:t>
            </w:r>
          </w:p>
        </w:tc>
        <w:tc>
          <w:tcPr>
            <w:tcW w:w="1890" w:type="dxa"/>
            <w:shd w:val="clear" w:color="auto" w:fill="FFFFFF"/>
            <w:tcMar>
              <w:top w:w="0" w:type="dxa"/>
              <w:left w:w="0" w:type="dxa"/>
              <w:bottom w:w="0" w:type="dxa"/>
              <w:right w:w="0" w:type="dxa"/>
            </w:tcMar>
            <w:vAlign w:val="center"/>
          </w:tcPr>
          <w:p w14:paraId="000003A6" w14:textId="77777777" w:rsidR="00655AEF" w:rsidRDefault="00000000">
            <w:pPr>
              <w:rPr>
                <w:sz w:val="24"/>
                <w:szCs w:val="24"/>
              </w:rPr>
            </w:pPr>
            <w:r>
              <w:rPr>
                <w:sz w:val="24"/>
                <w:szCs w:val="24"/>
              </w:rPr>
              <w:t>1.27</w:t>
            </w:r>
          </w:p>
        </w:tc>
      </w:tr>
      <w:tr w:rsidR="00655AEF" w14:paraId="4CE33D1E" w14:textId="77777777">
        <w:trPr>
          <w:cantSplit/>
        </w:trPr>
        <w:tc>
          <w:tcPr>
            <w:tcW w:w="734" w:type="dxa"/>
            <w:vMerge/>
            <w:shd w:val="clear" w:color="auto" w:fill="FFFFFF"/>
            <w:tcMar>
              <w:top w:w="0" w:type="dxa"/>
              <w:left w:w="0" w:type="dxa"/>
              <w:bottom w:w="0" w:type="dxa"/>
              <w:right w:w="0" w:type="dxa"/>
            </w:tcMar>
            <w:vAlign w:val="center"/>
          </w:tcPr>
          <w:p w14:paraId="000003A7" w14:textId="77777777" w:rsidR="00655AEF" w:rsidRDefault="00655AEF">
            <w:pPr>
              <w:pBdr>
                <w:top w:val="nil"/>
                <w:left w:val="nil"/>
                <w:bottom w:val="nil"/>
                <w:right w:val="nil"/>
                <w:between w:val="nil"/>
              </w:pBdr>
              <w:spacing w:line="276" w:lineRule="auto"/>
              <w:rPr>
                <w:sz w:val="24"/>
                <w:szCs w:val="24"/>
              </w:rPr>
            </w:pPr>
          </w:p>
        </w:tc>
        <w:tc>
          <w:tcPr>
            <w:tcW w:w="4216" w:type="dxa"/>
            <w:shd w:val="clear" w:color="auto" w:fill="FFFFFF"/>
            <w:tcMar>
              <w:top w:w="0" w:type="dxa"/>
              <w:left w:w="0" w:type="dxa"/>
              <w:bottom w:w="0" w:type="dxa"/>
              <w:right w:w="0" w:type="dxa"/>
            </w:tcMar>
            <w:vAlign w:val="center"/>
          </w:tcPr>
          <w:p w14:paraId="000003A8" w14:textId="77777777" w:rsidR="00655AEF" w:rsidRDefault="00000000">
            <w:pPr>
              <w:rPr>
                <w:sz w:val="24"/>
                <w:szCs w:val="24"/>
              </w:rPr>
            </w:pPr>
            <w:r>
              <w:rPr>
                <w:sz w:val="24"/>
                <w:szCs w:val="24"/>
              </w:rPr>
              <w:t>Pregnancy</w:t>
            </w:r>
          </w:p>
        </w:tc>
        <w:tc>
          <w:tcPr>
            <w:tcW w:w="1890" w:type="dxa"/>
            <w:shd w:val="clear" w:color="auto" w:fill="FFFFFF"/>
            <w:tcMar>
              <w:top w:w="0" w:type="dxa"/>
              <w:left w:w="0" w:type="dxa"/>
              <w:bottom w:w="0" w:type="dxa"/>
              <w:right w:w="0" w:type="dxa"/>
            </w:tcMar>
            <w:vAlign w:val="center"/>
          </w:tcPr>
          <w:p w14:paraId="000003A9" w14:textId="77777777" w:rsidR="00655AEF" w:rsidRDefault="00000000">
            <w:pPr>
              <w:rPr>
                <w:sz w:val="24"/>
                <w:szCs w:val="24"/>
              </w:rPr>
            </w:pPr>
            <w:r>
              <w:rPr>
                <w:sz w:val="24"/>
                <w:szCs w:val="24"/>
              </w:rPr>
              <w:t>4</w:t>
            </w:r>
          </w:p>
        </w:tc>
        <w:tc>
          <w:tcPr>
            <w:tcW w:w="1890" w:type="dxa"/>
            <w:shd w:val="clear" w:color="auto" w:fill="FFFFFF"/>
            <w:tcMar>
              <w:top w:w="0" w:type="dxa"/>
              <w:left w:w="0" w:type="dxa"/>
              <w:bottom w:w="0" w:type="dxa"/>
              <w:right w:w="0" w:type="dxa"/>
            </w:tcMar>
            <w:vAlign w:val="center"/>
          </w:tcPr>
          <w:p w14:paraId="000003AA" w14:textId="77777777" w:rsidR="00655AEF" w:rsidRDefault="00000000">
            <w:pPr>
              <w:rPr>
                <w:sz w:val="24"/>
                <w:szCs w:val="24"/>
              </w:rPr>
            </w:pPr>
            <w:r>
              <w:rPr>
                <w:sz w:val="24"/>
                <w:szCs w:val="24"/>
              </w:rPr>
              <w:t>5.06</w:t>
            </w:r>
          </w:p>
        </w:tc>
      </w:tr>
      <w:tr w:rsidR="00655AEF" w14:paraId="44AC8C3A" w14:textId="77777777">
        <w:trPr>
          <w:cantSplit/>
        </w:trPr>
        <w:tc>
          <w:tcPr>
            <w:tcW w:w="734" w:type="dxa"/>
            <w:vMerge/>
            <w:shd w:val="clear" w:color="auto" w:fill="FFFFFF"/>
            <w:tcMar>
              <w:top w:w="0" w:type="dxa"/>
              <w:left w:w="0" w:type="dxa"/>
              <w:bottom w:w="0" w:type="dxa"/>
              <w:right w:w="0" w:type="dxa"/>
            </w:tcMar>
            <w:vAlign w:val="center"/>
          </w:tcPr>
          <w:p w14:paraId="000003AB" w14:textId="77777777" w:rsidR="00655AEF" w:rsidRDefault="00655AEF">
            <w:pPr>
              <w:pBdr>
                <w:top w:val="nil"/>
                <w:left w:val="nil"/>
                <w:bottom w:val="nil"/>
                <w:right w:val="nil"/>
                <w:between w:val="nil"/>
              </w:pBdr>
              <w:spacing w:line="276" w:lineRule="auto"/>
              <w:rPr>
                <w:sz w:val="24"/>
                <w:szCs w:val="24"/>
              </w:rPr>
            </w:pPr>
          </w:p>
        </w:tc>
        <w:tc>
          <w:tcPr>
            <w:tcW w:w="4216" w:type="dxa"/>
            <w:shd w:val="clear" w:color="auto" w:fill="FFFFFF"/>
            <w:tcMar>
              <w:top w:w="0" w:type="dxa"/>
              <w:left w:w="0" w:type="dxa"/>
              <w:bottom w:w="0" w:type="dxa"/>
              <w:right w:w="0" w:type="dxa"/>
            </w:tcMar>
            <w:vAlign w:val="center"/>
          </w:tcPr>
          <w:p w14:paraId="000003AC" w14:textId="77777777" w:rsidR="00655AEF" w:rsidRDefault="00000000">
            <w:pPr>
              <w:rPr>
                <w:sz w:val="24"/>
                <w:szCs w:val="24"/>
              </w:rPr>
            </w:pPr>
            <w:r>
              <w:rPr>
                <w:sz w:val="24"/>
                <w:szCs w:val="24"/>
              </w:rPr>
              <w:t>Risk of pregnancy</w:t>
            </w:r>
          </w:p>
        </w:tc>
        <w:tc>
          <w:tcPr>
            <w:tcW w:w="1890" w:type="dxa"/>
            <w:shd w:val="clear" w:color="auto" w:fill="FFFFFF"/>
            <w:tcMar>
              <w:top w:w="0" w:type="dxa"/>
              <w:left w:w="0" w:type="dxa"/>
              <w:bottom w:w="0" w:type="dxa"/>
              <w:right w:w="0" w:type="dxa"/>
            </w:tcMar>
            <w:vAlign w:val="center"/>
          </w:tcPr>
          <w:p w14:paraId="000003AD" w14:textId="77777777" w:rsidR="00655AEF" w:rsidRDefault="00000000">
            <w:pPr>
              <w:rPr>
                <w:sz w:val="24"/>
                <w:szCs w:val="24"/>
              </w:rPr>
            </w:pPr>
            <w:r>
              <w:rPr>
                <w:sz w:val="24"/>
                <w:szCs w:val="24"/>
              </w:rPr>
              <w:t>5</w:t>
            </w:r>
          </w:p>
        </w:tc>
        <w:tc>
          <w:tcPr>
            <w:tcW w:w="1890" w:type="dxa"/>
            <w:shd w:val="clear" w:color="auto" w:fill="FFFFFF"/>
            <w:tcMar>
              <w:top w:w="0" w:type="dxa"/>
              <w:left w:w="0" w:type="dxa"/>
              <w:bottom w:w="0" w:type="dxa"/>
              <w:right w:w="0" w:type="dxa"/>
            </w:tcMar>
            <w:vAlign w:val="center"/>
          </w:tcPr>
          <w:p w14:paraId="000003AE" w14:textId="77777777" w:rsidR="00655AEF" w:rsidRDefault="00000000">
            <w:pPr>
              <w:rPr>
                <w:sz w:val="24"/>
                <w:szCs w:val="24"/>
              </w:rPr>
            </w:pPr>
            <w:r>
              <w:rPr>
                <w:sz w:val="24"/>
                <w:szCs w:val="24"/>
              </w:rPr>
              <w:t>6.33</w:t>
            </w:r>
          </w:p>
        </w:tc>
      </w:tr>
      <w:tr w:rsidR="00655AEF" w14:paraId="2A8C6F3A" w14:textId="77777777">
        <w:trPr>
          <w:cantSplit/>
        </w:trPr>
        <w:tc>
          <w:tcPr>
            <w:tcW w:w="734" w:type="dxa"/>
            <w:vMerge/>
            <w:shd w:val="clear" w:color="auto" w:fill="FFFFFF"/>
            <w:tcMar>
              <w:top w:w="0" w:type="dxa"/>
              <w:left w:w="0" w:type="dxa"/>
              <w:bottom w:w="0" w:type="dxa"/>
              <w:right w:w="0" w:type="dxa"/>
            </w:tcMar>
            <w:vAlign w:val="center"/>
          </w:tcPr>
          <w:p w14:paraId="000003AF" w14:textId="77777777" w:rsidR="00655AEF" w:rsidRDefault="00655AEF">
            <w:pPr>
              <w:pBdr>
                <w:top w:val="nil"/>
                <w:left w:val="nil"/>
                <w:bottom w:val="nil"/>
                <w:right w:val="nil"/>
                <w:between w:val="nil"/>
              </w:pBdr>
              <w:spacing w:line="276" w:lineRule="auto"/>
              <w:rPr>
                <w:sz w:val="24"/>
                <w:szCs w:val="24"/>
              </w:rPr>
            </w:pPr>
          </w:p>
        </w:tc>
        <w:tc>
          <w:tcPr>
            <w:tcW w:w="4216" w:type="dxa"/>
            <w:tcBorders>
              <w:bottom w:val="single" w:sz="4" w:space="0" w:color="000000"/>
            </w:tcBorders>
            <w:shd w:val="clear" w:color="auto" w:fill="FFFFFF"/>
            <w:tcMar>
              <w:top w:w="0" w:type="dxa"/>
              <w:left w:w="0" w:type="dxa"/>
              <w:bottom w:w="0" w:type="dxa"/>
              <w:right w:w="0" w:type="dxa"/>
            </w:tcMar>
            <w:vAlign w:val="center"/>
          </w:tcPr>
          <w:p w14:paraId="000003B0" w14:textId="77777777" w:rsidR="00655AEF" w:rsidRDefault="00000000">
            <w:pPr>
              <w:rPr>
                <w:sz w:val="24"/>
                <w:szCs w:val="24"/>
              </w:rPr>
            </w:pPr>
            <w:r>
              <w:rPr>
                <w:sz w:val="24"/>
                <w:szCs w:val="24"/>
              </w:rPr>
              <w:t>Toxicity side effects</w:t>
            </w:r>
          </w:p>
        </w:tc>
        <w:tc>
          <w:tcPr>
            <w:tcW w:w="1890" w:type="dxa"/>
            <w:tcBorders>
              <w:bottom w:val="single" w:sz="4" w:space="0" w:color="000000"/>
            </w:tcBorders>
            <w:shd w:val="clear" w:color="auto" w:fill="FFFFFF"/>
            <w:tcMar>
              <w:top w:w="0" w:type="dxa"/>
              <w:left w:w="0" w:type="dxa"/>
              <w:bottom w:w="0" w:type="dxa"/>
              <w:right w:w="0" w:type="dxa"/>
            </w:tcMar>
            <w:vAlign w:val="center"/>
          </w:tcPr>
          <w:p w14:paraId="000003B1" w14:textId="77777777" w:rsidR="00655AEF" w:rsidRDefault="00000000">
            <w:pPr>
              <w:rPr>
                <w:sz w:val="24"/>
                <w:szCs w:val="24"/>
              </w:rPr>
            </w:pPr>
            <w:r>
              <w:rPr>
                <w:sz w:val="24"/>
                <w:szCs w:val="24"/>
              </w:rPr>
              <w:t>1</w:t>
            </w:r>
          </w:p>
        </w:tc>
        <w:tc>
          <w:tcPr>
            <w:tcW w:w="1890" w:type="dxa"/>
            <w:tcBorders>
              <w:bottom w:val="single" w:sz="4" w:space="0" w:color="000000"/>
            </w:tcBorders>
            <w:shd w:val="clear" w:color="auto" w:fill="FFFFFF"/>
            <w:tcMar>
              <w:top w:w="0" w:type="dxa"/>
              <w:left w:w="0" w:type="dxa"/>
              <w:bottom w:w="0" w:type="dxa"/>
              <w:right w:w="0" w:type="dxa"/>
            </w:tcMar>
            <w:vAlign w:val="center"/>
          </w:tcPr>
          <w:p w14:paraId="000003B2" w14:textId="77777777" w:rsidR="00655AEF" w:rsidRDefault="00000000">
            <w:pPr>
              <w:rPr>
                <w:sz w:val="24"/>
                <w:szCs w:val="24"/>
              </w:rPr>
            </w:pPr>
            <w:r>
              <w:rPr>
                <w:sz w:val="24"/>
                <w:szCs w:val="24"/>
              </w:rPr>
              <w:t>1.27</w:t>
            </w:r>
          </w:p>
        </w:tc>
      </w:tr>
      <w:tr w:rsidR="00655AEF" w14:paraId="6893DBF6" w14:textId="77777777">
        <w:trPr>
          <w:cantSplit/>
        </w:trPr>
        <w:tc>
          <w:tcPr>
            <w:tcW w:w="734" w:type="dxa"/>
            <w:vMerge/>
            <w:shd w:val="clear" w:color="auto" w:fill="FFFFFF"/>
            <w:tcMar>
              <w:top w:w="0" w:type="dxa"/>
              <w:left w:w="0" w:type="dxa"/>
              <w:bottom w:w="0" w:type="dxa"/>
              <w:right w:w="0" w:type="dxa"/>
            </w:tcMar>
            <w:vAlign w:val="center"/>
          </w:tcPr>
          <w:p w14:paraId="000003B3" w14:textId="77777777" w:rsidR="00655AEF" w:rsidRDefault="00655AEF">
            <w:pPr>
              <w:pBdr>
                <w:top w:val="nil"/>
                <w:left w:val="nil"/>
                <w:bottom w:val="nil"/>
                <w:right w:val="nil"/>
                <w:between w:val="nil"/>
              </w:pBdr>
              <w:spacing w:line="276" w:lineRule="auto"/>
              <w:rPr>
                <w:sz w:val="24"/>
                <w:szCs w:val="24"/>
              </w:rPr>
            </w:pPr>
          </w:p>
        </w:tc>
        <w:tc>
          <w:tcPr>
            <w:tcW w:w="421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B4" w14:textId="77777777" w:rsidR="00655AEF" w:rsidRDefault="00000000">
            <w:pPr>
              <w:rPr>
                <w:sz w:val="24"/>
                <w:szCs w:val="24"/>
              </w:rPr>
            </w:pPr>
            <w:r>
              <w:rPr>
                <w:sz w:val="24"/>
                <w:szCs w:val="24"/>
              </w:rPr>
              <w:t>Total</w:t>
            </w:r>
          </w:p>
        </w:tc>
        <w:tc>
          <w:tcPr>
            <w:tcW w:w="189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B5" w14:textId="77777777" w:rsidR="00655AEF" w:rsidRDefault="00000000">
            <w:pPr>
              <w:rPr>
                <w:sz w:val="24"/>
                <w:szCs w:val="24"/>
              </w:rPr>
            </w:pPr>
            <w:r>
              <w:rPr>
                <w:sz w:val="24"/>
                <w:szCs w:val="24"/>
              </w:rPr>
              <w:t>79</w:t>
            </w:r>
          </w:p>
        </w:tc>
        <w:tc>
          <w:tcPr>
            <w:tcW w:w="189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B6" w14:textId="77777777" w:rsidR="00655AEF" w:rsidRDefault="00000000">
            <w:pPr>
              <w:rPr>
                <w:sz w:val="24"/>
                <w:szCs w:val="24"/>
              </w:rPr>
            </w:pPr>
            <w:r>
              <w:rPr>
                <w:sz w:val="24"/>
                <w:szCs w:val="24"/>
              </w:rPr>
              <w:t>100.0</w:t>
            </w:r>
          </w:p>
        </w:tc>
      </w:tr>
    </w:tbl>
    <w:p w14:paraId="000003B7" w14:textId="77777777" w:rsidR="00655AEF" w:rsidRDefault="00655AEF">
      <w:pPr>
        <w:rPr>
          <w:sz w:val="24"/>
          <w:szCs w:val="24"/>
        </w:rPr>
      </w:pPr>
    </w:p>
    <w:p w14:paraId="000003B8" w14:textId="77777777" w:rsidR="00655AEF" w:rsidRDefault="00655AEF">
      <w:pPr>
        <w:rPr>
          <w:rFonts w:ascii="Times New Roman" w:eastAsia="Times New Roman" w:hAnsi="Times New Roman" w:cs="Times New Roman"/>
          <w:sz w:val="24"/>
          <w:szCs w:val="24"/>
        </w:rPr>
      </w:pPr>
    </w:p>
    <w:p w14:paraId="000003B9" w14:textId="77777777" w:rsidR="00655AEF" w:rsidRDefault="00000000">
      <w:pPr>
        <w:keepNext/>
      </w:pPr>
      <w:r>
        <w:rPr>
          <w:rFonts w:ascii="Times New Roman" w:eastAsia="Times New Roman" w:hAnsi="Times New Roman" w:cs="Times New Roman"/>
          <w:noProof/>
          <w:sz w:val="24"/>
          <w:szCs w:val="24"/>
        </w:rPr>
        <w:drawing>
          <wp:inline distT="0" distB="0" distL="0" distR="0" wp14:anchorId="7FEA77DE" wp14:editId="6105804C">
            <wp:extent cx="5505450" cy="32194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3BA" w14:textId="77777777" w:rsidR="00655AEF" w:rsidRDefault="00000000">
      <w:pPr>
        <w:pBdr>
          <w:top w:val="nil"/>
          <w:left w:val="nil"/>
          <w:bottom w:val="nil"/>
          <w:right w:val="nil"/>
          <w:between w:val="nil"/>
        </w:pBdr>
        <w:spacing w:after="200"/>
        <w:rPr>
          <w:rFonts w:ascii="Times New Roman" w:eastAsia="Times New Roman" w:hAnsi="Times New Roman" w:cs="Times New Roman"/>
          <w:b/>
          <w:color w:val="4F81BD"/>
          <w:sz w:val="24"/>
          <w:szCs w:val="24"/>
        </w:rPr>
      </w:pPr>
      <w:bookmarkStart w:id="77" w:name="_heading=h.5p4gq7luxky5" w:colFirst="0" w:colLast="0"/>
      <w:bookmarkEnd w:id="77"/>
      <w:r>
        <w:rPr>
          <w:b/>
          <w:color w:val="4F81BD"/>
          <w:sz w:val="18"/>
          <w:szCs w:val="18"/>
        </w:rPr>
        <w:t>Figure 10: Reasons for drug substitute</w:t>
      </w:r>
    </w:p>
    <w:p w14:paraId="000003BB" w14:textId="77777777" w:rsidR="00655AEF" w:rsidRDefault="00655AEF">
      <w:pPr>
        <w:rPr>
          <w:rFonts w:ascii="Times New Roman" w:eastAsia="Times New Roman" w:hAnsi="Times New Roman" w:cs="Times New Roman"/>
          <w:sz w:val="24"/>
          <w:szCs w:val="24"/>
        </w:rPr>
      </w:pPr>
    </w:p>
    <w:p w14:paraId="000003BC" w14:textId="77777777" w:rsidR="00655AEF" w:rsidRDefault="00000000">
      <w:pPr>
        <w:keepNext/>
        <w:jc w:val="both"/>
      </w:pPr>
      <w:r>
        <w:rPr>
          <w:rFonts w:ascii="Times New Roman" w:eastAsia="Times New Roman" w:hAnsi="Times New Roman" w:cs="Times New Roman"/>
          <w:noProof/>
          <w:sz w:val="16"/>
          <w:szCs w:val="16"/>
        </w:rPr>
        <w:drawing>
          <wp:inline distT="0" distB="0" distL="0" distR="0" wp14:anchorId="2B17DF2B" wp14:editId="4DD93C41">
            <wp:extent cx="4495800" cy="245745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003BD" w14:textId="77777777" w:rsidR="00655AEF" w:rsidRDefault="00000000">
      <w:pPr>
        <w:pBdr>
          <w:top w:val="nil"/>
          <w:left w:val="nil"/>
          <w:bottom w:val="nil"/>
          <w:right w:val="nil"/>
          <w:between w:val="nil"/>
        </w:pBdr>
        <w:spacing w:after="200"/>
        <w:rPr>
          <w:rFonts w:ascii="Times New Roman" w:eastAsia="Times New Roman" w:hAnsi="Times New Roman" w:cs="Times New Roman"/>
          <w:b/>
          <w:color w:val="4F81BD"/>
          <w:sz w:val="24"/>
          <w:szCs w:val="24"/>
        </w:rPr>
      </w:pPr>
      <w:bookmarkStart w:id="78" w:name="_heading=h.vcf3jpcm7z0" w:colFirst="0" w:colLast="0"/>
      <w:bookmarkEnd w:id="78"/>
      <w:r>
        <w:rPr>
          <w:b/>
          <w:color w:val="4F81BD"/>
          <w:sz w:val="18"/>
          <w:szCs w:val="18"/>
        </w:rPr>
        <w:t>Figure 11: Reasons for drug substitute</w:t>
      </w:r>
    </w:p>
    <w:p w14:paraId="000003BE" w14:textId="77777777" w:rsidR="00655AEF" w:rsidRDefault="00655AEF">
      <w:pPr>
        <w:spacing w:after="240" w:line="360" w:lineRule="auto"/>
        <w:jc w:val="both"/>
        <w:rPr>
          <w:sz w:val="24"/>
          <w:szCs w:val="24"/>
        </w:rPr>
      </w:pPr>
    </w:p>
    <w:p w14:paraId="000003BF" w14:textId="77777777" w:rsidR="00655AEF" w:rsidRDefault="00000000">
      <w:pPr>
        <w:pStyle w:val="Heading3"/>
        <w:numPr>
          <w:ilvl w:val="2"/>
          <w:numId w:val="11"/>
        </w:numPr>
        <w:rPr>
          <w:sz w:val="24"/>
          <w:szCs w:val="24"/>
        </w:rPr>
      </w:pPr>
      <w:bookmarkStart w:id="79" w:name="_heading=h.sb7iizzhpflr" w:colFirst="0" w:colLast="0"/>
      <w:bookmarkEnd w:id="79"/>
      <w:r>
        <w:rPr>
          <w:sz w:val="24"/>
          <w:szCs w:val="24"/>
        </w:rPr>
        <w:t>Reasons for HIV Treatment Switch</w:t>
      </w:r>
    </w:p>
    <w:p w14:paraId="000003C0" w14:textId="77777777" w:rsidR="00655AEF" w:rsidRDefault="00000000">
      <w:pPr>
        <w:spacing w:after="240" w:line="360" w:lineRule="auto"/>
        <w:jc w:val="both"/>
        <w:rPr>
          <w:sz w:val="24"/>
          <w:szCs w:val="24"/>
        </w:rPr>
      </w:pPr>
      <w:r>
        <w:rPr>
          <w:sz w:val="24"/>
          <w:szCs w:val="24"/>
        </w:rPr>
        <w:t xml:space="preserve">The data, summarizes the reasons for HIV treatment regimen switches among 15 patients, highlights two primary drivers: clinical treatment failure and virologic failure. This distribution offers valuable insights into the clinical decision-making process for patients </w:t>
      </w:r>
      <w:r>
        <w:rPr>
          <w:sz w:val="24"/>
          <w:szCs w:val="24"/>
        </w:rPr>
        <w:lastRenderedPageBreak/>
        <w:t>experiencing challenges with their current ART regimen.</w:t>
      </w:r>
    </w:p>
    <w:p w14:paraId="000003C1" w14:textId="77777777" w:rsidR="00655AEF" w:rsidRDefault="00000000">
      <w:pPr>
        <w:spacing w:after="240" w:line="360" w:lineRule="auto"/>
        <w:jc w:val="both"/>
        <w:rPr>
          <w:sz w:val="24"/>
          <w:szCs w:val="24"/>
        </w:rPr>
      </w:pPr>
      <w:r>
        <w:rPr>
          <w:sz w:val="24"/>
          <w:szCs w:val="24"/>
        </w:rPr>
        <w:t>Clinical treatment failure is the dominant reason, accounting for a substantial 66.67% (10 out of 15) of all switches. This indicates that a significant proportion of treatment changes are prompted by the observable worsening of a patient’s health, or the recurrence of opportunistic infections, despite being on ART. Clinical signs might include unexplained weight loss, persistent fever, chronic diarrhea, or the development of new or recurrent opportunistic infections, signaling that the current regimen is no longer effectively controlling the HIV infection or allowing immune recovery. In resource-limited settings, where routine viral load monitoring might not always be immediately accessible or affordable, clinical presentation often serves as a crucial early indicator for suspected treatment failure and the need for investigation and potential switch.</w:t>
      </w:r>
    </w:p>
    <w:p w14:paraId="000003C2" w14:textId="77777777" w:rsidR="00655AEF" w:rsidRDefault="00000000">
      <w:pPr>
        <w:spacing w:after="240" w:line="360" w:lineRule="auto"/>
        <w:jc w:val="both"/>
        <w:rPr>
          <w:sz w:val="24"/>
          <w:szCs w:val="24"/>
        </w:rPr>
      </w:pPr>
      <w:r>
        <w:rPr>
          <w:sz w:val="24"/>
          <w:szCs w:val="24"/>
        </w:rPr>
        <w:t>Virologic failure, while less frequent in this specific dataset at 33.33% (5 out of 15 switches), is the gold standard for defining ART failure. This occurs when the patient’s viral load remains persistently detectable and above a certain threshold (e.g., 1000 copies/mL), despite adherence to the regimen. Virologic failure indicates that the virus is actively replicating, potentially due to severe side effects, drug resistance, or pharmacokinetic issues. Ideally, virologic failure should be detected early through regular viral load monitoring, allowing for a timely regimen switch before significant clinical deterioration occurs.</w:t>
      </w:r>
    </w:p>
    <w:p w14:paraId="000003C3" w14:textId="77777777" w:rsidR="00655AEF" w:rsidRDefault="00000000">
      <w:pPr>
        <w:spacing w:after="240" w:line="360" w:lineRule="auto"/>
        <w:jc w:val="both"/>
        <w:rPr>
          <w:sz w:val="24"/>
          <w:szCs w:val="24"/>
        </w:rPr>
      </w:pPr>
      <w:r>
        <w:rPr>
          <w:sz w:val="24"/>
          <w:szCs w:val="24"/>
        </w:rPr>
        <w:t>The interplay between these two reasons is critical. Often, clinical treatment failure is a consequence of underlying uncontrolled viral replication (virologic failure). Patients who experience virologic failure over an extended period will eventually manifest clinical symptoms as their immune system deteriorates.</w:t>
      </w:r>
    </w:p>
    <w:p w14:paraId="000003C4" w14:textId="77777777" w:rsidR="00655AEF" w:rsidRDefault="00000000">
      <w:pPr>
        <w:spacing w:after="240" w:line="360" w:lineRule="auto"/>
        <w:jc w:val="both"/>
        <w:rPr>
          <w:sz w:val="24"/>
          <w:szCs w:val="24"/>
        </w:rPr>
      </w:pPr>
      <w:r>
        <w:rPr>
          <w:sz w:val="24"/>
          <w:szCs w:val="24"/>
        </w:rPr>
        <w:t xml:space="preserve">Understanding these reasons for treatment switch is vital for improving HIV care. It underscores the importance of a holistic approach to patient monitoring that integrates both robust clinical assessment and timely viral load testing. For patients with suspected treatment failure, as highlighted in the broader study context, identifying the precise reason for their failure (whether primarily clinical or virologic) is paramount for guiding </w:t>
      </w:r>
      <w:r>
        <w:rPr>
          <w:sz w:val="24"/>
          <w:szCs w:val="24"/>
        </w:rPr>
        <w:lastRenderedPageBreak/>
        <w:t xml:space="preserve">appropriate and effective second-line or third-line ART regimens. Furthermore, these findings indirectly reinforce the need for interventions that promote adherence, as severe side effects is a primary driver of both clinical and virologic failure, necessitating subsequent treatment switches. The table and figure below </w:t>
      </w:r>
      <w:proofErr w:type="gramStart"/>
      <w:r>
        <w:rPr>
          <w:sz w:val="24"/>
          <w:szCs w:val="24"/>
        </w:rPr>
        <w:t>summarizes</w:t>
      </w:r>
      <w:proofErr w:type="gramEnd"/>
      <w:r>
        <w:rPr>
          <w:sz w:val="24"/>
          <w:szCs w:val="24"/>
        </w:rPr>
        <w:t xml:space="preserve"> this information.</w:t>
      </w:r>
    </w:p>
    <w:p w14:paraId="000003C5" w14:textId="77777777" w:rsidR="00655AEF" w:rsidRDefault="00000000">
      <w:pPr>
        <w:keepNext/>
        <w:pBdr>
          <w:top w:val="nil"/>
          <w:left w:val="nil"/>
          <w:bottom w:val="nil"/>
          <w:right w:val="nil"/>
          <w:between w:val="nil"/>
        </w:pBdr>
        <w:spacing w:after="200"/>
        <w:rPr>
          <w:b/>
          <w:color w:val="4F81BD"/>
          <w:sz w:val="18"/>
          <w:szCs w:val="18"/>
        </w:rPr>
      </w:pPr>
      <w:bookmarkStart w:id="80" w:name="_heading=h.luf9zm9d9yh" w:colFirst="0" w:colLast="0"/>
      <w:bookmarkEnd w:id="80"/>
      <w:r>
        <w:rPr>
          <w:b/>
          <w:color w:val="4F81BD"/>
          <w:sz w:val="18"/>
          <w:szCs w:val="18"/>
        </w:rPr>
        <w:t>Table 15: Reasons for treatment switch</w:t>
      </w:r>
    </w:p>
    <w:tbl>
      <w:tblPr>
        <w:tblStyle w:val="ad"/>
        <w:tblW w:w="8820" w:type="dxa"/>
        <w:tblInd w:w="0" w:type="dxa"/>
        <w:tblLayout w:type="fixed"/>
        <w:tblLook w:val="0000" w:firstRow="0" w:lastRow="0" w:firstColumn="0" w:lastColumn="0" w:noHBand="0" w:noVBand="0"/>
      </w:tblPr>
      <w:tblGrid>
        <w:gridCol w:w="734"/>
        <w:gridCol w:w="4216"/>
        <w:gridCol w:w="1890"/>
        <w:gridCol w:w="1980"/>
      </w:tblGrid>
      <w:tr w:rsidR="00655AEF" w14:paraId="0B6A48AF" w14:textId="77777777">
        <w:trPr>
          <w:cantSplit/>
        </w:trPr>
        <w:tc>
          <w:tcPr>
            <w:tcW w:w="4950" w:type="dxa"/>
            <w:gridSpan w:val="2"/>
            <w:shd w:val="clear" w:color="auto" w:fill="FFFFFF"/>
            <w:tcMar>
              <w:top w:w="0" w:type="dxa"/>
              <w:left w:w="0" w:type="dxa"/>
              <w:bottom w:w="0" w:type="dxa"/>
              <w:right w:w="0" w:type="dxa"/>
            </w:tcMar>
          </w:tcPr>
          <w:p w14:paraId="000003C6" w14:textId="77777777" w:rsidR="00655AEF" w:rsidRDefault="00655AEF">
            <w:pPr>
              <w:rPr>
                <w:sz w:val="24"/>
                <w:szCs w:val="24"/>
              </w:rPr>
            </w:pPr>
          </w:p>
        </w:tc>
        <w:tc>
          <w:tcPr>
            <w:tcW w:w="1890" w:type="dxa"/>
            <w:shd w:val="clear" w:color="auto" w:fill="FFFFFF"/>
            <w:tcMar>
              <w:top w:w="0" w:type="dxa"/>
              <w:left w:w="0" w:type="dxa"/>
              <w:bottom w:w="0" w:type="dxa"/>
              <w:right w:w="0" w:type="dxa"/>
            </w:tcMar>
          </w:tcPr>
          <w:p w14:paraId="000003C8" w14:textId="77777777" w:rsidR="00655AEF" w:rsidRDefault="00000000">
            <w:pPr>
              <w:rPr>
                <w:sz w:val="24"/>
                <w:szCs w:val="24"/>
              </w:rPr>
            </w:pPr>
            <w:r>
              <w:rPr>
                <w:sz w:val="24"/>
                <w:szCs w:val="24"/>
              </w:rPr>
              <w:t>Frequency</w:t>
            </w:r>
          </w:p>
        </w:tc>
        <w:tc>
          <w:tcPr>
            <w:tcW w:w="1980" w:type="dxa"/>
            <w:shd w:val="clear" w:color="auto" w:fill="FFFFFF"/>
            <w:tcMar>
              <w:top w:w="0" w:type="dxa"/>
              <w:left w:w="0" w:type="dxa"/>
              <w:bottom w:w="0" w:type="dxa"/>
              <w:right w:w="0" w:type="dxa"/>
            </w:tcMar>
          </w:tcPr>
          <w:p w14:paraId="000003C9" w14:textId="77777777" w:rsidR="00655AEF" w:rsidRDefault="00000000">
            <w:pPr>
              <w:rPr>
                <w:sz w:val="24"/>
                <w:szCs w:val="24"/>
              </w:rPr>
            </w:pPr>
            <w:r>
              <w:rPr>
                <w:sz w:val="24"/>
                <w:szCs w:val="24"/>
              </w:rPr>
              <w:t>Percent</w:t>
            </w:r>
          </w:p>
        </w:tc>
      </w:tr>
      <w:tr w:rsidR="00655AEF" w14:paraId="07730CA9" w14:textId="77777777">
        <w:trPr>
          <w:cantSplit/>
        </w:trPr>
        <w:tc>
          <w:tcPr>
            <w:tcW w:w="734" w:type="dxa"/>
            <w:vMerge w:val="restart"/>
            <w:shd w:val="clear" w:color="auto" w:fill="FFFFFF"/>
            <w:tcMar>
              <w:top w:w="0" w:type="dxa"/>
              <w:left w:w="0" w:type="dxa"/>
              <w:bottom w:w="0" w:type="dxa"/>
              <w:right w:w="0" w:type="dxa"/>
            </w:tcMar>
            <w:vAlign w:val="center"/>
          </w:tcPr>
          <w:p w14:paraId="000003CA" w14:textId="77777777" w:rsidR="00655AEF" w:rsidRDefault="00655AEF">
            <w:pPr>
              <w:rPr>
                <w:sz w:val="24"/>
                <w:szCs w:val="24"/>
              </w:rPr>
            </w:pPr>
          </w:p>
        </w:tc>
        <w:tc>
          <w:tcPr>
            <w:tcW w:w="4216" w:type="dxa"/>
            <w:tcBorders>
              <w:top w:val="single" w:sz="4" w:space="0" w:color="000000"/>
            </w:tcBorders>
            <w:shd w:val="clear" w:color="auto" w:fill="FFFFFF"/>
            <w:tcMar>
              <w:top w:w="0" w:type="dxa"/>
              <w:left w:w="0" w:type="dxa"/>
              <w:bottom w:w="0" w:type="dxa"/>
              <w:right w:w="0" w:type="dxa"/>
            </w:tcMar>
            <w:vAlign w:val="center"/>
          </w:tcPr>
          <w:p w14:paraId="000003CB" w14:textId="77777777" w:rsidR="00655AEF" w:rsidRDefault="00000000">
            <w:pPr>
              <w:rPr>
                <w:sz w:val="24"/>
                <w:szCs w:val="24"/>
              </w:rPr>
            </w:pPr>
            <w:r>
              <w:rPr>
                <w:sz w:val="24"/>
                <w:szCs w:val="24"/>
              </w:rPr>
              <w:t>Clinical treatment failure</w:t>
            </w:r>
          </w:p>
        </w:tc>
        <w:tc>
          <w:tcPr>
            <w:tcW w:w="1890" w:type="dxa"/>
            <w:tcBorders>
              <w:top w:val="single" w:sz="4" w:space="0" w:color="000000"/>
            </w:tcBorders>
            <w:shd w:val="clear" w:color="auto" w:fill="FFFFFF"/>
            <w:tcMar>
              <w:top w:w="0" w:type="dxa"/>
              <w:left w:w="0" w:type="dxa"/>
              <w:bottom w:w="0" w:type="dxa"/>
              <w:right w:w="0" w:type="dxa"/>
            </w:tcMar>
            <w:vAlign w:val="center"/>
          </w:tcPr>
          <w:p w14:paraId="000003CC" w14:textId="77777777" w:rsidR="00655AEF" w:rsidRDefault="00000000">
            <w:pPr>
              <w:rPr>
                <w:sz w:val="24"/>
                <w:szCs w:val="24"/>
              </w:rPr>
            </w:pPr>
            <w:r>
              <w:rPr>
                <w:sz w:val="24"/>
                <w:szCs w:val="24"/>
              </w:rPr>
              <w:t>10</w:t>
            </w:r>
          </w:p>
        </w:tc>
        <w:tc>
          <w:tcPr>
            <w:tcW w:w="1980" w:type="dxa"/>
            <w:tcBorders>
              <w:top w:val="single" w:sz="4" w:space="0" w:color="000000"/>
            </w:tcBorders>
            <w:shd w:val="clear" w:color="auto" w:fill="FFFFFF"/>
            <w:tcMar>
              <w:top w:w="0" w:type="dxa"/>
              <w:left w:w="0" w:type="dxa"/>
              <w:bottom w:w="0" w:type="dxa"/>
              <w:right w:w="0" w:type="dxa"/>
            </w:tcMar>
            <w:vAlign w:val="center"/>
          </w:tcPr>
          <w:p w14:paraId="000003CD" w14:textId="77777777" w:rsidR="00655AEF" w:rsidRDefault="00000000">
            <w:pPr>
              <w:rPr>
                <w:sz w:val="24"/>
                <w:szCs w:val="24"/>
              </w:rPr>
            </w:pPr>
            <w:r>
              <w:rPr>
                <w:sz w:val="24"/>
                <w:szCs w:val="24"/>
              </w:rPr>
              <w:t>66.67</w:t>
            </w:r>
          </w:p>
        </w:tc>
      </w:tr>
      <w:tr w:rsidR="00655AEF" w14:paraId="63B973E1" w14:textId="77777777">
        <w:trPr>
          <w:cantSplit/>
        </w:trPr>
        <w:tc>
          <w:tcPr>
            <w:tcW w:w="734" w:type="dxa"/>
            <w:vMerge/>
            <w:shd w:val="clear" w:color="auto" w:fill="FFFFFF"/>
            <w:tcMar>
              <w:top w:w="0" w:type="dxa"/>
              <w:left w:w="0" w:type="dxa"/>
              <w:bottom w:w="0" w:type="dxa"/>
              <w:right w:w="0" w:type="dxa"/>
            </w:tcMar>
            <w:vAlign w:val="center"/>
          </w:tcPr>
          <w:p w14:paraId="000003CE" w14:textId="77777777" w:rsidR="00655AEF" w:rsidRDefault="00655AEF">
            <w:pPr>
              <w:pBdr>
                <w:top w:val="nil"/>
                <w:left w:val="nil"/>
                <w:bottom w:val="nil"/>
                <w:right w:val="nil"/>
                <w:between w:val="nil"/>
              </w:pBdr>
              <w:spacing w:line="276" w:lineRule="auto"/>
              <w:rPr>
                <w:sz w:val="24"/>
                <w:szCs w:val="24"/>
              </w:rPr>
            </w:pPr>
          </w:p>
        </w:tc>
        <w:tc>
          <w:tcPr>
            <w:tcW w:w="4216" w:type="dxa"/>
            <w:tcBorders>
              <w:bottom w:val="single" w:sz="4" w:space="0" w:color="000000"/>
            </w:tcBorders>
            <w:shd w:val="clear" w:color="auto" w:fill="FFFFFF"/>
            <w:tcMar>
              <w:top w:w="0" w:type="dxa"/>
              <w:left w:w="0" w:type="dxa"/>
              <w:bottom w:w="0" w:type="dxa"/>
              <w:right w:w="0" w:type="dxa"/>
            </w:tcMar>
            <w:vAlign w:val="center"/>
          </w:tcPr>
          <w:p w14:paraId="000003CF" w14:textId="77777777" w:rsidR="00655AEF" w:rsidRDefault="00000000">
            <w:pPr>
              <w:rPr>
                <w:sz w:val="24"/>
                <w:szCs w:val="24"/>
              </w:rPr>
            </w:pPr>
            <w:r>
              <w:rPr>
                <w:sz w:val="24"/>
                <w:szCs w:val="24"/>
              </w:rPr>
              <w:t>Virologic failure</w:t>
            </w:r>
          </w:p>
        </w:tc>
        <w:tc>
          <w:tcPr>
            <w:tcW w:w="1890" w:type="dxa"/>
            <w:tcBorders>
              <w:bottom w:val="single" w:sz="4" w:space="0" w:color="000000"/>
            </w:tcBorders>
            <w:shd w:val="clear" w:color="auto" w:fill="FFFFFF"/>
            <w:tcMar>
              <w:top w:w="0" w:type="dxa"/>
              <w:left w:w="0" w:type="dxa"/>
              <w:bottom w:w="0" w:type="dxa"/>
              <w:right w:w="0" w:type="dxa"/>
            </w:tcMar>
            <w:vAlign w:val="center"/>
          </w:tcPr>
          <w:p w14:paraId="000003D0" w14:textId="77777777" w:rsidR="00655AEF" w:rsidRDefault="00000000">
            <w:pPr>
              <w:rPr>
                <w:sz w:val="24"/>
                <w:szCs w:val="24"/>
              </w:rPr>
            </w:pPr>
            <w:r>
              <w:rPr>
                <w:sz w:val="24"/>
                <w:szCs w:val="24"/>
              </w:rPr>
              <w:t>5</w:t>
            </w:r>
          </w:p>
        </w:tc>
        <w:tc>
          <w:tcPr>
            <w:tcW w:w="1980" w:type="dxa"/>
            <w:tcBorders>
              <w:bottom w:val="single" w:sz="4" w:space="0" w:color="000000"/>
            </w:tcBorders>
            <w:shd w:val="clear" w:color="auto" w:fill="FFFFFF"/>
            <w:tcMar>
              <w:top w:w="0" w:type="dxa"/>
              <w:left w:w="0" w:type="dxa"/>
              <w:bottom w:w="0" w:type="dxa"/>
              <w:right w:w="0" w:type="dxa"/>
            </w:tcMar>
            <w:vAlign w:val="center"/>
          </w:tcPr>
          <w:p w14:paraId="000003D1" w14:textId="77777777" w:rsidR="00655AEF" w:rsidRDefault="00000000">
            <w:pPr>
              <w:rPr>
                <w:sz w:val="24"/>
                <w:szCs w:val="24"/>
              </w:rPr>
            </w:pPr>
            <w:r>
              <w:rPr>
                <w:sz w:val="24"/>
                <w:szCs w:val="24"/>
              </w:rPr>
              <w:t>33.33</w:t>
            </w:r>
          </w:p>
        </w:tc>
      </w:tr>
      <w:tr w:rsidR="00655AEF" w14:paraId="5C9F5953" w14:textId="77777777">
        <w:trPr>
          <w:cantSplit/>
        </w:trPr>
        <w:tc>
          <w:tcPr>
            <w:tcW w:w="734" w:type="dxa"/>
            <w:vMerge/>
            <w:shd w:val="clear" w:color="auto" w:fill="FFFFFF"/>
            <w:tcMar>
              <w:top w:w="0" w:type="dxa"/>
              <w:left w:w="0" w:type="dxa"/>
              <w:bottom w:w="0" w:type="dxa"/>
              <w:right w:w="0" w:type="dxa"/>
            </w:tcMar>
            <w:vAlign w:val="center"/>
          </w:tcPr>
          <w:p w14:paraId="000003D2" w14:textId="77777777" w:rsidR="00655AEF" w:rsidRDefault="00655AEF">
            <w:pPr>
              <w:pBdr>
                <w:top w:val="nil"/>
                <w:left w:val="nil"/>
                <w:bottom w:val="nil"/>
                <w:right w:val="nil"/>
                <w:between w:val="nil"/>
              </w:pBdr>
              <w:spacing w:line="276" w:lineRule="auto"/>
              <w:rPr>
                <w:sz w:val="24"/>
                <w:szCs w:val="24"/>
              </w:rPr>
            </w:pPr>
          </w:p>
        </w:tc>
        <w:tc>
          <w:tcPr>
            <w:tcW w:w="421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D3" w14:textId="77777777" w:rsidR="00655AEF" w:rsidRDefault="00000000">
            <w:pPr>
              <w:rPr>
                <w:sz w:val="24"/>
                <w:szCs w:val="24"/>
              </w:rPr>
            </w:pPr>
            <w:r>
              <w:rPr>
                <w:sz w:val="24"/>
                <w:szCs w:val="24"/>
              </w:rPr>
              <w:t>Total</w:t>
            </w:r>
          </w:p>
        </w:tc>
        <w:tc>
          <w:tcPr>
            <w:tcW w:w="189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D4" w14:textId="77777777" w:rsidR="00655AEF" w:rsidRDefault="00000000">
            <w:pPr>
              <w:rPr>
                <w:sz w:val="24"/>
                <w:szCs w:val="24"/>
              </w:rPr>
            </w:pPr>
            <w:r>
              <w:rPr>
                <w:sz w:val="24"/>
                <w:szCs w:val="24"/>
              </w:rPr>
              <w:t>15</w:t>
            </w:r>
          </w:p>
        </w:tc>
        <w:tc>
          <w:tcPr>
            <w:tcW w:w="198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3D5" w14:textId="77777777" w:rsidR="00655AEF" w:rsidRDefault="00000000">
            <w:pPr>
              <w:rPr>
                <w:sz w:val="24"/>
                <w:szCs w:val="24"/>
              </w:rPr>
            </w:pPr>
            <w:r>
              <w:rPr>
                <w:sz w:val="24"/>
                <w:szCs w:val="24"/>
              </w:rPr>
              <w:t>100.0</w:t>
            </w:r>
          </w:p>
        </w:tc>
      </w:tr>
    </w:tbl>
    <w:p w14:paraId="000003D6" w14:textId="77777777" w:rsidR="00655AEF" w:rsidRDefault="00655AEF">
      <w:pPr>
        <w:rPr>
          <w:sz w:val="24"/>
          <w:szCs w:val="24"/>
        </w:rPr>
      </w:pPr>
    </w:p>
    <w:p w14:paraId="000003D7" w14:textId="77777777" w:rsidR="00655AEF" w:rsidRDefault="00655AEF">
      <w:pPr>
        <w:rPr>
          <w:sz w:val="24"/>
          <w:szCs w:val="24"/>
        </w:rPr>
      </w:pPr>
    </w:p>
    <w:p w14:paraId="000003D8" w14:textId="77777777" w:rsidR="00655AEF" w:rsidRDefault="00000000">
      <w:pPr>
        <w:keepNext/>
      </w:pPr>
      <w:r>
        <w:rPr>
          <w:rFonts w:ascii="Times New Roman" w:eastAsia="Times New Roman" w:hAnsi="Times New Roman" w:cs="Times New Roman"/>
          <w:noProof/>
          <w:sz w:val="24"/>
          <w:szCs w:val="24"/>
        </w:rPr>
        <w:drawing>
          <wp:inline distT="0" distB="0" distL="0" distR="0" wp14:anchorId="21E955F8" wp14:editId="0F93C218">
            <wp:extent cx="4191000" cy="1981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003D9" w14:textId="77777777" w:rsidR="00655AEF" w:rsidRDefault="00000000">
      <w:pPr>
        <w:pBdr>
          <w:top w:val="nil"/>
          <w:left w:val="nil"/>
          <w:bottom w:val="nil"/>
          <w:right w:val="nil"/>
          <w:between w:val="nil"/>
        </w:pBdr>
        <w:spacing w:after="200"/>
        <w:rPr>
          <w:rFonts w:ascii="Times New Roman" w:eastAsia="Times New Roman" w:hAnsi="Times New Roman" w:cs="Times New Roman"/>
          <w:b/>
          <w:color w:val="4F81BD"/>
          <w:sz w:val="24"/>
          <w:szCs w:val="24"/>
        </w:rPr>
      </w:pPr>
      <w:bookmarkStart w:id="81" w:name="_heading=h.q63fe8ilwoq0" w:colFirst="0" w:colLast="0"/>
      <w:bookmarkEnd w:id="81"/>
      <w:r>
        <w:rPr>
          <w:b/>
          <w:color w:val="4F81BD"/>
          <w:sz w:val="18"/>
          <w:szCs w:val="18"/>
        </w:rPr>
        <w:t>Figure 12: Reasons for treatment switch</w:t>
      </w:r>
    </w:p>
    <w:p w14:paraId="000003DA" w14:textId="77777777" w:rsidR="00655AEF" w:rsidRDefault="00655AEF">
      <w:pPr>
        <w:widowControl/>
        <w:rPr>
          <w:rFonts w:ascii="Times New Roman" w:eastAsia="Times New Roman" w:hAnsi="Times New Roman" w:cs="Times New Roman"/>
          <w:sz w:val="24"/>
          <w:szCs w:val="24"/>
        </w:rPr>
      </w:pPr>
    </w:p>
    <w:p w14:paraId="000003DB" w14:textId="77777777" w:rsidR="00655AEF" w:rsidRDefault="00000000">
      <w:pPr>
        <w:pStyle w:val="Heading3"/>
        <w:numPr>
          <w:ilvl w:val="2"/>
          <w:numId w:val="11"/>
        </w:numPr>
        <w:rPr>
          <w:sz w:val="24"/>
          <w:szCs w:val="24"/>
        </w:rPr>
      </w:pPr>
      <w:bookmarkStart w:id="82" w:name="_heading=h.a4u786n0vw9j" w:colFirst="0" w:colLast="0"/>
      <w:bookmarkEnd w:id="82"/>
      <w:r>
        <w:rPr>
          <w:sz w:val="24"/>
          <w:szCs w:val="24"/>
        </w:rPr>
        <w:t>Reasons for HIV Treatment Switch by Clinic category group</w:t>
      </w:r>
    </w:p>
    <w:p w14:paraId="000003DC" w14:textId="77777777" w:rsidR="00655AEF" w:rsidRDefault="00000000">
      <w:pPr>
        <w:spacing w:after="240" w:line="360" w:lineRule="auto"/>
        <w:jc w:val="both"/>
        <w:rPr>
          <w:sz w:val="24"/>
          <w:szCs w:val="24"/>
        </w:rPr>
      </w:pPr>
      <w:r>
        <w:rPr>
          <w:sz w:val="24"/>
          <w:szCs w:val="24"/>
        </w:rPr>
        <w:t xml:space="preserve">The cross-tabulation of clinic group versus reason for switching treatment reveals a marked disparity between the control and treatment groups. Among patients who switched due to clinical treatment failure, a substantial majority 90% belonged to the treatment group, while only 10% were from the control group. Similarly, in the category of virologic failure, 80% of the patients were from the treatment group, and only 20% from the control group. These findings suggest that individuals in the treatment group were significantly more likely to switch treatment due to either form of failure, with virologic failure being slightly more common 80 cases for every 100 than clinical failure 90 cases for every 100 within that group. The overall proportions further emphasize this trend: out of all the switches, 85% were from the treatment group, highlighting a potential </w:t>
      </w:r>
      <w:r>
        <w:rPr>
          <w:sz w:val="24"/>
          <w:szCs w:val="24"/>
        </w:rPr>
        <w:lastRenderedPageBreak/>
        <w:t>association between being in the treatment group and a higher likelihood of experiencing treatment failure requiring a switch. This may warrant further investigation into treatment protocols, adherence levels, or baseline characteristics within each group to understand the underlying cause of the observed differences.</w:t>
      </w:r>
    </w:p>
    <w:p w14:paraId="000003DD" w14:textId="77777777" w:rsidR="00655AEF" w:rsidRDefault="00000000">
      <w:pPr>
        <w:keepNext/>
        <w:pBdr>
          <w:top w:val="nil"/>
          <w:left w:val="nil"/>
          <w:bottom w:val="nil"/>
          <w:right w:val="nil"/>
          <w:between w:val="nil"/>
        </w:pBdr>
        <w:spacing w:after="200"/>
        <w:rPr>
          <w:b/>
          <w:color w:val="4F81BD"/>
          <w:sz w:val="18"/>
          <w:szCs w:val="18"/>
        </w:rPr>
      </w:pPr>
      <w:bookmarkStart w:id="83" w:name="_heading=h.9poig8fejvhl" w:colFirst="0" w:colLast="0"/>
      <w:bookmarkEnd w:id="83"/>
      <w:r>
        <w:rPr>
          <w:b/>
          <w:color w:val="4F81BD"/>
          <w:sz w:val="18"/>
          <w:szCs w:val="18"/>
        </w:rPr>
        <w:t>Table 16: Reason for switching treatment</w:t>
      </w:r>
    </w:p>
    <w:tbl>
      <w:tblPr>
        <w:tblStyle w:val="ae"/>
        <w:tblW w:w="73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
        <w:gridCol w:w="2529"/>
        <w:gridCol w:w="1980"/>
        <w:gridCol w:w="2070"/>
      </w:tblGrid>
      <w:tr w:rsidR="00655AEF" w14:paraId="6832B624" w14:textId="77777777">
        <w:trPr>
          <w:jc w:val="center"/>
        </w:trPr>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E" w14:textId="77777777" w:rsidR="00655AEF" w:rsidRDefault="00655AEF">
            <w:pPr>
              <w:jc w:val="both"/>
            </w:pPr>
          </w:p>
        </w:tc>
        <w:tc>
          <w:tcPr>
            <w:tcW w:w="65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F" w14:textId="77777777" w:rsidR="00655AEF" w:rsidRDefault="00000000">
            <w:pPr>
              <w:jc w:val="both"/>
            </w:pPr>
            <w:r>
              <w:t>Reason for switching treatment</w:t>
            </w:r>
          </w:p>
        </w:tc>
      </w:tr>
      <w:tr w:rsidR="00655AEF" w14:paraId="7C827FFB" w14:textId="77777777">
        <w:trPr>
          <w:jc w:val="center"/>
        </w:trPr>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2" w14:textId="77777777" w:rsidR="00655AEF" w:rsidRDefault="00655AEF">
            <w:pPr>
              <w:jc w:val="both"/>
            </w:pP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3" w14:textId="77777777" w:rsidR="00655AEF" w:rsidRDefault="00655AEF">
            <w:pPr>
              <w:jc w:val="both"/>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4" w14:textId="77777777" w:rsidR="00655AEF" w:rsidRDefault="00000000">
            <w:pPr>
              <w:jc w:val="both"/>
            </w:pPr>
            <w:r>
              <w:t>Clinical treatment failure</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5" w14:textId="77777777" w:rsidR="00655AEF" w:rsidRDefault="00000000">
            <w:pPr>
              <w:jc w:val="both"/>
            </w:pPr>
            <w:r>
              <w:t>Virologic failure</w:t>
            </w:r>
          </w:p>
        </w:tc>
      </w:tr>
      <w:tr w:rsidR="00655AEF" w14:paraId="3574B885" w14:textId="77777777">
        <w:trPr>
          <w:jc w:val="center"/>
        </w:trPr>
        <w:tc>
          <w:tcPr>
            <w:tcW w:w="8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6" w14:textId="77777777" w:rsidR="00655AEF" w:rsidRDefault="00000000">
            <w:pPr>
              <w:jc w:val="both"/>
            </w:pPr>
            <w:r>
              <w:t>Clinic</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7" w14:textId="77777777" w:rsidR="00655AEF" w:rsidRDefault="00000000">
            <w:pPr>
              <w:jc w:val="both"/>
            </w:pPr>
            <w:r>
              <w:t>Control Group</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8" w14:textId="77777777" w:rsidR="00655AEF" w:rsidRDefault="00000000">
            <w:pPr>
              <w:jc w:val="both"/>
            </w:pPr>
            <w:r>
              <w:t>10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9" w14:textId="77777777" w:rsidR="00655AEF" w:rsidRDefault="00000000">
            <w:pPr>
              <w:jc w:val="both"/>
            </w:pPr>
            <w:r>
              <w:t>20</w:t>
            </w:r>
          </w:p>
        </w:tc>
      </w:tr>
      <w:tr w:rsidR="00655AEF" w14:paraId="59D79537" w14:textId="77777777">
        <w:trPr>
          <w:jc w:val="center"/>
        </w:trPr>
        <w:tc>
          <w:tcPr>
            <w:tcW w:w="8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A" w14:textId="77777777" w:rsidR="00655AEF" w:rsidRDefault="00655AEF">
            <w:pPr>
              <w:pBdr>
                <w:top w:val="nil"/>
                <w:left w:val="nil"/>
                <w:bottom w:val="nil"/>
                <w:right w:val="nil"/>
                <w:between w:val="nil"/>
              </w:pBdr>
              <w:spacing w:line="276" w:lineRule="auto"/>
            </w:pP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B" w14:textId="77777777" w:rsidR="00655AEF" w:rsidRDefault="00000000">
            <w:pPr>
              <w:jc w:val="both"/>
            </w:pPr>
            <w:r>
              <w:t>Treatment group</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C" w14:textId="77777777" w:rsidR="00655AEF" w:rsidRDefault="00000000">
            <w:pPr>
              <w:jc w:val="both"/>
            </w:pPr>
            <w:r>
              <w:t>90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D" w14:textId="77777777" w:rsidR="00655AEF" w:rsidRDefault="00000000">
            <w:pPr>
              <w:jc w:val="both"/>
            </w:pPr>
            <w:r>
              <w:t>80</w:t>
            </w:r>
          </w:p>
        </w:tc>
      </w:tr>
      <w:tr w:rsidR="00655AEF" w14:paraId="3E844316" w14:textId="77777777">
        <w:trPr>
          <w:jc w:val="center"/>
        </w:trPr>
        <w:tc>
          <w:tcPr>
            <w:tcW w:w="8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E" w14:textId="77777777" w:rsidR="00655AEF" w:rsidRDefault="00655AEF">
            <w:pPr>
              <w:pBdr>
                <w:top w:val="nil"/>
                <w:left w:val="nil"/>
                <w:bottom w:val="nil"/>
                <w:right w:val="nil"/>
                <w:between w:val="nil"/>
              </w:pBdr>
              <w:spacing w:line="276" w:lineRule="auto"/>
            </w:pP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F" w14:textId="77777777" w:rsidR="00655AEF" w:rsidRDefault="00000000">
            <w:pPr>
              <w:jc w:val="both"/>
            </w:pPr>
            <w:r>
              <w:t>Total</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0" w14:textId="77777777" w:rsidR="00655AEF" w:rsidRDefault="00000000">
            <w:pPr>
              <w:jc w:val="both"/>
            </w:pPr>
            <w:r>
              <w:t>100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1" w14:textId="77777777" w:rsidR="00655AEF" w:rsidRDefault="00000000">
            <w:pPr>
              <w:jc w:val="both"/>
            </w:pPr>
            <w:r>
              <w:t>100</w:t>
            </w:r>
          </w:p>
        </w:tc>
      </w:tr>
    </w:tbl>
    <w:p w14:paraId="000003F2" w14:textId="77777777" w:rsidR="00655AEF" w:rsidRDefault="00655AEF">
      <w:pPr>
        <w:spacing w:after="240" w:line="360" w:lineRule="auto"/>
        <w:jc w:val="both"/>
        <w:rPr>
          <w:sz w:val="24"/>
          <w:szCs w:val="24"/>
        </w:rPr>
      </w:pPr>
    </w:p>
    <w:p w14:paraId="000003F3" w14:textId="77777777" w:rsidR="00655AEF" w:rsidRDefault="00000000">
      <w:pPr>
        <w:keepNext/>
        <w:pBdr>
          <w:top w:val="nil"/>
          <w:left w:val="nil"/>
          <w:bottom w:val="nil"/>
          <w:right w:val="nil"/>
          <w:between w:val="nil"/>
        </w:pBdr>
        <w:spacing w:after="200"/>
        <w:jc w:val="both"/>
        <w:rPr>
          <w:b/>
          <w:color w:val="4F81BD"/>
          <w:sz w:val="18"/>
          <w:szCs w:val="18"/>
        </w:rPr>
      </w:pPr>
      <w:bookmarkStart w:id="84" w:name="_heading=h.j24ti5fza5ck" w:colFirst="0" w:colLast="0"/>
      <w:bookmarkEnd w:id="84"/>
      <w:r>
        <w:rPr>
          <w:b/>
          <w:color w:val="4F81BD"/>
          <w:sz w:val="18"/>
          <w:szCs w:val="18"/>
        </w:rPr>
        <w:t>Table 17: Reason for switching treatment</w:t>
      </w:r>
    </w:p>
    <w:p w14:paraId="000003F4" w14:textId="77777777" w:rsidR="00655AEF" w:rsidRDefault="00000000">
      <w:pPr>
        <w:spacing w:after="240" w:line="360" w:lineRule="auto"/>
        <w:rPr>
          <w:sz w:val="24"/>
          <w:szCs w:val="24"/>
        </w:rPr>
      </w:pPr>
      <w:r>
        <w:rPr>
          <w:noProof/>
          <w:sz w:val="24"/>
          <w:szCs w:val="24"/>
        </w:rPr>
        <w:drawing>
          <wp:inline distT="0" distB="0" distL="0" distR="0" wp14:anchorId="3289D2A2" wp14:editId="6C62685E">
            <wp:extent cx="5505450" cy="32194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003F5" w14:textId="77777777" w:rsidR="00655AEF" w:rsidRDefault="00655AEF">
      <w:pPr>
        <w:spacing w:after="240" w:line="360" w:lineRule="auto"/>
        <w:jc w:val="both"/>
        <w:rPr>
          <w:sz w:val="24"/>
          <w:szCs w:val="24"/>
        </w:rPr>
      </w:pPr>
    </w:p>
    <w:p w14:paraId="000003F6" w14:textId="77777777" w:rsidR="00655AEF" w:rsidRDefault="00000000">
      <w:pPr>
        <w:pStyle w:val="Heading3"/>
        <w:numPr>
          <w:ilvl w:val="2"/>
          <w:numId w:val="2"/>
        </w:numPr>
        <w:rPr>
          <w:sz w:val="24"/>
          <w:szCs w:val="24"/>
        </w:rPr>
      </w:pPr>
      <w:bookmarkStart w:id="85" w:name="_heading=h.4ttkowt7drmd" w:colFirst="0" w:colLast="0"/>
      <w:bookmarkEnd w:id="85"/>
      <w:r>
        <w:rPr>
          <w:sz w:val="24"/>
          <w:szCs w:val="24"/>
        </w:rPr>
        <w:t>End of Follow-up Reasons for Patients on HIV Treatment</w:t>
      </w:r>
    </w:p>
    <w:p w14:paraId="000003F7" w14:textId="77777777" w:rsidR="00655AEF" w:rsidRDefault="00000000">
      <w:pPr>
        <w:spacing w:after="240" w:line="360" w:lineRule="auto"/>
        <w:jc w:val="both"/>
        <w:rPr>
          <w:sz w:val="24"/>
          <w:szCs w:val="24"/>
        </w:rPr>
      </w:pPr>
      <w:r>
        <w:rPr>
          <w:sz w:val="24"/>
          <w:szCs w:val="24"/>
        </w:rPr>
        <w:t xml:space="preserve">The study also collected data on the end of follow-up reasons, and out of the 513 responses, 117 patients receiving HIV treatment presents a critical challenge to effective long-term HIV care responded to this item. The most striking and concerning finding is </w:t>
      </w:r>
      <w:r>
        <w:rPr>
          <w:sz w:val="24"/>
          <w:szCs w:val="24"/>
        </w:rPr>
        <w:lastRenderedPageBreak/>
        <w:t>that 94.02% (110 out of 117 patients) were lost to follow-up within three months. This overwhelming proportion signifies a severe leakage in the cascade of care, profoundly impacting treatment outcomes and program effectiveness.</w:t>
      </w:r>
    </w:p>
    <w:p w14:paraId="000003F8" w14:textId="77777777" w:rsidR="00655AEF" w:rsidRDefault="00000000">
      <w:pPr>
        <w:spacing w:after="240" w:line="360" w:lineRule="auto"/>
        <w:jc w:val="both"/>
        <w:rPr>
          <w:sz w:val="24"/>
          <w:szCs w:val="24"/>
        </w:rPr>
      </w:pPr>
      <w:r>
        <w:rPr>
          <w:sz w:val="24"/>
          <w:szCs w:val="24"/>
        </w:rPr>
        <w:t>Being lost to follow-up means that a vast majority of these patients were no longer accessing their antiretroviral therapy (ART) or receiving essential clinical monitoring. The implications of such a high rate of loss are dire. Patients who discontinue ART are at a significantly higher risk of experiencing disease progression, opportunistic infections, and premature death. Unsuppressed viral loads in individuals lost to follow-up pose a continued risk of HIV transmission within the community, undermining public health efforts to control the epidemic, irregular or interrupted ART can lead to the development of drug-resistant HIV strains, complicating future treatment options for both the individual and potentially for others if transmitted.</w:t>
      </w:r>
    </w:p>
    <w:p w14:paraId="000003F9" w14:textId="77777777" w:rsidR="00655AEF" w:rsidRDefault="00000000">
      <w:pPr>
        <w:spacing w:after="240" w:line="360" w:lineRule="auto"/>
        <w:jc w:val="both"/>
        <w:rPr>
          <w:sz w:val="24"/>
          <w:szCs w:val="24"/>
        </w:rPr>
      </w:pPr>
      <w:r>
        <w:rPr>
          <w:sz w:val="24"/>
          <w:szCs w:val="24"/>
        </w:rPr>
        <w:t>The resources invested in the initially diagnosing, initiating, and treating these patients become largely wasted when they are lost from care. Further, high rates of loss to follow-up obscure the true picture of program success and make it difficult to accurately assess treatment effectiveness and retention rates.</w:t>
      </w:r>
    </w:p>
    <w:p w14:paraId="000003FA" w14:textId="77777777" w:rsidR="00655AEF" w:rsidRDefault="00000000">
      <w:pPr>
        <w:spacing w:after="240" w:line="360" w:lineRule="auto"/>
        <w:jc w:val="both"/>
        <w:rPr>
          <w:sz w:val="24"/>
          <w:szCs w:val="24"/>
        </w:rPr>
      </w:pPr>
      <w:r>
        <w:rPr>
          <w:sz w:val="24"/>
          <w:szCs w:val="24"/>
        </w:rPr>
        <w:t>The reasons for such a high rate of loss to follow-up are multifaceted, drawing from the broader context of HIV care challenges in Kakamega County. They include fear of being identified as HIV-positive can lead patients to avoid clinic visits or seek care elsewhere covertly, making them difficult to track, lack of finance for transport, food, or even the opportunity cost of time spent at the clinic can prevent consistent attendance. Patients may also discontinue care if they feel well and no longer perceive a need for medication, or conversely, if they experience challenging side effects without adequate counseling and support. Some patients moving for work or personal reasons without transferring their care can also become lost to the system. Further, paper-based health management systems also hinder effective patient tracking and referral mechanisms, particularly across different clinics or sub-counties. Finally, insufficient support or understanding of the importance of lifelong adherence can lead to disengagement.</w:t>
      </w:r>
    </w:p>
    <w:p w14:paraId="000003FB" w14:textId="77777777" w:rsidR="00655AEF" w:rsidRDefault="00000000">
      <w:pPr>
        <w:spacing w:after="240" w:line="360" w:lineRule="auto"/>
        <w:jc w:val="both"/>
        <w:rPr>
          <w:sz w:val="24"/>
          <w:szCs w:val="24"/>
        </w:rPr>
      </w:pPr>
      <w:r>
        <w:rPr>
          <w:sz w:val="24"/>
          <w:szCs w:val="24"/>
        </w:rPr>
        <w:lastRenderedPageBreak/>
        <w:t>Death accounted for a smaller but significant 4.27% (5 cases) of the end of follow-up reasons. While death is an unfortunate outcome, it underscores the importance of maintaining patients in care to prevent disease progression that could lead to mortality. These deaths could also be a consequence of delayed diagnosis or late presentation to care.</w:t>
      </w:r>
    </w:p>
    <w:p w14:paraId="000003FC" w14:textId="77777777" w:rsidR="00655AEF" w:rsidRDefault="00000000">
      <w:pPr>
        <w:spacing w:after="240" w:line="360" w:lineRule="auto"/>
        <w:jc w:val="both"/>
        <w:rPr>
          <w:sz w:val="24"/>
          <w:szCs w:val="24"/>
        </w:rPr>
      </w:pPr>
      <w:r>
        <w:rPr>
          <w:sz w:val="24"/>
          <w:szCs w:val="24"/>
        </w:rPr>
        <w:t>The “Not Applicable” category (1.71%, 2 cases) likely refers to administrative closures or other specific study-related criteria that do not fit into the other categories.</w:t>
      </w:r>
    </w:p>
    <w:p w14:paraId="000003FD" w14:textId="77777777" w:rsidR="00655AEF" w:rsidRDefault="00000000">
      <w:pPr>
        <w:spacing w:after="240" w:line="360" w:lineRule="auto"/>
        <w:jc w:val="both"/>
        <w:rPr>
          <w:sz w:val="24"/>
          <w:szCs w:val="24"/>
        </w:rPr>
      </w:pPr>
      <w:r>
        <w:rPr>
          <w:sz w:val="24"/>
          <w:szCs w:val="24"/>
        </w:rPr>
        <w:t>The alarmingly high percentage of patients lost to follow-up directly informs the critical need for the proposed study’s objectives. An integrated reward system, as hypothesized, could serve as a powerful incentive to improve patient retention and adherence, thereby reducing the number of individuals dropping out of care. Furthermore, the development of robust tracking mechanisms is paramount to actively trace patients who miss appointments, re-engage them in care, and prevent them from becoming statistics in the lost to follow-up category. Addressing this severe challenge is central to achieving sustainable HIV treatment outcomes and realizing the broader public health goals in Kakamega County. Table and figure below, summarizes this</w:t>
      </w:r>
    </w:p>
    <w:p w14:paraId="000003FE" w14:textId="77777777" w:rsidR="00655AEF" w:rsidRDefault="00000000">
      <w:pPr>
        <w:keepNext/>
        <w:pBdr>
          <w:top w:val="nil"/>
          <w:left w:val="nil"/>
          <w:bottom w:val="nil"/>
          <w:right w:val="nil"/>
          <w:between w:val="nil"/>
        </w:pBdr>
        <w:spacing w:after="200"/>
        <w:rPr>
          <w:b/>
          <w:color w:val="4F81BD"/>
          <w:sz w:val="18"/>
          <w:szCs w:val="18"/>
        </w:rPr>
      </w:pPr>
      <w:bookmarkStart w:id="86" w:name="_heading=h.jccihnxii971" w:colFirst="0" w:colLast="0"/>
      <w:bookmarkEnd w:id="86"/>
      <w:r>
        <w:rPr>
          <w:b/>
          <w:color w:val="4F81BD"/>
          <w:sz w:val="18"/>
          <w:szCs w:val="18"/>
        </w:rPr>
        <w:t>Table 18: End of Follow-up Reasons</w:t>
      </w:r>
    </w:p>
    <w:tbl>
      <w:tblPr>
        <w:tblStyle w:val="af"/>
        <w:tblW w:w="8640" w:type="dxa"/>
        <w:tblInd w:w="0" w:type="dxa"/>
        <w:tblLayout w:type="fixed"/>
        <w:tblLook w:val="0000" w:firstRow="0" w:lastRow="0" w:firstColumn="0" w:lastColumn="0" w:noHBand="0" w:noVBand="0"/>
      </w:tblPr>
      <w:tblGrid>
        <w:gridCol w:w="734"/>
        <w:gridCol w:w="5206"/>
        <w:gridCol w:w="1170"/>
        <w:gridCol w:w="1530"/>
      </w:tblGrid>
      <w:tr w:rsidR="00655AEF" w14:paraId="730E703E" w14:textId="77777777">
        <w:trPr>
          <w:cantSplit/>
        </w:trPr>
        <w:tc>
          <w:tcPr>
            <w:tcW w:w="5940" w:type="dxa"/>
            <w:gridSpan w:val="2"/>
            <w:shd w:val="clear" w:color="auto" w:fill="FFFFFF"/>
            <w:tcMar>
              <w:top w:w="0" w:type="dxa"/>
              <w:left w:w="0" w:type="dxa"/>
              <w:bottom w:w="0" w:type="dxa"/>
              <w:right w:w="0" w:type="dxa"/>
            </w:tcMar>
          </w:tcPr>
          <w:p w14:paraId="000003FF" w14:textId="77777777" w:rsidR="00655AEF" w:rsidRDefault="00655AEF">
            <w:pPr>
              <w:jc w:val="both"/>
              <w:rPr>
                <w:sz w:val="24"/>
                <w:szCs w:val="24"/>
              </w:rPr>
            </w:pPr>
          </w:p>
        </w:tc>
        <w:tc>
          <w:tcPr>
            <w:tcW w:w="1170" w:type="dxa"/>
            <w:shd w:val="clear" w:color="auto" w:fill="FFFFFF"/>
            <w:tcMar>
              <w:top w:w="0" w:type="dxa"/>
              <w:left w:w="0" w:type="dxa"/>
              <w:bottom w:w="0" w:type="dxa"/>
              <w:right w:w="0" w:type="dxa"/>
            </w:tcMar>
          </w:tcPr>
          <w:p w14:paraId="00000401" w14:textId="77777777" w:rsidR="00655AEF" w:rsidRDefault="00000000">
            <w:pPr>
              <w:jc w:val="both"/>
              <w:rPr>
                <w:sz w:val="24"/>
                <w:szCs w:val="24"/>
              </w:rPr>
            </w:pPr>
            <w:r>
              <w:rPr>
                <w:sz w:val="24"/>
                <w:szCs w:val="24"/>
              </w:rPr>
              <w:t>Frequency</w:t>
            </w:r>
          </w:p>
        </w:tc>
        <w:tc>
          <w:tcPr>
            <w:tcW w:w="1530" w:type="dxa"/>
            <w:shd w:val="clear" w:color="auto" w:fill="FFFFFF"/>
            <w:tcMar>
              <w:top w:w="0" w:type="dxa"/>
              <w:left w:w="0" w:type="dxa"/>
              <w:bottom w:w="0" w:type="dxa"/>
              <w:right w:w="0" w:type="dxa"/>
            </w:tcMar>
          </w:tcPr>
          <w:p w14:paraId="00000402" w14:textId="77777777" w:rsidR="00655AEF" w:rsidRDefault="00000000">
            <w:pPr>
              <w:jc w:val="both"/>
              <w:rPr>
                <w:sz w:val="24"/>
                <w:szCs w:val="24"/>
              </w:rPr>
            </w:pPr>
            <w:r>
              <w:rPr>
                <w:sz w:val="24"/>
                <w:szCs w:val="24"/>
              </w:rPr>
              <w:t>Percent</w:t>
            </w:r>
          </w:p>
        </w:tc>
      </w:tr>
      <w:tr w:rsidR="00655AEF" w14:paraId="0BF4DEC8" w14:textId="77777777">
        <w:trPr>
          <w:cantSplit/>
        </w:trPr>
        <w:tc>
          <w:tcPr>
            <w:tcW w:w="734" w:type="dxa"/>
            <w:vMerge w:val="restart"/>
            <w:shd w:val="clear" w:color="auto" w:fill="FFFFFF"/>
            <w:tcMar>
              <w:top w:w="0" w:type="dxa"/>
              <w:left w:w="0" w:type="dxa"/>
              <w:bottom w:w="0" w:type="dxa"/>
              <w:right w:w="0" w:type="dxa"/>
            </w:tcMar>
            <w:vAlign w:val="center"/>
          </w:tcPr>
          <w:p w14:paraId="00000403" w14:textId="77777777" w:rsidR="00655AEF" w:rsidRDefault="00655AEF">
            <w:pPr>
              <w:jc w:val="both"/>
              <w:rPr>
                <w:sz w:val="24"/>
                <w:szCs w:val="24"/>
              </w:rPr>
            </w:pPr>
          </w:p>
        </w:tc>
        <w:tc>
          <w:tcPr>
            <w:tcW w:w="5206" w:type="dxa"/>
            <w:tcBorders>
              <w:top w:val="single" w:sz="4" w:space="0" w:color="000000"/>
            </w:tcBorders>
            <w:shd w:val="clear" w:color="auto" w:fill="FFFFFF"/>
            <w:tcMar>
              <w:top w:w="0" w:type="dxa"/>
              <w:left w:w="0" w:type="dxa"/>
              <w:bottom w:w="0" w:type="dxa"/>
              <w:right w:w="0" w:type="dxa"/>
            </w:tcMar>
            <w:vAlign w:val="center"/>
          </w:tcPr>
          <w:p w14:paraId="00000404" w14:textId="77777777" w:rsidR="00655AEF" w:rsidRDefault="00000000">
            <w:pPr>
              <w:jc w:val="both"/>
              <w:rPr>
                <w:sz w:val="24"/>
                <w:szCs w:val="24"/>
              </w:rPr>
            </w:pPr>
            <w:r>
              <w:rPr>
                <w:sz w:val="24"/>
                <w:szCs w:val="24"/>
              </w:rPr>
              <w:t>Death</w:t>
            </w:r>
          </w:p>
        </w:tc>
        <w:tc>
          <w:tcPr>
            <w:tcW w:w="1170" w:type="dxa"/>
            <w:tcBorders>
              <w:top w:val="single" w:sz="4" w:space="0" w:color="000000"/>
            </w:tcBorders>
            <w:shd w:val="clear" w:color="auto" w:fill="FFFFFF"/>
            <w:tcMar>
              <w:top w:w="0" w:type="dxa"/>
              <w:left w:w="0" w:type="dxa"/>
              <w:bottom w:w="0" w:type="dxa"/>
              <w:right w:w="0" w:type="dxa"/>
            </w:tcMar>
            <w:vAlign w:val="center"/>
          </w:tcPr>
          <w:p w14:paraId="00000405" w14:textId="77777777" w:rsidR="00655AEF" w:rsidRDefault="00000000">
            <w:pPr>
              <w:jc w:val="both"/>
              <w:rPr>
                <w:sz w:val="24"/>
                <w:szCs w:val="24"/>
              </w:rPr>
            </w:pPr>
            <w:r>
              <w:rPr>
                <w:sz w:val="24"/>
                <w:szCs w:val="24"/>
              </w:rPr>
              <w:t>5</w:t>
            </w:r>
          </w:p>
        </w:tc>
        <w:tc>
          <w:tcPr>
            <w:tcW w:w="1530" w:type="dxa"/>
            <w:tcBorders>
              <w:top w:val="single" w:sz="4" w:space="0" w:color="000000"/>
            </w:tcBorders>
            <w:shd w:val="clear" w:color="auto" w:fill="FFFFFF"/>
            <w:tcMar>
              <w:top w:w="0" w:type="dxa"/>
              <w:left w:w="0" w:type="dxa"/>
              <w:bottom w:w="0" w:type="dxa"/>
              <w:right w:w="0" w:type="dxa"/>
            </w:tcMar>
            <w:vAlign w:val="center"/>
          </w:tcPr>
          <w:p w14:paraId="00000406" w14:textId="77777777" w:rsidR="00655AEF" w:rsidRDefault="00000000">
            <w:pPr>
              <w:jc w:val="both"/>
              <w:rPr>
                <w:sz w:val="24"/>
                <w:szCs w:val="24"/>
              </w:rPr>
            </w:pPr>
            <w:r>
              <w:rPr>
                <w:sz w:val="24"/>
                <w:szCs w:val="24"/>
              </w:rPr>
              <w:t>4.27</w:t>
            </w:r>
          </w:p>
        </w:tc>
      </w:tr>
      <w:tr w:rsidR="00655AEF" w14:paraId="4C13537B" w14:textId="77777777">
        <w:trPr>
          <w:cantSplit/>
        </w:trPr>
        <w:tc>
          <w:tcPr>
            <w:tcW w:w="734" w:type="dxa"/>
            <w:vMerge/>
            <w:shd w:val="clear" w:color="auto" w:fill="FFFFFF"/>
            <w:tcMar>
              <w:top w:w="0" w:type="dxa"/>
              <w:left w:w="0" w:type="dxa"/>
              <w:bottom w:w="0" w:type="dxa"/>
              <w:right w:w="0" w:type="dxa"/>
            </w:tcMar>
            <w:vAlign w:val="center"/>
          </w:tcPr>
          <w:p w14:paraId="00000407" w14:textId="77777777" w:rsidR="00655AEF" w:rsidRDefault="00655AEF">
            <w:pPr>
              <w:pBdr>
                <w:top w:val="nil"/>
                <w:left w:val="nil"/>
                <w:bottom w:val="nil"/>
                <w:right w:val="nil"/>
                <w:between w:val="nil"/>
              </w:pBdr>
              <w:spacing w:line="276" w:lineRule="auto"/>
              <w:rPr>
                <w:sz w:val="24"/>
                <w:szCs w:val="24"/>
              </w:rPr>
            </w:pPr>
          </w:p>
        </w:tc>
        <w:tc>
          <w:tcPr>
            <w:tcW w:w="5206" w:type="dxa"/>
            <w:shd w:val="clear" w:color="auto" w:fill="FFFFFF"/>
            <w:tcMar>
              <w:top w:w="0" w:type="dxa"/>
              <w:left w:w="0" w:type="dxa"/>
              <w:bottom w:w="0" w:type="dxa"/>
              <w:right w:w="0" w:type="dxa"/>
            </w:tcMar>
            <w:vAlign w:val="center"/>
          </w:tcPr>
          <w:p w14:paraId="00000408" w14:textId="77777777" w:rsidR="00655AEF" w:rsidRDefault="00000000">
            <w:pPr>
              <w:jc w:val="both"/>
              <w:rPr>
                <w:sz w:val="24"/>
                <w:szCs w:val="24"/>
              </w:rPr>
            </w:pPr>
            <w:r>
              <w:rPr>
                <w:sz w:val="24"/>
                <w:szCs w:val="24"/>
              </w:rPr>
              <w:t>Lost to follow-up (&lt; 3 months)</w:t>
            </w:r>
          </w:p>
        </w:tc>
        <w:tc>
          <w:tcPr>
            <w:tcW w:w="1170" w:type="dxa"/>
            <w:shd w:val="clear" w:color="auto" w:fill="FFFFFF"/>
            <w:tcMar>
              <w:top w:w="0" w:type="dxa"/>
              <w:left w:w="0" w:type="dxa"/>
              <w:bottom w:w="0" w:type="dxa"/>
              <w:right w:w="0" w:type="dxa"/>
            </w:tcMar>
            <w:vAlign w:val="center"/>
          </w:tcPr>
          <w:p w14:paraId="00000409" w14:textId="77777777" w:rsidR="00655AEF" w:rsidRDefault="00000000">
            <w:pPr>
              <w:jc w:val="both"/>
              <w:rPr>
                <w:sz w:val="24"/>
                <w:szCs w:val="24"/>
              </w:rPr>
            </w:pPr>
            <w:r>
              <w:rPr>
                <w:sz w:val="24"/>
                <w:szCs w:val="24"/>
              </w:rPr>
              <w:t>110</w:t>
            </w:r>
          </w:p>
        </w:tc>
        <w:tc>
          <w:tcPr>
            <w:tcW w:w="1530" w:type="dxa"/>
            <w:shd w:val="clear" w:color="auto" w:fill="FFFFFF"/>
            <w:tcMar>
              <w:top w:w="0" w:type="dxa"/>
              <w:left w:w="0" w:type="dxa"/>
              <w:bottom w:w="0" w:type="dxa"/>
              <w:right w:w="0" w:type="dxa"/>
            </w:tcMar>
            <w:vAlign w:val="center"/>
          </w:tcPr>
          <w:p w14:paraId="0000040A" w14:textId="77777777" w:rsidR="00655AEF" w:rsidRDefault="00000000">
            <w:pPr>
              <w:jc w:val="both"/>
              <w:rPr>
                <w:sz w:val="24"/>
                <w:szCs w:val="24"/>
              </w:rPr>
            </w:pPr>
            <w:r>
              <w:rPr>
                <w:sz w:val="24"/>
                <w:szCs w:val="24"/>
              </w:rPr>
              <w:t>94.02</w:t>
            </w:r>
          </w:p>
        </w:tc>
      </w:tr>
      <w:tr w:rsidR="00655AEF" w14:paraId="1C7671B3" w14:textId="77777777">
        <w:trPr>
          <w:cantSplit/>
        </w:trPr>
        <w:tc>
          <w:tcPr>
            <w:tcW w:w="734" w:type="dxa"/>
            <w:vMerge/>
            <w:shd w:val="clear" w:color="auto" w:fill="FFFFFF"/>
            <w:tcMar>
              <w:top w:w="0" w:type="dxa"/>
              <w:left w:w="0" w:type="dxa"/>
              <w:bottom w:w="0" w:type="dxa"/>
              <w:right w:w="0" w:type="dxa"/>
            </w:tcMar>
            <w:vAlign w:val="center"/>
          </w:tcPr>
          <w:p w14:paraId="0000040B" w14:textId="77777777" w:rsidR="00655AEF" w:rsidRDefault="00655AEF">
            <w:pPr>
              <w:pBdr>
                <w:top w:val="nil"/>
                <w:left w:val="nil"/>
                <w:bottom w:val="nil"/>
                <w:right w:val="nil"/>
                <w:between w:val="nil"/>
              </w:pBdr>
              <w:spacing w:line="276" w:lineRule="auto"/>
              <w:rPr>
                <w:sz w:val="24"/>
                <w:szCs w:val="24"/>
              </w:rPr>
            </w:pPr>
          </w:p>
        </w:tc>
        <w:tc>
          <w:tcPr>
            <w:tcW w:w="5206" w:type="dxa"/>
            <w:tcBorders>
              <w:bottom w:val="single" w:sz="4" w:space="0" w:color="000000"/>
            </w:tcBorders>
            <w:shd w:val="clear" w:color="auto" w:fill="FFFFFF"/>
            <w:tcMar>
              <w:top w:w="0" w:type="dxa"/>
              <w:left w:w="0" w:type="dxa"/>
              <w:bottom w:w="0" w:type="dxa"/>
              <w:right w:w="0" w:type="dxa"/>
            </w:tcMar>
            <w:vAlign w:val="center"/>
          </w:tcPr>
          <w:p w14:paraId="0000040C" w14:textId="77777777" w:rsidR="00655AEF" w:rsidRDefault="00000000">
            <w:pPr>
              <w:jc w:val="both"/>
              <w:rPr>
                <w:sz w:val="24"/>
                <w:szCs w:val="24"/>
              </w:rPr>
            </w:pPr>
            <w:r>
              <w:rPr>
                <w:sz w:val="24"/>
                <w:szCs w:val="24"/>
              </w:rPr>
              <w:t>Not Applicable</w:t>
            </w:r>
          </w:p>
        </w:tc>
        <w:tc>
          <w:tcPr>
            <w:tcW w:w="1170" w:type="dxa"/>
            <w:tcBorders>
              <w:bottom w:val="single" w:sz="4" w:space="0" w:color="000000"/>
            </w:tcBorders>
            <w:shd w:val="clear" w:color="auto" w:fill="FFFFFF"/>
            <w:tcMar>
              <w:top w:w="0" w:type="dxa"/>
              <w:left w:w="0" w:type="dxa"/>
              <w:bottom w:w="0" w:type="dxa"/>
              <w:right w:w="0" w:type="dxa"/>
            </w:tcMar>
            <w:vAlign w:val="center"/>
          </w:tcPr>
          <w:p w14:paraId="0000040D" w14:textId="77777777" w:rsidR="00655AEF" w:rsidRDefault="00000000">
            <w:pPr>
              <w:jc w:val="both"/>
              <w:rPr>
                <w:sz w:val="24"/>
                <w:szCs w:val="24"/>
              </w:rPr>
            </w:pPr>
            <w:r>
              <w:rPr>
                <w:sz w:val="24"/>
                <w:szCs w:val="24"/>
              </w:rPr>
              <w:t>2</w:t>
            </w:r>
          </w:p>
        </w:tc>
        <w:tc>
          <w:tcPr>
            <w:tcW w:w="1530" w:type="dxa"/>
            <w:tcBorders>
              <w:bottom w:val="single" w:sz="4" w:space="0" w:color="000000"/>
            </w:tcBorders>
            <w:shd w:val="clear" w:color="auto" w:fill="FFFFFF"/>
            <w:tcMar>
              <w:top w:w="0" w:type="dxa"/>
              <w:left w:w="0" w:type="dxa"/>
              <w:bottom w:w="0" w:type="dxa"/>
              <w:right w:w="0" w:type="dxa"/>
            </w:tcMar>
            <w:vAlign w:val="center"/>
          </w:tcPr>
          <w:p w14:paraId="0000040E" w14:textId="77777777" w:rsidR="00655AEF" w:rsidRDefault="00000000">
            <w:pPr>
              <w:jc w:val="both"/>
              <w:rPr>
                <w:sz w:val="24"/>
                <w:szCs w:val="24"/>
              </w:rPr>
            </w:pPr>
            <w:r>
              <w:rPr>
                <w:sz w:val="24"/>
                <w:szCs w:val="24"/>
              </w:rPr>
              <w:t>1.71</w:t>
            </w:r>
          </w:p>
        </w:tc>
      </w:tr>
      <w:tr w:rsidR="00655AEF" w14:paraId="06F4959B" w14:textId="77777777">
        <w:trPr>
          <w:cantSplit/>
        </w:trPr>
        <w:tc>
          <w:tcPr>
            <w:tcW w:w="734" w:type="dxa"/>
            <w:vMerge/>
            <w:shd w:val="clear" w:color="auto" w:fill="FFFFFF"/>
            <w:tcMar>
              <w:top w:w="0" w:type="dxa"/>
              <w:left w:w="0" w:type="dxa"/>
              <w:bottom w:w="0" w:type="dxa"/>
              <w:right w:w="0" w:type="dxa"/>
            </w:tcMar>
            <w:vAlign w:val="center"/>
          </w:tcPr>
          <w:p w14:paraId="0000040F" w14:textId="77777777" w:rsidR="00655AEF" w:rsidRDefault="00655AEF">
            <w:pPr>
              <w:pBdr>
                <w:top w:val="nil"/>
                <w:left w:val="nil"/>
                <w:bottom w:val="nil"/>
                <w:right w:val="nil"/>
                <w:between w:val="nil"/>
              </w:pBdr>
              <w:spacing w:line="276" w:lineRule="auto"/>
              <w:rPr>
                <w:sz w:val="24"/>
                <w:szCs w:val="24"/>
              </w:rPr>
            </w:pPr>
          </w:p>
        </w:tc>
        <w:tc>
          <w:tcPr>
            <w:tcW w:w="520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10" w14:textId="77777777" w:rsidR="00655AEF" w:rsidRDefault="00000000">
            <w:pPr>
              <w:jc w:val="both"/>
              <w:rPr>
                <w:sz w:val="24"/>
                <w:szCs w:val="24"/>
              </w:rPr>
            </w:pPr>
            <w:r>
              <w:rPr>
                <w:sz w:val="24"/>
                <w:szCs w:val="24"/>
              </w:rPr>
              <w:t>Total</w:t>
            </w:r>
          </w:p>
        </w:tc>
        <w:tc>
          <w:tcPr>
            <w:tcW w:w="11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11" w14:textId="77777777" w:rsidR="00655AEF" w:rsidRDefault="00000000">
            <w:pPr>
              <w:jc w:val="both"/>
              <w:rPr>
                <w:sz w:val="24"/>
                <w:szCs w:val="24"/>
              </w:rPr>
            </w:pPr>
            <w:r>
              <w:rPr>
                <w:sz w:val="24"/>
                <w:szCs w:val="24"/>
              </w:rPr>
              <w:t>117</w:t>
            </w:r>
          </w:p>
        </w:tc>
        <w:tc>
          <w:tcPr>
            <w:tcW w:w="153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12" w14:textId="77777777" w:rsidR="00655AEF" w:rsidRDefault="00000000">
            <w:pPr>
              <w:jc w:val="both"/>
              <w:rPr>
                <w:sz w:val="24"/>
                <w:szCs w:val="24"/>
              </w:rPr>
            </w:pPr>
            <w:r>
              <w:rPr>
                <w:sz w:val="24"/>
                <w:szCs w:val="24"/>
              </w:rPr>
              <w:t>100.0</w:t>
            </w:r>
          </w:p>
        </w:tc>
      </w:tr>
    </w:tbl>
    <w:p w14:paraId="00000413" w14:textId="77777777" w:rsidR="00655AEF" w:rsidRDefault="00655AEF">
      <w:pPr>
        <w:jc w:val="both"/>
        <w:rPr>
          <w:sz w:val="24"/>
          <w:szCs w:val="24"/>
        </w:rPr>
      </w:pPr>
    </w:p>
    <w:p w14:paraId="00000414" w14:textId="77777777" w:rsidR="00655AEF" w:rsidRDefault="00655AEF">
      <w:pPr>
        <w:jc w:val="both"/>
        <w:rPr>
          <w:sz w:val="24"/>
          <w:szCs w:val="24"/>
        </w:rPr>
      </w:pPr>
    </w:p>
    <w:p w14:paraId="00000415" w14:textId="77777777" w:rsidR="00655AEF" w:rsidRDefault="00655AEF">
      <w:pPr>
        <w:jc w:val="both"/>
        <w:rPr>
          <w:sz w:val="24"/>
          <w:szCs w:val="24"/>
        </w:rPr>
      </w:pPr>
    </w:p>
    <w:p w14:paraId="00000416" w14:textId="77777777" w:rsidR="00655AEF" w:rsidRDefault="00655AEF">
      <w:pPr>
        <w:jc w:val="both"/>
        <w:rPr>
          <w:sz w:val="24"/>
          <w:szCs w:val="24"/>
        </w:rPr>
      </w:pPr>
    </w:p>
    <w:p w14:paraId="00000417" w14:textId="77777777" w:rsidR="00655AEF" w:rsidRDefault="00000000">
      <w:pPr>
        <w:keepNext/>
        <w:jc w:val="both"/>
      </w:pPr>
      <w:r>
        <w:rPr>
          <w:rFonts w:ascii="Times New Roman" w:eastAsia="Times New Roman" w:hAnsi="Times New Roman" w:cs="Times New Roman"/>
          <w:noProof/>
          <w:sz w:val="24"/>
          <w:szCs w:val="24"/>
        </w:rPr>
        <w:lastRenderedPageBreak/>
        <w:drawing>
          <wp:inline distT="0" distB="0" distL="0" distR="0" wp14:anchorId="164ABDFC" wp14:editId="4C672C4F">
            <wp:extent cx="5505450" cy="32194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00418" w14:textId="77777777" w:rsidR="00655AEF" w:rsidRDefault="00000000">
      <w:pPr>
        <w:pBdr>
          <w:top w:val="nil"/>
          <w:left w:val="nil"/>
          <w:bottom w:val="nil"/>
          <w:right w:val="nil"/>
          <w:between w:val="nil"/>
        </w:pBdr>
        <w:spacing w:after="200"/>
        <w:jc w:val="both"/>
        <w:rPr>
          <w:rFonts w:ascii="Times New Roman" w:eastAsia="Times New Roman" w:hAnsi="Times New Roman" w:cs="Times New Roman"/>
          <w:b/>
          <w:color w:val="4F81BD"/>
          <w:sz w:val="24"/>
          <w:szCs w:val="24"/>
        </w:rPr>
      </w:pPr>
      <w:bookmarkStart w:id="87" w:name="_heading=h.1vjuf4kab8n8" w:colFirst="0" w:colLast="0"/>
      <w:bookmarkEnd w:id="87"/>
      <w:r>
        <w:rPr>
          <w:b/>
          <w:color w:val="4F81BD"/>
          <w:sz w:val="18"/>
          <w:szCs w:val="18"/>
        </w:rPr>
        <w:t>Figure 13: End of Follow-up Reasons</w:t>
      </w:r>
    </w:p>
    <w:p w14:paraId="00000419" w14:textId="77777777" w:rsidR="00655AEF" w:rsidRDefault="00655AEF">
      <w:pPr>
        <w:spacing w:after="240" w:line="360" w:lineRule="auto"/>
        <w:jc w:val="both"/>
        <w:rPr>
          <w:sz w:val="24"/>
          <w:szCs w:val="24"/>
        </w:rPr>
      </w:pPr>
    </w:p>
    <w:bookmarkStart w:id="88" w:name="_heading=h.ycrijs8c1dgn" w:colFirst="0" w:colLast="0"/>
    <w:bookmarkEnd w:id="88"/>
    <w:p w14:paraId="0000041A" w14:textId="77777777" w:rsidR="00655AEF" w:rsidRDefault="00000000">
      <w:pPr>
        <w:pStyle w:val="Heading3"/>
        <w:numPr>
          <w:ilvl w:val="2"/>
          <w:numId w:val="2"/>
        </w:numPr>
        <w:rPr>
          <w:sz w:val="24"/>
          <w:szCs w:val="24"/>
        </w:rPr>
      </w:pPr>
      <w:sdt>
        <w:sdtPr>
          <w:tag w:val="goog_rdk_1"/>
          <w:id w:val="287124576"/>
        </w:sdtPr>
        <w:sdtContent>
          <w:commentRangeStart w:id="89"/>
        </w:sdtContent>
      </w:sdt>
      <w:r>
        <w:rPr>
          <w:sz w:val="24"/>
          <w:szCs w:val="24"/>
        </w:rPr>
        <w:t>Reasons for Stopping HIV Treatment</w:t>
      </w:r>
      <w:commentRangeEnd w:id="89"/>
      <w:r>
        <w:commentReference w:id="89"/>
      </w:r>
    </w:p>
    <w:p w14:paraId="0000041B" w14:textId="77777777" w:rsidR="00655AEF" w:rsidRDefault="00000000">
      <w:pPr>
        <w:spacing w:after="240" w:line="360" w:lineRule="auto"/>
        <w:jc w:val="both"/>
        <w:rPr>
          <w:sz w:val="24"/>
          <w:szCs w:val="24"/>
        </w:rPr>
      </w:pPr>
      <w:r>
        <w:rPr>
          <w:sz w:val="24"/>
          <w:szCs w:val="24"/>
        </w:rPr>
        <w:t>This data, outlines reasons for stopping HIV treatment among a sample of 513 patients, reveals critical insights into the challenges of achieving sustained antiretroviral therapy (ART) adherence and retention in care.</w:t>
      </w:r>
    </w:p>
    <w:p w14:paraId="0000041C" w14:textId="77777777" w:rsidR="00655AEF" w:rsidRDefault="00000000">
      <w:pPr>
        <w:spacing w:after="240" w:line="360" w:lineRule="auto"/>
        <w:jc w:val="both"/>
        <w:rPr>
          <w:sz w:val="24"/>
          <w:szCs w:val="24"/>
        </w:rPr>
      </w:pPr>
      <w:r>
        <w:rPr>
          <w:sz w:val="24"/>
          <w:szCs w:val="24"/>
        </w:rPr>
        <w:t>The most prominent reason for treatment discontinuation is severe side effects, accounting for a significant 50% of all reported reasons, or 18 individual cases. This finding is particularly concerning given that adherence is the cornerstone of effective ART, directly impacting viral suppression and preventing the development of drug resistance. Severe side effects can stem from a multitude of factors, including forgetfulness, complex dosing regimens, side effects, stigma, lack of social support, and insufficient understanding of the treatment’s importance. The high incidence of severe side effects underscores the urgent need for robust patient education, counseling, and innovative support systems to ensure consistent medication intake.</w:t>
      </w:r>
    </w:p>
    <w:p w14:paraId="0000041D" w14:textId="77777777" w:rsidR="00655AEF" w:rsidRDefault="00000000">
      <w:pPr>
        <w:spacing w:after="240" w:line="360" w:lineRule="auto"/>
        <w:jc w:val="both"/>
        <w:rPr>
          <w:sz w:val="24"/>
          <w:szCs w:val="24"/>
        </w:rPr>
      </w:pPr>
      <w:r>
        <w:rPr>
          <w:sz w:val="24"/>
          <w:szCs w:val="24"/>
        </w:rPr>
        <w:t xml:space="preserve">Other notable reasons for treatment cessation include drug out of stock accounting for (13.9%) and patient lack of finance accounting for 11.1%. These factors highlight systemic </w:t>
      </w:r>
      <w:r>
        <w:rPr>
          <w:sz w:val="24"/>
          <w:szCs w:val="24"/>
        </w:rPr>
        <w:lastRenderedPageBreak/>
        <w:t>and socio-economic barriers to treatment continuity. Drug out of stock points to potential weaknesses in the pharmaceutical supply chain or inventory management within healthcare facilities. Unreliable drug availability can severely disrupt treatment regimens, erode patient trust, and ultimately lead to treatment failure. Similarly, patient lack of finance underscores the economic vulnerabilities faced by patients, where even indirect costs associated with treatment (e.g., transport to clinics, lost wages during clinic visits) can become insurmountable barriers, despite ART often being provided free of charge in Kenya. Addressing these supply chain and financial challenges is crucial for ensuring equitable and continuous access to life-saving medication.</w:t>
      </w:r>
    </w:p>
    <w:p w14:paraId="0000041E" w14:textId="77777777" w:rsidR="00655AEF" w:rsidRDefault="00000000">
      <w:pPr>
        <w:spacing w:after="240" w:line="360" w:lineRule="auto"/>
        <w:jc w:val="both"/>
        <w:rPr>
          <w:sz w:val="24"/>
          <w:szCs w:val="24"/>
        </w:rPr>
      </w:pPr>
      <w:r>
        <w:rPr>
          <w:sz w:val="24"/>
          <w:szCs w:val="24"/>
        </w:rPr>
        <w:t>Virologic failure also contributed to treatment discontinuation 11.1%. While virologic failure can be a consequence of severe side effects, it can also indicate the development of drug resistance or a need for regimen switch. This necessitates effective viral load monitoring and prompt clinical responses to adjust treatment strategies and prevent further progression of the disease.</w:t>
      </w:r>
    </w:p>
    <w:p w14:paraId="0000041F" w14:textId="77777777" w:rsidR="00655AEF" w:rsidRDefault="00000000">
      <w:pPr>
        <w:spacing w:after="240" w:line="360" w:lineRule="auto"/>
        <w:jc w:val="both"/>
        <w:rPr>
          <w:sz w:val="24"/>
          <w:szCs w:val="24"/>
        </w:rPr>
      </w:pPr>
      <w:r>
        <w:rPr>
          <w:sz w:val="24"/>
          <w:szCs w:val="24"/>
        </w:rPr>
        <w:t>Other relevant reasons include patient decision 5.6% and pregnancy 8.3%. Patient decision might encompass a range of personal choices, including self-stigma, feeling well and believing treatment is no longer necessary, or seeking alternative remedies. Pregnancy, while a positive life event, can sometimes lead to treatment modifications or, less commonly, discontinuation if not properly managed with comprehensive counseling and support to ensure continued maternal and child health.</w:t>
      </w:r>
    </w:p>
    <w:p w14:paraId="00000420" w14:textId="77777777" w:rsidR="00655AEF" w:rsidRDefault="00000000">
      <w:pPr>
        <w:spacing w:after="240" w:line="360" w:lineRule="auto"/>
        <w:jc w:val="both"/>
        <w:rPr>
          <w:sz w:val="24"/>
          <w:szCs w:val="24"/>
        </w:rPr>
      </w:pPr>
      <w:r>
        <w:rPr>
          <w:sz w:val="24"/>
          <w:szCs w:val="24"/>
        </w:rPr>
        <w:t xml:space="preserve">In the context of Kakamega County, where retention rates are critical for the success of the HIV program, these identified reasons for stopping treatment provide a clear roadmap for intervention. The high prevalence of severe side effects suggests that strategies aimed at enhancing patient motivation and support, such as the proposed reward system, could be highly beneficial. Furthermore, addressing the structural issues of drug availability and financial barriers through improved health management systems and patient support programs is essential. Understanding these multifaceted reasons for treatment discontinuation is fundamental to developing targeted, effective interventions that strengthen the HIV care cascade and ultimately improve patient outcomes in </w:t>
      </w:r>
      <w:r>
        <w:rPr>
          <w:sz w:val="24"/>
          <w:szCs w:val="24"/>
        </w:rPr>
        <w:lastRenderedPageBreak/>
        <w:t>Kakamega County and similar resource-limited settings.</w:t>
      </w:r>
    </w:p>
    <w:p w14:paraId="00000421" w14:textId="77777777" w:rsidR="00655AEF" w:rsidRDefault="00000000">
      <w:pPr>
        <w:keepNext/>
        <w:pBdr>
          <w:top w:val="nil"/>
          <w:left w:val="nil"/>
          <w:bottom w:val="nil"/>
          <w:right w:val="nil"/>
          <w:between w:val="nil"/>
        </w:pBdr>
        <w:spacing w:after="200"/>
        <w:rPr>
          <w:b/>
          <w:color w:val="4F81BD"/>
          <w:sz w:val="18"/>
          <w:szCs w:val="18"/>
        </w:rPr>
      </w:pPr>
      <w:bookmarkStart w:id="90" w:name="_heading=h.lkuda4pxs6pc" w:colFirst="0" w:colLast="0"/>
      <w:bookmarkEnd w:id="90"/>
      <w:r>
        <w:rPr>
          <w:b/>
          <w:color w:val="4F81BD"/>
          <w:sz w:val="18"/>
          <w:szCs w:val="18"/>
        </w:rPr>
        <w:t>Table 19: Reason for stopping treatment</w:t>
      </w:r>
    </w:p>
    <w:tbl>
      <w:tblPr>
        <w:tblStyle w:val="af0"/>
        <w:tblW w:w="8550" w:type="dxa"/>
        <w:tblInd w:w="0" w:type="dxa"/>
        <w:tblLayout w:type="fixed"/>
        <w:tblLook w:val="0000" w:firstRow="0" w:lastRow="0" w:firstColumn="0" w:lastColumn="0" w:noHBand="0" w:noVBand="0"/>
      </w:tblPr>
      <w:tblGrid>
        <w:gridCol w:w="734"/>
        <w:gridCol w:w="6376"/>
        <w:gridCol w:w="1440"/>
      </w:tblGrid>
      <w:tr w:rsidR="00655AEF" w14:paraId="7EB52F18" w14:textId="77777777">
        <w:trPr>
          <w:cantSplit/>
        </w:trPr>
        <w:tc>
          <w:tcPr>
            <w:tcW w:w="7110" w:type="dxa"/>
            <w:gridSpan w:val="2"/>
            <w:shd w:val="clear" w:color="auto" w:fill="FFFFFF"/>
            <w:tcMar>
              <w:top w:w="0" w:type="dxa"/>
              <w:left w:w="0" w:type="dxa"/>
              <w:bottom w:w="0" w:type="dxa"/>
              <w:right w:w="0" w:type="dxa"/>
            </w:tcMar>
          </w:tcPr>
          <w:p w14:paraId="00000422" w14:textId="77777777" w:rsidR="00655AEF" w:rsidRDefault="00655AEF">
            <w:pPr>
              <w:rPr>
                <w:sz w:val="24"/>
                <w:szCs w:val="24"/>
              </w:rPr>
            </w:pPr>
          </w:p>
        </w:tc>
        <w:tc>
          <w:tcPr>
            <w:tcW w:w="1440" w:type="dxa"/>
            <w:shd w:val="clear" w:color="auto" w:fill="FFFFFF"/>
            <w:tcMar>
              <w:top w:w="0" w:type="dxa"/>
              <w:left w:w="0" w:type="dxa"/>
              <w:bottom w:w="0" w:type="dxa"/>
              <w:right w:w="0" w:type="dxa"/>
            </w:tcMar>
          </w:tcPr>
          <w:p w14:paraId="00000424" w14:textId="77777777" w:rsidR="00655AEF" w:rsidRDefault="00000000">
            <w:pPr>
              <w:rPr>
                <w:sz w:val="24"/>
                <w:szCs w:val="24"/>
              </w:rPr>
            </w:pPr>
            <w:r>
              <w:rPr>
                <w:sz w:val="24"/>
                <w:szCs w:val="24"/>
              </w:rPr>
              <w:t>Percent</w:t>
            </w:r>
          </w:p>
        </w:tc>
      </w:tr>
      <w:tr w:rsidR="00655AEF" w14:paraId="07DCAAE0" w14:textId="77777777">
        <w:trPr>
          <w:cantSplit/>
        </w:trPr>
        <w:tc>
          <w:tcPr>
            <w:tcW w:w="734" w:type="dxa"/>
            <w:vMerge w:val="restart"/>
            <w:shd w:val="clear" w:color="auto" w:fill="FFFFFF"/>
            <w:tcMar>
              <w:top w:w="0" w:type="dxa"/>
              <w:left w:w="0" w:type="dxa"/>
              <w:bottom w:w="0" w:type="dxa"/>
              <w:right w:w="0" w:type="dxa"/>
            </w:tcMar>
            <w:vAlign w:val="center"/>
          </w:tcPr>
          <w:p w14:paraId="00000425" w14:textId="77777777" w:rsidR="00655AEF" w:rsidRDefault="00655AEF">
            <w:pPr>
              <w:rPr>
                <w:sz w:val="24"/>
                <w:szCs w:val="24"/>
              </w:rPr>
            </w:pPr>
          </w:p>
        </w:tc>
        <w:tc>
          <w:tcPr>
            <w:tcW w:w="6376" w:type="dxa"/>
            <w:tcBorders>
              <w:top w:val="single" w:sz="4" w:space="0" w:color="000000"/>
            </w:tcBorders>
            <w:shd w:val="clear" w:color="auto" w:fill="FFFFFF"/>
            <w:tcMar>
              <w:top w:w="0" w:type="dxa"/>
              <w:left w:w="0" w:type="dxa"/>
              <w:bottom w:w="0" w:type="dxa"/>
              <w:right w:w="0" w:type="dxa"/>
            </w:tcMar>
            <w:vAlign w:val="center"/>
          </w:tcPr>
          <w:p w14:paraId="00000426" w14:textId="77777777" w:rsidR="00655AEF" w:rsidRDefault="00000000">
            <w:pPr>
              <w:rPr>
                <w:sz w:val="24"/>
                <w:szCs w:val="24"/>
              </w:rPr>
            </w:pPr>
            <w:r>
              <w:rPr>
                <w:sz w:val="24"/>
                <w:szCs w:val="24"/>
              </w:rPr>
              <w:t>Drug out of stock</w:t>
            </w:r>
          </w:p>
        </w:tc>
        <w:tc>
          <w:tcPr>
            <w:tcW w:w="1440" w:type="dxa"/>
            <w:tcBorders>
              <w:top w:val="single" w:sz="4" w:space="0" w:color="000000"/>
            </w:tcBorders>
            <w:shd w:val="clear" w:color="auto" w:fill="FFFFFF"/>
            <w:tcMar>
              <w:top w:w="0" w:type="dxa"/>
              <w:left w:w="0" w:type="dxa"/>
              <w:bottom w:w="0" w:type="dxa"/>
              <w:right w:w="0" w:type="dxa"/>
            </w:tcMar>
            <w:vAlign w:val="center"/>
          </w:tcPr>
          <w:p w14:paraId="00000427" w14:textId="77777777" w:rsidR="00655AEF" w:rsidRDefault="00000000">
            <w:pPr>
              <w:rPr>
                <w:sz w:val="24"/>
                <w:szCs w:val="24"/>
              </w:rPr>
            </w:pPr>
            <w:r>
              <w:rPr>
                <w:sz w:val="24"/>
                <w:szCs w:val="24"/>
              </w:rPr>
              <w:t>13.9</w:t>
            </w:r>
          </w:p>
        </w:tc>
      </w:tr>
      <w:tr w:rsidR="00655AEF" w14:paraId="3794104B" w14:textId="77777777">
        <w:trPr>
          <w:cantSplit/>
        </w:trPr>
        <w:tc>
          <w:tcPr>
            <w:tcW w:w="734" w:type="dxa"/>
            <w:vMerge/>
            <w:shd w:val="clear" w:color="auto" w:fill="FFFFFF"/>
            <w:tcMar>
              <w:top w:w="0" w:type="dxa"/>
              <w:left w:w="0" w:type="dxa"/>
              <w:bottom w:w="0" w:type="dxa"/>
              <w:right w:w="0" w:type="dxa"/>
            </w:tcMar>
            <w:vAlign w:val="center"/>
          </w:tcPr>
          <w:p w14:paraId="00000428" w14:textId="77777777" w:rsidR="00655AEF" w:rsidRDefault="00655AEF">
            <w:pPr>
              <w:pBdr>
                <w:top w:val="nil"/>
                <w:left w:val="nil"/>
                <w:bottom w:val="nil"/>
                <w:right w:val="nil"/>
                <w:between w:val="nil"/>
              </w:pBdr>
              <w:spacing w:line="276" w:lineRule="auto"/>
              <w:rPr>
                <w:sz w:val="24"/>
                <w:szCs w:val="24"/>
              </w:rPr>
            </w:pPr>
          </w:p>
        </w:tc>
        <w:tc>
          <w:tcPr>
            <w:tcW w:w="6376" w:type="dxa"/>
            <w:shd w:val="clear" w:color="auto" w:fill="FFFFFF"/>
            <w:tcMar>
              <w:top w:w="0" w:type="dxa"/>
              <w:left w:w="0" w:type="dxa"/>
              <w:bottom w:w="0" w:type="dxa"/>
              <w:right w:w="0" w:type="dxa"/>
            </w:tcMar>
            <w:vAlign w:val="center"/>
          </w:tcPr>
          <w:p w14:paraId="00000429" w14:textId="77777777" w:rsidR="00655AEF" w:rsidRDefault="00000000">
            <w:pPr>
              <w:rPr>
                <w:sz w:val="24"/>
                <w:szCs w:val="24"/>
              </w:rPr>
            </w:pPr>
            <w:r>
              <w:rPr>
                <w:sz w:val="24"/>
                <w:szCs w:val="24"/>
              </w:rPr>
              <w:t>Patient decision</w:t>
            </w:r>
          </w:p>
        </w:tc>
        <w:tc>
          <w:tcPr>
            <w:tcW w:w="1440" w:type="dxa"/>
            <w:shd w:val="clear" w:color="auto" w:fill="FFFFFF"/>
            <w:tcMar>
              <w:top w:w="0" w:type="dxa"/>
              <w:left w:w="0" w:type="dxa"/>
              <w:bottom w:w="0" w:type="dxa"/>
              <w:right w:w="0" w:type="dxa"/>
            </w:tcMar>
            <w:vAlign w:val="center"/>
          </w:tcPr>
          <w:p w14:paraId="0000042A" w14:textId="77777777" w:rsidR="00655AEF" w:rsidRDefault="00000000">
            <w:pPr>
              <w:rPr>
                <w:sz w:val="24"/>
                <w:szCs w:val="24"/>
              </w:rPr>
            </w:pPr>
            <w:r>
              <w:rPr>
                <w:sz w:val="24"/>
                <w:szCs w:val="24"/>
              </w:rPr>
              <w:t>5.6</w:t>
            </w:r>
          </w:p>
        </w:tc>
      </w:tr>
      <w:tr w:rsidR="00655AEF" w14:paraId="4641DA92" w14:textId="77777777">
        <w:trPr>
          <w:cantSplit/>
        </w:trPr>
        <w:tc>
          <w:tcPr>
            <w:tcW w:w="734" w:type="dxa"/>
            <w:vMerge/>
            <w:shd w:val="clear" w:color="auto" w:fill="FFFFFF"/>
            <w:tcMar>
              <w:top w:w="0" w:type="dxa"/>
              <w:left w:w="0" w:type="dxa"/>
              <w:bottom w:w="0" w:type="dxa"/>
              <w:right w:w="0" w:type="dxa"/>
            </w:tcMar>
            <w:vAlign w:val="center"/>
          </w:tcPr>
          <w:p w14:paraId="0000042B" w14:textId="77777777" w:rsidR="00655AEF" w:rsidRDefault="00655AEF">
            <w:pPr>
              <w:pBdr>
                <w:top w:val="nil"/>
                <w:left w:val="nil"/>
                <w:bottom w:val="nil"/>
                <w:right w:val="nil"/>
                <w:between w:val="nil"/>
              </w:pBdr>
              <w:spacing w:line="276" w:lineRule="auto"/>
              <w:rPr>
                <w:sz w:val="24"/>
                <w:szCs w:val="24"/>
              </w:rPr>
            </w:pPr>
          </w:p>
        </w:tc>
        <w:tc>
          <w:tcPr>
            <w:tcW w:w="6376" w:type="dxa"/>
            <w:shd w:val="clear" w:color="auto" w:fill="FFFFFF"/>
            <w:tcMar>
              <w:top w:w="0" w:type="dxa"/>
              <w:left w:w="0" w:type="dxa"/>
              <w:bottom w:w="0" w:type="dxa"/>
              <w:right w:w="0" w:type="dxa"/>
            </w:tcMar>
            <w:vAlign w:val="center"/>
          </w:tcPr>
          <w:p w14:paraId="0000042C" w14:textId="77777777" w:rsidR="00655AEF" w:rsidRDefault="00000000">
            <w:pPr>
              <w:rPr>
                <w:sz w:val="24"/>
                <w:szCs w:val="24"/>
              </w:rPr>
            </w:pPr>
            <w:r>
              <w:rPr>
                <w:sz w:val="24"/>
                <w:szCs w:val="24"/>
              </w:rPr>
              <w:t>Patient lack of finance</w:t>
            </w:r>
          </w:p>
        </w:tc>
        <w:tc>
          <w:tcPr>
            <w:tcW w:w="1440" w:type="dxa"/>
            <w:shd w:val="clear" w:color="auto" w:fill="FFFFFF"/>
            <w:tcMar>
              <w:top w:w="0" w:type="dxa"/>
              <w:left w:w="0" w:type="dxa"/>
              <w:bottom w:w="0" w:type="dxa"/>
              <w:right w:w="0" w:type="dxa"/>
            </w:tcMar>
            <w:vAlign w:val="center"/>
          </w:tcPr>
          <w:p w14:paraId="0000042D" w14:textId="77777777" w:rsidR="00655AEF" w:rsidRDefault="00000000">
            <w:pPr>
              <w:rPr>
                <w:sz w:val="24"/>
                <w:szCs w:val="24"/>
              </w:rPr>
            </w:pPr>
            <w:r>
              <w:rPr>
                <w:sz w:val="24"/>
                <w:szCs w:val="24"/>
              </w:rPr>
              <w:t>11.1</w:t>
            </w:r>
          </w:p>
        </w:tc>
      </w:tr>
      <w:tr w:rsidR="00655AEF" w14:paraId="676AFE42" w14:textId="77777777">
        <w:trPr>
          <w:cantSplit/>
        </w:trPr>
        <w:tc>
          <w:tcPr>
            <w:tcW w:w="734" w:type="dxa"/>
            <w:vMerge/>
            <w:shd w:val="clear" w:color="auto" w:fill="FFFFFF"/>
            <w:tcMar>
              <w:top w:w="0" w:type="dxa"/>
              <w:left w:w="0" w:type="dxa"/>
              <w:bottom w:w="0" w:type="dxa"/>
              <w:right w:w="0" w:type="dxa"/>
            </w:tcMar>
            <w:vAlign w:val="center"/>
          </w:tcPr>
          <w:p w14:paraId="0000042E" w14:textId="77777777" w:rsidR="00655AEF" w:rsidRDefault="00655AEF">
            <w:pPr>
              <w:pBdr>
                <w:top w:val="nil"/>
                <w:left w:val="nil"/>
                <w:bottom w:val="nil"/>
                <w:right w:val="nil"/>
                <w:between w:val="nil"/>
              </w:pBdr>
              <w:spacing w:line="276" w:lineRule="auto"/>
              <w:rPr>
                <w:sz w:val="24"/>
                <w:szCs w:val="24"/>
              </w:rPr>
            </w:pPr>
          </w:p>
        </w:tc>
        <w:tc>
          <w:tcPr>
            <w:tcW w:w="6376" w:type="dxa"/>
            <w:shd w:val="clear" w:color="auto" w:fill="FFFFFF"/>
            <w:tcMar>
              <w:top w:w="0" w:type="dxa"/>
              <w:left w:w="0" w:type="dxa"/>
              <w:bottom w:w="0" w:type="dxa"/>
              <w:right w:w="0" w:type="dxa"/>
            </w:tcMar>
            <w:vAlign w:val="center"/>
          </w:tcPr>
          <w:p w14:paraId="0000042F" w14:textId="77777777" w:rsidR="00655AEF" w:rsidRDefault="00000000">
            <w:pPr>
              <w:rPr>
                <w:sz w:val="24"/>
                <w:szCs w:val="24"/>
              </w:rPr>
            </w:pPr>
            <w:r>
              <w:rPr>
                <w:sz w:val="24"/>
                <w:szCs w:val="24"/>
              </w:rPr>
              <w:t>Severe side effects</w:t>
            </w:r>
          </w:p>
        </w:tc>
        <w:tc>
          <w:tcPr>
            <w:tcW w:w="1440" w:type="dxa"/>
            <w:shd w:val="clear" w:color="auto" w:fill="FFFFFF"/>
            <w:tcMar>
              <w:top w:w="0" w:type="dxa"/>
              <w:left w:w="0" w:type="dxa"/>
              <w:bottom w:w="0" w:type="dxa"/>
              <w:right w:w="0" w:type="dxa"/>
            </w:tcMar>
            <w:vAlign w:val="center"/>
          </w:tcPr>
          <w:p w14:paraId="00000430" w14:textId="77777777" w:rsidR="00655AEF" w:rsidRDefault="00000000">
            <w:pPr>
              <w:rPr>
                <w:sz w:val="24"/>
                <w:szCs w:val="24"/>
              </w:rPr>
            </w:pPr>
            <w:r>
              <w:rPr>
                <w:sz w:val="24"/>
                <w:szCs w:val="24"/>
              </w:rPr>
              <w:t>50.0</w:t>
            </w:r>
          </w:p>
        </w:tc>
      </w:tr>
      <w:tr w:rsidR="00655AEF" w14:paraId="0EA92769" w14:textId="77777777">
        <w:trPr>
          <w:cantSplit/>
        </w:trPr>
        <w:tc>
          <w:tcPr>
            <w:tcW w:w="734" w:type="dxa"/>
            <w:vMerge/>
            <w:shd w:val="clear" w:color="auto" w:fill="FFFFFF"/>
            <w:tcMar>
              <w:top w:w="0" w:type="dxa"/>
              <w:left w:w="0" w:type="dxa"/>
              <w:bottom w:w="0" w:type="dxa"/>
              <w:right w:w="0" w:type="dxa"/>
            </w:tcMar>
            <w:vAlign w:val="center"/>
          </w:tcPr>
          <w:p w14:paraId="00000431" w14:textId="77777777" w:rsidR="00655AEF" w:rsidRDefault="00655AEF">
            <w:pPr>
              <w:pBdr>
                <w:top w:val="nil"/>
                <w:left w:val="nil"/>
                <w:bottom w:val="nil"/>
                <w:right w:val="nil"/>
                <w:between w:val="nil"/>
              </w:pBdr>
              <w:spacing w:line="276" w:lineRule="auto"/>
              <w:rPr>
                <w:sz w:val="24"/>
                <w:szCs w:val="24"/>
              </w:rPr>
            </w:pPr>
          </w:p>
        </w:tc>
        <w:tc>
          <w:tcPr>
            <w:tcW w:w="6376" w:type="dxa"/>
            <w:shd w:val="clear" w:color="auto" w:fill="FFFFFF"/>
            <w:tcMar>
              <w:top w:w="0" w:type="dxa"/>
              <w:left w:w="0" w:type="dxa"/>
              <w:bottom w:w="0" w:type="dxa"/>
              <w:right w:w="0" w:type="dxa"/>
            </w:tcMar>
            <w:vAlign w:val="center"/>
          </w:tcPr>
          <w:p w14:paraId="00000432" w14:textId="77777777" w:rsidR="00655AEF" w:rsidRDefault="00000000">
            <w:pPr>
              <w:rPr>
                <w:sz w:val="24"/>
                <w:szCs w:val="24"/>
              </w:rPr>
            </w:pPr>
            <w:r>
              <w:rPr>
                <w:sz w:val="24"/>
                <w:szCs w:val="24"/>
              </w:rPr>
              <w:t>Pregnancy</w:t>
            </w:r>
          </w:p>
        </w:tc>
        <w:tc>
          <w:tcPr>
            <w:tcW w:w="1440" w:type="dxa"/>
            <w:shd w:val="clear" w:color="auto" w:fill="FFFFFF"/>
            <w:tcMar>
              <w:top w:w="0" w:type="dxa"/>
              <w:left w:w="0" w:type="dxa"/>
              <w:bottom w:w="0" w:type="dxa"/>
              <w:right w:w="0" w:type="dxa"/>
            </w:tcMar>
            <w:vAlign w:val="center"/>
          </w:tcPr>
          <w:p w14:paraId="00000433" w14:textId="77777777" w:rsidR="00655AEF" w:rsidRDefault="00000000">
            <w:pPr>
              <w:rPr>
                <w:sz w:val="24"/>
                <w:szCs w:val="24"/>
              </w:rPr>
            </w:pPr>
            <w:r>
              <w:rPr>
                <w:sz w:val="24"/>
                <w:szCs w:val="24"/>
              </w:rPr>
              <w:t>8.3</w:t>
            </w:r>
          </w:p>
        </w:tc>
      </w:tr>
      <w:tr w:rsidR="00655AEF" w14:paraId="0A599D2C" w14:textId="77777777">
        <w:trPr>
          <w:cantSplit/>
        </w:trPr>
        <w:tc>
          <w:tcPr>
            <w:tcW w:w="734" w:type="dxa"/>
            <w:vMerge/>
            <w:shd w:val="clear" w:color="auto" w:fill="FFFFFF"/>
            <w:tcMar>
              <w:top w:w="0" w:type="dxa"/>
              <w:left w:w="0" w:type="dxa"/>
              <w:bottom w:w="0" w:type="dxa"/>
              <w:right w:w="0" w:type="dxa"/>
            </w:tcMar>
            <w:vAlign w:val="center"/>
          </w:tcPr>
          <w:p w14:paraId="00000434" w14:textId="77777777" w:rsidR="00655AEF" w:rsidRDefault="00655AEF">
            <w:pPr>
              <w:pBdr>
                <w:top w:val="nil"/>
                <w:left w:val="nil"/>
                <w:bottom w:val="nil"/>
                <w:right w:val="nil"/>
                <w:between w:val="nil"/>
              </w:pBdr>
              <w:spacing w:line="276" w:lineRule="auto"/>
              <w:rPr>
                <w:sz w:val="24"/>
                <w:szCs w:val="24"/>
              </w:rPr>
            </w:pPr>
          </w:p>
        </w:tc>
        <w:tc>
          <w:tcPr>
            <w:tcW w:w="6376" w:type="dxa"/>
            <w:tcBorders>
              <w:bottom w:val="single" w:sz="4" w:space="0" w:color="000000"/>
            </w:tcBorders>
            <w:shd w:val="clear" w:color="auto" w:fill="FFFFFF"/>
            <w:tcMar>
              <w:top w:w="0" w:type="dxa"/>
              <w:left w:w="0" w:type="dxa"/>
              <w:bottom w:w="0" w:type="dxa"/>
              <w:right w:w="0" w:type="dxa"/>
            </w:tcMar>
            <w:vAlign w:val="center"/>
          </w:tcPr>
          <w:p w14:paraId="00000435" w14:textId="77777777" w:rsidR="00655AEF" w:rsidRDefault="00000000">
            <w:pPr>
              <w:rPr>
                <w:sz w:val="24"/>
                <w:szCs w:val="24"/>
              </w:rPr>
            </w:pPr>
            <w:r>
              <w:rPr>
                <w:sz w:val="24"/>
                <w:szCs w:val="24"/>
              </w:rPr>
              <w:t>Virologic failure</w:t>
            </w:r>
          </w:p>
        </w:tc>
        <w:tc>
          <w:tcPr>
            <w:tcW w:w="1440" w:type="dxa"/>
            <w:tcBorders>
              <w:bottom w:val="single" w:sz="4" w:space="0" w:color="000000"/>
            </w:tcBorders>
            <w:shd w:val="clear" w:color="auto" w:fill="FFFFFF"/>
            <w:tcMar>
              <w:top w:w="0" w:type="dxa"/>
              <w:left w:w="0" w:type="dxa"/>
              <w:bottom w:w="0" w:type="dxa"/>
              <w:right w:w="0" w:type="dxa"/>
            </w:tcMar>
            <w:vAlign w:val="center"/>
          </w:tcPr>
          <w:p w14:paraId="00000436" w14:textId="77777777" w:rsidR="00655AEF" w:rsidRDefault="00000000">
            <w:pPr>
              <w:rPr>
                <w:sz w:val="24"/>
                <w:szCs w:val="24"/>
              </w:rPr>
            </w:pPr>
            <w:r>
              <w:rPr>
                <w:sz w:val="24"/>
                <w:szCs w:val="24"/>
              </w:rPr>
              <w:t>11.1</w:t>
            </w:r>
          </w:p>
        </w:tc>
      </w:tr>
      <w:tr w:rsidR="00655AEF" w14:paraId="2AEF530A" w14:textId="77777777">
        <w:trPr>
          <w:cantSplit/>
        </w:trPr>
        <w:tc>
          <w:tcPr>
            <w:tcW w:w="734" w:type="dxa"/>
            <w:vMerge/>
            <w:shd w:val="clear" w:color="auto" w:fill="FFFFFF"/>
            <w:tcMar>
              <w:top w:w="0" w:type="dxa"/>
              <w:left w:w="0" w:type="dxa"/>
              <w:bottom w:w="0" w:type="dxa"/>
              <w:right w:w="0" w:type="dxa"/>
            </w:tcMar>
            <w:vAlign w:val="center"/>
          </w:tcPr>
          <w:p w14:paraId="00000437" w14:textId="77777777" w:rsidR="00655AEF" w:rsidRDefault="00655AEF">
            <w:pPr>
              <w:pBdr>
                <w:top w:val="nil"/>
                <w:left w:val="nil"/>
                <w:bottom w:val="nil"/>
                <w:right w:val="nil"/>
                <w:between w:val="nil"/>
              </w:pBdr>
              <w:spacing w:line="276" w:lineRule="auto"/>
              <w:rPr>
                <w:sz w:val="24"/>
                <w:szCs w:val="24"/>
              </w:rPr>
            </w:pPr>
          </w:p>
        </w:tc>
        <w:tc>
          <w:tcPr>
            <w:tcW w:w="637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38" w14:textId="77777777" w:rsidR="00655AEF" w:rsidRDefault="00000000">
            <w:pPr>
              <w:rPr>
                <w:sz w:val="24"/>
                <w:szCs w:val="24"/>
              </w:rPr>
            </w:pPr>
            <w:r>
              <w:rPr>
                <w:sz w:val="24"/>
                <w:szCs w:val="24"/>
              </w:rPr>
              <w:t>Total</w:t>
            </w:r>
          </w:p>
        </w:tc>
        <w:tc>
          <w:tcPr>
            <w:tcW w:w="14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39" w14:textId="77777777" w:rsidR="00655AEF" w:rsidRDefault="00000000">
            <w:pPr>
              <w:rPr>
                <w:sz w:val="24"/>
                <w:szCs w:val="24"/>
              </w:rPr>
            </w:pPr>
            <w:r>
              <w:rPr>
                <w:sz w:val="24"/>
                <w:szCs w:val="24"/>
              </w:rPr>
              <w:t>100.0</w:t>
            </w:r>
          </w:p>
        </w:tc>
      </w:tr>
    </w:tbl>
    <w:p w14:paraId="0000043A" w14:textId="77777777" w:rsidR="00655AEF" w:rsidRDefault="00655AEF">
      <w:pPr>
        <w:rPr>
          <w:sz w:val="24"/>
          <w:szCs w:val="24"/>
        </w:rPr>
      </w:pPr>
    </w:p>
    <w:p w14:paraId="0000043B" w14:textId="77777777" w:rsidR="00655AEF" w:rsidRDefault="00655AEF">
      <w:pPr>
        <w:rPr>
          <w:sz w:val="24"/>
          <w:szCs w:val="24"/>
        </w:rPr>
      </w:pPr>
    </w:p>
    <w:p w14:paraId="0000043C" w14:textId="77777777" w:rsidR="00655AEF" w:rsidRDefault="00000000">
      <w:pPr>
        <w:rPr>
          <w:sz w:val="24"/>
          <w:szCs w:val="24"/>
        </w:rPr>
      </w:pPr>
      <w:r>
        <w:rPr>
          <w:sz w:val="24"/>
          <w:szCs w:val="24"/>
        </w:rPr>
        <w:t xml:space="preserve">When missing values are </w:t>
      </w:r>
      <w:proofErr w:type="gramStart"/>
      <w:r>
        <w:rPr>
          <w:sz w:val="24"/>
          <w:szCs w:val="24"/>
        </w:rPr>
        <w:t>removed</w:t>
      </w:r>
      <w:proofErr w:type="gramEnd"/>
      <w:r>
        <w:rPr>
          <w:sz w:val="24"/>
          <w:szCs w:val="24"/>
        </w:rPr>
        <w:t xml:space="preserve"> we get</w:t>
      </w:r>
    </w:p>
    <w:p w14:paraId="0000043D" w14:textId="77777777" w:rsidR="00655AEF" w:rsidRDefault="00000000">
      <w:pPr>
        <w:keepNext/>
      </w:pPr>
      <w:r>
        <w:rPr>
          <w:noProof/>
          <w:sz w:val="24"/>
          <w:szCs w:val="24"/>
        </w:rPr>
        <w:drawing>
          <wp:inline distT="0" distB="0" distL="0" distR="0" wp14:anchorId="2D1BC2A5" wp14:editId="1D06F5A8">
            <wp:extent cx="4476750" cy="28765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43E" w14:textId="77777777" w:rsidR="00655AEF" w:rsidRDefault="00000000">
      <w:pPr>
        <w:pBdr>
          <w:top w:val="nil"/>
          <w:left w:val="nil"/>
          <w:bottom w:val="nil"/>
          <w:right w:val="nil"/>
          <w:between w:val="nil"/>
        </w:pBdr>
        <w:spacing w:after="200"/>
        <w:rPr>
          <w:b/>
          <w:color w:val="4F81BD"/>
          <w:sz w:val="24"/>
          <w:szCs w:val="24"/>
        </w:rPr>
      </w:pPr>
      <w:bookmarkStart w:id="91" w:name="_heading=h.391bs9ovh5t4" w:colFirst="0" w:colLast="0"/>
      <w:bookmarkEnd w:id="91"/>
      <w:r>
        <w:rPr>
          <w:b/>
          <w:color w:val="4F81BD"/>
          <w:sz w:val="18"/>
          <w:szCs w:val="18"/>
        </w:rPr>
        <w:t>Figure 14: Treatment_2 Reason for stopping treatment</w:t>
      </w:r>
    </w:p>
    <w:p w14:paraId="0000043F" w14:textId="77777777" w:rsidR="00655AEF" w:rsidRDefault="00655AEF">
      <w:pPr>
        <w:spacing w:after="240" w:line="360" w:lineRule="auto"/>
        <w:jc w:val="both"/>
        <w:rPr>
          <w:sz w:val="24"/>
          <w:szCs w:val="24"/>
        </w:rPr>
      </w:pPr>
    </w:p>
    <w:p w14:paraId="00000440" w14:textId="77777777" w:rsidR="00655AEF" w:rsidRDefault="00000000">
      <w:pPr>
        <w:pStyle w:val="Heading3"/>
        <w:numPr>
          <w:ilvl w:val="2"/>
          <w:numId w:val="2"/>
        </w:numPr>
        <w:rPr>
          <w:sz w:val="24"/>
          <w:szCs w:val="24"/>
        </w:rPr>
      </w:pPr>
      <w:bookmarkStart w:id="92" w:name="_heading=h.bz8apo8qqjf" w:colFirst="0" w:colLast="0"/>
      <w:bookmarkEnd w:id="92"/>
      <w:r>
        <w:rPr>
          <w:sz w:val="24"/>
          <w:szCs w:val="24"/>
        </w:rPr>
        <w:t>Reasons for Stopping HIV Treatment per study arms</w:t>
      </w:r>
    </w:p>
    <w:p w14:paraId="00000441" w14:textId="77777777" w:rsidR="00655AEF" w:rsidRDefault="00000000">
      <w:pPr>
        <w:spacing w:after="240" w:line="360" w:lineRule="auto"/>
        <w:jc w:val="both"/>
        <w:rPr>
          <w:sz w:val="24"/>
          <w:szCs w:val="24"/>
        </w:rPr>
      </w:pPr>
      <w:r>
        <w:rPr>
          <w:sz w:val="24"/>
          <w:szCs w:val="24"/>
        </w:rPr>
        <w:t>The cross-tabulation analysis of reasons for stopping treatment between the control and treatment clinic groups reveals distinct patterns and contrasts in patient behavior and treatment challenges.</w:t>
      </w:r>
    </w:p>
    <w:p w14:paraId="00000442" w14:textId="77777777" w:rsidR="00655AEF" w:rsidRDefault="00000000">
      <w:pPr>
        <w:spacing w:after="240" w:line="360" w:lineRule="auto"/>
        <w:jc w:val="both"/>
        <w:rPr>
          <w:sz w:val="24"/>
          <w:szCs w:val="24"/>
        </w:rPr>
      </w:pPr>
      <w:r>
        <w:rPr>
          <w:sz w:val="24"/>
          <w:szCs w:val="24"/>
        </w:rPr>
        <w:t xml:space="preserve">In the control group, </w:t>
      </w:r>
      <w:proofErr w:type="gramStart"/>
      <w:r>
        <w:rPr>
          <w:sz w:val="24"/>
          <w:szCs w:val="24"/>
        </w:rPr>
        <w:t>the overwhelming majority of</w:t>
      </w:r>
      <w:proofErr w:type="gramEnd"/>
      <w:r>
        <w:rPr>
          <w:sz w:val="24"/>
          <w:szCs w:val="24"/>
        </w:rPr>
        <w:t xml:space="preserve"> patients, 74.0% stopped treatment due to severe side effects, making it the most dominant reason by far. Other factors such as lack of finance accounted for 13.0%, while drug stock-outs accounted for 8.7%, and </w:t>
      </w:r>
      <w:r>
        <w:rPr>
          <w:sz w:val="24"/>
          <w:szCs w:val="24"/>
        </w:rPr>
        <w:lastRenderedPageBreak/>
        <w:t>patient decision accounting for 4.3%, played a smaller role, while pregnancy and virologic failure were not reported at all. This suggests that in the absence of targeted interventions, adherence issues remain the primary barrier to continuous treatment.</w:t>
      </w:r>
    </w:p>
    <w:p w14:paraId="00000443" w14:textId="77777777" w:rsidR="00655AEF" w:rsidRDefault="00000000">
      <w:pPr>
        <w:spacing w:after="240" w:line="360" w:lineRule="auto"/>
        <w:jc w:val="both"/>
        <w:rPr>
          <w:sz w:val="24"/>
          <w:szCs w:val="24"/>
        </w:rPr>
      </w:pPr>
      <w:r>
        <w:rPr>
          <w:sz w:val="24"/>
          <w:szCs w:val="24"/>
        </w:rPr>
        <w:t xml:space="preserve">In contrast, the treatment group presented a much more diversified distribution of reasons for discontinuing treatment. Virologic failure accounted for 30.8% and pregnancy accounted for 23.1% emerged as the leading causes, followed by drug stock-outs at 23.1%. Notably, Severe side effects, which was a major issue in the control group, accounted for only 7.7% in the treatment </w:t>
      </w:r>
      <w:proofErr w:type="gramStart"/>
      <w:r>
        <w:rPr>
          <w:sz w:val="24"/>
          <w:szCs w:val="24"/>
        </w:rPr>
        <w:t>group;</w:t>
      </w:r>
      <w:proofErr w:type="gramEnd"/>
      <w:r>
        <w:rPr>
          <w:sz w:val="24"/>
          <w:szCs w:val="24"/>
        </w:rPr>
        <w:t xml:space="preserve"> indicating a significant improvement in adherence under the treatment intervention. Similarly, patient decision and lack of finance each accounted f</w:t>
      </w:r>
      <w:sdt>
        <w:sdtPr>
          <w:tag w:val="goog_rdk_2"/>
          <w:id w:val="1550368960"/>
        </w:sdtPr>
        <w:sdtContent>
          <w:commentRangeStart w:id="93"/>
        </w:sdtContent>
      </w:sdt>
      <w:r>
        <w:rPr>
          <w:sz w:val="24"/>
          <w:szCs w:val="24"/>
        </w:rPr>
        <w:t>or 7.7% of cases in the treatment group.</w:t>
      </w:r>
      <w:commentRangeEnd w:id="93"/>
      <w:r>
        <w:commentReference w:id="93"/>
      </w:r>
    </w:p>
    <w:p w14:paraId="00000444" w14:textId="77777777" w:rsidR="00655AEF" w:rsidRDefault="00000000">
      <w:pPr>
        <w:spacing w:after="240" w:line="360" w:lineRule="auto"/>
        <w:jc w:val="both"/>
        <w:rPr>
          <w:sz w:val="24"/>
          <w:szCs w:val="24"/>
        </w:rPr>
      </w:pPr>
      <w:r>
        <w:rPr>
          <w:sz w:val="24"/>
          <w:szCs w:val="24"/>
        </w:rPr>
        <w:t>Overall, these findings suggest that the intervention applied in the treatment group may have positively influenced patient adherence and financial access, shifting the primary challenges toward more clinical and supply-related issues like virologic failure and pregnancy. The contrast also highlights the need for comprehensive strategies that address not only adherence but also structural and medical barriers to sustained treatment.</w:t>
      </w:r>
    </w:p>
    <w:p w14:paraId="00000445" w14:textId="77777777" w:rsidR="00655AEF" w:rsidRDefault="00000000">
      <w:pPr>
        <w:keepNext/>
        <w:pBdr>
          <w:top w:val="nil"/>
          <w:left w:val="nil"/>
          <w:bottom w:val="nil"/>
          <w:right w:val="nil"/>
          <w:between w:val="nil"/>
        </w:pBdr>
        <w:spacing w:after="200"/>
        <w:rPr>
          <w:b/>
          <w:color w:val="4F81BD"/>
          <w:sz w:val="18"/>
          <w:szCs w:val="18"/>
        </w:rPr>
      </w:pPr>
      <w:bookmarkStart w:id="94" w:name="_heading=h.d3j8tgoq3l45" w:colFirst="0" w:colLast="0"/>
      <w:bookmarkEnd w:id="94"/>
      <w:r>
        <w:rPr>
          <w:b/>
          <w:color w:val="4F81BD"/>
          <w:sz w:val="18"/>
          <w:szCs w:val="18"/>
        </w:rPr>
        <w:t>Table 20: Cross tabulation for reasons for stopping treatment</w:t>
      </w:r>
    </w:p>
    <w:tbl>
      <w:tblPr>
        <w:tblStyle w:val="af1"/>
        <w:tblW w:w="9449" w:type="dxa"/>
        <w:tblInd w:w="-15" w:type="dxa"/>
        <w:tblLayout w:type="fixed"/>
        <w:tblLook w:val="0000" w:firstRow="0" w:lastRow="0" w:firstColumn="0" w:lastColumn="0" w:noHBand="0" w:noVBand="0"/>
      </w:tblPr>
      <w:tblGrid>
        <w:gridCol w:w="3663"/>
        <w:gridCol w:w="2137"/>
        <w:gridCol w:w="2499"/>
        <w:gridCol w:w="1150"/>
      </w:tblGrid>
      <w:tr w:rsidR="00655AEF" w14:paraId="5FE91F99" w14:textId="77777777">
        <w:trPr>
          <w:tblHeader/>
        </w:trPr>
        <w:tc>
          <w:tcPr>
            <w:tcW w:w="3664" w:type="dxa"/>
            <w:tcBorders>
              <w:bottom w:val="single" w:sz="4" w:space="0" w:color="000000"/>
            </w:tcBorders>
            <w:tcMar>
              <w:top w:w="15" w:type="dxa"/>
              <w:left w:w="15" w:type="dxa"/>
              <w:bottom w:w="15" w:type="dxa"/>
              <w:right w:w="15" w:type="dxa"/>
            </w:tcMar>
            <w:vAlign w:val="center"/>
          </w:tcPr>
          <w:p w14:paraId="00000446" w14:textId="77777777" w:rsidR="00655AEF" w:rsidRDefault="00000000">
            <w:pPr>
              <w:widowControl/>
              <w:jc w:val="center"/>
              <w:rPr>
                <w:b/>
                <w:sz w:val="24"/>
                <w:szCs w:val="24"/>
              </w:rPr>
            </w:pPr>
            <w:r>
              <w:rPr>
                <w:b/>
                <w:sz w:val="24"/>
                <w:szCs w:val="24"/>
              </w:rPr>
              <w:t>Reasons for Stopping Treatment</w:t>
            </w:r>
          </w:p>
        </w:tc>
        <w:tc>
          <w:tcPr>
            <w:tcW w:w="2137" w:type="dxa"/>
            <w:tcBorders>
              <w:bottom w:val="single" w:sz="4" w:space="0" w:color="000000"/>
            </w:tcBorders>
            <w:tcMar>
              <w:top w:w="15" w:type="dxa"/>
              <w:left w:w="15" w:type="dxa"/>
              <w:bottom w:w="15" w:type="dxa"/>
              <w:right w:w="15" w:type="dxa"/>
            </w:tcMar>
            <w:vAlign w:val="center"/>
          </w:tcPr>
          <w:p w14:paraId="00000447" w14:textId="77777777" w:rsidR="00655AEF" w:rsidRDefault="00000000">
            <w:pPr>
              <w:widowControl/>
              <w:jc w:val="center"/>
              <w:rPr>
                <w:b/>
                <w:sz w:val="24"/>
                <w:szCs w:val="24"/>
              </w:rPr>
            </w:pPr>
            <w:r>
              <w:rPr>
                <w:b/>
                <w:sz w:val="24"/>
                <w:szCs w:val="24"/>
              </w:rPr>
              <w:t>Control Group (%)</w:t>
            </w:r>
          </w:p>
        </w:tc>
        <w:tc>
          <w:tcPr>
            <w:tcW w:w="2499" w:type="dxa"/>
            <w:tcBorders>
              <w:bottom w:val="single" w:sz="4" w:space="0" w:color="000000"/>
            </w:tcBorders>
            <w:tcMar>
              <w:top w:w="15" w:type="dxa"/>
              <w:left w:w="15" w:type="dxa"/>
              <w:bottom w:w="15" w:type="dxa"/>
              <w:right w:w="15" w:type="dxa"/>
            </w:tcMar>
            <w:vAlign w:val="center"/>
          </w:tcPr>
          <w:p w14:paraId="00000448" w14:textId="77777777" w:rsidR="00655AEF" w:rsidRDefault="00000000">
            <w:pPr>
              <w:widowControl/>
              <w:jc w:val="center"/>
              <w:rPr>
                <w:b/>
                <w:sz w:val="24"/>
                <w:szCs w:val="24"/>
              </w:rPr>
            </w:pPr>
            <w:r>
              <w:rPr>
                <w:b/>
                <w:sz w:val="24"/>
                <w:szCs w:val="24"/>
              </w:rPr>
              <w:t>Treatment Group (%)</w:t>
            </w:r>
          </w:p>
        </w:tc>
        <w:tc>
          <w:tcPr>
            <w:tcW w:w="1150" w:type="dxa"/>
            <w:tcBorders>
              <w:bottom w:val="single" w:sz="4" w:space="0" w:color="000000"/>
            </w:tcBorders>
            <w:tcMar>
              <w:top w:w="15" w:type="dxa"/>
              <w:left w:w="15" w:type="dxa"/>
              <w:bottom w:w="15" w:type="dxa"/>
              <w:right w:w="15" w:type="dxa"/>
            </w:tcMar>
            <w:vAlign w:val="center"/>
          </w:tcPr>
          <w:p w14:paraId="00000449" w14:textId="77777777" w:rsidR="00655AEF" w:rsidRDefault="00000000">
            <w:pPr>
              <w:widowControl/>
              <w:jc w:val="center"/>
              <w:rPr>
                <w:b/>
                <w:sz w:val="24"/>
                <w:szCs w:val="24"/>
              </w:rPr>
            </w:pPr>
            <w:r>
              <w:rPr>
                <w:b/>
                <w:sz w:val="24"/>
                <w:szCs w:val="24"/>
              </w:rPr>
              <w:t>Total (%)</w:t>
            </w:r>
          </w:p>
        </w:tc>
      </w:tr>
      <w:tr w:rsidR="00655AEF" w14:paraId="0D6E1E0E" w14:textId="77777777">
        <w:tc>
          <w:tcPr>
            <w:tcW w:w="3664" w:type="dxa"/>
            <w:tcMar>
              <w:top w:w="15" w:type="dxa"/>
              <w:left w:w="15" w:type="dxa"/>
              <w:bottom w:w="15" w:type="dxa"/>
              <w:right w:w="15" w:type="dxa"/>
            </w:tcMar>
            <w:vAlign w:val="center"/>
          </w:tcPr>
          <w:p w14:paraId="0000044A" w14:textId="77777777" w:rsidR="00655AEF" w:rsidRDefault="00000000">
            <w:pPr>
              <w:widowControl/>
              <w:rPr>
                <w:sz w:val="24"/>
                <w:szCs w:val="24"/>
              </w:rPr>
            </w:pPr>
            <w:r>
              <w:rPr>
                <w:sz w:val="24"/>
                <w:szCs w:val="24"/>
              </w:rPr>
              <w:t>Drug out of stock</w:t>
            </w:r>
          </w:p>
        </w:tc>
        <w:tc>
          <w:tcPr>
            <w:tcW w:w="2137" w:type="dxa"/>
            <w:tcMar>
              <w:top w:w="15" w:type="dxa"/>
              <w:left w:w="15" w:type="dxa"/>
              <w:bottom w:w="15" w:type="dxa"/>
              <w:right w:w="15" w:type="dxa"/>
            </w:tcMar>
            <w:vAlign w:val="center"/>
          </w:tcPr>
          <w:p w14:paraId="0000044B" w14:textId="77777777" w:rsidR="00655AEF" w:rsidRDefault="00000000">
            <w:pPr>
              <w:widowControl/>
              <w:rPr>
                <w:sz w:val="24"/>
                <w:szCs w:val="24"/>
              </w:rPr>
            </w:pPr>
            <w:r>
              <w:rPr>
                <w:sz w:val="24"/>
                <w:szCs w:val="24"/>
              </w:rPr>
              <w:t>8.7</w:t>
            </w:r>
          </w:p>
        </w:tc>
        <w:tc>
          <w:tcPr>
            <w:tcW w:w="2499" w:type="dxa"/>
            <w:tcMar>
              <w:top w:w="15" w:type="dxa"/>
              <w:left w:w="15" w:type="dxa"/>
              <w:bottom w:w="15" w:type="dxa"/>
              <w:right w:w="15" w:type="dxa"/>
            </w:tcMar>
            <w:vAlign w:val="center"/>
          </w:tcPr>
          <w:p w14:paraId="0000044C" w14:textId="77777777" w:rsidR="00655AEF" w:rsidRDefault="00000000">
            <w:pPr>
              <w:widowControl/>
              <w:rPr>
                <w:sz w:val="24"/>
                <w:szCs w:val="24"/>
              </w:rPr>
            </w:pPr>
            <w:r>
              <w:rPr>
                <w:sz w:val="24"/>
                <w:szCs w:val="24"/>
              </w:rPr>
              <w:t>23.1</w:t>
            </w:r>
          </w:p>
        </w:tc>
        <w:tc>
          <w:tcPr>
            <w:tcW w:w="1150" w:type="dxa"/>
            <w:tcMar>
              <w:top w:w="15" w:type="dxa"/>
              <w:left w:w="15" w:type="dxa"/>
              <w:bottom w:w="15" w:type="dxa"/>
              <w:right w:w="15" w:type="dxa"/>
            </w:tcMar>
            <w:vAlign w:val="center"/>
          </w:tcPr>
          <w:p w14:paraId="0000044D" w14:textId="77777777" w:rsidR="00655AEF" w:rsidRDefault="00000000">
            <w:pPr>
              <w:widowControl/>
              <w:rPr>
                <w:sz w:val="24"/>
                <w:szCs w:val="24"/>
              </w:rPr>
            </w:pPr>
            <w:r>
              <w:rPr>
                <w:sz w:val="24"/>
                <w:szCs w:val="24"/>
              </w:rPr>
              <w:t>31.8</w:t>
            </w:r>
          </w:p>
        </w:tc>
      </w:tr>
      <w:tr w:rsidR="00655AEF" w14:paraId="5483C106" w14:textId="77777777">
        <w:tc>
          <w:tcPr>
            <w:tcW w:w="3664" w:type="dxa"/>
            <w:tcMar>
              <w:top w:w="15" w:type="dxa"/>
              <w:left w:w="15" w:type="dxa"/>
              <w:bottom w:w="15" w:type="dxa"/>
              <w:right w:w="15" w:type="dxa"/>
            </w:tcMar>
            <w:vAlign w:val="center"/>
          </w:tcPr>
          <w:p w14:paraId="0000044E" w14:textId="77777777" w:rsidR="00655AEF" w:rsidRDefault="00000000">
            <w:pPr>
              <w:widowControl/>
              <w:rPr>
                <w:sz w:val="24"/>
                <w:szCs w:val="24"/>
              </w:rPr>
            </w:pPr>
            <w:r>
              <w:rPr>
                <w:sz w:val="24"/>
                <w:szCs w:val="24"/>
              </w:rPr>
              <w:t>Patient decision</w:t>
            </w:r>
          </w:p>
        </w:tc>
        <w:tc>
          <w:tcPr>
            <w:tcW w:w="2137" w:type="dxa"/>
            <w:tcMar>
              <w:top w:w="15" w:type="dxa"/>
              <w:left w:w="15" w:type="dxa"/>
              <w:bottom w:w="15" w:type="dxa"/>
              <w:right w:w="15" w:type="dxa"/>
            </w:tcMar>
            <w:vAlign w:val="center"/>
          </w:tcPr>
          <w:p w14:paraId="0000044F" w14:textId="77777777" w:rsidR="00655AEF" w:rsidRDefault="00000000">
            <w:pPr>
              <w:widowControl/>
              <w:rPr>
                <w:sz w:val="24"/>
                <w:szCs w:val="24"/>
              </w:rPr>
            </w:pPr>
            <w:r>
              <w:rPr>
                <w:sz w:val="24"/>
                <w:szCs w:val="24"/>
              </w:rPr>
              <w:t>4.3</w:t>
            </w:r>
          </w:p>
        </w:tc>
        <w:tc>
          <w:tcPr>
            <w:tcW w:w="2499" w:type="dxa"/>
            <w:tcMar>
              <w:top w:w="15" w:type="dxa"/>
              <w:left w:w="15" w:type="dxa"/>
              <w:bottom w:w="15" w:type="dxa"/>
              <w:right w:w="15" w:type="dxa"/>
            </w:tcMar>
            <w:vAlign w:val="center"/>
          </w:tcPr>
          <w:p w14:paraId="00000450" w14:textId="77777777" w:rsidR="00655AEF" w:rsidRDefault="00000000">
            <w:pPr>
              <w:widowControl/>
              <w:rPr>
                <w:sz w:val="24"/>
                <w:szCs w:val="24"/>
              </w:rPr>
            </w:pPr>
            <w:r>
              <w:rPr>
                <w:sz w:val="24"/>
                <w:szCs w:val="24"/>
              </w:rPr>
              <w:t>7.7</w:t>
            </w:r>
          </w:p>
        </w:tc>
        <w:tc>
          <w:tcPr>
            <w:tcW w:w="1150" w:type="dxa"/>
            <w:tcMar>
              <w:top w:w="15" w:type="dxa"/>
              <w:left w:w="15" w:type="dxa"/>
              <w:bottom w:w="15" w:type="dxa"/>
              <w:right w:w="15" w:type="dxa"/>
            </w:tcMar>
            <w:vAlign w:val="center"/>
          </w:tcPr>
          <w:p w14:paraId="00000451" w14:textId="77777777" w:rsidR="00655AEF" w:rsidRDefault="00000000">
            <w:pPr>
              <w:widowControl/>
              <w:rPr>
                <w:sz w:val="24"/>
                <w:szCs w:val="24"/>
              </w:rPr>
            </w:pPr>
            <w:r>
              <w:rPr>
                <w:sz w:val="24"/>
                <w:szCs w:val="24"/>
              </w:rPr>
              <w:t>12.0</w:t>
            </w:r>
          </w:p>
        </w:tc>
      </w:tr>
      <w:tr w:rsidR="00655AEF" w14:paraId="5D90D706" w14:textId="77777777">
        <w:tc>
          <w:tcPr>
            <w:tcW w:w="3664" w:type="dxa"/>
            <w:tcMar>
              <w:top w:w="15" w:type="dxa"/>
              <w:left w:w="15" w:type="dxa"/>
              <w:bottom w:w="15" w:type="dxa"/>
              <w:right w:w="15" w:type="dxa"/>
            </w:tcMar>
            <w:vAlign w:val="center"/>
          </w:tcPr>
          <w:p w14:paraId="00000452" w14:textId="77777777" w:rsidR="00655AEF" w:rsidRDefault="00000000">
            <w:pPr>
              <w:widowControl/>
              <w:rPr>
                <w:sz w:val="24"/>
                <w:szCs w:val="24"/>
              </w:rPr>
            </w:pPr>
            <w:r>
              <w:rPr>
                <w:sz w:val="24"/>
                <w:szCs w:val="24"/>
              </w:rPr>
              <w:t>Patient lack of finance</w:t>
            </w:r>
          </w:p>
        </w:tc>
        <w:tc>
          <w:tcPr>
            <w:tcW w:w="2137" w:type="dxa"/>
            <w:tcMar>
              <w:top w:w="15" w:type="dxa"/>
              <w:left w:w="15" w:type="dxa"/>
              <w:bottom w:w="15" w:type="dxa"/>
              <w:right w:w="15" w:type="dxa"/>
            </w:tcMar>
            <w:vAlign w:val="center"/>
          </w:tcPr>
          <w:p w14:paraId="00000453" w14:textId="77777777" w:rsidR="00655AEF" w:rsidRDefault="00000000">
            <w:pPr>
              <w:widowControl/>
              <w:rPr>
                <w:sz w:val="24"/>
                <w:szCs w:val="24"/>
              </w:rPr>
            </w:pPr>
            <w:r>
              <w:rPr>
                <w:sz w:val="24"/>
                <w:szCs w:val="24"/>
              </w:rPr>
              <w:t>13.0</w:t>
            </w:r>
          </w:p>
        </w:tc>
        <w:tc>
          <w:tcPr>
            <w:tcW w:w="2499" w:type="dxa"/>
            <w:tcMar>
              <w:top w:w="15" w:type="dxa"/>
              <w:left w:w="15" w:type="dxa"/>
              <w:bottom w:w="15" w:type="dxa"/>
              <w:right w:w="15" w:type="dxa"/>
            </w:tcMar>
            <w:vAlign w:val="center"/>
          </w:tcPr>
          <w:p w14:paraId="00000454" w14:textId="77777777" w:rsidR="00655AEF" w:rsidRDefault="00000000">
            <w:pPr>
              <w:widowControl/>
              <w:rPr>
                <w:sz w:val="24"/>
                <w:szCs w:val="24"/>
              </w:rPr>
            </w:pPr>
            <w:r>
              <w:rPr>
                <w:sz w:val="24"/>
                <w:szCs w:val="24"/>
              </w:rPr>
              <w:t>7.7</w:t>
            </w:r>
          </w:p>
        </w:tc>
        <w:tc>
          <w:tcPr>
            <w:tcW w:w="1150" w:type="dxa"/>
            <w:tcMar>
              <w:top w:w="15" w:type="dxa"/>
              <w:left w:w="15" w:type="dxa"/>
              <w:bottom w:w="15" w:type="dxa"/>
              <w:right w:w="15" w:type="dxa"/>
            </w:tcMar>
            <w:vAlign w:val="center"/>
          </w:tcPr>
          <w:p w14:paraId="00000455" w14:textId="77777777" w:rsidR="00655AEF" w:rsidRDefault="00000000">
            <w:pPr>
              <w:widowControl/>
              <w:rPr>
                <w:sz w:val="24"/>
                <w:szCs w:val="24"/>
              </w:rPr>
            </w:pPr>
            <w:r>
              <w:rPr>
                <w:sz w:val="24"/>
                <w:szCs w:val="24"/>
              </w:rPr>
              <w:t>20.7</w:t>
            </w:r>
          </w:p>
        </w:tc>
      </w:tr>
      <w:tr w:rsidR="00655AEF" w14:paraId="1895E4D6" w14:textId="77777777">
        <w:tc>
          <w:tcPr>
            <w:tcW w:w="3664" w:type="dxa"/>
            <w:tcMar>
              <w:top w:w="15" w:type="dxa"/>
              <w:left w:w="15" w:type="dxa"/>
              <w:bottom w:w="15" w:type="dxa"/>
              <w:right w:w="15" w:type="dxa"/>
            </w:tcMar>
            <w:vAlign w:val="center"/>
          </w:tcPr>
          <w:p w14:paraId="00000456" w14:textId="77777777" w:rsidR="00655AEF" w:rsidRDefault="00000000">
            <w:pPr>
              <w:widowControl/>
              <w:rPr>
                <w:sz w:val="24"/>
                <w:szCs w:val="24"/>
              </w:rPr>
            </w:pPr>
            <w:r>
              <w:rPr>
                <w:sz w:val="24"/>
                <w:szCs w:val="24"/>
              </w:rPr>
              <w:t>Severe side effects</w:t>
            </w:r>
          </w:p>
        </w:tc>
        <w:tc>
          <w:tcPr>
            <w:tcW w:w="2137" w:type="dxa"/>
            <w:tcMar>
              <w:top w:w="15" w:type="dxa"/>
              <w:left w:w="15" w:type="dxa"/>
              <w:bottom w:w="15" w:type="dxa"/>
              <w:right w:w="15" w:type="dxa"/>
            </w:tcMar>
            <w:vAlign w:val="center"/>
          </w:tcPr>
          <w:p w14:paraId="00000457" w14:textId="77777777" w:rsidR="00655AEF" w:rsidRDefault="00000000">
            <w:pPr>
              <w:widowControl/>
              <w:rPr>
                <w:sz w:val="24"/>
                <w:szCs w:val="24"/>
              </w:rPr>
            </w:pPr>
            <w:r>
              <w:rPr>
                <w:sz w:val="24"/>
                <w:szCs w:val="24"/>
              </w:rPr>
              <w:t>74.0</w:t>
            </w:r>
          </w:p>
        </w:tc>
        <w:tc>
          <w:tcPr>
            <w:tcW w:w="2499" w:type="dxa"/>
            <w:tcMar>
              <w:top w:w="15" w:type="dxa"/>
              <w:left w:w="15" w:type="dxa"/>
              <w:bottom w:w="15" w:type="dxa"/>
              <w:right w:w="15" w:type="dxa"/>
            </w:tcMar>
            <w:vAlign w:val="center"/>
          </w:tcPr>
          <w:p w14:paraId="00000458" w14:textId="77777777" w:rsidR="00655AEF" w:rsidRDefault="00000000">
            <w:pPr>
              <w:widowControl/>
              <w:rPr>
                <w:sz w:val="24"/>
                <w:szCs w:val="24"/>
              </w:rPr>
            </w:pPr>
            <w:r>
              <w:rPr>
                <w:sz w:val="24"/>
                <w:szCs w:val="24"/>
              </w:rPr>
              <w:t>7.7</w:t>
            </w:r>
          </w:p>
        </w:tc>
        <w:tc>
          <w:tcPr>
            <w:tcW w:w="1150" w:type="dxa"/>
            <w:tcMar>
              <w:top w:w="15" w:type="dxa"/>
              <w:left w:w="15" w:type="dxa"/>
              <w:bottom w:w="15" w:type="dxa"/>
              <w:right w:w="15" w:type="dxa"/>
            </w:tcMar>
            <w:vAlign w:val="center"/>
          </w:tcPr>
          <w:p w14:paraId="00000459" w14:textId="77777777" w:rsidR="00655AEF" w:rsidRDefault="00000000">
            <w:pPr>
              <w:widowControl/>
              <w:rPr>
                <w:sz w:val="24"/>
                <w:szCs w:val="24"/>
              </w:rPr>
            </w:pPr>
            <w:r>
              <w:rPr>
                <w:sz w:val="24"/>
                <w:szCs w:val="24"/>
              </w:rPr>
              <w:t>81.7</w:t>
            </w:r>
          </w:p>
        </w:tc>
      </w:tr>
      <w:tr w:rsidR="00655AEF" w14:paraId="4978AF8C" w14:textId="77777777">
        <w:tc>
          <w:tcPr>
            <w:tcW w:w="3664" w:type="dxa"/>
            <w:tcMar>
              <w:top w:w="15" w:type="dxa"/>
              <w:left w:w="15" w:type="dxa"/>
              <w:bottom w:w="15" w:type="dxa"/>
              <w:right w:w="15" w:type="dxa"/>
            </w:tcMar>
            <w:vAlign w:val="center"/>
          </w:tcPr>
          <w:p w14:paraId="0000045A" w14:textId="77777777" w:rsidR="00655AEF" w:rsidRDefault="00000000">
            <w:pPr>
              <w:widowControl/>
              <w:rPr>
                <w:sz w:val="24"/>
                <w:szCs w:val="24"/>
              </w:rPr>
            </w:pPr>
            <w:r>
              <w:rPr>
                <w:sz w:val="24"/>
                <w:szCs w:val="24"/>
              </w:rPr>
              <w:t>Pregnancy</w:t>
            </w:r>
          </w:p>
        </w:tc>
        <w:tc>
          <w:tcPr>
            <w:tcW w:w="2137" w:type="dxa"/>
            <w:tcMar>
              <w:top w:w="15" w:type="dxa"/>
              <w:left w:w="15" w:type="dxa"/>
              <w:bottom w:w="15" w:type="dxa"/>
              <w:right w:w="15" w:type="dxa"/>
            </w:tcMar>
            <w:vAlign w:val="center"/>
          </w:tcPr>
          <w:p w14:paraId="0000045B" w14:textId="77777777" w:rsidR="00655AEF" w:rsidRDefault="00000000">
            <w:pPr>
              <w:widowControl/>
              <w:rPr>
                <w:sz w:val="24"/>
                <w:szCs w:val="24"/>
              </w:rPr>
            </w:pPr>
            <w:r>
              <w:rPr>
                <w:sz w:val="24"/>
                <w:szCs w:val="24"/>
              </w:rPr>
              <w:t>0</w:t>
            </w:r>
          </w:p>
        </w:tc>
        <w:tc>
          <w:tcPr>
            <w:tcW w:w="2499" w:type="dxa"/>
            <w:tcMar>
              <w:top w:w="15" w:type="dxa"/>
              <w:left w:w="15" w:type="dxa"/>
              <w:bottom w:w="15" w:type="dxa"/>
              <w:right w:w="15" w:type="dxa"/>
            </w:tcMar>
            <w:vAlign w:val="center"/>
          </w:tcPr>
          <w:p w14:paraId="0000045C" w14:textId="77777777" w:rsidR="00655AEF" w:rsidRDefault="00000000">
            <w:pPr>
              <w:widowControl/>
              <w:rPr>
                <w:sz w:val="24"/>
                <w:szCs w:val="24"/>
              </w:rPr>
            </w:pPr>
            <w:r>
              <w:rPr>
                <w:sz w:val="24"/>
                <w:szCs w:val="24"/>
              </w:rPr>
              <w:t>23.1</w:t>
            </w:r>
          </w:p>
        </w:tc>
        <w:tc>
          <w:tcPr>
            <w:tcW w:w="1150" w:type="dxa"/>
            <w:tcMar>
              <w:top w:w="15" w:type="dxa"/>
              <w:left w:w="15" w:type="dxa"/>
              <w:bottom w:w="15" w:type="dxa"/>
              <w:right w:w="15" w:type="dxa"/>
            </w:tcMar>
            <w:vAlign w:val="center"/>
          </w:tcPr>
          <w:p w14:paraId="0000045D" w14:textId="77777777" w:rsidR="00655AEF" w:rsidRDefault="00000000">
            <w:pPr>
              <w:widowControl/>
              <w:rPr>
                <w:sz w:val="24"/>
                <w:szCs w:val="24"/>
              </w:rPr>
            </w:pPr>
            <w:r>
              <w:rPr>
                <w:sz w:val="24"/>
                <w:szCs w:val="24"/>
              </w:rPr>
              <w:t>23.1</w:t>
            </w:r>
          </w:p>
        </w:tc>
      </w:tr>
      <w:tr w:rsidR="00655AEF" w14:paraId="35F3647A" w14:textId="77777777">
        <w:tc>
          <w:tcPr>
            <w:tcW w:w="3664" w:type="dxa"/>
            <w:tcMar>
              <w:top w:w="15" w:type="dxa"/>
              <w:left w:w="15" w:type="dxa"/>
              <w:bottom w:w="15" w:type="dxa"/>
              <w:right w:w="15" w:type="dxa"/>
            </w:tcMar>
            <w:vAlign w:val="center"/>
          </w:tcPr>
          <w:p w14:paraId="0000045E" w14:textId="77777777" w:rsidR="00655AEF" w:rsidRDefault="00000000">
            <w:pPr>
              <w:widowControl/>
              <w:rPr>
                <w:sz w:val="24"/>
                <w:szCs w:val="24"/>
              </w:rPr>
            </w:pPr>
            <w:r>
              <w:rPr>
                <w:sz w:val="24"/>
                <w:szCs w:val="24"/>
              </w:rPr>
              <w:t>Virologic failure</w:t>
            </w:r>
          </w:p>
        </w:tc>
        <w:tc>
          <w:tcPr>
            <w:tcW w:w="2137" w:type="dxa"/>
            <w:tcMar>
              <w:top w:w="15" w:type="dxa"/>
              <w:left w:w="15" w:type="dxa"/>
              <w:bottom w:w="15" w:type="dxa"/>
              <w:right w:w="15" w:type="dxa"/>
            </w:tcMar>
            <w:vAlign w:val="center"/>
          </w:tcPr>
          <w:p w14:paraId="0000045F" w14:textId="77777777" w:rsidR="00655AEF" w:rsidRDefault="00000000">
            <w:pPr>
              <w:widowControl/>
              <w:rPr>
                <w:sz w:val="24"/>
                <w:szCs w:val="24"/>
              </w:rPr>
            </w:pPr>
            <w:r>
              <w:rPr>
                <w:sz w:val="24"/>
                <w:szCs w:val="24"/>
              </w:rPr>
              <w:t>0</w:t>
            </w:r>
          </w:p>
        </w:tc>
        <w:tc>
          <w:tcPr>
            <w:tcW w:w="2499" w:type="dxa"/>
            <w:tcMar>
              <w:top w:w="15" w:type="dxa"/>
              <w:left w:w="15" w:type="dxa"/>
              <w:bottom w:w="15" w:type="dxa"/>
              <w:right w:w="15" w:type="dxa"/>
            </w:tcMar>
            <w:vAlign w:val="center"/>
          </w:tcPr>
          <w:p w14:paraId="00000460" w14:textId="77777777" w:rsidR="00655AEF" w:rsidRDefault="00000000">
            <w:pPr>
              <w:widowControl/>
              <w:rPr>
                <w:sz w:val="24"/>
                <w:szCs w:val="24"/>
              </w:rPr>
            </w:pPr>
            <w:r>
              <w:rPr>
                <w:sz w:val="24"/>
                <w:szCs w:val="24"/>
              </w:rPr>
              <w:t>30.8</w:t>
            </w:r>
          </w:p>
        </w:tc>
        <w:tc>
          <w:tcPr>
            <w:tcW w:w="1150" w:type="dxa"/>
            <w:tcMar>
              <w:top w:w="15" w:type="dxa"/>
              <w:left w:w="15" w:type="dxa"/>
              <w:bottom w:w="15" w:type="dxa"/>
              <w:right w:w="15" w:type="dxa"/>
            </w:tcMar>
            <w:vAlign w:val="center"/>
          </w:tcPr>
          <w:p w14:paraId="00000461" w14:textId="77777777" w:rsidR="00655AEF" w:rsidRDefault="00000000">
            <w:pPr>
              <w:widowControl/>
              <w:rPr>
                <w:sz w:val="24"/>
                <w:szCs w:val="24"/>
              </w:rPr>
            </w:pPr>
            <w:r>
              <w:rPr>
                <w:sz w:val="24"/>
                <w:szCs w:val="24"/>
              </w:rPr>
              <w:t>30.8</w:t>
            </w:r>
          </w:p>
        </w:tc>
      </w:tr>
      <w:tr w:rsidR="00655AEF" w14:paraId="55627542" w14:textId="77777777">
        <w:tc>
          <w:tcPr>
            <w:tcW w:w="3664" w:type="dxa"/>
            <w:tcBorders>
              <w:top w:val="single" w:sz="4" w:space="0" w:color="000000"/>
              <w:bottom w:val="single" w:sz="4" w:space="0" w:color="000000"/>
            </w:tcBorders>
            <w:tcMar>
              <w:top w:w="15" w:type="dxa"/>
              <w:left w:w="15" w:type="dxa"/>
              <w:bottom w:w="15" w:type="dxa"/>
              <w:right w:w="15" w:type="dxa"/>
            </w:tcMar>
            <w:vAlign w:val="center"/>
          </w:tcPr>
          <w:p w14:paraId="00000462" w14:textId="77777777" w:rsidR="00655AEF" w:rsidRDefault="00000000">
            <w:pPr>
              <w:widowControl/>
              <w:rPr>
                <w:sz w:val="24"/>
                <w:szCs w:val="24"/>
              </w:rPr>
            </w:pPr>
            <w:r>
              <w:rPr>
                <w:b/>
                <w:sz w:val="24"/>
                <w:szCs w:val="24"/>
              </w:rPr>
              <w:t>Total</w:t>
            </w:r>
          </w:p>
        </w:tc>
        <w:tc>
          <w:tcPr>
            <w:tcW w:w="2137" w:type="dxa"/>
            <w:tcBorders>
              <w:top w:val="single" w:sz="4" w:space="0" w:color="000000"/>
              <w:bottom w:val="single" w:sz="4" w:space="0" w:color="000000"/>
            </w:tcBorders>
            <w:tcMar>
              <w:top w:w="15" w:type="dxa"/>
              <w:left w:w="15" w:type="dxa"/>
              <w:bottom w:w="15" w:type="dxa"/>
              <w:right w:w="15" w:type="dxa"/>
            </w:tcMar>
            <w:vAlign w:val="center"/>
          </w:tcPr>
          <w:p w14:paraId="00000463" w14:textId="77777777" w:rsidR="00655AEF" w:rsidRDefault="00000000">
            <w:pPr>
              <w:widowControl/>
              <w:rPr>
                <w:sz w:val="24"/>
                <w:szCs w:val="24"/>
              </w:rPr>
            </w:pPr>
            <w:r>
              <w:rPr>
                <w:b/>
                <w:sz w:val="24"/>
                <w:szCs w:val="24"/>
              </w:rPr>
              <w:t>100</w:t>
            </w:r>
          </w:p>
        </w:tc>
        <w:tc>
          <w:tcPr>
            <w:tcW w:w="2499" w:type="dxa"/>
            <w:tcBorders>
              <w:top w:val="single" w:sz="4" w:space="0" w:color="000000"/>
              <w:bottom w:val="single" w:sz="4" w:space="0" w:color="000000"/>
            </w:tcBorders>
            <w:tcMar>
              <w:top w:w="15" w:type="dxa"/>
              <w:left w:w="15" w:type="dxa"/>
              <w:bottom w:w="15" w:type="dxa"/>
              <w:right w:w="15" w:type="dxa"/>
            </w:tcMar>
            <w:vAlign w:val="center"/>
          </w:tcPr>
          <w:p w14:paraId="00000464" w14:textId="77777777" w:rsidR="00655AEF" w:rsidRDefault="00000000">
            <w:pPr>
              <w:widowControl/>
              <w:rPr>
                <w:sz w:val="24"/>
                <w:szCs w:val="24"/>
              </w:rPr>
            </w:pPr>
            <w:r>
              <w:rPr>
                <w:b/>
                <w:sz w:val="24"/>
                <w:szCs w:val="24"/>
              </w:rPr>
              <w:t>100.1</w:t>
            </w:r>
          </w:p>
        </w:tc>
        <w:tc>
          <w:tcPr>
            <w:tcW w:w="1150" w:type="dxa"/>
            <w:tcBorders>
              <w:top w:val="single" w:sz="4" w:space="0" w:color="000000"/>
              <w:bottom w:val="single" w:sz="4" w:space="0" w:color="000000"/>
            </w:tcBorders>
            <w:tcMar>
              <w:top w:w="15" w:type="dxa"/>
              <w:left w:w="15" w:type="dxa"/>
              <w:bottom w:w="15" w:type="dxa"/>
              <w:right w:w="15" w:type="dxa"/>
            </w:tcMar>
            <w:vAlign w:val="center"/>
          </w:tcPr>
          <w:p w14:paraId="00000465" w14:textId="77777777" w:rsidR="00655AEF" w:rsidRDefault="00000000">
            <w:pPr>
              <w:widowControl/>
              <w:rPr>
                <w:sz w:val="24"/>
                <w:szCs w:val="24"/>
              </w:rPr>
            </w:pPr>
            <w:r>
              <w:rPr>
                <w:b/>
                <w:sz w:val="24"/>
                <w:szCs w:val="24"/>
              </w:rPr>
              <w:t>200.1</w:t>
            </w:r>
            <w:r>
              <w:rPr>
                <w:sz w:val="24"/>
                <w:szCs w:val="24"/>
              </w:rPr>
              <w:t>*</w:t>
            </w:r>
          </w:p>
        </w:tc>
      </w:tr>
    </w:tbl>
    <w:p w14:paraId="00000466" w14:textId="77777777" w:rsidR="00655AEF" w:rsidRDefault="00655AEF">
      <w:pPr>
        <w:spacing w:after="240" w:line="360" w:lineRule="auto"/>
        <w:jc w:val="both"/>
        <w:rPr>
          <w:sz w:val="24"/>
          <w:szCs w:val="24"/>
        </w:rPr>
      </w:pPr>
    </w:p>
    <w:p w14:paraId="00000467" w14:textId="77777777" w:rsidR="00655AEF" w:rsidRDefault="00000000">
      <w:pPr>
        <w:keepNext/>
        <w:pBdr>
          <w:top w:val="nil"/>
          <w:left w:val="nil"/>
          <w:bottom w:val="nil"/>
          <w:right w:val="nil"/>
          <w:between w:val="nil"/>
        </w:pBdr>
        <w:spacing w:after="200"/>
        <w:jc w:val="both"/>
        <w:rPr>
          <w:b/>
          <w:color w:val="4F81BD"/>
          <w:sz w:val="18"/>
          <w:szCs w:val="18"/>
        </w:rPr>
      </w:pPr>
      <w:bookmarkStart w:id="95" w:name="_heading=h.h7ijk4rpfihx" w:colFirst="0" w:colLast="0"/>
      <w:bookmarkEnd w:id="95"/>
      <w:r>
        <w:rPr>
          <w:b/>
          <w:color w:val="4F81BD"/>
          <w:sz w:val="18"/>
          <w:szCs w:val="18"/>
        </w:rPr>
        <w:lastRenderedPageBreak/>
        <w:t>Table 21: Cross tabulation for reasons for stopping treatment</w:t>
      </w:r>
    </w:p>
    <w:p w14:paraId="00000468" w14:textId="77777777" w:rsidR="00655AEF" w:rsidRDefault="00000000">
      <w:pPr>
        <w:spacing w:after="240" w:line="360" w:lineRule="auto"/>
        <w:jc w:val="both"/>
        <w:rPr>
          <w:sz w:val="24"/>
          <w:szCs w:val="24"/>
        </w:rPr>
      </w:pPr>
      <w:r>
        <w:rPr>
          <w:noProof/>
          <w:sz w:val="24"/>
          <w:szCs w:val="24"/>
        </w:rPr>
        <w:drawing>
          <wp:inline distT="0" distB="0" distL="0" distR="0" wp14:anchorId="2F0AECF9" wp14:editId="5131D61C">
            <wp:extent cx="5505450" cy="321945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469" w14:textId="77777777" w:rsidR="00655AEF" w:rsidRDefault="00655AEF">
      <w:pPr>
        <w:widowControl/>
        <w:rPr>
          <w:rFonts w:ascii="Times New Roman" w:eastAsia="Times New Roman" w:hAnsi="Times New Roman" w:cs="Times New Roman"/>
          <w:sz w:val="24"/>
          <w:szCs w:val="24"/>
        </w:rPr>
      </w:pPr>
    </w:p>
    <w:p w14:paraId="0000046A" w14:textId="77777777" w:rsidR="00655AEF" w:rsidRDefault="00655AEF">
      <w:pPr>
        <w:widowControl/>
        <w:rPr>
          <w:rFonts w:ascii="Times New Roman" w:eastAsia="Times New Roman" w:hAnsi="Times New Roman" w:cs="Times New Roman"/>
          <w:sz w:val="24"/>
          <w:szCs w:val="24"/>
        </w:rPr>
      </w:pPr>
    </w:p>
    <w:p w14:paraId="0000046B" w14:textId="77777777" w:rsidR="00655AEF" w:rsidRDefault="00000000">
      <w:pPr>
        <w:pStyle w:val="Heading2"/>
        <w:keepNext w:val="0"/>
        <w:keepLines w:val="0"/>
        <w:numPr>
          <w:ilvl w:val="1"/>
          <w:numId w:val="3"/>
        </w:numPr>
        <w:spacing w:before="0"/>
      </w:pPr>
      <w:bookmarkStart w:id="96" w:name="_heading=h.mag0m2q5dvic" w:colFirst="0" w:colLast="0"/>
      <w:bookmarkEnd w:id="96"/>
      <w:r>
        <w:t>Discussion on Evidence of Suspected Treatment Failure among HIV Patients in Kakamega County</w:t>
      </w:r>
    </w:p>
    <w:p w14:paraId="0000046C" w14:textId="77777777" w:rsidR="00655AEF" w:rsidRDefault="00000000">
      <w:pPr>
        <w:pStyle w:val="Heading3"/>
        <w:numPr>
          <w:ilvl w:val="2"/>
          <w:numId w:val="3"/>
        </w:numPr>
        <w:rPr>
          <w:sz w:val="24"/>
          <w:szCs w:val="24"/>
        </w:rPr>
      </w:pPr>
      <w:bookmarkStart w:id="97" w:name="_heading=h.ckwa5xbxkhg8" w:colFirst="0" w:colLast="0"/>
      <w:bookmarkEnd w:id="97"/>
      <w:r>
        <w:rPr>
          <w:sz w:val="24"/>
          <w:szCs w:val="24"/>
        </w:rPr>
        <w:t>Evidence of Adherence Concerns</w:t>
      </w:r>
    </w:p>
    <w:p w14:paraId="0000046D" w14:textId="77777777" w:rsidR="00655AEF" w:rsidRDefault="00000000">
      <w:pPr>
        <w:spacing w:after="240" w:line="360" w:lineRule="auto"/>
        <w:jc w:val="both"/>
        <w:rPr>
          <w:sz w:val="24"/>
          <w:szCs w:val="24"/>
        </w:rPr>
      </w:pPr>
      <w:r>
        <w:rPr>
          <w:sz w:val="24"/>
          <w:szCs w:val="24"/>
        </w:rPr>
        <w:t>The data presented provides a critical understanding of the practical challenges patients face in maintaining consistent HIV treatment. Out of 513 patients, the 465 patients who responded to this question, a significant majority exhibited various forms of adherence issues, with certain patterns dominating the landscape.</w:t>
      </w:r>
    </w:p>
    <w:p w14:paraId="0000046E" w14:textId="77777777" w:rsidR="00655AEF" w:rsidRDefault="00000000">
      <w:pPr>
        <w:spacing w:after="240" w:line="360" w:lineRule="auto"/>
        <w:jc w:val="both"/>
        <w:rPr>
          <w:sz w:val="24"/>
          <w:szCs w:val="24"/>
        </w:rPr>
      </w:pPr>
      <w:r>
        <w:rPr>
          <w:sz w:val="24"/>
          <w:szCs w:val="24"/>
        </w:rPr>
        <w:t xml:space="preserve">The most prevalent adherence concern is missed appointments, accounting for a staggering 65.2% (303 cases) of the total. This number of cases highlights a fundamental challenge in the continuity of care. Missed appointments are not merely administrative oversights; they represent lost opportunities for vital clinical monitoring which include viral load and CD4 counts, refill of ART medications, and adherence counseling. Frequent missed appointments can lead to drug stock-outs for patients, interruptions in treatment, and subsequently, an increased risk of virologic failure and disease progression. The sheer volume of missed appointments suggests systemic barriers, patient-related factors, or a </w:t>
      </w:r>
      <w:r>
        <w:rPr>
          <w:sz w:val="24"/>
          <w:szCs w:val="24"/>
        </w:rPr>
        <w:lastRenderedPageBreak/>
        <w:t>combination thereof.</w:t>
      </w:r>
    </w:p>
    <w:p w14:paraId="0000046F" w14:textId="77777777" w:rsidR="00655AEF" w:rsidRDefault="00000000">
      <w:pPr>
        <w:spacing w:after="240" w:line="360" w:lineRule="auto"/>
        <w:jc w:val="both"/>
        <w:rPr>
          <w:sz w:val="24"/>
          <w:szCs w:val="24"/>
        </w:rPr>
      </w:pPr>
      <w:r>
        <w:rPr>
          <w:sz w:val="24"/>
          <w:szCs w:val="24"/>
        </w:rPr>
        <w:t>Closely related and equally concerning was the combination of missed appointments and missed pills, which constitutes 32.9% (153 cases) of the reported issues. This category directly indicates a failure in consistent medication intake, which is the direct measure of adherence. When patients miss both their scheduled clinic visits and doses of medication, it creates a significant risk for suboptimal viral suppression, the development of drug resistance, and the potential for increased morbidity and mortality. This combined concern points to a deeper pattern of disengagement from care and self-management of their condition.</w:t>
      </w:r>
    </w:p>
    <w:p w14:paraId="00000470" w14:textId="77777777" w:rsidR="00655AEF" w:rsidRDefault="00000000">
      <w:pPr>
        <w:spacing w:after="240" w:line="360" w:lineRule="auto"/>
        <w:jc w:val="both"/>
        <w:rPr>
          <w:sz w:val="24"/>
          <w:szCs w:val="24"/>
        </w:rPr>
      </w:pPr>
      <w:r>
        <w:rPr>
          <w:sz w:val="24"/>
          <w:szCs w:val="24"/>
        </w:rPr>
        <w:t>The other aspect that was less frequent, but providing crucial qualitative insights, are missed appointments and stress (1.3%, 6 cases) and stigma and long distance to health facility (0.6%, 3 cases). These factors underscore the psychological and logistical burdens that impact adherence. Stress, often linked to mental health issues or socio-economic pressures, can overwhelm a patient's capacity to prioritize and manage their treatment. Similarly, the ongoing challenge of stigma, coupled with geographical barriers like long distances to health facilities, can deter patients from seeking or consistently accessing care. These specific concerns emphasize the need for holistic support that addresses mental well-being, community-based care models, and improved accessibility.</w:t>
      </w:r>
    </w:p>
    <w:p w14:paraId="00000471" w14:textId="77777777" w:rsidR="00655AEF" w:rsidRDefault="00000000">
      <w:pPr>
        <w:spacing w:after="240" w:line="360" w:lineRule="auto"/>
        <w:jc w:val="both"/>
        <w:rPr>
          <w:sz w:val="24"/>
          <w:szCs w:val="24"/>
        </w:rPr>
      </w:pPr>
      <w:r>
        <w:rPr>
          <w:sz w:val="24"/>
          <w:szCs w:val="24"/>
        </w:rPr>
        <w:t>The overwhelming evidence of missed appointments, often coupled with missed pills, points to significant gaps in patient retention and adherence within the HIV care cascade. These findings strongly reinforce the problem statement of the study, which highlights challenges in retention and adherence leading to treatment failures in Kakamega. Addressing these concerns will require multi-pronged interventions, potentially i</w:t>
      </w:r>
      <w:sdt>
        <w:sdtPr>
          <w:tag w:val="goog_rdk_3"/>
          <w:id w:val="731996904"/>
        </w:sdtPr>
        <w:sdtContent>
          <w:commentRangeStart w:id="98"/>
        </w:sdtContent>
      </w:sdt>
      <w:r>
        <w:rPr>
          <w:sz w:val="24"/>
          <w:szCs w:val="24"/>
        </w:rPr>
        <w:t>ncluding the</w:t>
      </w:r>
      <w:commentRangeEnd w:id="98"/>
      <w:r>
        <w:commentReference w:id="98"/>
      </w:r>
      <w:r>
        <w:rPr>
          <w:sz w:val="24"/>
          <w:szCs w:val="24"/>
        </w:rPr>
        <w:t xml:space="preserve"> exploration of reward systems to incentivize adherence, strengthening patient tracking mechanisms, providing targeted adherence counseling, and implementing strategies to mitigate the impact of stress, stigma, and geographical barriers to care.</w:t>
      </w:r>
    </w:p>
    <w:p w14:paraId="00000472" w14:textId="77777777" w:rsidR="00655AEF" w:rsidRDefault="00000000">
      <w:pPr>
        <w:spacing w:after="240" w:line="360" w:lineRule="auto"/>
        <w:jc w:val="both"/>
        <w:rPr>
          <w:sz w:val="24"/>
          <w:szCs w:val="24"/>
        </w:rPr>
      </w:pPr>
      <w:r>
        <w:rPr>
          <w:sz w:val="24"/>
          <w:szCs w:val="24"/>
        </w:rPr>
        <w:t>Table below and figure below illustrates this information.</w:t>
      </w:r>
    </w:p>
    <w:p w14:paraId="00000473" w14:textId="77777777" w:rsidR="00655AEF" w:rsidRDefault="00655AEF">
      <w:pPr>
        <w:spacing w:after="240" w:line="360" w:lineRule="auto"/>
        <w:jc w:val="both"/>
        <w:rPr>
          <w:sz w:val="24"/>
          <w:szCs w:val="24"/>
        </w:rPr>
      </w:pPr>
    </w:p>
    <w:p w14:paraId="00000474" w14:textId="77777777" w:rsidR="00655AEF" w:rsidRDefault="00000000">
      <w:pPr>
        <w:keepNext/>
        <w:pBdr>
          <w:top w:val="nil"/>
          <w:left w:val="nil"/>
          <w:bottom w:val="nil"/>
          <w:right w:val="nil"/>
          <w:between w:val="nil"/>
        </w:pBdr>
        <w:spacing w:after="200"/>
        <w:rPr>
          <w:b/>
          <w:color w:val="4F81BD"/>
          <w:sz w:val="18"/>
          <w:szCs w:val="18"/>
        </w:rPr>
      </w:pPr>
      <w:bookmarkStart w:id="99" w:name="_heading=h.4gyix35q2lnn" w:colFirst="0" w:colLast="0"/>
      <w:bookmarkEnd w:id="99"/>
      <w:r>
        <w:rPr>
          <w:b/>
          <w:color w:val="4F81BD"/>
          <w:sz w:val="18"/>
          <w:szCs w:val="18"/>
        </w:rPr>
        <w:t>Table 22: Evidence of Adherence Concerns</w:t>
      </w:r>
    </w:p>
    <w:tbl>
      <w:tblPr>
        <w:tblStyle w:val="af2"/>
        <w:tblW w:w="8820" w:type="dxa"/>
        <w:tblInd w:w="0" w:type="dxa"/>
        <w:tblLayout w:type="fixed"/>
        <w:tblLook w:val="0000" w:firstRow="0" w:lastRow="0" w:firstColumn="0" w:lastColumn="0" w:noHBand="0" w:noVBand="0"/>
      </w:tblPr>
      <w:tblGrid>
        <w:gridCol w:w="734"/>
        <w:gridCol w:w="6016"/>
        <w:gridCol w:w="1170"/>
        <w:gridCol w:w="900"/>
      </w:tblGrid>
      <w:tr w:rsidR="00655AEF" w14:paraId="5BA9A160" w14:textId="77777777">
        <w:trPr>
          <w:cantSplit/>
        </w:trPr>
        <w:tc>
          <w:tcPr>
            <w:tcW w:w="6750" w:type="dxa"/>
            <w:gridSpan w:val="2"/>
            <w:shd w:val="clear" w:color="auto" w:fill="FFFFFF"/>
            <w:tcMar>
              <w:top w:w="0" w:type="dxa"/>
              <w:left w:w="0" w:type="dxa"/>
              <w:bottom w:w="0" w:type="dxa"/>
              <w:right w:w="0" w:type="dxa"/>
            </w:tcMar>
          </w:tcPr>
          <w:p w14:paraId="00000475" w14:textId="77777777" w:rsidR="00655AEF" w:rsidRDefault="00655AEF">
            <w:pPr>
              <w:rPr>
                <w:sz w:val="24"/>
                <w:szCs w:val="24"/>
              </w:rPr>
            </w:pPr>
          </w:p>
        </w:tc>
        <w:tc>
          <w:tcPr>
            <w:tcW w:w="1170" w:type="dxa"/>
            <w:shd w:val="clear" w:color="auto" w:fill="FFFFFF"/>
            <w:tcMar>
              <w:top w:w="0" w:type="dxa"/>
              <w:left w:w="0" w:type="dxa"/>
              <w:bottom w:w="0" w:type="dxa"/>
              <w:right w:w="0" w:type="dxa"/>
            </w:tcMar>
          </w:tcPr>
          <w:p w14:paraId="00000477" w14:textId="77777777" w:rsidR="00655AEF" w:rsidRDefault="00000000">
            <w:pPr>
              <w:rPr>
                <w:sz w:val="24"/>
                <w:szCs w:val="24"/>
              </w:rPr>
            </w:pPr>
            <w:r>
              <w:rPr>
                <w:sz w:val="24"/>
                <w:szCs w:val="24"/>
              </w:rPr>
              <w:t>Frequency</w:t>
            </w:r>
          </w:p>
        </w:tc>
        <w:tc>
          <w:tcPr>
            <w:tcW w:w="900" w:type="dxa"/>
            <w:shd w:val="clear" w:color="auto" w:fill="FFFFFF"/>
            <w:tcMar>
              <w:top w:w="0" w:type="dxa"/>
              <w:left w:w="0" w:type="dxa"/>
              <w:bottom w:w="0" w:type="dxa"/>
              <w:right w:w="0" w:type="dxa"/>
            </w:tcMar>
          </w:tcPr>
          <w:p w14:paraId="00000478" w14:textId="77777777" w:rsidR="00655AEF" w:rsidRDefault="00000000">
            <w:pPr>
              <w:rPr>
                <w:sz w:val="24"/>
                <w:szCs w:val="24"/>
              </w:rPr>
            </w:pPr>
            <w:r>
              <w:rPr>
                <w:sz w:val="24"/>
                <w:szCs w:val="24"/>
              </w:rPr>
              <w:t>Percent</w:t>
            </w:r>
          </w:p>
        </w:tc>
      </w:tr>
      <w:tr w:rsidR="00655AEF" w14:paraId="15A0CFF8" w14:textId="77777777">
        <w:trPr>
          <w:cantSplit/>
        </w:trPr>
        <w:tc>
          <w:tcPr>
            <w:tcW w:w="734" w:type="dxa"/>
            <w:vMerge w:val="restart"/>
            <w:shd w:val="clear" w:color="auto" w:fill="FFFFFF"/>
            <w:tcMar>
              <w:top w:w="0" w:type="dxa"/>
              <w:left w:w="0" w:type="dxa"/>
              <w:bottom w:w="0" w:type="dxa"/>
              <w:right w:w="0" w:type="dxa"/>
            </w:tcMar>
            <w:vAlign w:val="center"/>
          </w:tcPr>
          <w:p w14:paraId="00000479" w14:textId="77777777" w:rsidR="00655AEF" w:rsidRDefault="00655AEF">
            <w:pPr>
              <w:rPr>
                <w:sz w:val="24"/>
                <w:szCs w:val="24"/>
              </w:rPr>
            </w:pPr>
          </w:p>
        </w:tc>
        <w:tc>
          <w:tcPr>
            <w:tcW w:w="6016" w:type="dxa"/>
            <w:tcBorders>
              <w:top w:val="single" w:sz="4" w:space="0" w:color="000000"/>
            </w:tcBorders>
            <w:shd w:val="clear" w:color="auto" w:fill="FFFFFF"/>
            <w:tcMar>
              <w:top w:w="0" w:type="dxa"/>
              <w:left w:w="0" w:type="dxa"/>
              <w:bottom w:w="0" w:type="dxa"/>
              <w:right w:w="0" w:type="dxa"/>
            </w:tcMar>
            <w:vAlign w:val="center"/>
          </w:tcPr>
          <w:p w14:paraId="0000047A" w14:textId="77777777" w:rsidR="00655AEF" w:rsidRDefault="00000000">
            <w:pPr>
              <w:rPr>
                <w:sz w:val="24"/>
                <w:szCs w:val="24"/>
              </w:rPr>
            </w:pPr>
            <w:r>
              <w:rPr>
                <w:sz w:val="24"/>
                <w:szCs w:val="24"/>
              </w:rPr>
              <w:t>Missed Appointment</w:t>
            </w:r>
          </w:p>
        </w:tc>
        <w:tc>
          <w:tcPr>
            <w:tcW w:w="1170" w:type="dxa"/>
            <w:tcBorders>
              <w:top w:val="single" w:sz="4" w:space="0" w:color="000000"/>
            </w:tcBorders>
            <w:shd w:val="clear" w:color="auto" w:fill="FFFFFF"/>
            <w:tcMar>
              <w:top w:w="0" w:type="dxa"/>
              <w:left w:w="0" w:type="dxa"/>
              <w:bottom w:w="0" w:type="dxa"/>
              <w:right w:w="0" w:type="dxa"/>
            </w:tcMar>
            <w:vAlign w:val="center"/>
          </w:tcPr>
          <w:p w14:paraId="0000047B" w14:textId="77777777" w:rsidR="00655AEF" w:rsidRDefault="00000000">
            <w:pPr>
              <w:rPr>
                <w:sz w:val="24"/>
                <w:szCs w:val="24"/>
              </w:rPr>
            </w:pPr>
            <w:r>
              <w:rPr>
                <w:sz w:val="24"/>
                <w:szCs w:val="24"/>
              </w:rPr>
              <w:t>303</w:t>
            </w:r>
          </w:p>
        </w:tc>
        <w:tc>
          <w:tcPr>
            <w:tcW w:w="900" w:type="dxa"/>
            <w:tcBorders>
              <w:top w:val="single" w:sz="4" w:space="0" w:color="000000"/>
            </w:tcBorders>
            <w:shd w:val="clear" w:color="auto" w:fill="FFFFFF"/>
            <w:tcMar>
              <w:top w:w="0" w:type="dxa"/>
              <w:left w:w="0" w:type="dxa"/>
              <w:bottom w:w="0" w:type="dxa"/>
              <w:right w:w="0" w:type="dxa"/>
            </w:tcMar>
            <w:vAlign w:val="center"/>
          </w:tcPr>
          <w:p w14:paraId="0000047C" w14:textId="77777777" w:rsidR="00655AEF" w:rsidRDefault="00000000">
            <w:pPr>
              <w:rPr>
                <w:sz w:val="24"/>
                <w:szCs w:val="24"/>
              </w:rPr>
            </w:pPr>
            <w:r>
              <w:rPr>
                <w:sz w:val="24"/>
                <w:szCs w:val="24"/>
              </w:rPr>
              <w:t>65.2</w:t>
            </w:r>
          </w:p>
        </w:tc>
      </w:tr>
      <w:tr w:rsidR="00655AEF" w14:paraId="55572CBE" w14:textId="77777777">
        <w:trPr>
          <w:cantSplit/>
        </w:trPr>
        <w:tc>
          <w:tcPr>
            <w:tcW w:w="734" w:type="dxa"/>
            <w:vMerge/>
            <w:shd w:val="clear" w:color="auto" w:fill="FFFFFF"/>
            <w:tcMar>
              <w:top w:w="0" w:type="dxa"/>
              <w:left w:w="0" w:type="dxa"/>
              <w:bottom w:w="0" w:type="dxa"/>
              <w:right w:w="0" w:type="dxa"/>
            </w:tcMar>
            <w:vAlign w:val="center"/>
          </w:tcPr>
          <w:p w14:paraId="0000047D" w14:textId="77777777" w:rsidR="00655AEF" w:rsidRDefault="00655AEF">
            <w:pPr>
              <w:pBdr>
                <w:top w:val="nil"/>
                <w:left w:val="nil"/>
                <w:bottom w:val="nil"/>
                <w:right w:val="nil"/>
                <w:between w:val="nil"/>
              </w:pBdr>
              <w:spacing w:line="276" w:lineRule="auto"/>
              <w:rPr>
                <w:sz w:val="24"/>
                <w:szCs w:val="24"/>
              </w:rPr>
            </w:pPr>
          </w:p>
        </w:tc>
        <w:tc>
          <w:tcPr>
            <w:tcW w:w="6016" w:type="dxa"/>
            <w:shd w:val="clear" w:color="auto" w:fill="FFFFFF"/>
            <w:tcMar>
              <w:top w:w="0" w:type="dxa"/>
              <w:left w:w="0" w:type="dxa"/>
              <w:bottom w:w="0" w:type="dxa"/>
              <w:right w:w="0" w:type="dxa"/>
            </w:tcMar>
            <w:vAlign w:val="center"/>
          </w:tcPr>
          <w:p w14:paraId="0000047E" w14:textId="77777777" w:rsidR="00655AEF" w:rsidRDefault="00000000">
            <w:pPr>
              <w:rPr>
                <w:sz w:val="24"/>
                <w:szCs w:val="24"/>
              </w:rPr>
            </w:pPr>
            <w:r>
              <w:rPr>
                <w:sz w:val="24"/>
                <w:szCs w:val="24"/>
              </w:rPr>
              <w:t>Missed Appointments and Missed Pill</w:t>
            </w:r>
          </w:p>
        </w:tc>
        <w:tc>
          <w:tcPr>
            <w:tcW w:w="1170" w:type="dxa"/>
            <w:shd w:val="clear" w:color="auto" w:fill="FFFFFF"/>
            <w:tcMar>
              <w:top w:w="0" w:type="dxa"/>
              <w:left w:w="0" w:type="dxa"/>
              <w:bottom w:w="0" w:type="dxa"/>
              <w:right w:w="0" w:type="dxa"/>
            </w:tcMar>
            <w:vAlign w:val="center"/>
          </w:tcPr>
          <w:p w14:paraId="0000047F" w14:textId="77777777" w:rsidR="00655AEF" w:rsidRDefault="00000000">
            <w:pPr>
              <w:rPr>
                <w:sz w:val="24"/>
                <w:szCs w:val="24"/>
              </w:rPr>
            </w:pPr>
            <w:r>
              <w:rPr>
                <w:sz w:val="24"/>
                <w:szCs w:val="24"/>
              </w:rPr>
              <w:t>153</w:t>
            </w:r>
          </w:p>
        </w:tc>
        <w:tc>
          <w:tcPr>
            <w:tcW w:w="900" w:type="dxa"/>
            <w:shd w:val="clear" w:color="auto" w:fill="FFFFFF"/>
            <w:tcMar>
              <w:top w:w="0" w:type="dxa"/>
              <w:left w:w="0" w:type="dxa"/>
              <w:bottom w:w="0" w:type="dxa"/>
              <w:right w:w="0" w:type="dxa"/>
            </w:tcMar>
            <w:vAlign w:val="center"/>
          </w:tcPr>
          <w:p w14:paraId="00000480" w14:textId="77777777" w:rsidR="00655AEF" w:rsidRDefault="00000000">
            <w:pPr>
              <w:rPr>
                <w:sz w:val="24"/>
                <w:szCs w:val="24"/>
              </w:rPr>
            </w:pPr>
            <w:r>
              <w:rPr>
                <w:sz w:val="24"/>
                <w:szCs w:val="24"/>
              </w:rPr>
              <w:t>32.9</w:t>
            </w:r>
          </w:p>
        </w:tc>
      </w:tr>
      <w:tr w:rsidR="00655AEF" w14:paraId="0C5C5216" w14:textId="77777777">
        <w:trPr>
          <w:cantSplit/>
        </w:trPr>
        <w:tc>
          <w:tcPr>
            <w:tcW w:w="734" w:type="dxa"/>
            <w:vMerge/>
            <w:shd w:val="clear" w:color="auto" w:fill="FFFFFF"/>
            <w:tcMar>
              <w:top w:w="0" w:type="dxa"/>
              <w:left w:w="0" w:type="dxa"/>
              <w:bottom w:w="0" w:type="dxa"/>
              <w:right w:w="0" w:type="dxa"/>
            </w:tcMar>
            <w:vAlign w:val="center"/>
          </w:tcPr>
          <w:p w14:paraId="00000481" w14:textId="77777777" w:rsidR="00655AEF" w:rsidRDefault="00655AEF">
            <w:pPr>
              <w:pBdr>
                <w:top w:val="nil"/>
                <w:left w:val="nil"/>
                <w:bottom w:val="nil"/>
                <w:right w:val="nil"/>
                <w:between w:val="nil"/>
              </w:pBdr>
              <w:spacing w:line="276" w:lineRule="auto"/>
              <w:rPr>
                <w:sz w:val="24"/>
                <w:szCs w:val="24"/>
              </w:rPr>
            </w:pPr>
          </w:p>
        </w:tc>
        <w:tc>
          <w:tcPr>
            <w:tcW w:w="6016" w:type="dxa"/>
            <w:shd w:val="clear" w:color="auto" w:fill="FFFFFF"/>
            <w:tcMar>
              <w:top w:w="0" w:type="dxa"/>
              <w:left w:w="0" w:type="dxa"/>
              <w:bottom w:w="0" w:type="dxa"/>
              <w:right w:w="0" w:type="dxa"/>
            </w:tcMar>
            <w:vAlign w:val="center"/>
          </w:tcPr>
          <w:p w14:paraId="00000482" w14:textId="77777777" w:rsidR="00655AEF" w:rsidRDefault="00000000">
            <w:pPr>
              <w:rPr>
                <w:sz w:val="24"/>
                <w:szCs w:val="24"/>
              </w:rPr>
            </w:pPr>
            <w:r>
              <w:rPr>
                <w:sz w:val="24"/>
                <w:szCs w:val="24"/>
              </w:rPr>
              <w:t>Missed Appointments and Stress</w:t>
            </w:r>
          </w:p>
        </w:tc>
        <w:tc>
          <w:tcPr>
            <w:tcW w:w="1170" w:type="dxa"/>
            <w:shd w:val="clear" w:color="auto" w:fill="FFFFFF"/>
            <w:tcMar>
              <w:top w:w="0" w:type="dxa"/>
              <w:left w:w="0" w:type="dxa"/>
              <w:bottom w:w="0" w:type="dxa"/>
              <w:right w:w="0" w:type="dxa"/>
            </w:tcMar>
            <w:vAlign w:val="center"/>
          </w:tcPr>
          <w:p w14:paraId="00000483" w14:textId="77777777" w:rsidR="00655AEF" w:rsidRDefault="00000000">
            <w:pPr>
              <w:rPr>
                <w:sz w:val="24"/>
                <w:szCs w:val="24"/>
              </w:rPr>
            </w:pPr>
            <w:r>
              <w:rPr>
                <w:sz w:val="24"/>
                <w:szCs w:val="24"/>
              </w:rPr>
              <w:t>6</w:t>
            </w:r>
          </w:p>
        </w:tc>
        <w:tc>
          <w:tcPr>
            <w:tcW w:w="900" w:type="dxa"/>
            <w:shd w:val="clear" w:color="auto" w:fill="FFFFFF"/>
            <w:tcMar>
              <w:top w:w="0" w:type="dxa"/>
              <w:left w:w="0" w:type="dxa"/>
              <w:bottom w:w="0" w:type="dxa"/>
              <w:right w:w="0" w:type="dxa"/>
            </w:tcMar>
            <w:vAlign w:val="center"/>
          </w:tcPr>
          <w:p w14:paraId="00000484" w14:textId="77777777" w:rsidR="00655AEF" w:rsidRDefault="00000000">
            <w:pPr>
              <w:rPr>
                <w:sz w:val="24"/>
                <w:szCs w:val="24"/>
              </w:rPr>
            </w:pPr>
            <w:r>
              <w:rPr>
                <w:sz w:val="24"/>
                <w:szCs w:val="24"/>
              </w:rPr>
              <w:t>1.3</w:t>
            </w:r>
          </w:p>
        </w:tc>
      </w:tr>
      <w:tr w:rsidR="00655AEF" w14:paraId="4CC5E065" w14:textId="77777777">
        <w:trPr>
          <w:cantSplit/>
        </w:trPr>
        <w:tc>
          <w:tcPr>
            <w:tcW w:w="734" w:type="dxa"/>
            <w:vMerge/>
            <w:shd w:val="clear" w:color="auto" w:fill="FFFFFF"/>
            <w:tcMar>
              <w:top w:w="0" w:type="dxa"/>
              <w:left w:w="0" w:type="dxa"/>
              <w:bottom w:w="0" w:type="dxa"/>
              <w:right w:w="0" w:type="dxa"/>
            </w:tcMar>
            <w:vAlign w:val="center"/>
          </w:tcPr>
          <w:p w14:paraId="00000485" w14:textId="77777777" w:rsidR="00655AEF" w:rsidRDefault="00655AEF">
            <w:pPr>
              <w:pBdr>
                <w:top w:val="nil"/>
                <w:left w:val="nil"/>
                <w:bottom w:val="nil"/>
                <w:right w:val="nil"/>
                <w:between w:val="nil"/>
              </w:pBdr>
              <w:spacing w:line="276" w:lineRule="auto"/>
              <w:rPr>
                <w:sz w:val="24"/>
                <w:szCs w:val="24"/>
              </w:rPr>
            </w:pPr>
          </w:p>
        </w:tc>
        <w:tc>
          <w:tcPr>
            <w:tcW w:w="6016" w:type="dxa"/>
            <w:tcBorders>
              <w:bottom w:val="single" w:sz="4" w:space="0" w:color="000000"/>
            </w:tcBorders>
            <w:shd w:val="clear" w:color="auto" w:fill="FFFFFF"/>
            <w:tcMar>
              <w:top w:w="0" w:type="dxa"/>
              <w:left w:w="0" w:type="dxa"/>
              <w:bottom w:w="0" w:type="dxa"/>
              <w:right w:w="0" w:type="dxa"/>
            </w:tcMar>
            <w:vAlign w:val="center"/>
          </w:tcPr>
          <w:p w14:paraId="00000486" w14:textId="77777777" w:rsidR="00655AEF" w:rsidRDefault="00000000">
            <w:pPr>
              <w:rPr>
                <w:sz w:val="24"/>
                <w:szCs w:val="24"/>
              </w:rPr>
            </w:pPr>
            <w:r>
              <w:rPr>
                <w:sz w:val="24"/>
                <w:szCs w:val="24"/>
              </w:rPr>
              <w:t>Stigma Long Distance to Health Facility</w:t>
            </w:r>
          </w:p>
        </w:tc>
        <w:tc>
          <w:tcPr>
            <w:tcW w:w="1170" w:type="dxa"/>
            <w:tcBorders>
              <w:bottom w:val="single" w:sz="4" w:space="0" w:color="000000"/>
            </w:tcBorders>
            <w:shd w:val="clear" w:color="auto" w:fill="FFFFFF"/>
            <w:tcMar>
              <w:top w:w="0" w:type="dxa"/>
              <w:left w:w="0" w:type="dxa"/>
              <w:bottom w:w="0" w:type="dxa"/>
              <w:right w:w="0" w:type="dxa"/>
            </w:tcMar>
            <w:vAlign w:val="center"/>
          </w:tcPr>
          <w:p w14:paraId="00000487" w14:textId="77777777" w:rsidR="00655AEF" w:rsidRDefault="00000000">
            <w:pPr>
              <w:rPr>
                <w:sz w:val="24"/>
                <w:szCs w:val="24"/>
              </w:rPr>
            </w:pPr>
            <w:r>
              <w:rPr>
                <w:sz w:val="24"/>
                <w:szCs w:val="24"/>
              </w:rPr>
              <w:t>3</w:t>
            </w:r>
          </w:p>
        </w:tc>
        <w:tc>
          <w:tcPr>
            <w:tcW w:w="900" w:type="dxa"/>
            <w:tcBorders>
              <w:bottom w:val="single" w:sz="4" w:space="0" w:color="000000"/>
            </w:tcBorders>
            <w:shd w:val="clear" w:color="auto" w:fill="FFFFFF"/>
            <w:tcMar>
              <w:top w:w="0" w:type="dxa"/>
              <w:left w:w="0" w:type="dxa"/>
              <w:bottom w:w="0" w:type="dxa"/>
              <w:right w:w="0" w:type="dxa"/>
            </w:tcMar>
            <w:vAlign w:val="center"/>
          </w:tcPr>
          <w:p w14:paraId="00000488" w14:textId="77777777" w:rsidR="00655AEF" w:rsidRDefault="00000000">
            <w:pPr>
              <w:rPr>
                <w:sz w:val="24"/>
                <w:szCs w:val="24"/>
              </w:rPr>
            </w:pPr>
            <w:r>
              <w:rPr>
                <w:sz w:val="24"/>
                <w:szCs w:val="24"/>
              </w:rPr>
              <w:t>.6</w:t>
            </w:r>
          </w:p>
        </w:tc>
      </w:tr>
      <w:tr w:rsidR="00655AEF" w14:paraId="5E3E6AB1" w14:textId="77777777">
        <w:trPr>
          <w:cantSplit/>
        </w:trPr>
        <w:tc>
          <w:tcPr>
            <w:tcW w:w="734" w:type="dxa"/>
            <w:vMerge/>
            <w:shd w:val="clear" w:color="auto" w:fill="FFFFFF"/>
            <w:tcMar>
              <w:top w:w="0" w:type="dxa"/>
              <w:left w:w="0" w:type="dxa"/>
              <w:bottom w:w="0" w:type="dxa"/>
              <w:right w:w="0" w:type="dxa"/>
            </w:tcMar>
            <w:vAlign w:val="center"/>
          </w:tcPr>
          <w:p w14:paraId="00000489" w14:textId="77777777" w:rsidR="00655AEF" w:rsidRDefault="00655AEF">
            <w:pPr>
              <w:pBdr>
                <w:top w:val="nil"/>
                <w:left w:val="nil"/>
                <w:bottom w:val="nil"/>
                <w:right w:val="nil"/>
                <w:between w:val="nil"/>
              </w:pBdr>
              <w:spacing w:line="276" w:lineRule="auto"/>
              <w:rPr>
                <w:sz w:val="24"/>
                <w:szCs w:val="24"/>
              </w:rPr>
            </w:pPr>
          </w:p>
        </w:tc>
        <w:tc>
          <w:tcPr>
            <w:tcW w:w="601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8A" w14:textId="77777777" w:rsidR="00655AEF" w:rsidRDefault="00000000">
            <w:pPr>
              <w:rPr>
                <w:sz w:val="24"/>
                <w:szCs w:val="24"/>
              </w:rPr>
            </w:pPr>
            <w:r>
              <w:rPr>
                <w:sz w:val="24"/>
                <w:szCs w:val="24"/>
              </w:rPr>
              <w:t>Total</w:t>
            </w:r>
          </w:p>
        </w:tc>
        <w:tc>
          <w:tcPr>
            <w:tcW w:w="11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8B" w14:textId="77777777" w:rsidR="00655AEF" w:rsidRDefault="00000000">
            <w:pPr>
              <w:rPr>
                <w:sz w:val="24"/>
                <w:szCs w:val="24"/>
              </w:rPr>
            </w:pPr>
            <w:r>
              <w:rPr>
                <w:sz w:val="24"/>
                <w:szCs w:val="24"/>
              </w:rPr>
              <w:t>465</w:t>
            </w:r>
          </w:p>
        </w:tc>
        <w:tc>
          <w:tcPr>
            <w:tcW w:w="90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48C" w14:textId="77777777" w:rsidR="00655AEF" w:rsidRDefault="00000000">
            <w:pPr>
              <w:rPr>
                <w:sz w:val="24"/>
                <w:szCs w:val="24"/>
              </w:rPr>
            </w:pPr>
            <w:r>
              <w:rPr>
                <w:sz w:val="24"/>
                <w:szCs w:val="24"/>
              </w:rPr>
              <w:t>100.0</w:t>
            </w:r>
          </w:p>
        </w:tc>
      </w:tr>
    </w:tbl>
    <w:p w14:paraId="0000048D" w14:textId="77777777" w:rsidR="00655AEF" w:rsidRDefault="00655AEF">
      <w:pPr>
        <w:rPr>
          <w:sz w:val="24"/>
          <w:szCs w:val="24"/>
        </w:rPr>
      </w:pPr>
    </w:p>
    <w:p w14:paraId="0000048E" w14:textId="77777777" w:rsidR="00655AEF" w:rsidRDefault="00655AEF">
      <w:pPr>
        <w:rPr>
          <w:sz w:val="24"/>
          <w:szCs w:val="24"/>
        </w:rPr>
      </w:pPr>
    </w:p>
    <w:p w14:paraId="0000048F" w14:textId="77777777" w:rsidR="00655AEF" w:rsidRDefault="00000000">
      <w:pPr>
        <w:keepNext/>
      </w:pPr>
      <w:r>
        <w:rPr>
          <w:noProof/>
          <w:sz w:val="24"/>
          <w:szCs w:val="24"/>
        </w:rPr>
        <w:drawing>
          <wp:inline distT="0" distB="0" distL="0" distR="0" wp14:anchorId="7FEFDF36" wp14:editId="3053222A">
            <wp:extent cx="5505450" cy="32194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490" w14:textId="77777777" w:rsidR="00655AEF" w:rsidRDefault="00000000">
      <w:pPr>
        <w:pBdr>
          <w:top w:val="nil"/>
          <w:left w:val="nil"/>
          <w:bottom w:val="nil"/>
          <w:right w:val="nil"/>
          <w:between w:val="nil"/>
        </w:pBdr>
        <w:spacing w:after="200"/>
        <w:rPr>
          <w:b/>
          <w:color w:val="4F81BD"/>
          <w:sz w:val="24"/>
          <w:szCs w:val="24"/>
        </w:rPr>
      </w:pPr>
      <w:bookmarkStart w:id="100" w:name="_heading=h.hwz66ir6vydh" w:colFirst="0" w:colLast="0"/>
      <w:bookmarkEnd w:id="100"/>
      <w:r>
        <w:rPr>
          <w:b/>
          <w:color w:val="4F81BD"/>
          <w:sz w:val="18"/>
          <w:szCs w:val="18"/>
        </w:rPr>
        <w:t>Figure 15: Evidence of Adherence Concerns a.</w:t>
      </w:r>
    </w:p>
    <w:p w14:paraId="00000491" w14:textId="77777777" w:rsidR="00655AEF" w:rsidRDefault="00655AEF">
      <w:pPr>
        <w:rPr>
          <w:sz w:val="24"/>
          <w:szCs w:val="24"/>
        </w:rPr>
      </w:pPr>
    </w:p>
    <w:p w14:paraId="00000492" w14:textId="77777777" w:rsidR="00655AEF" w:rsidRDefault="00000000">
      <w:pPr>
        <w:pStyle w:val="Heading3"/>
        <w:numPr>
          <w:ilvl w:val="2"/>
          <w:numId w:val="3"/>
        </w:numPr>
        <w:rPr>
          <w:sz w:val="24"/>
          <w:szCs w:val="24"/>
        </w:rPr>
      </w:pPr>
      <w:bookmarkStart w:id="101" w:name="_heading=h.9dd2wcpde8jg" w:colFirst="0" w:colLast="0"/>
      <w:bookmarkEnd w:id="101"/>
      <w:r>
        <w:rPr>
          <w:sz w:val="24"/>
          <w:szCs w:val="24"/>
        </w:rPr>
        <w:t>Evidence of Adherence Concerns in the Control vs. Treatment</w:t>
      </w:r>
    </w:p>
    <w:p w14:paraId="00000493" w14:textId="77777777" w:rsidR="00655AEF" w:rsidRDefault="00000000">
      <w:pPr>
        <w:spacing w:after="240" w:line="360" w:lineRule="auto"/>
        <w:jc w:val="both"/>
        <w:rPr>
          <w:sz w:val="24"/>
          <w:szCs w:val="24"/>
        </w:rPr>
      </w:pPr>
      <w:r>
        <w:rPr>
          <w:sz w:val="24"/>
          <w:szCs w:val="24"/>
        </w:rPr>
        <w:t>The cross-tabulation analysis of Clinic group (Control vs. Treatment) and Evidence of Adherence Concerns reveals important patterns in patient adherence behaviors.</w:t>
      </w:r>
    </w:p>
    <w:p w14:paraId="00000494" w14:textId="77777777" w:rsidR="00655AEF" w:rsidRDefault="00000000">
      <w:pPr>
        <w:spacing w:after="240" w:line="360" w:lineRule="auto"/>
        <w:jc w:val="both"/>
        <w:rPr>
          <w:sz w:val="24"/>
          <w:szCs w:val="24"/>
        </w:rPr>
      </w:pPr>
      <w:r>
        <w:rPr>
          <w:sz w:val="24"/>
          <w:szCs w:val="24"/>
        </w:rPr>
        <w:t>Among the Control Group, the most frequently reported adherence concern was Missed Appointments, with 160 cases, followed by Missed Appointments and Missed Pills at 68 cases, and a single case of Missed Appointments and Stress. No instances were reported under Stigma or Long Distance to Health Facility.</w:t>
      </w:r>
    </w:p>
    <w:p w14:paraId="00000495" w14:textId="77777777" w:rsidR="00655AEF" w:rsidRDefault="00000000">
      <w:pPr>
        <w:spacing w:after="240" w:line="360" w:lineRule="auto"/>
        <w:jc w:val="both"/>
        <w:rPr>
          <w:sz w:val="24"/>
          <w:szCs w:val="24"/>
        </w:rPr>
      </w:pPr>
      <w:r>
        <w:rPr>
          <w:sz w:val="24"/>
          <w:szCs w:val="24"/>
        </w:rPr>
        <w:lastRenderedPageBreak/>
        <w:t>In contrast, the Treatment Group demonstrated slightly lower instances of Missed Appointments alone at 143 cases, but a higher number of cases involving multiple adherence challenges, including Missed Appointments and Missed Pills at 85 cases, Missed Appointments and Stress at 5 cases, and notably, 3 cases of Stigma related to Long Distance to the Health Facility, which were completely absent in the Control Group.</w:t>
      </w:r>
    </w:p>
    <w:p w14:paraId="00000496" w14:textId="77777777" w:rsidR="00655AEF" w:rsidRDefault="00000000">
      <w:pPr>
        <w:spacing w:after="240" w:line="360" w:lineRule="auto"/>
        <w:jc w:val="both"/>
        <w:rPr>
          <w:sz w:val="24"/>
          <w:szCs w:val="24"/>
        </w:rPr>
      </w:pPr>
      <w:r>
        <w:rPr>
          <w:sz w:val="24"/>
          <w:szCs w:val="24"/>
        </w:rPr>
        <w:t>On overall, across both groups, Missed Appointments accounted for the largest share of adherence concerns at 303 total, while multi-factor challenges such as Missed Appointments and Missed Pills at 153 cases were also common. Stress-related and stigma-related concerns were relatively rare, though they appeared more frequently in the Treatment Group, possibly due to more rigorous or transparent reporting mechanisms.</w:t>
      </w:r>
    </w:p>
    <w:p w14:paraId="00000497" w14:textId="77777777" w:rsidR="00655AEF" w:rsidRDefault="00000000">
      <w:pPr>
        <w:spacing w:after="240" w:line="360" w:lineRule="auto"/>
        <w:jc w:val="both"/>
        <w:rPr>
          <w:sz w:val="24"/>
          <w:szCs w:val="24"/>
        </w:rPr>
      </w:pPr>
      <w:r>
        <w:rPr>
          <w:sz w:val="24"/>
          <w:szCs w:val="24"/>
        </w:rPr>
        <w:t>This pattern may indicate that while the Treatment Group had more complex adherence challenges reported, it might also reflect better detection or disclosure due to enhanced engagement or support mechanisms. Further qualitative analysis would be helpful to determine whether these differences stem from actual behavioral changes or improved monitoring and communication.</w:t>
      </w:r>
    </w:p>
    <w:p w14:paraId="00000498" w14:textId="77777777" w:rsidR="00655AEF" w:rsidRDefault="00000000">
      <w:pPr>
        <w:keepNext/>
        <w:pBdr>
          <w:top w:val="nil"/>
          <w:left w:val="nil"/>
          <w:bottom w:val="nil"/>
          <w:right w:val="nil"/>
          <w:between w:val="nil"/>
        </w:pBdr>
        <w:spacing w:after="200"/>
        <w:rPr>
          <w:b/>
          <w:color w:val="4F81BD"/>
          <w:sz w:val="18"/>
          <w:szCs w:val="18"/>
        </w:rPr>
      </w:pPr>
      <w:bookmarkStart w:id="102" w:name="_heading=h.v7mdc353i8ck" w:colFirst="0" w:colLast="0"/>
      <w:bookmarkEnd w:id="102"/>
      <w:r>
        <w:rPr>
          <w:b/>
          <w:color w:val="4F81BD"/>
          <w:sz w:val="18"/>
          <w:szCs w:val="18"/>
        </w:rPr>
        <w:t>Table 23: Evidence of Adherence Concerns b.</w:t>
      </w:r>
    </w:p>
    <w:tbl>
      <w:tblPr>
        <w:tblStyle w:val="af3"/>
        <w:tblW w:w="100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
        <w:gridCol w:w="1840"/>
        <w:gridCol w:w="1628"/>
        <w:gridCol w:w="2070"/>
        <w:gridCol w:w="1732"/>
        <w:gridCol w:w="1932"/>
      </w:tblGrid>
      <w:tr w:rsidR="00655AEF" w14:paraId="1B8FE6A3" w14:textId="77777777">
        <w:trPr>
          <w:jc w:val="center"/>
        </w:trPr>
        <w:tc>
          <w:tcPr>
            <w:tcW w:w="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9" w14:textId="77777777" w:rsidR="00655AEF" w:rsidRDefault="00655AEF">
            <w:pPr>
              <w:jc w:val="both"/>
              <w:rPr>
                <w:sz w:val="24"/>
                <w:szCs w:val="24"/>
              </w:rPr>
            </w:pPr>
          </w:p>
        </w:tc>
        <w:tc>
          <w:tcPr>
            <w:tcW w:w="553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A" w14:textId="77777777" w:rsidR="00655AEF" w:rsidRDefault="00000000">
            <w:pPr>
              <w:jc w:val="both"/>
              <w:rPr>
                <w:sz w:val="24"/>
                <w:szCs w:val="24"/>
              </w:rPr>
            </w:pPr>
            <w:r>
              <w:rPr>
                <w:sz w:val="24"/>
                <w:szCs w:val="24"/>
              </w:rPr>
              <w:t>Evidence of Adherence Concerns</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D" w14:textId="77777777" w:rsidR="00655AEF" w:rsidRDefault="00655AEF">
            <w:pPr>
              <w:jc w:val="both"/>
              <w:rPr>
                <w:sz w:val="24"/>
                <w:szCs w:val="24"/>
              </w:rPr>
            </w:pPr>
          </w:p>
        </w:tc>
        <w:tc>
          <w:tcPr>
            <w:tcW w:w="1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E" w14:textId="77777777" w:rsidR="00655AEF" w:rsidRDefault="00655AEF">
            <w:pPr>
              <w:jc w:val="both"/>
              <w:rPr>
                <w:sz w:val="24"/>
                <w:szCs w:val="24"/>
              </w:rPr>
            </w:pPr>
          </w:p>
        </w:tc>
      </w:tr>
      <w:tr w:rsidR="00655AEF" w14:paraId="7A8FC8FD" w14:textId="77777777">
        <w:trPr>
          <w:jc w:val="center"/>
        </w:trPr>
        <w:tc>
          <w:tcPr>
            <w:tcW w:w="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F" w14:textId="77777777" w:rsidR="00655AEF" w:rsidRDefault="00655AEF">
            <w:pPr>
              <w:jc w:val="both"/>
              <w:rPr>
                <w:sz w:val="24"/>
                <w:szCs w:val="24"/>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0" w14:textId="77777777" w:rsidR="00655AEF" w:rsidRDefault="00655AEF">
            <w:pPr>
              <w:jc w:val="both"/>
              <w:rPr>
                <w:sz w:val="24"/>
                <w:szCs w:val="24"/>
              </w:rPr>
            </w:pP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1" w14:textId="77777777" w:rsidR="00655AEF" w:rsidRDefault="00000000">
            <w:pPr>
              <w:jc w:val="both"/>
              <w:rPr>
                <w:sz w:val="24"/>
                <w:szCs w:val="24"/>
              </w:rPr>
            </w:pPr>
            <w:r>
              <w:rPr>
                <w:sz w:val="24"/>
                <w:szCs w:val="24"/>
              </w:rPr>
              <w:t>Missed Appointment</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2" w14:textId="77777777" w:rsidR="00655AEF" w:rsidRDefault="00000000">
            <w:pPr>
              <w:rPr>
                <w:sz w:val="24"/>
                <w:szCs w:val="24"/>
              </w:rPr>
            </w:pPr>
            <w:r>
              <w:rPr>
                <w:sz w:val="24"/>
                <w:szCs w:val="24"/>
              </w:rPr>
              <w:t>Missed Appointments and Missed Pill</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3" w14:textId="77777777" w:rsidR="00655AEF" w:rsidRDefault="00000000">
            <w:pPr>
              <w:jc w:val="both"/>
              <w:rPr>
                <w:sz w:val="24"/>
                <w:szCs w:val="24"/>
              </w:rPr>
            </w:pPr>
            <w:r>
              <w:rPr>
                <w:sz w:val="24"/>
                <w:szCs w:val="24"/>
              </w:rPr>
              <w:t>Missed Appointments and Stress</w:t>
            </w:r>
          </w:p>
        </w:tc>
        <w:tc>
          <w:tcPr>
            <w:tcW w:w="1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4" w14:textId="77777777" w:rsidR="00655AEF" w:rsidRDefault="00000000">
            <w:pPr>
              <w:rPr>
                <w:sz w:val="24"/>
                <w:szCs w:val="24"/>
              </w:rPr>
            </w:pPr>
            <w:r>
              <w:rPr>
                <w:sz w:val="24"/>
                <w:szCs w:val="24"/>
              </w:rPr>
              <w:t>Stigma Long Distance to Health Facility</w:t>
            </w:r>
          </w:p>
        </w:tc>
      </w:tr>
      <w:tr w:rsidR="00655AEF" w14:paraId="791E8093" w14:textId="77777777">
        <w:trPr>
          <w:jc w:val="center"/>
        </w:trPr>
        <w:tc>
          <w:tcPr>
            <w:tcW w:w="8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5" w14:textId="77777777" w:rsidR="00655AEF" w:rsidRDefault="00000000">
            <w:pPr>
              <w:jc w:val="both"/>
              <w:rPr>
                <w:sz w:val="24"/>
                <w:szCs w:val="24"/>
              </w:rPr>
            </w:pPr>
            <w:r>
              <w:rPr>
                <w:sz w:val="24"/>
                <w:szCs w:val="24"/>
              </w:rPr>
              <w:t>Clinic</w:t>
            </w: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6" w14:textId="77777777" w:rsidR="00655AEF" w:rsidRDefault="00000000">
            <w:pPr>
              <w:jc w:val="both"/>
              <w:rPr>
                <w:sz w:val="24"/>
                <w:szCs w:val="24"/>
              </w:rPr>
            </w:pPr>
            <w:r>
              <w:rPr>
                <w:sz w:val="24"/>
                <w:szCs w:val="24"/>
              </w:rPr>
              <w:t>Control Group</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7" w14:textId="77777777" w:rsidR="00655AEF" w:rsidRDefault="00000000">
            <w:pPr>
              <w:jc w:val="both"/>
              <w:rPr>
                <w:sz w:val="24"/>
                <w:szCs w:val="24"/>
              </w:rPr>
            </w:pPr>
            <w:r>
              <w:rPr>
                <w:sz w:val="24"/>
                <w:szCs w:val="24"/>
              </w:rPr>
              <w:t>160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8" w14:textId="77777777" w:rsidR="00655AEF" w:rsidRDefault="00000000">
            <w:pPr>
              <w:jc w:val="both"/>
              <w:rPr>
                <w:sz w:val="24"/>
                <w:szCs w:val="24"/>
              </w:rPr>
            </w:pPr>
            <w:r>
              <w:rPr>
                <w:sz w:val="24"/>
                <w:szCs w:val="24"/>
              </w:rPr>
              <w:t>68</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9" w14:textId="77777777" w:rsidR="00655AEF" w:rsidRDefault="00000000">
            <w:pPr>
              <w:jc w:val="both"/>
              <w:rPr>
                <w:sz w:val="24"/>
                <w:szCs w:val="24"/>
              </w:rPr>
            </w:pPr>
            <w:r>
              <w:rPr>
                <w:sz w:val="24"/>
                <w:szCs w:val="24"/>
              </w:rPr>
              <w:t>1</w:t>
            </w:r>
          </w:p>
        </w:tc>
        <w:tc>
          <w:tcPr>
            <w:tcW w:w="1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A" w14:textId="77777777" w:rsidR="00655AEF" w:rsidRDefault="00000000">
            <w:pPr>
              <w:jc w:val="both"/>
              <w:rPr>
                <w:sz w:val="24"/>
                <w:szCs w:val="24"/>
              </w:rPr>
            </w:pPr>
            <w:r>
              <w:rPr>
                <w:sz w:val="24"/>
                <w:szCs w:val="24"/>
              </w:rPr>
              <w:t>0</w:t>
            </w:r>
          </w:p>
        </w:tc>
      </w:tr>
      <w:tr w:rsidR="00655AEF" w14:paraId="2237928C" w14:textId="77777777">
        <w:trPr>
          <w:jc w:val="center"/>
        </w:trPr>
        <w:tc>
          <w:tcPr>
            <w:tcW w:w="8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B" w14:textId="77777777" w:rsidR="00655AEF" w:rsidRDefault="00655AEF">
            <w:pPr>
              <w:pBdr>
                <w:top w:val="nil"/>
                <w:left w:val="nil"/>
                <w:bottom w:val="nil"/>
                <w:right w:val="nil"/>
                <w:between w:val="nil"/>
              </w:pBdr>
              <w:spacing w:line="276" w:lineRule="auto"/>
              <w:rPr>
                <w:sz w:val="24"/>
                <w:szCs w:val="24"/>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C" w14:textId="77777777" w:rsidR="00655AEF" w:rsidRDefault="00000000">
            <w:pPr>
              <w:jc w:val="both"/>
              <w:rPr>
                <w:sz w:val="24"/>
                <w:szCs w:val="24"/>
              </w:rPr>
            </w:pPr>
            <w:r>
              <w:rPr>
                <w:sz w:val="24"/>
                <w:szCs w:val="24"/>
              </w:rPr>
              <w:t>Treatment group</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D" w14:textId="77777777" w:rsidR="00655AEF" w:rsidRDefault="00000000">
            <w:pPr>
              <w:jc w:val="both"/>
              <w:rPr>
                <w:sz w:val="24"/>
                <w:szCs w:val="24"/>
              </w:rPr>
            </w:pPr>
            <w:r>
              <w:rPr>
                <w:sz w:val="24"/>
                <w:szCs w:val="24"/>
              </w:rPr>
              <w:t>143</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E" w14:textId="77777777" w:rsidR="00655AEF" w:rsidRDefault="00000000">
            <w:pPr>
              <w:jc w:val="both"/>
              <w:rPr>
                <w:sz w:val="24"/>
                <w:szCs w:val="24"/>
              </w:rPr>
            </w:pPr>
            <w:r>
              <w:rPr>
                <w:sz w:val="24"/>
                <w:szCs w:val="24"/>
              </w:rPr>
              <w:t>85</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F" w14:textId="77777777" w:rsidR="00655AEF" w:rsidRDefault="00000000">
            <w:pPr>
              <w:jc w:val="both"/>
              <w:rPr>
                <w:sz w:val="24"/>
                <w:szCs w:val="24"/>
              </w:rPr>
            </w:pPr>
            <w:r>
              <w:rPr>
                <w:sz w:val="24"/>
                <w:szCs w:val="24"/>
              </w:rPr>
              <w:t>5</w:t>
            </w:r>
          </w:p>
        </w:tc>
        <w:tc>
          <w:tcPr>
            <w:tcW w:w="1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0" w14:textId="77777777" w:rsidR="00655AEF" w:rsidRDefault="00000000">
            <w:pPr>
              <w:jc w:val="both"/>
              <w:rPr>
                <w:sz w:val="24"/>
                <w:szCs w:val="24"/>
              </w:rPr>
            </w:pPr>
            <w:r>
              <w:rPr>
                <w:sz w:val="24"/>
                <w:szCs w:val="24"/>
              </w:rPr>
              <w:t>3</w:t>
            </w:r>
          </w:p>
        </w:tc>
      </w:tr>
      <w:tr w:rsidR="00655AEF" w14:paraId="48FDC42C" w14:textId="77777777">
        <w:trPr>
          <w:jc w:val="center"/>
        </w:trPr>
        <w:tc>
          <w:tcPr>
            <w:tcW w:w="8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1" w14:textId="77777777" w:rsidR="00655AEF" w:rsidRDefault="00655AEF">
            <w:pPr>
              <w:pBdr>
                <w:top w:val="nil"/>
                <w:left w:val="nil"/>
                <w:bottom w:val="nil"/>
                <w:right w:val="nil"/>
                <w:between w:val="nil"/>
              </w:pBdr>
              <w:spacing w:line="276" w:lineRule="auto"/>
              <w:rPr>
                <w:sz w:val="24"/>
                <w:szCs w:val="24"/>
              </w:rPr>
            </w:pPr>
          </w:p>
        </w:tc>
        <w:tc>
          <w:tcPr>
            <w:tcW w:w="1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2" w14:textId="77777777" w:rsidR="00655AEF" w:rsidRDefault="00000000">
            <w:pPr>
              <w:jc w:val="both"/>
              <w:rPr>
                <w:sz w:val="24"/>
                <w:szCs w:val="24"/>
              </w:rPr>
            </w:pPr>
            <w:r>
              <w:rPr>
                <w:sz w:val="24"/>
                <w:szCs w:val="24"/>
              </w:rPr>
              <w:t>Total</w:t>
            </w:r>
          </w:p>
        </w:tc>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3" w14:textId="77777777" w:rsidR="00655AEF" w:rsidRDefault="00000000">
            <w:pPr>
              <w:jc w:val="both"/>
              <w:rPr>
                <w:sz w:val="24"/>
                <w:szCs w:val="24"/>
              </w:rPr>
            </w:pPr>
            <w:r>
              <w:rPr>
                <w:sz w:val="24"/>
                <w:szCs w:val="24"/>
              </w:rPr>
              <w:t>303</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4" w14:textId="77777777" w:rsidR="00655AEF" w:rsidRDefault="00000000">
            <w:pPr>
              <w:jc w:val="both"/>
              <w:rPr>
                <w:sz w:val="24"/>
                <w:szCs w:val="24"/>
              </w:rPr>
            </w:pPr>
            <w:r>
              <w:rPr>
                <w:sz w:val="24"/>
                <w:szCs w:val="24"/>
              </w:rPr>
              <w:t>153</w:t>
            </w:r>
          </w:p>
        </w:tc>
        <w:tc>
          <w:tcPr>
            <w:tcW w:w="17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5" w14:textId="77777777" w:rsidR="00655AEF" w:rsidRDefault="00000000">
            <w:pPr>
              <w:jc w:val="both"/>
              <w:rPr>
                <w:sz w:val="24"/>
                <w:szCs w:val="24"/>
              </w:rPr>
            </w:pPr>
            <w:r>
              <w:rPr>
                <w:sz w:val="24"/>
                <w:szCs w:val="24"/>
              </w:rPr>
              <w:t>6</w:t>
            </w:r>
          </w:p>
        </w:tc>
        <w:tc>
          <w:tcPr>
            <w:tcW w:w="1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6" w14:textId="77777777" w:rsidR="00655AEF" w:rsidRDefault="00000000">
            <w:pPr>
              <w:jc w:val="both"/>
              <w:rPr>
                <w:sz w:val="24"/>
                <w:szCs w:val="24"/>
              </w:rPr>
            </w:pPr>
            <w:r>
              <w:rPr>
                <w:sz w:val="24"/>
                <w:szCs w:val="24"/>
              </w:rPr>
              <w:t>3</w:t>
            </w:r>
          </w:p>
        </w:tc>
      </w:tr>
    </w:tbl>
    <w:p w14:paraId="000004B7" w14:textId="77777777" w:rsidR="00655AEF" w:rsidRDefault="00655AEF">
      <w:pPr>
        <w:spacing w:after="240" w:line="360" w:lineRule="auto"/>
        <w:jc w:val="both"/>
        <w:rPr>
          <w:sz w:val="24"/>
          <w:szCs w:val="24"/>
        </w:rPr>
      </w:pPr>
    </w:p>
    <w:p w14:paraId="000004B8" w14:textId="77777777" w:rsidR="00655AEF" w:rsidRDefault="00000000">
      <w:pPr>
        <w:keepNext/>
        <w:spacing w:after="240" w:line="360" w:lineRule="auto"/>
        <w:jc w:val="both"/>
      </w:pPr>
      <w:r>
        <w:rPr>
          <w:noProof/>
          <w:sz w:val="24"/>
          <w:szCs w:val="24"/>
        </w:rPr>
        <w:lastRenderedPageBreak/>
        <w:drawing>
          <wp:inline distT="0" distB="0" distL="0" distR="0" wp14:anchorId="00526F5E" wp14:editId="75870EE9">
            <wp:extent cx="5505450" cy="32194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0004B9" w14:textId="77777777" w:rsidR="00655AEF" w:rsidRDefault="00000000">
      <w:pPr>
        <w:pBdr>
          <w:top w:val="nil"/>
          <w:left w:val="nil"/>
          <w:bottom w:val="nil"/>
          <w:right w:val="nil"/>
          <w:between w:val="nil"/>
        </w:pBdr>
        <w:spacing w:after="200"/>
        <w:jc w:val="both"/>
        <w:rPr>
          <w:b/>
          <w:color w:val="4F81BD"/>
          <w:sz w:val="18"/>
          <w:szCs w:val="18"/>
        </w:rPr>
      </w:pPr>
      <w:bookmarkStart w:id="103" w:name="_heading=h.7p1eogmd021q" w:colFirst="0" w:colLast="0"/>
      <w:bookmarkEnd w:id="103"/>
      <w:r>
        <w:rPr>
          <w:b/>
          <w:color w:val="4F81BD"/>
          <w:sz w:val="18"/>
          <w:szCs w:val="18"/>
        </w:rPr>
        <w:t>Figure 16: Evidence of Adherence Concerns b.</w:t>
      </w:r>
    </w:p>
    <w:p w14:paraId="000004BA" w14:textId="77777777" w:rsidR="00655AEF" w:rsidRDefault="00655AEF"/>
    <w:p w14:paraId="000004BB" w14:textId="77777777" w:rsidR="00655AEF" w:rsidRDefault="00000000">
      <w:pPr>
        <w:pStyle w:val="Heading3"/>
        <w:numPr>
          <w:ilvl w:val="2"/>
          <w:numId w:val="3"/>
        </w:numPr>
        <w:rPr>
          <w:sz w:val="24"/>
          <w:szCs w:val="24"/>
        </w:rPr>
      </w:pPr>
      <w:bookmarkStart w:id="104" w:name="_heading=h.tdn4a7vidg8w" w:colFirst="0" w:colLast="0"/>
      <w:bookmarkEnd w:id="104"/>
      <w:r>
        <w:rPr>
          <w:sz w:val="24"/>
          <w:szCs w:val="24"/>
        </w:rPr>
        <w:t>Likely Root Cause of Severe side effects</w:t>
      </w:r>
    </w:p>
    <w:p w14:paraId="000004BC" w14:textId="77777777" w:rsidR="00655AEF" w:rsidRDefault="00000000">
      <w:pPr>
        <w:spacing w:after="240" w:line="360" w:lineRule="auto"/>
        <w:jc w:val="both"/>
        <w:rPr>
          <w:sz w:val="24"/>
          <w:szCs w:val="24"/>
        </w:rPr>
      </w:pPr>
      <w:r>
        <w:rPr>
          <w:sz w:val="24"/>
          <w:szCs w:val="24"/>
        </w:rPr>
        <w:t>The data presents a compelling overview of the likely root causes contributing to severe side effects among patients, with a total of 513 responses analyzed. A significant portion of responses (9.4%) were missing values, indicating a potential need for improved data collection methods or a deeper investigation into why these values were not recorded. However, based on the available data, several key themes emerge as dominant factors influencing severe side effects.</w:t>
      </w:r>
    </w:p>
    <w:p w14:paraId="000004BD" w14:textId="77777777" w:rsidR="00655AEF" w:rsidRDefault="00000000">
      <w:pPr>
        <w:spacing w:after="240" w:line="360" w:lineRule="auto"/>
        <w:jc w:val="both"/>
        <w:rPr>
          <w:sz w:val="24"/>
          <w:szCs w:val="24"/>
        </w:rPr>
      </w:pPr>
      <w:r>
        <w:rPr>
          <w:sz w:val="24"/>
          <w:szCs w:val="24"/>
        </w:rPr>
        <w:t xml:space="preserve">Stigma stands out as the most frequently cited barrier, either as a standalone factor or in combination with other challenges. With 68 responses (13.3%), Stigma alone represents a substantial portion of the reported reasons for severe side effects. When combined with other factors, its pervasive influence becomes even more evident. For instance, disclosure and stigma accounts for 7.4% of responses, Stigma and Financial Challenges for 8.8%, and Disclosure, Stigma and Mental Health Issues for 6.8%. This strong prevalence suggests that the fear of social disapproval, discrimination, and the perceived negative consequences of revealing one’s condition significantly deter patients from consistently </w:t>
      </w:r>
      <w:r>
        <w:rPr>
          <w:sz w:val="24"/>
          <w:szCs w:val="24"/>
        </w:rPr>
        <w:lastRenderedPageBreak/>
        <w:t xml:space="preserve">adhering to their treatment regimens. This finding aligns with the general understanding of HIV care, where stigma remains a major hurdle globally, and particularly in communities where awareness may be </w:t>
      </w:r>
      <w:proofErr w:type="gramStart"/>
      <w:r>
        <w:rPr>
          <w:sz w:val="24"/>
          <w:szCs w:val="24"/>
        </w:rPr>
        <w:t>high</w:t>
      </w:r>
      <w:proofErr w:type="gramEnd"/>
      <w:r>
        <w:rPr>
          <w:sz w:val="24"/>
          <w:szCs w:val="24"/>
        </w:rPr>
        <w:t xml:space="preserve"> but acceptance remains low.</w:t>
      </w:r>
    </w:p>
    <w:p w14:paraId="000004BE" w14:textId="77777777" w:rsidR="00655AEF" w:rsidRDefault="00000000">
      <w:pPr>
        <w:spacing w:after="240" w:line="360" w:lineRule="auto"/>
        <w:jc w:val="both"/>
        <w:rPr>
          <w:sz w:val="24"/>
          <w:szCs w:val="24"/>
        </w:rPr>
      </w:pPr>
      <w:r>
        <w:rPr>
          <w:sz w:val="24"/>
          <w:szCs w:val="24"/>
        </w:rPr>
        <w:t xml:space="preserve">Financial challenges emerge as another critical and widespread barrier to adherence. “Financial Challenges” as a </w:t>
      </w:r>
      <w:proofErr w:type="gramStart"/>
      <w:r>
        <w:rPr>
          <w:sz w:val="24"/>
          <w:szCs w:val="24"/>
        </w:rPr>
        <w:t>standalone reason accounts</w:t>
      </w:r>
      <w:proofErr w:type="gramEnd"/>
      <w:r>
        <w:rPr>
          <w:sz w:val="24"/>
          <w:szCs w:val="24"/>
        </w:rPr>
        <w:t xml:space="preserve"> for 9.7% of responses, making it the second most frequent individual factor. Its frequent co-occurrence with other issues, such as Disclosure and Financial Challenges (0.6%), Disclosure, Stigma and Financial Challenges (0.8%), Mental Health Issues and Financial Challenges (1.0%), and Stigma and Financial Challenges (8.8%), underscores the economic burden faced by patients. This suggests that even when patients are aware of the importance of adherence, financial constraints related to transportation to facilities, cost of medications (if applicable, or associated costs like food and transport for clinic visits), or loss of income due to illness or clinic visits can directly impede their ability to follow treatment plans.</w:t>
      </w:r>
    </w:p>
    <w:p w14:paraId="000004BF" w14:textId="77777777" w:rsidR="00655AEF" w:rsidRDefault="00000000">
      <w:pPr>
        <w:spacing w:after="240" w:line="360" w:lineRule="auto"/>
        <w:jc w:val="both"/>
        <w:rPr>
          <w:sz w:val="24"/>
          <w:szCs w:val="24"/>
        </w:rPr>
      </w:pPr>
      <w:r>
        <w:rPr>
          <w:sz w:val="24"/>
          <w:szCs w:val="24"/>
        </w:rPr>
        <w:t>Disclosure, closely linked with stigma, is a significant determinant of adherence. While Disclosure alone accounts for 2.3% of responses, its frequent appearance in combination categories like Disclosure and Stigma (7.4%), Disclosure, Stigma and Mental Health Issues (6.8%), and Stigma, Disclosure and Inadequate Preparations (3.5%) highlights the profound impact of the decision to reveal one's health status. Patients may fear negative reactions from family, friends, or community members, leading them to avoid situations that might reveal their status, such as clinic visits or taking medication in front of others. This fear can directly translate into missed appointments and inconsistent medication intake.</w:t>
      </w:r>
    </w:p>
    <w:p w14:paraId="000004C0" w14:textId="77777777" w:rsidR="00655AEF" w:rsidRDefault="00000000">
      <w:pPr>
        <w:spacing w:after="240" w:line="360" w:lineRule="auto"/>
        <w:jc w:val="both"/>
        <w:rPr>
          <w:sz w:val="24"/>
          <w:szCs w:val="24"/>
        </w:rPr>
      </w:pPr>
      <w:r>
        <w:rPr>
          <w:sz w:val="24"/>
          <w:szCs w:val="24"/>
        </w:rPr>
        <w:t xml:space="preserve">Mental health issues represent a notable and concerning root cause. Mental Health Issues alone contributes 3.1% to severe side effects, but its combined presence with Disclosure, Stigma and Mental Health Issues (6.8%), Mental Health Issues and Financial Challenges (1.0%), and Mental Health Issues and Religious Belief (1.2%) indicates that psychological well-being is intrinsically linked to treatment compliance. Depression, anxiety, and other mental health conditions can diminish a patient's motivation, ability to remember to take medication, or navigate the complexities of their treatment plan. The presence of Mental </w:t>
      </w:r>
      <w:r>
        <w:rPr>
          <w:sz w:val="24"/>
          <w:szCs w:val="24"/>
        </w:rPr>
        <w:lastRenderedPageBreak/>
        <w:t>Health Issues, Financial Challenges and Religious Belief (2.7%) further emphasizes the multifaceted nature of these challenges.</w:t>
      </w:r>
    </w:p>
    <w:p w14:paraId="000004C1" w14:textId="77777777" w:rsidR="00655AEF" w:rsidRDefault="00000000">
      <w:pPr>
        <w:spacing w:after="240" w:line="360" w:lineRule="auto"/>
        <w:jc w:val="both"/>
        <w:rPr>
          <w:sz w:val="24"/>
          <w:szCs w:val="24"/>
        </w:rPr>
      </w:pPr>
      <w:r>
        <w:rPr>
          <w:sz w:val="24"/>
          <w:szCs w:val="24"/>
        </w:rPr>
        <w:t>Religious beliefs, though less frequent than stigma or financial challenges, still play a role. Religious Belief as a standalone factor accounts for 2.3% of responses. Its combination with other factors like Disclosure and Religious Belief (0.8%), Mental Health Issues and Religious Belief (1.2%), and Religious Beliefs, Ignorance and Financial Challenges (1.9%) suggests that certain religious interpretations or practices might discourage conventional medical treatment or promote alternative healing methods, leading to severe side effects.</w:t>
      </w:r>
    </w:p>
    <w:p w14:paraId="000004C2" w14:textId="77777777" w:rsidR="00655AEF" w:rsidRDefault="00000000">
      <w:pPr>
        <w:spacing w:after="240" w:line="360" w:lineRule="auto"/>
        <w:jc w:val="both"/>
        <w:rPr>
          <w:sz w:val="24"/>
          <w:szCs w:val="24"/>
        </w:rPr>
      </w:pPr>
      <w:r>
        <w:rPr>
          <w:sz w:val="24"/>
          <w:szCs w:val="24"/>
        </w:rPr>
        <w:t>Other contributing factors, though less prevalent individually, collectively contribute to the complexity of adherence challenges. These include Busy Schedules (1.8%), Caregiver Changes, Ignorance, Disclosure and Stigma (3.7%), Side Effects (appearing in various combinations), Distance to Health Facility (1.0%) and Long Distance to Facility (0.2%), and Inadequate Preparations. The mention of inadequate preparations (e.g., Disclosure, Stigma and Inadequate Preparations at 2.3%, and Stigma, Disclosure and Inadequate Preparations at 3.5%) could point to issues with patient education, understanding of their treatment, or practical aspects of managing their condition.</w:t>
      </w:r>
    </w:p>
    <w:p w14:paraId="000004C3" w14:textId="77777777" w:rsidR="00655AEF" w:rsidRDefault="00000000">
      <w:pPr>
        <w:spacing w:after="240" w:line="360" w:lineRule="auto"/>
        <w:jc w:val="both"/>
        <w:rPr>
          <w:sz w:val="24"/>
          <w:szCs w:val="24"/>
        </w:rPr>
      </w:pPr>
      <w:r>
        <w:rPr>
          <w:sz w:val="24"/>
          <w:szCs w:val="24"/>
        </w:rPr>
        <w:t>The data strongly suggests that stigma, financial challenges, and issues related to disclosure are the primary systemic barriers to adherence. Mental health issues also play a significant and often intertwined role. The interconnectedness of these factors highlights the need for comprehensive interventions that address not only the medical aspects of treatment but also the socio-economic, psychological, and cultural contexts in which patients live. Future strategies to improve adherence should prioritize destigmatization efforts, provide financial support or incentives, enhance counseling on disclosure, and integrate mental health services into HIV care. Furthermore, understanding the nuances of how these factors combine (e.g., Stigma and Financial Challenges) is crucial for developing targeted and effective support mechanisms.</w:t>
      </w:r>
    </w:p>
    <w:p w14:paraId="000004C4" w14:textId="77777777" w:rsidR="00655AEF" w:rsidRDefault="00000000">
      <w:pPr>
        <w:spacing w:after="240" w:line="360" w:lineRule="auto"/>
        <w:jc w:val="both"/>
        <w:rPr>
          <w:sz w:val="24"/>
          <w:szCs w:val="24"/>
        </w:rPr>
      </w:pPr>
      <w:r>
        <w:rPr>
          <w:sz w:val="24"/>
          <w:szCs w:val="24"/>
        </w:rPr>
        <w:t>The table below and figure illustrate the information.</w:t>
      </w:r>
    </w:p>
    <w:p w14:paraId="000004C5" w14:textId="77777777" w:rsidR="00655AEF" w:rsidRDefault="00000000">
      <w:pPr>
        <w:keepNext/>
        <w:pBdr>
          <w:top w:val="nil"/>
          <w:left w:val="nil"/>
          <w:bottom w:val="nil"/>
          <w:right w:val="nil"/>
          <w:between w:val="nil"/>
        </w:pBdr>
        <w:spacing w:after="200"/>
        <w:rPr>
          <w:b/>
          <w:color w:val="4F81BD"/>
          <w:sz w:val="18"/>
          <w:szCs w:val="18"/>
        </w:rPr>
      </w:pPr>
      <w:bookmarkStart w:id="105" w:name="_heading=h.yabhrqub5lcq" w:colFirst="0" w:colLast="0"/>
      <w:bookmarkEnd w:id="105"/>
      <w:r>
        <w:rPr>
          <w:b/>
          <w:color w:val="4F81BD"/>
          <w:sz w:val="18"/>
          <w:szCs w:val="18"/>
        </w:rPr>
        <w:lastRenderedPageBreak/>
        <w:t>Table 25: Likely Root Cause of Severe side effects</w:t>
      </w:r>
    </w:p>
    <w:tbl>
      <w:tblPr>
        <w:tblStyle w:val="af4"/>
        <w:tblW w:w="9000" w:type="dxa"/>
        <w:tblInd w:w="0" w:type="dxa"/>
        <w:tblLayout w:type="fixed"/>
        <w:tblLook w:val="0000" w:firstRow="0" w:lastRow="0" w:firstColumn="0" w:lastColumn="0" w:noHBand="0" w:noVBand="0"/>
      </w:tblPr>
      <w:tblGrid>
        <w:gridCol w:w="734"/>
        <w:gridCol w:w="5926"/>
        <w:gridCol w:w="1440"/>
        <w:gridCol w:w="900"/>
      </w:tblGrid>
      <w:tr w:rsidR="00655AEF" w14:paraId="4A5BB87B" w14:textId="77777777">
        <w:trPr>
          <w:cantSplit/>
        </w:trPr>
        <w:tc>
          <w:tcPr>
            <w:tcW w:w="6660" w:type="dxa"/>
            <w:gridSpan w:val="2"/>
            <w:shd w:val="clear" w:color="auto" w:fill="FFFFFF"/>
            <w:tcMar>
              <w:top w:w="0" w:type="dxa"/>
              <w:left w:w="0" w:type="dxa"/>
              <w:bottom w:w="0" w:type="dxa"/>
              <w:right w:w="0" w:type="dxa"/>
            </w:tcMar>
          </w:tcPr>
          <w:p w14:paraId="000004C6" w14:textId="77777777" w:rsidR="00655AEF" w:rsidRDefault="00655AEF">
            <w:pPr>
              <w:rPr>
                <w:sz w:val="24"/>
                <w:szCs w:val="24"/>
              </w:rPr>
            </w:pPr>
          </w:p>
        </w:tc>
        <w:tc>
          <w:tcPr>
            <w:tcW w:w="1440" w:type="dxa"/>
            <w:shd w:val="clear" w:color="auto" w:fill="FFFFFF"/>
            <w:tcMar>
              <w:top w:w="0" w:type="dxa"/>
              <w:left w:w="0" w:type="dxa"/>
              <w:bottom w:w="0" w:type="dxa"/>
              <w:right w:w="0" w:type="dxa"/>
            </w:tcMar>
          </w:tcPr>
          <w:p w14:paraId="000004C8" w14:textId="77777777" w:rsidR="00655AEF" w:rsidRDefault="00000000">
            <w:pPr>
              <w:rPr>
                <w:sz w:val="24"/>
                <w:szCs w:val="24"/>
              </w:rPr>
            </w:pPr>
            <w:r>
              <w:rPr>
                <w:sz w:val="24"/>
                <w:szCs w:val="24"/>
              </w:rPr>
              <w:t>Frequency</w:t>
            </w:r>
          </w:p>
        </w:tc>
        <w:tc>
          <w:tcPr>
            <w:tcW w:w="900" w:type="dxa"/>
            <w:shd w:val="clear" w:color="auto" w:fill="FFFFFF"/>
            <w:tcMar>
              <w:top w:w="0" w:type="dxa"/>
              <w:left w:w="0" w:type="dxa"/>
              <w:bottom w:w="0" w:type="dxa"/>
              <w:right w:w="0" w:type="dxa"/>
            </w:tcMar>
          </w:tcPr>
          <w:p w14:paraId="000004C9" w14:textId="77777777" w:rsidR="00655AEF" w:rsidRDefault="00000000">
            <w:pPr>
              <w:rPr>
                <w:sz w:val="24"/>
                <w:szCs w:val="24"/>
              </w:rPr>
            </w:pPr>
            <w:r>
              <w:rPr>
                <w:sz w:val="24"/>
                <w:szCs w:val="24"/>
              </w:rPr>
              <w:t>Percent</w:t>
            </w:r>
          </w:p>
        </w:tc>
      </w:tr>
      <w:tr w:rsidR="00655AEF" w14:paraId="3BC1211F" w14:textId="77777777">
        <w:trPr>
          <w:cantSplit/>
        </w:trPr>
        <w:tc>
          <w:tcPr>
            <w:tcW w:w="734" w:type="dxa"/>
            <w:vMerge w:val="restart"/>
            <w:shd w:val="clear" w:color="auto" w:fill="FFFFFF"/>
            <w:tcMar>
              <w:top w:w="0" w:type="dxa"/>
              <w:left w:w="0" w:type="dxa"/>
              <w:bottom w:w="0" w:type="dxa"/>
              <w:right w:w="0" w:type="dxa"/>
            </w:tcMar>
            <w:vAlign w:val="center"/>
          </w:tcPr>
          <w:p w14:paraId="000004CA" w14:textId="77777777" w:rsidR="00655AEF" w:rsidRDefault="00655AEF">
            <w:pPr>
              <w:rPr>
                <w:sz w:val="24"/>
                <w:szCs w:val="24"/>
              </w:rPr>
            </w:pPr>
          </w:p>
        </w:tc>
        <w:tc>
          <w:tcPr>
            <w:tcW w:w="5926" w:type="dxa"/>
            <w:tcBorders>
              <w:top w:val="single" w:sz="4" w:space="0" w:color="000000"/>
            </w:tcBorders>
            <w:shd w:val="clear" w:color="auto" w:fill="FFFFFF"/>
            <w:tcMar>
              <w:top w:w="0" w:type="dxa"/>
              <w:left w:w="0" w:type="dxa"/>
              <w:bottom w:w="0" w:type="dxa"/>
              <w:right w:w="0" w:type="dxa"/>
            </w:tcMar>
            <w:vAlign w:val="center"/>
          </w:tcPr>
          <w:p w14:paraId="000004CB" w14:textId="77777777" w:rsidR="00655AEF" w:rsidRDefault="00000000">
            <w:pPr>
              <w:rPr>
                <w:sz w:val="24"/>
                <w:szCs w:val="24"/>
              </w:rPr>
            </w:pPr>
            <w:r>
              <w:rPr>
                <w:sz w:val="24"/>
                <w:szCs w:val="24"/>
              </w:rPr>
              <w:t>Missing Values</w:t>
            </w:r>
          </w:p>
        </w:tc>
        <w:tc>
          <w:tcPr>
            <w:tcW w:w="1440" w:type="dxa"/>
            <w:tcBorders>
              <w:top w:val="single" w:sz="4" w:space="0" w:color="000000"/>
            </w:tcBorders>
            <w:shd w:val="clear" w:color="auto" w:fill="FFFFFF"/>
            <w:tcMar>
              <w:top w:w="0" w:type="dxa"/>
              <w:left w:w="0" w:type="dxa"/>
              <w:bottom w:w="0" w:type="dxa"/>
              <w:right w:w="0" w:type="dxa"/>
            </w:tcMar>
            <w:vAlign w:val="center"/>
          </w:tcPr>
          <w:p w14:paraId="000004CC" w14:textId="77777777" w:rsidR="00655AEF" w:rsidRDefault="00000000">
            <w:pPr>
              <w:rPr>
                <w:sz w:val="24"/>
                <w:szCs w:val="24"/>
              </w:rPr>
            </w:pPr>
            <w:r>
              <w:rPr>
                <w:sz w:val="24"/>
                <w:szCs w:val="24"/>
              </w:rPr>
              <w:t>48</w:t>
            </w:r>
          </w:p>
        </w:tc>
        <w:tc>
          <w:tcPr>
            <w:tcW w:w="900" w:type="dxa"/>
            <w:tcBorders>
              <w:top w:val="single" w:sz="4" w:space="0" w:color="000000"/>
            </w:tcBorders>
            <w:shd w:val="clear" w:color="auto" w:fill="FFFFFF"/>
            <w:tcMar>
              <w:top w:w="0" w:type="dxa"/>
              <w:left w:w="0" w:type="dxa"/>
              <w:bottom w:w="0" w:type="dxa"/>
              <w:right w:w="0" w:type="dxa"/>
            </w:tcMar>
            <w:vAlign w:val="center"/>
          </w:tcPr>
          <w:p w14:paraId="000004CD" w14:textId="77777777" w:rsidR="00655AEF" w:rsidRDefault="00000000">
            <w:pPr>
              <w:rPr>
                <w:sz w:val="24"/>
                <w:szCs w:val="24"/>
              </w:rPr>
            </w:pPr>
            <w:r>
              <w:rPr>
                <w:sz w:val="24"/>
                <w:szCs w:val="24"/>
              </w:rPr>
              <w:t>9.4</w:t>
            </w:r>
          </w:p>
        </w:tc>
      </w:tr>
      <w:tr w:rsidR="00655AEF" w14:paraId="7B208550" w14:textId="77777777">
        <w:trPr>
          <w:cantSplit/>
        </w:trPr>
        <w:tc>
          <w:tcPr>
            <w:tcW w:w="734" w:type="dxa"/>
            <w:vMerge/>
            <w:shd w:val="clear" w:color="auto" w:fill="FFFFFF"/>
            <w:tcMar>
              <w:top w:w="0" w:type="dxa"/>
              <w:left w:w="0" w:type="dxa"/>
              <w:bottom w:w="0" w:type="dxa"/>
              <w:right w:w="0" w:type="dxa"/>
            </w:tcMar>
            <w:vAlign w:val="center"/>
          </w:tcPr>
          <w:p w14:paraId="000004C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CF" w14:textId="77777777" w:rsidR="00655AEF" w:rsidRDefault="00000000">
            <w:pPr>
              <w:rPr>
                <w:sz w:val="24"/>
                <w:szCs w:val="24"/>
              </w:rPr>
            </w:pPr>
            <w:r>
              <w:rPr>
                <w:sz w:val="24"/>
                <w:szCs w:val="24"/>
              </w:rPr>
              <w:t>Alcohol</w:t>
            </w:r>
          </w:p>
        </w:tc>
        <w:tc>
          <w:tcPr>
            <w:tcW w:w="1440" w:type="dxa"/>
            <w:shd w:val="clear" w:color="auto" w:fill="FFFFFF"/>
            <w:tcMar>
              <w:top w:w="0" w:type="dxa"/>
              <w:left w:w="0" w:type="dxa"/>
              <w:bottom w:w="0" w:type="dxa"/>
              <w:right w:w="0" w:type="dxa"/>
            </w:tcMar>
            <w:vAlign w:val="center"/>
          </w:tcPr>
          <w:p w14:paraId="000004D0" w14:textId="77777777" w:rsidR="00655AEF" w:rsidRDefault="00000000">
            <w:pPr>
              <w:rPr>
                <w:sz w:val="24"/>
                <w:szCs w:val="24"/>
              </w:rPr>
            </w:pPr>
            <w:r>
              <w:rPr>
                <w:sz w:val="24"/>
                <w:szCs w:val="24"/>
              </w:rPr>
              <w:t>8</w:t>
            </w:r>
          </w:p>
        </w:tc>
        <w:tc>
          <w:tcPr>
            <w:tcW w:w="900" w:type="dxa"/>
            <w:shd w:val="clear" w:color="auto" w:fill="FFFFFF"/>
            <w:tcMar>
              <w:top w:w="0" w:type="dxa"/>
              <w:left w:w="0" w:type="dxa"/>
              <w:bottom w:w="0" w:type="dxa"/>
              <w:right w:w="0" w:type="dxa"/>
            </w:tcMar>
            <w:vAlign w:val="center"/>
          </w:tcPr>
          <w:p w14:paraId="000004D1" w14:textId="77777777" w:rsidR="00655AEF" w:rsidRDefault="00000000">
            <w:pPr>
              <w:rPr>
                <w:sz w:val="24"/>
                <w:szCs w:val="24"/>
              </w:rPr>
            </w:pPr>
            <w:r>
              <w:rPr>
                <w:sz w:val="24"/>
                <w:szCs w:val="24"/>
              </w:rPr>
              <w:t>1.6</w:t>
            </w:r>
          </w:p>
        </w:tc>
      </w:tr>
      <w:tr w:rsidR="00655AEF" w14:paraId="29A75336" w14:textId="77777777">
        <w:trPr>
          <w:cantSplit/>
        </w:trPr>
        <w:tc>
          <w:tcPr>
            <w:tcW w:w="734" w:type="dxa"/>
            <w:vMerge/>
            <w:shd w:val="clear" w:color="auto" w:fill="FFFFFF"/>
            <w:tcMar>
              <w:top w:w="0" w:type="dxa"/>
              <w:left w:w="0" w:type="dxa"/>
              <w:bottom w:w="0" w:type="dxa"/>
              <w:right w:w="0" w:type="dxa"/>
            </w:tcMar>
            <w:vAlign w:val="center"/>
          </w:tcPr>
          <w:p w14:paraId="000004D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D3" w14:textId="77777777" w:rsidR="00655AEF" w:rsidRDefault="00000000">
            <w:pPr>
              <w:rPr>
                <w:sz w:val="24"/>
                <w:szCs w:val="24"/>
              </w:rPr>
            </w:pPr>
            <w:r>
              <w:rPr>
                <w:sz w:val="24"/>
                <w:szCs w:val="24"/>
              </w:rPr>
              <w:t>Busy Schedules</w:t>
            </w:r>
          </w:p>
        </w:tc>
        <w:tc>
          <w:tcPr>
            <w:tcW w:w="1440" w:type="dxa"/>
            <w:shd w:val="clear" w:color="auto" w:fill="FFFFFF"/>
            <w:tcMar>
              <w:top w:w="0" w:type="dxa"/>
              <w:left w:w="0" w:type="dxa"/>
              <w:bottom w:w="0" w:type="dxa"/>
              <w:right w:w="0" w:type="dxa"/>
            </w:tcMar>
            <w:vAlign w:val="center"/>
          </w:tcPr>
          <w:p w14:paraId="000004D4" w14:textId="77777777" w:rsidR="00655AEF" w:rsidRDefault="00000000">
            <w:pPr>
              <w:rPr>
                <w:sz w:val="24"/>
                <w:szCs w:val="24"/>
              </w:rPr>
            </w:pPr>
            <w:r>
              <w:rPr>
                <w:sz w:val="24"/>
                <w:szCs w:val="24"/>
              </w:rPr>
              <w:t>9</w:t>
            </w:r>
          </w:p>
        </w:tc>
        <w:tc>
          <w:tcPr>
            <w:tcW w:w="900" w:type="dxa"/>
            <w:shd w:val="clear" w:color="auto" w:fill="FFFFFF"/>
            <w:tcMar>
              <w:top w:w="0" w:type="dxa"/>
              <w:left w:w="0" w:type="dxa"/>
              <w:bottom w:w="0" w:type="dxa"/>
              <w:right w:w="0" w:type="dxa"/>
            </w:tcMar>
            <w:vAlign w:val="center"/>
          </w:tcPr>
          <w:p w14:paraId="000004D5" w14:textId="77777777" w:rsidR="00655AEF" w:rsidRDefault="00000000">
            <w:pPr>
              <w:rPr>
                <w:sz w:val="24"/>
                <w:szCs w:val="24"/>
              </w:rPr>
            </w:pPr>
            <w:r>
              <w:rPr>
                <w:sz w:val="24"/>
                <w:szCs w:val="24"/>
              </w:rPr>
              <w:t>1.8</w:t>
            </w:r>
          </w:p>
        </w:tc>
      </w:tr>
      <w:tr w:rsidR="00655AEF" w14:paraId="13300FEB" w14:textId="77777777">
        <w:trPr>
          <w:cantSplit/>
        </w:trPr>
        <w:tc>
          <w:tcPr>
            <w:tcW w:w="734" w:type="dxa"/>
            <w:vMerge/>
            <w:shd w:val="clear" w:color="auto" w:fill="FFFFFF"/>
            <w:tcMar>
              <w:top w:w="0" w:type="dxa"/>
              <w:left w:w="0" w:type="dxa"/>
              <w:bottom w:w="0" w:type="dxa"/>
              <w:right w:w="0" w:type="dxa"/>
            </w:tcMar>
            <w:vAlign w:val="center"/>
          </w:tcPr>
          <w:p w14:paraId="000004D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D7" w14:textId="77777777" w:rsidR="00655AEF" w:rsidRDefault="00000000">
            <w:pPr>
              <w:rPr>
                <w:sz w:val="24"/>
                <w:szCs w:val="24"/>
              </w:rPr>
            </w:pPr>
            <w:r>
              <w:rPr>
                <w:sz w:val="24"/>
                <w:szCs w:val="24"/>
              </w:rPr>
              <w:t>Caregiver Changes, Ignorance, Disclosure and Stigma</w:t>
            </w:r>
          </w:p>
        </w:tc>
        <w:tc>
          <w:tcPr>
            <w:tcW w:w="1440" w:type="dxa"/>
            <w:shd w:val="clear" w:color="auto" w:fill="FFFFFF"/>
            <w:tcMar>
              <w:top w:w="0" w:type="dxa"/>
              <w:left w:w="0" w:type="dxa"/>
              <w:bottom w:w="0" w:type="dxa"/>
              <w:right w:w="0" w:type="dxa"/>
            </w:tcMar>
            <w:vAlign w:val="center"/>
          </w:tcPr>
          <w:p w14:paraId="000004D8" w14:textId="77777777" w:rsidR="00655AEF" w:rsidRDefault="00000000">
            <w:pPr>
              <w:rPr>
                <w:sz w:val="24"/>
                <w:szCs w:val="24"/>
              </w:rPr>
            </w:pPr>
            <w:r>
              <w:rPr>
                <w:sz w:val="24"/>
                <w:szCs w:val="24"/>
              </w:rPr>
              <w:t>19</w:t>
            </w:r>
          </w:p>
        </w:tc>
        <w:tc>
          <w:tcPr>
            <w:tcW w:w="900" w:type="dxa"/>
            <w:shd w:val="clear" w:color="auto" w:fill="FFFFFF"/>
            <w:tcMar>
              <w:top w:w="0" w:type="dxa"/>
              <w:left w:w="0" w:type="dxa"/>
              <w:bottom w:w="0" w:type="dxa"/>
              <w:right w:w="0" w:type="dxa"/>
            </w:tcMar>
            <w:vAlign w:val="center"/>
          </w:tcPr>
          <w:p w14:paraId="000004D9" w14:textId="77777777" w:rsidR="00655AEF" w:rsidRDefault="00000000">
            <w:pPr>
              <w:rPr>
                <w:sz w:val="24"/>
                <w:szCs w:val="24"/>
              </w:rPr>
            </w:pPr>
            <w:r>
              <w:rPr>
                <w:sz w:val="24"/>
                <w:szCs w:val="24"/>
              </w:rPr>
              <w:t>3.7</w:t>
            </w:r>
          </w:p>
        </w:tc>
      </w:tr>
      <w:tr w:rsidR="00655AEF" w14:paraId="35DF60EB" w14:textId="77777777">
        <w:trPr>
          <w:cantSplit/>
        </w:trPr>
        <w:tc>
          <w:tcPr>
            <w:tcW w:w="734" w:type="dxa"/>
            <w:vMerge/>
            <w:shd w:val="clear" w:color="auto" w:fill="FFFFFF"/>
            <w:tcMar>
              <w:top w:w="0" w:type="dxa"/>
              <w:left w:w="0" w:type="dxa"/>
              <w:bottom w:w="0" w:type="dxa"/>
              <w:right w:w="0" w:type="dxa"/>
            </w:tcMar>
            <w:vAlign w:val="center"/>
          </w:tcPr>
          <w:p w14:paraId="000004D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DB" w14:textId="77777777" w:rsidR="00655AEF" w:rsidRDefault="00000000">
            <w:pPr>
              <w:rPr>
                <w:sz w:val="24"/>
                <w:szCs w:val="24"/>
              </w:rPr>
            </w:pPr>
            <w:r>
              <w:rPr>
                <w:sz w:val="24"/>
                <w:szCs w:val="24"/>
              </w:rPr>
              <w:t>Disclosure</w:t>
            </w:r>
          </w:p>
        </w:tc>
        <w:tc>
          <w:tcPr>
            <w:tcW w:w="1440" w:type="dxa"/>
            <w:shd w:val="clear" w:color="auto" w:fill="FFFFFF"/>
            <w:tcMar>
              <w:top w:w="0" w:type="dxa"/>
              <w:left w:w="0" w:type="dxa"/>
              <w:bottom w:w="0" w:type="dxa"/>
              <w:right w:w="0" w:type="dxa"/>
            </w:tcMar>
            <w:vAlign w:val="center"/>
          </w:tcPr>
          <w:p w14:paraId="000004DC" w14:textId="77777777" w:rsidR="00655AEF" w:rsidRDefault="00000000">
            <w:pPr>
              <w:rPr>
                <w:sz w:val="24"/>
                <w:szCs w:val="24"/>
              </w:rPr>
            </w:pPr>
            <w:r>
              <w:rPr>
                <w:sz w:val="24"/>
                <w:szCs w:val="24"/>
              </w:rPr>
              <w:t>12</w:t>
            </w:r>
          </w:p>
        </w:tc>
        <w:tc>
          <w:tcPr>
            <w:tcW w:w="900" w:type="dxa"/>
            <w:shd w:val="clear" w:color="auto" w:fill="FFFFFF"/>
            <w:tcMar>
              <w:top w:w="0" w:type="dxa"/>
              <w:left w:w="0" w:type="dxa"/>
              <w:bottom w:w="0" w:type="dxa"/>
              <w:right w:w="0" w:type="dxa"/>
            </w:tcMar>
            <w:vAlign w:val="center"/>
          </w:tcPr>
          <w:p w14:paraId="000004DD" w14:textId="77777777" w:rsidR="00655AEF" w:rsidRDefault="00000000">
            <w:pPr>
              <w:rPr>
                <w:sz w:val="24"/>
                <w:szCs w:val="24"/>
              </w:rPr>
            </w:pPr>
            <w:r>
              <w:rPr>
                <w:sz w:val="24"/>
                <w:szCs w:val="24"/>
              </w:rPr>
              <w:t>2.3</w:t>
            </w:r>
          </w:p>
        </w:tc>
      </w:tr>
      <w:tr w:rsidR="00655AEF" w14:paraId="5595FA33" w14:textId="77777777">
        <w:trPr>
          <w:cantSplit/>
        </w:trPr>
        <w:tc>
          <w:tcPr>
            <w:tcW w:w="734" w:type="dxa"/>
            <w:vMerge/>
            <w:shd w:val="clear" w:color="auto" w:fill="FFFFFF"/>
            <w:tcMar>
              <w:top w:w="0" w:type="dxa"/>
              <w:left w:w="0" w:type="dxa"/>
              <w:bottom w:w="0" w:type="dxa"/>
              <w:right w:w="0" w:type="dxa"/>
            </w:tcMar>
            <w:vAlign w:val="center"/>
          </w:tcPr>
          <w:p w14:paraId="000004D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DF" w14:textId="77777777" w:rsidR="00655AEF" w:rsidRDefault="00000000">
            <w:pPr>
              <w:rPr>
                <w:sz w:val="24"/>
                <w:szCs w:val="24"/>
              </w:rPr>
            </w:pPr>
            <w:r>
              <w:rPr>
                <w:sz w:val="24"/>
                <w:szCs w:val="24"/>
              </w:rPr>
              <w:t>Disclosure and Financial Challenges</w:t>
            </w:r>
          </w:p>
        </w:tc>
        <w:tc>
          <w:tcPr>
            <w:tcW w:w="1440" w:type="dxa"/>
            <w:shd w:val="clear" w:color="auto" w:fill="FFFFFF"/>
            <w:tcMar>
              <w:top w:w="0" w:type="dxa"/>
              <w:left w:w="0" w:type="dxa"/>
              <w:bottom w:w="0" w:type="dxa"/>
              <w:right w:w="0" w:type="dxa"/>
            </w:tcMar>
            <w:vAlign w:val="center"/>
          </w:tcPr>
          <w:p w14:paraId="000004E0" w14:textId="77777777" w:rsidR="00655AEF" w:rsidRDefault="00000000">
            <w:pPr>
              <w:rPr>
                <w:sz w:val="24"/>
                <w:szCs w:val="24"/>
              </w:rPr>
            </w:pPr>
            <w:r>
              <w:rPr>
                <w:sz w:val="24"/>
                <w:szCs w:val="24"/>
              </w:rPr>
              <w:t>3</w:t>
            </w:r>
          </w:p>
        </w:tc>
        <w:tc>
          <w:tcPr>
            <w:tcW w:w="900" w:type="dxa"/>
            <w:shd w:val="clear" w:color="auto" w:fill="FFFFFF"/>
            <w:tcMar>
              <w:top w:w="0" w:type="dxa"/>
              <w:left w:w="0" w:type="dxa"/>
              <w:bottom w:w="0" w:type="dxa"/>
              <w:right w:w="0" w:type="dxa"/>
            </w:tcMar>
            <w:vAlign w:val="center"/>
          </w:tcPr>
          <w:p w14:paraId="000004E1" w14:textId="77777777" w:rsidR="00655AEF" w:rsidRDefault="00000000">
            <w:pPr>
              <w:rPr>
                <w:sz w:val="24"/>
                <w:szCs w:val="24"/>
              </w:rPr>
            </w:pPr>
            <w:r>
              <w:rPr>
                <w:sz w:val="24"/>
                <w:szCs w:val="24"/>
              </w:rPr>
              <w:t>.6</w:t>
            </w:r>
          </w:p>
        </w:tc>
      </w:tr>
      <w:tr w:rsidR="00655AEF" w14:paraId="75AC66C4" w14:textId="77777777">
        <w:trPr>
          <w:cantSplit/>
        </w:trPr>
        <w:tc>
          <w:tcPr>
            <w:tcW w:w="734" w:type="dxa"/>
            <w:vMerge/>
            <w:shd w:val="clear" w:color="auto" w:fill="FFFFFF"/>
            <w:tcMar>
              <w:top w:w="0" w:type="dxa"/>
              <w:left w:w="0" w:type="dxa"/>
              <w:bottom w:w="0" w:type="dxa"/>
              <w:right w:w="0" w:type="dxa"/>
            </w:tcMar>
            <w:vAlign w:val="center"/>
          </w:tcPr>
          <w:p w14:paraId="000004E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E3" w14:textId="77777777" w:rsidR="00655AEF" w:rsidRDefault="00000000">
            <w:pPr>
              <w:rPr>
                <w:sz w:val="24"/>
                <w:szCs w:val="24"/>
              </w:rPr>
            </w:pPr>
            <w:r>
              <w:rPr>
                <w:sz w:val="24"/>
                <w:szCs w:val="24"/>
              </w:rPr>
              <w:t>Disclosure and Religious Belief</w:t>
            </w:r>
          </w:p>
        </w:tc>
        <w:tc>
          <w:tcPr>
            <w:tcW w:w="1440" w:type="dxa"/>
            <w:shd w:val="clear" w:color="auto" w:fill="FFFFFF"/>
            <w:tcMar>
              <w:top w:w="0" w:type="dxa"/>
              <w:left w:w="0" w:type="dxa"/>
              <w:bottom w:w="0" w:type="dxa"/>
              <w:right w:w="0" w:type="dxa"/>
            </w:tcMar>
            <w:vAlign w:val="center"/>
          </w:tcPr>
          <w:p w14:paraId="000004E4" w14:textId="77777777" w:rsidR="00655AEF" w:rsidRDefault="00000000">
            <w:pPr>
              <w:rPr>
                <w:sz w:val="24"/>
                <w:szCs w:val="24"/>
              </w:rPr>
            </w:pPr>
            <w:r>
              <w:rPr>
                <w:sz w:val="24"/>
                <w:szCs w:val="24"/>
              </w:rPr>
              <w:t>4</w:t>
            </w:r>
          </w:p>
        </w:tc>
        <w:tc>
          <w:tcPr>
            <w:tcW w:w="900" w:type="dxa"/>
            <w:shd w:val="clear" w:color="auto" w:fill="FFFFFF"/>
            <w:tcMar>
              <w:top w:w="0" w:type="dxa"/>
              <w:left w:w="0" w:type="dxa"/>
              <w:bottom w:w="0" w:type="dxa"/>
              <w:right w:w="0" w:type="dxa"/>
            </w:tcMar>
            <w:vAlign w:val="center"/>
          </w:tcPr>
          <w:p w14:paraId="000004E5" w14:textId="77777777" w:rsidR="00655AEF" w:rsidRDefault="00000000">
            <w:pPr>
              <w:rPr>
                <w:sz w:val="24"/>
                <w:szCs w:val="24"/>
              </w:rPr>
            </w:pPr>
            <w:r>
              <w:rPr>
                <w:sz w:val="24"/>
                <w:szCs w:val="24"/>
              </w:rPr>
              <w:t>.8</w:t>
            </w:r>
          </w:p>
        </w:tc>
      </w:tr>
      <w:tr w:rsidR="00655AEF" w14:paraId="71EF7126" w14:textId="77777777">
        <w:trPr>
          <w:cantSplit/>
        </w:trPr>
        <w:tc>
          <w:tcPr>
            <w:tcW w:w="734" w:type="dxa"/>
            <w:vMerge/>
            <w:shd w:val="clear" w:color="auto" w:fill="FFFFFF"/>
            <w:tcMar>
              <w:top w:w="0" w:type="dxa"/>
              <w:left w:w="0" w:type="dxa"/>
              <w:bottom w:w="0" w:type="dxa"/>
              <w:right w:w="0" w:type="dxa"/>
            </w:tcMar>
            <w:vAlign w:val="center"/>
          </w:tcPr>
          <w:p w14:paraId="000004E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vAlign w:val="center"/>
          </w:tcPr>
          <w:p w14:paraId="000004E7" w14:textId="77777777" w:rsidR="00655AEF" w:rsidRDefault="00000000">
            <w:pPr>
              <w:rPr>
                <w:sz w:val="24"/>
                <w:szCs w:val="24"/>
              </w:rPr>
            </w:pPr>
            <w:r>
              <w:rPr>
                <w:sz w:val="24"/>
                <w:szCs w:val="24"/>
              </w:rPr>
              <w:t>Disclosure and Side Effect</w:t>
            </w:r>
          </w:p>
        </w:tc>
        <w:tc>
          <w:tcPr>
            <w:tcW w:w="1440" w:type="dxa"/>
            <w:shd w:val="clear" w:color="auto" w:fill="FFFFFF"/>
            <w:vAlign w:val="center"/>
          </w:tcPr>
          <w:p w14:paraId="000004E8" w14:textId="77777777" w:rsidR="00655AEF" w:rsidRDefault="00000000">
            <w:pPr>
              <w:rPr>
                <w:sz w:val="24"/>
                <w:szCs w:val="24"/>
              </w:rPr>
            </w:pPr>
            <w:r>
              <w:rPr>
                <w:sz w:val="24"/>
                <w:szCs w:val="24"/>
              </w:rPr>
              <w:t>3</w:t>
            </w:r>
          </w:p>
        </w:tc>
        <w:tc>
          <w:tcPr>
            <w:tcW w:w="900" w:type="dxa"/>
            <w:shd w:val="clear" w:color="auto" w:fill="FFFFFF"/>
            <w:vAlign w:val="center"/>
          </w:tcPr>
          <w:p w14:paraId="000004E9" w14:textId="77777777" w:rsidR="00655AEF" w:rsidRDefault="00000000">
            <w:pPr>
              <w:rPr>
                <w:sz w:val="24"/>
                <w:szCs w:val="24"/>
              </w:rPr>
            </w:pPr>
            <w:r>
              <w:rPr>
                <w:sz w:val="24"/>
                <w:szCs w:val="24"/>
              </w:rPr>
              <w:t>.6</w:t>
            </w:r>
          </w:p>
        </w:tc>
      </w:tr>
      <w:tr w:rsidR="00655AEF" w14:paraId="09D4BA11" w14:textId="77777777">
        <w:trPr>
          <w:cantSplit/>
        </w:trPr>
        <w:tc>
          <w:tcPr>
            <w:tcW w:w="734" w:type="dxa"/>
            <w:vMerge/>
            <w:shd w:val="clear" w:color="auto" w:fill="FFFFFF"/>
            <w:tcMar>
              <w:top w:w="0" w:type="dxa"/>
              <w:left w:w="0" w:type="dxa"/>
              <w:bottom w:w="0" w:type="dxa"/>
              <w:right w:w="0" w:type="dxa"/>
            </w:tcMar>
            <w:vAlign w:val="center"/>
          </w:tcPr>
          <w:p w14:paraId="000004E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EB" w14:textId="77777777" w:rsidR="00655AEF" w:rsidRDefault="00000000">
            <w:pPr>
              <w:rPr>
                <w:sz w:val="24"/>
                <w:szCs w:val="24"/>
              </w:rPr>
            </w:pPr>
            <w:r>
              <w:rPr>
                <w:sz w:val="24"/>
                <w:szCs w:val="24"/>
              </w:rPr>
              <w:t>Disclosure and Stigma</w:t>
            </w:r>
          </w:p>
        </w:tc>
        <w:tc>
          <w:tcPr>
            <w:tcW w:w="1440" w:type="dxa"/>
            <w:shd w:val="clear" w:color="auto" w:fill="FFFFFF"/>
            <w:tcMar>
              <w:top w:w="0" w:type="dxa"/>
              <w:left w:w="0" w:type="dxa"/>
              <w:bottom w:w="0" w:type="dxa"/>
              <w:right w:w="0" w:type="dxa"/>
            </w:tcMar>
            <w:vAlign w:val="center"/>
          </w:tcPr>
          <w:p w14:paraId="000004EC" w14:textId="77777777" w:rsidR="00655AEF" w:rsidRDefault="00000000">
            <w:pPr>
              <w:rPr>
                <w:sz w:val="24"/>
                <w:szCs w:val="24"/>
              </w:rPr>
            </w:pPr>
            <w:r>
              <w:rPr>
                <w:sz w:val="24"/>
                <w:szCs w:val="24"/>
              </w:rPr>
              <w:t>38</w:t>
            </w:r>
          </w:p>
        </w:tc>
        <w:tc>
          <w:tcPr>
            <w:tcW w:w="900" w:type="dxa"/>
            <w:shd w:val="clear" w:color="auto" w:fill="FFFFFF"/>
            <w:tcMar>
              <w:top w:w="0" w:type="dxa"/>
              <w:left w:w="0" w:type="dxa"/>
              <w:bottom w:w="0" w:type="dxa"/>
              <w:right w:w="0" w:type="dxa"/>
            </w:tcMar>
            <w:vAlign w:val="center"/>
          </w:tcPr>
          <w:p w14:paraId="000004ED" w14:textId="77777777" w:rsidR="00655AEF" w:rsidRDefault="00000000">
            <w:pPr>
              <w:rPr>
                <w:sz w:val="24"/>
                <w:szCs w:val="24"/>
              </w:rPr>
            </w:pPr>
            <w:r>
              <w:rPr>
                <w:sz w:val="24"/>
                <w:szCs w:val="24"/>
              </w:rPr>
              <w:t>7.4</w:t>
            </w:r>
          </w:p>
        </w:tc>
      </w:tr>
      <w:tr w:rsidR="00655AEF" w14:paraId="40F2CA02" w14:textId="77777777">
        <w:trPr>
          <w:cantSplit/>
        </w:trPr>
        <w:tc>
          <w:tcPr>
            <w:tcW w:w="734" w:type="dxa"/>
            <w:vMerge/>
            <w:shd w:val="clear" w:color="auto" w:fill="FFFFFF"/>
            <w:tcMar>
              <w:top w:w="0" w:type="dxa"/>
              <w:left w:w="0" w:type="dxa"/>
              <w:bottom w:w="0" w:type="dxa"/>
              <w:right w:w="0" w:type="dxa"/>
            </w:tcMar>
            <w:vAlign w:val="center"/>
          </w:tcPr>
          <w:p w14:paraId="000004E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EF" w14:textId="77777777" w:rsidR="00655AEF" w:rsidRDefault="00000000">
            <w:pPr>
              <w:rPr>
                <w:sz w:val="24"/>
                <w:szCs w:val="24"/>
              </w:rPr>
            </w:pPr>
            <w:r>
              <w:rPr>
                <w:sz w:val="24"/>
                <w:szCs w:val="24"/>
              </w:rPr>
              <w:t>Disclosure, Ignorance and Financial Challenges</w:t>
            </w:r>
          </w:p>
        </w:tc>
        <w:tc>
          <w:tcPr>
            <w:tcW w:w="1440" w:type="dxa"/>
            <w:shd w:val="clear" w:color="auto" w:fill="FFFFFF"/>
            <w:tcMar>
              <w:top w:w="0" w:type="dxa"/>
              <w:left w:w="0" w:type="dxa"/>
              <w:bottom w:w="0" w:type="dxa"/>
              <w:right w:w="0" w:type="dxa"/>
            </w:tcMar>
            <w:vAlign w:val="center"/>
          </w:tcPr>
          <w:p w14:paraId="000004F0" w14:textId="77777777" w:rsidR="00655AEF" w:rsidRDefault="00000000">
            <w:pPr>
              <w:rPr>
                <w:sz w:val="24"/>
                <w:szCs w:val="24"/>
              </w:rPr>
            </w:pPr>
            <w:r>
              <w:rPr>
                <w:sz w:val="24"/>
                <w:szCs w:val="24"/>
              </w:rPr>
              <w:t>2</w:t>
            </w:r>
          </w:p>
        </w:tc>
        <w:tc>
          <w:tcPr>
            <w:tcW w:w="900" w:type="dxa"/>
            <w:shd w:val="clear" w:color="auto" w:fill="FFFFFF"/>
            <w:tcMar>
              <w:top w:w="0" w:type="dxa"/>
              <w:left w:w="0" w:type="dxa"/>
              <w:bottom w:w="0" w:type="dxa"/>
              <w:right w:w="0" w:type="dxa"/>
            </w:tcMar>
            <w:vAlign w:val="center"/>
          </w:tcPr>
          <w:p w14:paraId="000004F1" w14:textId="77777777" w:rsidR="00655AEF" w:rsidRDefault="00000000">
            <w:pPr>
              <w:rPr>
                <w:sz w:val="24"/>
                <w:szCs w:val="24"/>
              </w:rPr>
            </w:pPr>
            <w:r>
              <w:rPr>
                <w:sz w:val="24"/>
                <w:szCs w:val="24"/>
              </w:rPr>
              <w:t>.4</w:t>
            </w:r>
          </w:p>
        </w:tc>
      </w:tr>
      <w:tr w:rsidR="00655AEF" w14:paraId="3D3C9288" w14:textId="77777777">
        <w:trPr>
          <w:cantSplit/>
        </w:trPr>
        <w:tc>
          <w:tcPr>
            <w:tcW w:w="734" w:type="dxa"/>
            <w:vMerge/>
            <w:shd w:val="clear" w:color="auto" w:fill="FFFFFF"/>
            <w:tcMar>
              <w:top w:w="0" w:type="dxa"/>
              <w:left w:w="0" w:type="dxa"/>
              <w:bottom w:w="0" w:type="dxa"/>
              <w:right w:w="0" w:type="dxa"/>
            </w:tcMar>
            <w:vAlign w:val="center"/>
          </w:tcPr>
          <w:p w14:paraId="000004F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F3" w14:textId="77777777" w:rsidR="00655AEF" w:rsidRDefault="00000000">
            <w:pPr>
              <w:rPr>
                <w:sz w:val="24"/>
                <w:szCs w:val="24"/>
              </w:rPr>
            </w:pPr>
            <w:r>
              <w:rPr>
                <w:sz w:val="24"/>
                <w:szCs w:val="24"/>
              </w:rPr>
              <w:t>Disclosure, Stigma and Financial Challenges</w:t>
            </w:r>
          </w:p>
        </w:tc>
        <w:tc>
          <w:tcPr>
            <w:tcW w:w="1440" w:type="dxa"/>
            <w:shd w:val="clear" w:color="auto" w:fill="FFFFFF"/>
            <w:tcMar>
              <w:top w:w="0" w:type="dxa"/>
              <w:left w:w="0" w:type="dxa"/>
              <w:bottom w:w="0" w:type="dxa"/>
              <w:right w:w="0" w:type="dxa"/>
            </w:tcMar>
            <w:vAlign w:val="center"/>
          </w:tcPr>
          <w:p w14:paraId="000004F4" w14:textId="77777777" w:rsidR="00655AEF" w:rsidRDefault="00000000">
            <w:pPr>
              <w:rPr>
                <w:sz w:val="24"/>
                <w:szCs w:val="24"/>
              </w:rPr>
            </w:pPr>
            <w:r>
              <w:rPr>
                <w:sz w:val="24"/>
                <w:szCs w:val="24"/>
              </w:rPr>
              <w:t>4</w:t>
            </w:r>
          </w:p>
        </w:tc>
        <w:tc>
          <w:tcPr>
            <w:tcW w:w="900" w:type="dxa"/>
            <w:shd w:val="clear" w:color="auto" w:fill="FFFFFF"/>
            <w:tcMar>
              <w:top w:w="0" w:type="dxa"/>
              <w:left w:w="0" w:type="dxa"/>
              <w:bottom w:w="0" w:type="dxa"/>
              <w:right w:w="0" w:type="dxa"/>
            </w:tcMar>
            <w:vAlign w:val="center"/>
          </w:tcPr>
          <w:p w14:paraId="000004F5" w14:textId="77777777" w:rsidR="00655AEF" w:rsidRDefault="00000000">
            <w:pPr>
              <w:rPr>
                <w:sz w:val="24"/>
                <w:szCs w:val="24"/>
              </w:rPr>
            </w:pPr>
            <w:r>
              <w:rPr>
                <w:sz w:val="24"/>
                <w:szCs w:val="24"/>
              </w:rPr>
              <w:t>.8</w:t>
            </w:r>
          </w:p>
        </w:tc>
      </w:tr>
      <w:tr w:rsidR="00655AEF" w14:paraId="57CE4325" w14:textId="77777777">
        <w:trPr>
          <w:cantSplit/>
        </w:trPr>
        <w:tc>
          <w:tcPr>
            <w:tcW w:w="734" w:type="dxa"/>
            <w:vMerge/>
            <w:shd w:val="clear" w:color="auto" w:fill="FFFFFF"/>
            <w:tcMar>
              <w:top w:w="0" w:type="dxa"/>
              <w:left w:w="0" w:type="dxa"/>
              <w:bottom w:w="0" w:type="dxa"/>
              <w:right w:w="0" w:type="dxa"/>
            </w:tcMar>
            <w:vAlign w:val="center"/>
          </w:tcPr>
          <w:p w14:paraId="000004F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F7" w14:textId="77777777" w:rsidR="00655AEF" w:rsidRDefault="00000000">
            <w:pPr>
              <w:rPr>
                <w:sz w:val="24"/>
                <w:szCs w:val="24"/>
              </w:rPr>
            </w:pPr>
            <w:r>
              <w:rPr>
                <w:sz w:val="24"/>
                <w:szCs w:val="24"/>
              </w:rPr>
              <w:t>Disclosure, Stigma and Inadequate Preparations</w:t>
            </w:r>
          </w:p>
        </w:tc>
        <w:tc>
          <w:tcPr>
            <w:tcW w:w="1440" w:type="dxa"/>
            <w:shd w:val="clear" w:color="auto" w:fill="FFFFFF"/>
            <w:tcMar>
              <w:top w:w="0" w:type="dxa"/>
              <w:left w:w="0" w:type="dxa"/>
              <w:bottom w:w="0" w:type="dxa"/>
              <w:right w:w="0" w:type="dxa"/>
            </w:tcMar>
            <w:vAlign w:val="center"/>
          </w:tcPr>
          <w:p w14:paraId="000004F8" w14:textId="77777777" w:rsidR="00655AEF" w:rsidRDefault="00000000">
            <w:pPr>
              <w:rPr>
                <w:sz w:val="24"/>
                <w:szCs w:val="24"/>
              </w:rPr>
            </w:pPr>
            <w:r>
              <w:rPr>
                <w:sz w:val="24"/>
                <w:szCs w:val="24"/>
              </w:rPr>
              <w:t>12</w:t>
            </w:r>
          </w:p>
        </w:tc>
        <w:tc>
          <w:tcPr>
            <w:tcW w:w="900" w:type="dxa"/>
            <w:shd w:val="clear" w:color="auto" w:fill="FFFFFF"/>
            <w:tcMar>
              <w:top w:w="0" w:type="dxa"/>
              <w:left w:w="0" w:type="dxa"/>
              <w:bottom w:w="0" w:type="dxa"/>
              <w:right w:w="0" w:type="dxa"/>
            </w:tcMar>
            <w:vAlign w:val="center"/>
          </w:tcPr>
          <w:p w14:paraId="000004F9" w14:textId="77777777" w:rsidR="00655AEF" w:rsidRDefault="00000000">
            <w:pPr>
              <w:rPr>
                <w:sz w:val="24"/>
                <w:szCs w:val="24"/>
              </w:rPr>
            </w:pPr>
            <w:r>
              <w:rPr>
                <w:sz w:val="24"/>
                <w:szCs w:val="24"/>
              </w:rPr>
              <w:t>2.3</w:t>
            </w:r>
          </w:p>
        </w:tc>
      </w:tr>
      <w:tr w:rsidR="00655AEF" w14:paraId="1EF2D72F" w14:textId="77777777">
        <w:trPr>
          <w:cantSplit/>
        </w:trPr>
        <w:tc>
          <w:tcPr>
            <w:tcW w:w="734" w:type="dxa"/>
            <w:vMerge/>
            <w:shd w:val="clear" w:color="auto" w:fill="FFFFFF"/>
            <w:tcMar>
              <w:top w:w="0" w:type="dxa"/>
              <w:left w:w="0" w:type="dxa"/>
              <w:bottom w:w="0" w:type="dxa"/>
              <w:right w:w="0" w:type="dxa"/>
            </w:tcMar>
            <w:vAlign w:val="center"/>
          </w:tcPr>
          <w:p w14:paraId="000004F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FB" w14:textId="77777777" w:rsidR="00655AEF" w:rsidRDefault="00000000">
            <w:pPr>
              <w:rPr>
                <w:sz w:val="24"/>
                <w:szCs w:val="24"/>
              </w:rPr>
            </w:pPr>
            <w:r>
              <w:rPr>
                <w:sz w:val="24"/>
                <w:szCs w:val="24"/>
              </w:rPr>
              <w:t>Disclosure, Stigma and Mental Health Issues</w:t>
            </w:r>
          </w:p>
        </w:tc>
        <w:tc>
          <w:tcPr>
            <w:tcW w:w="1440" w:type="dxa"/>
            <w:shd w:val="clear" w:color="auto" w:fill="FFFFFF"/>
            <w:tcMar>
              <w:top w:w="0" w:type="dxa"/>
              <w:left w:w="0" w:type="dxa"/>
              <w:bottom w:w="0" w:type="dxa"/>
              <w:right w:w="0" w:type="dxa"/>
            </w:tcMar>
            <w:vAlign w:val="center"/>
          </w:tcPr>
          <w:p w14:paraId="000004FC" w14:textId="77777777" w:rsidR="00655AEF" w:rsidRDefault="00000000">
            <w:pPr>
              <w:rPr>
                <w:sz w:val="24"/>
                <w:szCs w:val="24"/>
              </w:rPr>
            </w:pPr>
            <w:r>
              <w:rPr>
                <w:sz w:val="24"/>
                <w:szCs w:val="24"/>
              </w:rPr>
              <w:t>35</w:t>
            </w:r>
          </w:p>
        </w:tc>
        <w:tc>
          <w:tcPr>
            <w:tcW w:w="900" w:type="dxa"/>
            <w:shd w:val="clear" w:color="auto" w:fill="FFFFFF"/>
            <w:tcMar>
              <w:top w:w="0" w:type="dxa"/>
              <w:left w:w="0" w:type="dxa"/>
              <w:bottom w:w="0" w:type="dxa"/>
              <w:right w:w="0" w:type="dxa"/>
            </w:tcMar>
            <w:vAlign w:val="center"/>
          </w:tcPr>
          <w:p w14:paraId="000004FD" w14:textId="77777777" w:rsidR="00655AEF" w:rsidRDefault="00000000">
            <w:pPr>
              <w:rPr>
                <w:sz w:val="24"/>
                <w:szCs w:val="24"/>
              </w:rPr>
            </w:pPr>
            <w:r>
              <w:rPr>
                <w:sz w:val="24"/>
                <w:szCs w:val="24"/>
              </w:rPr>
              <w:t>6.8</w:t>
            </w:r>
          </w:p>
        </w:tc>
      </w:tr>
      <w:tr w:rsidR="00655AEF" w14:paraId="6535D966" w14:textId="77777777">
        <w:trPr>
          <w:cantSplit/>
        </w:trPr>
        <w:tc>
          <w:tcPr>
            <w:tcW w:w="734" w:type="dxa"/>
            <w:vMerge/>
            <w:shd w:val="clear" w:color="auto" w:fill="FFFFFF"/>
            <w:tcMar>
              <w:top w:w="0" w:type="dxa"/>
              <w:left w:w="0" w:type="dxa"/>
              <w:bottom w:w="0" w:type="dxa"/>
              <w:right w:w="0" w:type="dxa"/>
            </w:tcMar>
            <w:vAlign w:val="center"/>
          </w:tcPr>
          <w:p w14:paraId="000004F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4FF" w14:textId="77777777" w:rsidR="00655AEF" w:rsidRDefault="00000000">
            <w:pPr>
              <w:rPr>
                <w:sz w:val="24"/>
                <w:szCs w:val="24"/>
              </w:rPr>
            </w:pPr>
            <w:r>
              <w:rPr>
                <w:sz w:val="24"/>
                <w:szCs w:val="24"/>
              </w:rPr>
              <w:t>Disclosure, Stigma and Side Effects</w:t>
            </w:r>
          </w:p>
        </w:tc>
        <w:tc>
          <w:tcPr>
            <w:tcW w:w="1440" w:type="dxa"/>
            <w:shd w:val="clear" w:color="auto" w:fill="FFFFFF"/>
            <w:tcMar>
              <w:top w:w="0" w:type="dxa"/>
              <w:left w:w="0" w:type="dxa"/>
              <w:bottom w:w="0" w:type="dxa"/>
              <w:right w:w="0" w:type="dxa"/>
            </w:tcMar>
            <w:vAlign w:val="center"/>
          </w:tcPr>
          <w:p w14:paraId="00000500" w14:textId="77777777" w:rsidR="00655AEF" w:rsidRDefault="00000000">
            <w:pPr>
              <w:rPr>
                <w:sz w:val="24"/>
                <w:szCs w:val="24"/>
              </w:rPr>
            </w:pPr>
            <w:r>
              <w:rPr>
                <w:sz w:val="24"/>
                <w:szCs w:val="24"/>
              </w:rPr>
              <w:t>6</w:t>
            </w:r>
          </w:p>
        </w:tc>
        <w:tc>
          <w:tcPr>
            <w:tcW w:w="900" w:type="dxa"/>
            <w:shd w:val="clear" w:color="auto" w:fill="FFFFFF"/>
            <w:tcMar>
              <w:top w:w="0" w:type="dxa"/>
              <w:left w:w="0" w:type="dxa"/>
              <w:bottom w:w="0" w:type="dxa"/>
              <w:right w:w="0" w:type="dxa"/>
            </w:tcMar>
            <w:vAlign w:val="center"/>
          </w:tcPr>
          <w:p w14:paraId="00000501" w14:textId="77777777" w:rsidR="00655AEF" w:rsidRDefault="00000000">
            <w:pPr>
              <w:rPr>
                <w:sz w:val="24"/>
                <w:szCs w:val="24"/>
              </w:rPr>
            </w:pPr>
            <w:r>
              <w:rPr>
                <w:sz w:val="24"/>
                <w:szCs w:val="24"/>
              </w:rPr>
              <w:t>1.2</w:t>
            </w:r>
          </w:p>
        </w:tc>
      </w:tr>
      <w:tr w:rsidR="00655AEF" w14:paraId="5DE20827" w14:textId="77777777">
        <w:trPr>
          <w:cantSplit/>
        </w:trPr>
        <w:tc>
          <w:tcPr>
            <w:tcW w:w="734" w:type="dxa"/>
            <w:vMerge/>
            <w:shd w:val="clear" w:color="auto" w:fill="FFFFFF"/>
            <w:tcMar>
              <w:top w:w="0" w:type="dxa"/>
              <w:left w:w="0" w:type="dxa"/>
              <w:bottom w:w="0" w:type="dxa"/>
              <w:right w:w="0" w:type="dxa"/>
            </w:tcMar>
            <w:vAlign w:val="center"/>
          </w:tcPr>
          <w:p w14:paraId="0000050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03" w14:textId="77777777" w:rsidR="00655AEF" w:rsidRDefault="00000000">
            <w:pPr>
              <w:rPr>
                <w:sz w:val="24"/>
                <w:szCs w:val="24"/>
              </w:rPr>
            </w:pPr>
            <w:r>
              <w:rPr>
                <w:sz w:val="24"/>
                <w:szCs w:val="24"/>
              </w:rPr>
              <w:t>Distance to Health Facility</w:t>
            </w:r>
          </w:p>
        </w:tc>
        <w:tc>
          <w:tcPr>
            <w:tcW w:w="1440" w:type="dxa"/>
            <w:shd w:val="clear" w:color="auto" w:fill="FFFFFF"/>
            <w:tcMar>
              <w:top w:w="0" w:type="dxa"/>
              <w:left w:w="0" w:type="dxa"/>
              <w:bottom w:w="0" w:type="dxa"/>
              <w:right w:w="0" w:type="dxa"/>
            </w:tcMar>
            <w:vAlign w:val="center"/>
          </w:tcPr>
          <w:p w14:paraId="00000504" w14:textId="77777777" w:rsidR="00655AEF" w:rsidRDefault="00000000">
            <w:pPr>
              <w:rPr>
                <w:sz w:val="24"/>
                <w:szCs w:val="24"/>
              </w:rPr>
            </w:pPr>
            <w:r>
              <w:rPr>
                <w:sz w:val="24"/>
                <w:szCs w:val="24"/>
              </w:rPr>
              <w:t>5</w:t>
            </w:r>
          </w:p>
        </w:tc>
        <w:tc>
          <w:tcPr>
            <w:tcW w:w="900" w:type="dxa"/>
            <w:shd w:val="clear" w:color="auto" w:fill="FFFFFF"/>
            <w:tcMar>
              <w:top w:w="0" w:type="dxa"/>
              <w:left w:w="0" w:type="dxa"/>
              <w:bottom w:w="0" w:type="dxa"/>
              <w:right w:w="0" w:type="dxa"/>
            </w:tcMar>
            <w:vAlign w:val="center"/>
          </w:tcPr>
          <w:p w14:paraId="00000505" w14:textId="77777777" w:rsidR="00655AEF" w:rsidRDefault="00000000">
            <w:pPr>
              <w:rPr>
                <w:sz w:val="24"/>
                <w:szCs w:val="24"/>
              </w:rPr>
            </w:pPr>
            <w:r>
              <w:rPr>
                <w:sz w:val="24"/>
                <w:szCs w:val="24"/>
              </w:rPr>
              <w:t>1.0</w:t>
            </w:r>
          </w:p>
        </w:tc>
      </w:tr>
      <w:tr w:rsidR="00655AEF" w14:paraId="435FA1CD" w14:textId="77777777">
        <w:trPr>
          <w:cantSplit/>
        </w:trPr>
        <w:tc>
          <w:tcPr>
            <w:tcW w:w="734" w:type="dxa"/>
            <w:vMerge/>
            <w:shd w:val="clear" w:color="auto" w:fill="FFFFFF"/>
            <w:tcMar>
              <w:top w:w="0" w:type="dxa"/>
              <w:left w:w="0" w:type="dxa"/>
              <w:bottom w:w="0" w:type="dxa"/>
              <w:right w:w="0" w:type="dxa"/>
            </w:tcMar>
            <w:vAlign w:val="center"/>
          </w:tcPr>
          <w:p w14:paraId="0000050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07" w14:textId="77777777" w:rsidR="00655AEF" w:rsidRDefault="00000000">
            <w:pPr>
              <w:rPr>
                <w:sz w:val="24"/>
                <w:szCs w:val="24"/>
              </w:rPr>
            </w:pPr>
            <w:r>
              <w:rPr>
                <w:sz w:val="24"/>
                <w:szCs w:val="24"/>
              </w:rPr>
              <w:t>Financial Challenges</w:t>
            </w:r>
          </w:p>
        </w:tc>
        <w:tc>
          <w:tcPr>
            <w:tcW w:w="1440" w:type="dxa"/>
            <w:shd w:val="clear" w:color="auto" w:fill="FFFFFF"/>
            <w:tcMar>
              <w:top w:w="0" w:type="dxa"/>
              <w:left w:w="0" w:type="dxa"/>
              <w:bottom w:w="0" w:type="dxa"/>
              <w:right w:w="0" w:type="dxa"/>
            </w:tcMar>
            <w:vAlign w:val="center"/>
          </w:tcPr>
          <w:p w14:paraId="00000508" w14:textId="77777777" w:rsidR="00655AEF" w:rsidRDefault="00000000">
            <w:pPr>
              <w:rPr>
                <w:sz w:val="24"/>
                <w:szCs w:val="24"/>
              </w:rPr>
            </w:pPr>
            <w:r>
              <w:rPr>
                <w:sz w:val="24"/>
                <w:szCs w:val="24"/>
              </w:rPr>
              <w:t>50</w:t>
            </w:r>
          </w:p>
        </w:tc>
        <w:tc>
          <w:tcPr>
            <w:tcW w:w="900" w:type="dxa"/>
            <w:shd w:val="clear" w:color="auto" w:fill="FFFFFF"/>
            <w:tcMar>
              <w:top w:w="0" w:type="dxa"/>
              <w:left w:w="0" w:type="dxa"/>
              <w:bottom w:w="0" w:type="dxa"/>
              <w:right w:w="0" w:type="dxa"/>
            </w:tcMar>
            <w:vAlign w:val="center"/>
          </w:tcPr>
          <w:p w14:paraId="00000509" w14:textId="77777777" w:rsidR="00655AEF" w:rsidRDefault="00000000">
            <w:pPr>
              <w:rPr>
                <w:sz w:val="24"/>
                <w:szCs w:val="24"/>
              </w:rPr>
            </w:pPr>
            <w:r>
              <w:rPr>
                <w:sz w:val="24"/>
                <w:szCs w:val="24"/>
              </w:rPr>
              <w:t>9.7</w:t>
            </w:r>
          </w:p>
        </w:tc>
      </w:tr>
      <w:tr w:rsidR="00655AEF" w14:paraId="46CF02F3" w14:textId="77777777">
        <w:trPr>
          <w:cantSplit/>
        </w:trPr>
        <w:tc>
          <w:tcPr>
            <w:tcW w:w="734" w:type="dxa"/>
            <w:vMerge/>
            <w:shd w:val="clear" w:color="auto" w:fill="FFFFFF"/>
            <w:tcMar>
              <w:top w:w="0" w:type="dxa"/>
              <w:left w:w="0" w:type="dxa"/>
              <w:bottom w:w="0" w:type="dxa"/>
              <w:right w:w="0" w:type="dxa"/>
            </w:tcMar>
            <w:vAlign w:val="center"/>
          </w:tcPr>
          <w:p w14:paraId="0000050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0B" w14:textId="77777777" w:rsidR="00655AEF" w:rsidRDefault="00000000">
            <w:pPr>
              <w:rPr>
                <w:sz w:val="24"/>
                <w:szCs w:val="24"/>
              </w:rPr>
            </w:pPr>
            <w:r>
              <w:rPr>
                <w:sz w:val="24"/>
                <w:szCs w:val="24"/>
              </w:rPr>
              <w:t>Inadequate preparations, Side Effects and Religious Belief</w:t>
            </w:r>
          </w:p>
        </w:tc>
        <w:tc>
          <w:tcPr>
            <w:tcW w:w="1440" w:type="dxa"/>
            <w:shd w:val="clear" w:color="auto" w:fill="FFFFFF"/>
            <w:tcMar>
              <w:top w:w="0" w:type="dxa"/>
              <w:left w:w="0" w:type="dxa"/>
              <w:bottom w:w="0" w:type="dxa"/>
              <w:right w:w="0" w:type="dxa"/>
            </w:tcMar>
            <w:vAlign w:val="center"/>
          </w:tcPr>
          <w:p w14:paraId="0000050C" w14:textId="77777777" w:rsidR="00655AEF" w:rsidRDefault="00000000">
            <w:pPr>
              <w:rPr>
                <w:sz w:val="24"/>
                <w:szCs w:val="24"/>
              </w:rPr>
            </w:pPr>
            <w:r>
              <w:rPr>
                <w:sz w:val="24"/>
                <w:szCs w:val="24"/>
              </w:rPr>
              <w:t>12</w:t>
            </w:r>
          </w:p>
        </w:tc>
        <w:tc>
          <w:tcPr>
            <w:tcW w:w="900" w:type="dxa"/>
            <w:shd w:val="clear" w:color="auto" w:fill="FFFFFF"/>
            <w:tcMar>
              <w:top w:w="0" w:type="dxa"/>
              <w:left w:w="0" w:type="dxa"/>
              <w:bottom w:w="0" w:type="dxa"/>
              <w:right w:w="0" w:type="dxa"/>
            </w:tcMar>
            <w:vAlign w:val="center"/>
          </w:tcPr>
          <w:p w14:paraId="0000050D" w14:textId="77777777" w:rsidR="00655AEF" w:rsidRDefault="00000000">
            <w:pPr>
              <w:rPr>
                <w:sz w:val="24"/>
                <w:szCs w:val="24"/>
              </w:rPr>
            </w:pPr>
            <w:r>
              <w:rPr>
                <w:sz w:val="24"/>
                <w:szCs w:val="24"/>
              </w:rPr>
              <w:t>2.3</w:t>
            </w:r>
          </w:p>
        </w:tc>
      </w:tr>
      <w:tr w:rsidR="00655AEF" w14:paraId="0EB0F714" w14:textId="77777777">
        <w:trPr>
          <w:cantSplit/>
        </w:trPr>
        <w:tc>
          <w:tcPr>
            <w:tcW w:w="734" w:type="dxa"/>
            <w:vMerge/>
            <w:shd w:val="clear" w:color="auto" w:fill="FFFFFF"/>
            <w:tcMar>
              <w:top w:w="0" w:type="dxa"/>
              <w:left w:w="0" w:type="dxa"/>
              <w:bottom w:w="0" w:type="dxa"/>
              <w:right w:w="0" w:type="dxa"/>
            </w:tcMar>
            <w:vAlign w:val="center"/>
          </w:tcPr>
          <w:p w14:paraId="0000050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0F" w14:textId="77777777" w:rsidR="00655AEF" w:rsidRDefault="00000000">
            <w:pPr>
              <w:rPr>
                <w:sz w:val="24"/>
                <w:szCs w:val="24"/>
              </w:rPr>
            </w:pPr>
            <w:r>
              <w:rPr>
                <w:sz w:val="24"/>
                <w:szCs w:val="24"/>
              </w:rPr>
              <w:t>Long Distance to Facility</w:t>
            </w:r>
          </w:p>
        </w:tc>
        <w:tc>
          <w:tcPr>
            <w:tcW w:w="1440" w:type="dxa"/>
            <w:shd w:val="clear" w:color="auto" w:fill="FFFFFF"/>
            <w:tcMar>
              <w:top w:w="0" w:type="dxa"/>
              <w:left w:w="0" w:type="dxa"/>
              <w:bottom w:w="0" w:type="dxa"/>
              <w:right w:w="0" w:type="dxa"/>
            </w:tcMar>
            <w:vAlign w:val="center"/>
          </w:tcPr>
          <w:p w14:paraId="00000510" w14:textId="77777777" w:rsidR="00655AEF" w:rsidRDefault="00000000">
            <w:pPr>
              <w:rPr>
                <w:sz w:val="24"/>
                <w:szCs w:val="24"/>
              </w:rPr>
            </w:pPr>
            <w:r>
              <w:rPr>
                <w:sz w:val="24"/>
                <w:szCs w:val="24"/>
              </w:rPr>
              <w:t>1</w:t>
            </w:r>
          </w:p>
        </w:tc>
        <w:tc>
          <w:tcPr>
            <w:tcW w:w="900" w:type="dxa"/>
            <w:shd w:val="clear" w:color="auto" w:fill="FFFFFF"/>
            <w:tcMar>
              <w:top w:w="0" w:type="dxa"/>
              <w:left w:w="0" w:type="dxa"/>
              <w:bottom w:w="0" w:type="dxa"/>
              <w:right w:w="0" w:type="dxa"/>
            </w:tcMar>
            <w:vAlign w:val="center"/>
          </w:tcPr>
          <w:p w14:paraId="00000511" w14:textId="77777777" w:rsidR="00655AEF" w:rsidRDefault="00000000">
            <w:pPr>
              <w:rPr>
                <w:sz w:val="24"/>
                <w:szCs w:val="24"/>
              </w:rPr>
            </w:pPr>
            <w:r>
              <w:rPr>
                <w:sz w:val="24"/>
                <w:szCs w:val="24"/>
              </w:rPr>
              <w:t>.2</w:t>
            </w:r>
          </w:p>
        </w:tc>
      </w:tr>
      <w:tr w:rsidR="00655AEF" w14:paraId="360362BA" w14:textId="77777777">
        <w:trPr>
          <w:cantSplit/>
        </w:trPr>
        <w:tc>
          <w:tcPr>
            <w:tcW w:w="734" w:type="dxa"/>
            <w:vMerge/>
            <w:shd w:val="clear" w:color="auto" w:fill="FFFFFF"/>
            <w:tcMar>
              <w:top w:w="0" w:type="dxa"/>
              <w:left w:w="0" w:type="dxa"/>
              <w:bottom w:w="0" w:type="dxa"/>
              <w:right w:w="0" w:type="dxa"/>
            </w:tcMar>
            <w:vAlign w:val="center"/>
          </w:tcPr>
          <w:p w14:paraId="0000051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13" w14:textId="77777777" w:rsidR="00655AEF" w:rsidRDefault="00000000">
            <w:pPr>
              <w:rPr>
                <w:sz w:val="24"/>
                <w:szCs w:val="24"/>
              </w:rPr>
            </w:pPr>
            <w:r>
              <w:rPr>
                <w:sz w:val="24"/>
                <w:szCs w:val="24"/>
              </w:rPr>
              <w:t>Mental Health Issues</w:t>
            </w:r>
          </w:p>
        </w:tc>
        <w:tc>
          <w:tcPr>
            <w:tcW w:w="1440" w:type="dxa"/>
            <w:shd w:val="clear" w:color="auto" w:fill="FFFFFF"/>
            <w:tcMar>
              <w:top w:w="0" w:type="dxa"/>
              <w:left w:w="0" w:type="dxa"/>
              <w:bottom w:w="0" w:type="dxa"/>
              <w:right w:w="0" w:type="dxa"/>
            </w:tcMar>
            <w:vAlign w:val="center"/>
          </w:tcPr>
          <w:p w14:paraId="00000514" w14:textId="77777777" w:rsidR="00655AEF" w:rsidRDefault="00000000">
            <w:pPr>
              <w:rPr>
                <w:sz w:val="24"/>
                <w:szCs w:val="24"/>
              </w:rPr>
            </w:pPr>
            <w:r>
              <w:rPr>
                <w:sz w:val="24"/>
                <w:szCs w:val="24"/>
              </w:rPr>
              <w:t>16</w:t>
            </w:r>
          </w:p>
        </w:tc>
        <w:tc>
          <w:tcPr>
            <w:tcW w:w="900" w:type="dxa"/>
            <w:shd w:val="clear" w:color="auto" w:fill="FFFFFF"/>
            <w:tcMar>
              <w:top w:w="0" w:type="dxa"/>
              <w:left w:w="0" w:type="dxa"/>
              <w:bottom w:w="0" w:type="dxa"/>
              <w:right w:w="0" w:type="dxa"/>
            </w:tcMar>
            <w:vAlign w:val="center"/>
          </w:tcPr>
          <w:p w14:paraId="00000515" w14:textId="77777777" w:rsidR="00655AEF" w:rsidRDefault="00000000">
            <w:pPr>
              <w:rPr>
                <w:sz w:val="24"/>
                <w:szCs w:val="24"/>
              </w:rPr>
            </w:pPr>
            <w:r>
              <w:rPr>
                <w:sz w:val="24"/>
                <w:szCs w:val="24"/>
              </w:rPr>
              <w:t>3.1</w:t>
            </w:r>
          </w:p>
        </w:tc>
      </w:tr>
      <w:tr w:rsidR="00655AEF" w14:paraId="3AEF56B5" w14:textId="77777777">
        <w:trPr>
          <w:cantSplit/>
        </w:trPr>
        <w:tc>
          <w:tcPr>
            <w:tcW w:w="734" w:type="dxa"/>
            <w:vMerge/>
            <w:shd w:val="clear" w:color="auto" w:fill="FFFFFF"/>
            <w:tcMar>
              <w:top w:w="0" w:type="dxa"/>
              <w:left w:w="0" w:type="dxa"/>
              <w:bottom w:w="0" w:type="dxa"/>
              <w:right w:w="0" w:type="dxa"/>
            </w:tcMar>
            <w:vAlign w:val="center"/>
          </w:tcPr>
          <w:p w14:paraId="0000051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17" w14:textId="77777777" w:rsidR="00655AEF" w:rsidRDefault="00000000">
            <w:pPr>
              <w:rPr>
                <w:sz w:val="24"/>
                <w:szCs w:val="24"/>
              </w:rPr>
            </w:pPr>
            <w:r>
              <w:rPr>
                <w:sz w:val="24"/>
                <w:szCs w:val="24"/>
              </w:rPr>
              <w:t>Mental Health Issues and Financial Challenges</w:t>
            </w:r>
          </w:p>
        </w:tc>
        <w:tc>
          <w:tcPr>
            <w:tcW w:w="1440" w:type="dxa"/>
            <w:shd w:val="clear" w:color="auto" w:fill="FFFFFF"/>
            <w:tcMar>
              <w:top w:w="0" w:type="dxa"/>
              <w:left w:w="0" w:type="dxa"/>
              <w:bottom w:w="0" w:type="dxa"/>
              <w:right w:w="0" w:type="dxa"/>
            </w:tcMar>
            <w:vAlign w:val="center"/>
          </w:tcPr>
          <w:p w14:paraId="00000518" w14:textId="77777777" w:rsidR="00655AEF" w:rsidRDefault="00000000">
            <w:pPr>
              <w:rPr>
                <w:sz w:val="24"/>
                <w:szCs w:val="24"/>
              </w:rPr>
            </w:pPr>
            <w:r>
              <w:rPr>
                <w:sz w:val="24"/>
                <w:szCs w:val="24"/>
              </w:rPr>
              <w:t>5</w:t>
            </w:r>
          </w:p>
        </w:tc>
        <w:tc>
          <w:tcPr>
            <w:tcW w:w="900" w:type="dxa"/>
            <w:shd w:val="clear" w:color="auto" w:fill="FFFFFF"/>
            <w:tcMar>
              <w:top w:w="0" w:type="dxa"/>
              <w:left w:w="0" w:type="dxa"/>
              <w:bottom w:w="0" w:type="dxa"/>
              <w:right w:w="0" w:type="dxa"/>
            </w:tcMar>
            <w:vAlign w:val="center"/>
          </w:tcPr>
          <w:p w14:paraId="00000519" w14:textId="77777777" w:rsidR="00655AEF" w:rsidRDefault="00000000">
            <w:pPr>
              <w:rPr>
                <w:sz w:val="24"/>
                <w:szCs w:val="24"/>
              </w:rPr>
            </w:pPr>
            <w:r>
              <w:rPr>
                <w:sz w:val="24"/>
                <w:szCs w:val="24"/>
              </w:rPr>
              <w:t>1.0</w:t>
            </w:r>
          </w:p>
        </w:tc>
      </w:tr>
      <w:tr w:rsidR="00655AEF" w14:paraId="0ADE2F21" w14:textId="77777777">
        <w:trPr>
          <w:cantSplit/>
        </w:trPr>
        <w:tc>
          <w:tcPr>
            <w:tcW w:w="734" w:type="dxa"/>
            <w:vMerge/>
            <w:shd w:val="clear" w:color="auto" w:fill="FFFFFF"/>
            <w:tcMar>
              <w:top w:w="0" w:type="dxa"/>
              <w:left w:w="0" w:type="dxa"/>
              <w:bottom w:w="0" w:type="dxa"/>
              <w:right w:w="0" w:type="dxa"/>
            </w:tcMar>
            <w:vAlign w:val="center"/>
          </w:tcPr>
          <w:p w14:paraId="0000051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1B" w14:textId="77777777" w:rsidR="00655AEF" w:rsidRDefault="00000000">
            <w:pPr>
              <w:rPr>
                <w:sz w:val="24"/>
                <w:szCs w:val="24"/>
              </w:rPr>
            </w:pPr>
            <w:r>
              <w:rPr>
                <w:sz w:val="24"/>
                <w:szCs w:val="24"/>
              </w:rPr>
              <w:t>Mental Health Issues and Religious Belief</w:t>
            </w:r>
          </w:p>
        </w:tc>
        <w:tc>
          <w:tcPr>
            <w:tcW w:w="1440" w:type="dxa"/>
            <w:shd w:val="clear" w:color="auto" w:fill="FFFFFF"/>
            <w:tcMar>
              <w:top w:w="0" w:type="dxa"/>
              <w:left w:w="0" w:type="dxa"/>
              <w:bottom w:w="0" w:type="dxa"/>
              <w:right w:w="0" w:type="dxa"/>
            </w:tcMar>
            <w:vAlign w:val="center"/>
          </w:tcPr>
          <w:p w14:paraId="0000051C" w14:textId="77777777" w:rsidR="00655AEF" w:rsidRDefault="00000000">
            <w:pPr>
              <w:rPr>
                <w:sz w:val="24"/>
                <w:szCs w:val="24"/>
              </w:rPr>
            </w:pPr>
            <w:r>
              <w:rPr>
                <w:sz w:val="24"/>
                <w:szCs w:val="24"/>
              </w:rPr>
              <w:t>6</w:t>
            </w:r>
          </w:p>
        </w:tc>
        <w:tc>
          <w:tcPr>
            <w:tcW w:w="900" w:type="dxa"/>
            <w:shd w:val="clear" w:color="auto" w:fill="FFFFFF"/>
            <w:tcMar>
              <w:top w:w="0" w:type="dxa"/>
              <w:left w:w="0" w:type="dxa"/>
              <w:bottom w:w="0" w:type="dxa"/>
              <w:right w:w="0" w:type="dxa"/>
            </w:tcMar>
            <w:vAlign w:val="center"/>
          </w:tcPr>
          <w:p w14:paraId="0000051D" w14:textId="77777777" w:rsidR="00655AEF" w:rsidRDefault="00000000">
            <w:pPr>
              <w:rPr>
                <w:sz w:val="24"/>
                <w:szCs w:val="24"/>
              </w:rPr>
            </w:pPr>
            <w:r>
              <w:rPr>
                <w:sz w:val="24"/>
                <w:szCs w:val="24"/>
              </w:rPr>
              <w:t>1.2</w:t>
            </w:r>
          </w:p>
        </w:tc>
      </w:tr>
      <w:tr w:rsidR="00655AEF" w14:paraId="08C2C282" w14:textId="77777777">
        <w:trPr>
          <w:cantSplit/>
        </w:trPr>
        <w:tc>
          <w:tcPr>
            <w:tcW w:w="734" w:type="dxa"/>
            <w:vMerge/>
            <w:shd w:val="clear" w:color="auto" w:fill="FFFFFF"/>
            <w:tcMar>
              <w:top w:w="0" w:type="dxa"/>
              <w:left w:w="0" w:type="dxa"/>
              <w:bottom w:w="0" w:type="dxa"/>
              <w:right w:w="0" w:type="dxa"/>
            </w:tcMar>
            <w:vAlign w:val="center"/>
          </w:tcPr>
          <w:p w14:paraId="0000051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1F" w14:textId="77777777" w:rsidR="00655AEF" w:rsidRDefault="00000000">
            <w:pPr>
              <w:rPr>
                <w:sz w:val="24"/>
                <w:szCs w:val="24"/>
              </w:rPr>
            </w:pPr>
            <w:r>
              <w:rPr>
                <w:sz w:val="24"/>
                <w:szCs w:val="24"/>
              </w:rPr>
              <w:t>Mental Health Issues, Financial Challenges and Religious Belief</w:t>
            </w:r>
          </w:p>
        </w:tc>
        <w:tc>
          <w:tcPr>
            <w:tcW w:w="1440" w:type="dxa"/>
            <w:shd w:val="clear" w:color="auto" w:fill="FFFFFF"/>
            <w:tcMar>
              <w:top w:w="0" w:type="dxa"/>
              <w:left w:w="0" w:type="dxa"/>
              <w:bottom w:w="0" w:type="dxa"/>
              <w:right w:w="0" w:type="dxa"/>
            </w:tcMar>
            <w:vAlign w:val="center"/>
          </w:tcPr>
          <w:p w14:paraId="00000520" w14:textId="77777777" w:rsidR="00655AEF" w:rsidRDefault="00000000">
            <w:pPr>
              <w:rPr>
                <w:sz w:val="24"/>
                <w:szCs w:val="24"/>
              </w:rPr>
            </w:pPr>
            <w:r>
              <w:rPr>
                <w:sz w:val="24"/>
                <w:szCs w:val="24"/>
              </w:rPr>
              <w:t>14</w:t>
            </w:r>
          </w:p>
        </w:tc>
        <w:tc>
          <w:tcPr>
            <w:tcW w:w="900" w:type="dxa"/>
            <w:shd w:val="clear" w:color="auto" w:fill="FFFFFF"/>
            <w:tcMar>
              <w:top w:w="0" w:type="dxa"/>
              <w:left w:w="0" w:type="dxa"/>
              <w:bottom w:w="0" w:type="dxa"/>
              <w:right w:w="0" w:type="dxa"/>
            </w:tcMar>
            <w:vAlign w:val="center"/>
          </w:tcPr>
          <w:p w14:paraId="00000521" w14:textId="77777777" w:rsidR="00655AEF" w:rsidRDefault="00000000">
            <w:pPr>
              <w:rPr>
                <w:sz w:val="24"/>
                <w:szCs w:val="24"/>
              </w:rPr>
            </w:pPr>
            <w:r>
              <w:rPr>
                <w:sz w:val="24"/>
                <w:szCs w:val="24"/>
              </w:rPr>
              <w:t>2.7</w:t>
            </w:r>
          </w:p>
        </w:tc>
      </w:tr>
      <w:tr w:rsidR="00655AEF" w14:paraId="32ACAD93" w14:textId="77777777">
        <w:trPr>
          <w:cantSplit/>
        </w:trPr>
        <w:tc>
          <w:tcPr>
            <w:tcW w:w="734" w:type="dxa"/>
            <w:vMerge/>
            <w:shd w:val="clear" w:color="auto" w:fill="FFFFFF"/>
            <w:tcMar>
              <w:top w:w="0" w:type="dxa"/>
              <w:left w:w="0" w:type="dxa"/>
              <w:bottom w:w="0" w:type="dxa"/>
              <w:right w:w="0" w:type="dxa"/>
            </w:tcMar>
            <w:vAlign w:val="center"/>
          </w:tcPr>
          <w:p w14:paraId="0000052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23" w14:textId="77777777" w:rsidR="00655AEF" w:rsidRDefault="00000000">
            <w:pPr>
              <w:rPr>
                <w:sz w:val="24"/>
                <w:szCs w:val="24"/>
              </w:rPr>
            </w:pPr>
            <w:r>
              <w:rPr>
                <w:sz w:val="24"/>
                <w:szCs w:val="24"/>
              </w:rPr>
              <w:t>Religious Belief</w:t>
            </w:r>
          </w:p>
        </w:tc>
        <w:tc>
          <w:tcPr>
            <w:tcW w:w="1440" w:type="dxa"/>
            <w:shd w:val="clear" w:color="auto" w:fill="FFFFFF"/>
            <w:tcMar>
              <w:top w:w="0" w:type="dxa"/>
              <w:left w:w="0" w:type="dxa"/>
              <w:bottom w:w="0" w:type="dxa"/>
              <w:right w:w="0" w:type="dxa"/>
            </w:tcMar>
            <w:vAlign w:val="center"/>
          </w:tcPr>
          <w:p w14:paraId="00000524" w14:textId="77777777" w:rsidR="00655AEF" w:rsidRDefault="00000000">
            <w:pPr>
              <w:rPr>
                <w:sz w:val="24"/>
                <w:szCs w:val="24"/>
              </w:rPr>
            </w:pPr>
            <w:r>
              <w:rPr>
                <w:sz w:val="24"/>
                <w:szCs w:val="24"/>
              </w:rPr>
              <w:t>12</w:t>
            </w:r>
          </w:p>
        </w:tc>
        <w:tc>
          <w:tcPr>
            <w:tcW w:w="900" w:type="dxa"/>
            <w:shd w:val="clear" w:color="auto" w:fill="FFFFFF"/>
            <w:tcMar>
              <w:top w:w="0" w:type="dxa"/>
              <w:left w:w="0" w:type="dxa"/>
              <w:bottom w:w="0" w:type="dxa"/>
              <w:right w:w="0" w:type="dxa"/>
            </w:tcMar>
            <w:vAlign w:val="center"/>
          </w:tcPr>
          <w:p w14:paraId="00000525" w14:textId="77777777" w:rsidR="00655AEF" w:rsidRDefault="00000000">
            <w:pPr>
              <w:rPr>
                <w:sz w:val="24"/>
                <w:szCs w:val="24"/>
              </w:rPr>
            </w:pPr>
            <w:r>
              <w:rPr>
                <w:sz w:val="24"/>
                <w:szCs w:val="24"/>
              </w:rPr>
              <w:t>2.3</w:t>
            </w:r>
          </w:p>
        </w:tc>
      </w:tr>
      <w:tr w:rsidR="00655AEF" w14:paraId="258BAAA9" w14:textId="77777777">
        <w:trPr>
          <w:cantSplit/>
        </w:trPr>
        <w:tc>
          <w:tcPr>
            <w:tcW w:w="734" w:type="dxa"/>
            <w:vMerge/>
            <w:shd w:val="clear" w:color="auto" w:fill="FFFFFF"/>
            <w:tcMar>
              <w:top w:w="0" w:type="dxa"/>
              <w:left w:w="0" w:type="dxa"/>
              <w:bottom w:w="0" w:type="dxa"/>
              <w:right w:w="0" w:type="dxa"/>
            </w:tcMar>
            <w:vAlign w:val="center"/>
          </w:tcPr>
          <w:p w14:paraId="0000052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27" w14:textId="77777777" w:rsidR="00655AEF" w:rsidRDefault="00000000">
            <w:pPr>
              <w:rPr>
                <w:sz w:val="24"/>
                <w:szCs w:val="24"/>
              </w:rPr>
            </w:pPr>
            <w:r>
              <w:rPr>
                <w:sz w:val="24"/>
                <w:szCs w:val="24"/>
              </w:rPr>
              <w:t>Religious Beliefs, Ignorance and Financial Challenges</w:t>
            </w:r>
          </w:p>
        </w:tc>
        <w:tc>
          <w:tcPr>
            <w:tcW w:w="1440" w:type="dxa"/>
            <w:shd w:val="clear" w:color="auto" w:fill="FFFFFF"/>
            <w:tcMar>
              <w:top w:w="0" w:type="dxa"/>
              <w:left w:w="0" w:type="dxa"/>
              <w:bottom w:w="0" w:type="dxa"/>
              <w:right w:w="0" w:type="dxa"/>
            </w:tcMar>
            <w:vAlign w:val="center"/>
          </w:tcPr>
          <w:p w14:paraId="00000528" w14:textId="77777777" w:rsidR="00655AEF" w:rsidRDefault="00000000">
            <w:pPr>
              <w:rPr>
                <w:sz w:val="24"/>
                <w:szCs w:val="24"/>
              </w:rPr>
            </w:pPr>
            <w:r>
              <w:rPr>
                <w:sz w:val="24"/>
                <w:szCs w:val="24"/>
              </w:rPr>
              <w:t>10</w:t>
            </w:r>
          </w:p>
        </w:tc>
        <w:tc>
          <w:tcPr>
            <w:tcW w:w="900" w:type="dxa"/>
            <w:shd w:val="clear" w:color="auto" w:fill="FFFFFF"/>
            <w:tcMar>
              <w:top w:w="0" w:type="dxa"/>
              <w:left w:w="0" w:type="dxa"/>
              <w:bottom w:w="0" w:type="dxa"/>
              <w:right w:w="0" w:type="dxa"/>
            </w:tcMar>
            <w:vAlign w:val="center"/>
          </w:tcPr>
          <w:p w14:paraId="00000529" w14:textId="77777777" w:rsidR="00655AEF" w:rsidRDefault="00000000">
            <w:pPr>
              <w:rPr>
                <w:sz w:val="24"/>
                <w:szCs w:val="24"/>
              </w:rPr>
            </w:pPr>
            <w:r>
              <w:rPr>
                <w:sz w:val="24"/>
                <w:szCs w:val="24"/>
              </w:rPr>
              <w:t>1.9</w:t>
            </w:r>
          </w:p>
        </w:tc>
      </w:tr>
      <w:tr w:rsidR="00655AEF" w14:paraId="7A1EC918" w14:textId="77777777">
        <w:trPr>
          <w:cantSplit/>
        </w:trPr>
        <w:tc>
          <w:tcPr>
            <w:tcW w:w="734" w:type="dxa"/>
            <w:vMerge/>
            <w:shd w:val="clear" w:color="auto" w:fill="FFFFFF"/>
            <w:tcMar>
              <w:top w:w="0" w:type="dxa"/>
              <w:left w:w="0" w:type="dxa"/>
              <w:bottom w:w="0" w:type="dxa"/>
              <w:right w:w="0" w:type="dxa"/>
            </w:tcMar>
            <w:vAlign w:val="center"/>
          </w:tcPr>
          <w:p w14:paraId="0000052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2B" w14:textId="77777777" w:rsidR="00655AEF" w:rsidRDefault="00000000">
            <w:pPr>
              <w:rPr>
                <w:sz w:val="24"/>
                <w:szCs w:val="24"/>
              </w:rPr>
            </w:pPr>
            <w:r>
              <w:rPr>
                <w:sz w:val="24"/>
                <w:szCs w:val="24"/>
              </w:rPr>
              <w:t>Stigma</w:t>
            </w:r>
          </w:p>
        </w:tc>
        <w:tc>
          <w:tcPr>
            <w:tcW w:w="1440" w:type="dxa"/>
            <w:shd w:val="clear" w:color="auto" w:fill="FFFFFF"/>
            <w:tcMar>
              <w:top w:w="0" w:type="dxa"/>
              <w:left w:w="0" w:type="dxa"/>
              <w:bottom w:w="0" w:type="dxa"/>
              <w:right w:w="0" w:type="dxa"/>
            </w:tcMar>
            <w:vAlign w:val="center"/>
          </w:tcPr>
          <w:p w14:paraId="0000052C" w14:textId="77777777" w:rsidR="00655AEF" w:rsidRDefault="00000000">
            <w:pPr>
              <w:rPr>
                <w:sz w:val="24"/>
                <w:szCs w:val="24"/>
              </w:rPr>
            </w:pPr>
            <w:r>
              <w:rPr>
                <w:sz w:val="24"/>
                <w:szCs w:val="24"/>
              </w:rPr>
              <w:t>68</w:t>
            </w:r>
          </w:p>
        </w:tc>
        <w:tc>
          <w:tcPr>
            <w:tcW w:w="900" w:type="dxa"/>
            <w:shd w:val="clear" w:color="auto" w:fill="FFFFFF"/>
            <w:tcMar>
              <w:top w:w="0" w:type="dxa"/>
              <w:left w:w="0" w:type="dxa"/>
              <w:bottom w:w="0" w:type="dxa"/>
              <w:right w:w="0" w:type="dxa"/>
            </w:tcMar>
            <w:vAlign w:val="center"/>
          </w:tcPr>
          <w:p w14:paraId="0000052D" w14:textId="77777777" w:rsidR="00655AEF" w:rsidRDefault="00000000">
            <w:pPr>
              <w:rPr>
                <w:sz w:val="24"/>
                <w:szCs w:val="24"/>
              </w:rPr>
            </w:pPr>
            <w:r>
              <w:rPr>
                <w:sz w:val="24"/>
                <w:szCs w:val="24"/>
              </w:rPr>
              <w:t>13.3</w:t>
            </w:r>
          </w:p>
        </w:tc>
      </w:tr>
      <w:tr w:rsidR="00655AEF" w14:paraId="0A15844D" w14:textId="77777777">
        <w:trPr>
          <w:cantSplit/>
        </w:trPr>
        <w:tc>
          <w:tcPr>
            <w:tcW w:w="734" w:type="dxa"/>
            <w:vMerge/>
            <w:shd w:val="clear" w:color="auto" w:fill="FFFFFF"/>
            <w:tcMar>
              <w:top w:w="0" w:type="dxa"/>
              <w:left w:w="0" w:type="dxa"/>
              <w:bottom w:w="0" w:type="dxa"/>
              <w:right w:w="0" w:type="dxa"/>
            </w:tcMar>
            <w:vAlign w:val="center"/>
          </w:tcPr>
          <w:p w14:paraId="0000052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2F" w14:textId="77777777" w:rsidR="00655AEF" w:rsidRDefault="00000000">
            <w:pPr>
              <w:rPr>
                <w:sz w:val="24"/>
                <w:szCs w:val="24"/>
              </w:rPr>
            </w:pPr>
            <w:proofErr w:type="gramStart"/>
            <w:r>
              <w:rPr>
                <w:sz w:val="24"/>
                <w:szCs w:val="24"/>
              </w:rPr>
              <w:t>Stigma  Disclosure</w:t>
            </w:r>
            <w:proofErr w:type="gramEnd"/>
            <w:r>
              <w:rPr>
                <w:sz w:val="24"/>
                <w:szCs w:val="24"/>
              </w:rPr>
              <w:t xml:space="preserve"> and Side Effect</w:t>
            </w:r>
          </w:p>
        </w:tc>
        <w:tc>
          <w:tcPr>
            <w:tcW w:w="1440" w:type="dxa"/>
            <w:shd w:val="clear" w:color="auto" w:fill="FFFFFF"/>
            <w:tcMar>
              <w:top w:w="0" w:type="dxa"/>
              <w:left w:w="0" w:type="dxa"/>
              <w:bottom w:w="0" w:type="dxa"/>
              <w:right w:w="0" w:type="dxa"/>
            </w:tcMar>
            <w:vAlign w:val="center"/>
          </w:tcPr>
          <w:p w14:paraId="00000530" w14:textId="77777777" w:rsidR="00655AEF" w:rsidRDefault="00000000">
            <w:pPr>
              <w:rPr>
                <w:sz w:val="24"/>
                <w:szCs w:val="24"/>
              </w:rPr>
            </w:pPr>
            <w:r>
              <w:rPr>
                <w:sz w:val="24"/>
                <w:szCs w:val="24"/>
              </w:rPr>
              <w:t>4</w:t>
            </w:r>
          </w:p>
        </w:tc>
        <w:tc>
          <w:tcPr>
            <w:tcW w:w="900" w:type="dxa"/>
            <w:shd w:val="clear" w:color="auto" w:fill="FFFFFF"/>
            <w:tcMar>
              <w:top w:w="0" w:type="dxa"/>
              <w:left w:w="0" w:type="dxa"/>
              <w:bottom w:w="0" w:type="dxa"/>
              <w:right w:w="0" w:type="dxa"/>
            </w:tcMar>
            <w:vAlign w:val="center"/>
          </w:tcPr>
          <w:p w14:paraId="00000531" w14:textId="77777777" w:rsidR="00655AEF" w:rsidRDefault="00000000">
            <w:pPr>
              <w:rPr>
                <w:sz w:val="24"/>
                <w:szCs w:val="24"/>
              </w:rPr>
            </w:pPr>
            <w:r>
              <w:rPr>
                <w:sz w:val="24"/>
                <w:szCs w:val="24"/>
              </w:rPr>
              <w:t>.8</w:t>
            </w:r>
          </w:p>
        </w:tc>
      </w:tr>
      <w:tr w:rsidR="00655AEF" w14:paraId="768124B5" w14:textId="77777777">
        <w:trPr>
          <w:cantSplit/>
        </w:trPr>
        <w:tc>
          <w:tcPr>
            <w:tcW w:w="734" w:type="dxa"/>
            <w:vMerge/>
            <w:shd w:val="clear" w:color="auto" w:fill="FFFFFF"/>
            <w:tcMar>
              <w:top w:w="0" w:type="dxa"/>
              <w:left w:w="0" w:type="dxa"/>
              <w:bottom w:w="0" w:type="dxa"/>
              <w:right w:w="0" w:type="dxa"/>
            </w:tcMar>
            <w:vAlign w:val="center"/>
          </w:tcPr>
          <w:p w14:paraId="0000053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33" w14:textId="77777777" w:rsidR="00655AEF" w:rsidRDefault="00000000">
            <w:pPr>
              <w:rPr>
                <w:sz w:val="24"/>
                <w:szCs w:val="24"/>
              </w:rPr>
            </w:pPr>
            <w:r>
              <w:rPr>
                <w:sz w:val="24"/>
                <w:szCs w:val="24"/>
              </w:rPr>
              <w:t>Stigma and Busy Schedules</w:t>
            </w:r>
          </w:p>
        </w:tc>
        <w:tc>
          <w:tcPr>
            <w:tcW w:w="1440" w:type="dxa"/>
            <w:shd w:val="clear" w:color="auto" w:fill="FFFFFF"/>
            <w:tcMar>
              <w:top w:w="0" w:type="dxa"/>
              <w:left w:w="0" w:type="dxa"/>
              <w:bottom w:w="0" w:type="dxa"/>
              <w:right w:w="0" w:type="dxa"/>
            </w:tcMar>
            <w:vAlign w:val="center"/>
          </w:tcPr>
          <w:p w14:paraId="00000534" w14:textId="77777777" w:rsidR="00655AEF" w:rsidRDefault="00000000">
            <w:pPr>
              <w:rPr>
                <w:sz w:val="24"/>
                <w:szCs w:val="24"/>
              </w:rPr>
            </w:pPr>
            <w:r>
              <w:rPr>
                <w:sz w:val="24"/>
                <w:szCs w:val="24"/>
              </w:rPr>
              <w:t>5</w:t>
            </w:r>
          </w:p>
        </w:tc>
        <w:tc>
          <w:tcPr>
            <w:tcW w:w="900" w:type="dxa"/>
            <w:shd w:val="clear" w:color="auto" w:fill="FFFFFF"/>
            <w:tcMar>
              <w:top w:w="0" w:type="dxa"/>
              <w:left w:w="0" w:type="dxa"/>
              <w:bottom w:w="0" w:type="dxa"/>
              <w:right w:w="0" w:type="dxa"/>
            </w:tcMar>
            <w:vAlign w:val="center"/>
          </w:tcPr>
          <w:p w14:paraId="00000535" w14:textId="77777777" w:rsidR="00655AEF" w:rsidRDefault="00000000">
            <w:pPr>
              <w:rPr>
                <w:sz w:val="24"/>
                <w:szCs w:val="24"/>
              </w:rPr>
            </w:pPr>
            <w:r>
              <w:rPr>
                <w:sz w:val="24"/>
                <w:szCs w:val="24"/>
              </w:rPr>
              <w:t>1.0</w:t>
            </w:r>
          </w:p>
        </w:tc>
      </w:tr>
      <w:tr w:rsidR="00655AEF" w14:paraId="536A306F" w14:textId="77777777">
        <w:trPr>
          <w:cantSplit/>
        </w:trPr>
        <w:tc>
          <w:tcPr>
            <w:tcW w:w="734" w:type="dxa"/>
            <w:vMerge/>
            <w:shd w:val="clear" w:color="auto" w:fill="FFFFFF"/>
            <w:tcMar>
              <w:top w:w="0" w:type="dxa"/>
              <w:left w:w="0" w:type="dxa"/>
              <w:bottom w:w="0" w:type="dxa"/>
              <w:right w:w="0" w:type="dxa"/>
            </w:tcMar>
            <w:vAlign w:val="center"/>
          </w:tcPr>
          <w:p w14:paraId="0000053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37" w14:textId="77777777" w:rsidR="00655AEF" w:rsidRDefault="00000000">
            <w:pPr>
              <w:rPr>
                <w:sz w:val="24"/>
                <w:szCs w:val="24"/>
              </w:rPr>
            </w:pPr>
            <w:r>
              <w:rPr>
                <w:sz w:val="24"/>
                <w:szCs w:val="24"/>
              </w:rPr>
              <w:t>Stigma and Financial Challenges</w:t>
            </w:r>
          </w:p>
        </w:tc>
        <w:tc>
          <w:tcPr>
            <w:tcW w:w="1440" w:type="dxa"/>
            <w:shd w:val="clear" w:color="auto" w:fill="FFFFFF"/>
            <w:tcMar>
              <w:top w:w="0" w:type="dxa"/>
              <w:left w:w="0" w:type="dxa"/>
              <w:bottom w:w="0" w:type="dxa"/>
              <w:right w:w="0" w:type="dxa"/>
            </w:tcMar>
            <w:vAlign w:val="center"/>
          </w:tcPr>
          <w:p w14:paraId="00000538" w14:textId="77777777" w:rsidR="00655AEF" w:rsidRDefault="00000000">
            <w:pPr>
              <w:rPr>
                <w:sz w:val="24"/>
                <w:szCs w:val="24"/>
              </w:rPr>
            </w:pPr>
            <w:r>
              <w:rPr>
                <w:sz w:val="24"/>
                <w:szCs w:val="24"/>
              </w:rPr>
              <w:t>45</w:t>
            </w:r>
          </w:p>
        </w:tc>
        <w:tc>
          <w:tcPr>
            <w:tcW w:w="900" w:type="dxa"/>
            <w:shd w:val="clear" w:color="auto" w:fill="FFFFFF"/>
            <w:tcMar>
              <w:top w:w="0" w:type="dxa"/>
              <w:left w:w="0" w:type="dxa"/>
              <w:bottom w:w="0" w:type="dxa"/>
              <w:right w:w="0" w:type="dxa"/>
            </w:tcMar>
            <w:vAlign w:val="center"/>
          </w:tcPr>
          <w:p w14:paraId="00000539" w14:textId="77777777" w:rsidR="00655AEF" w:rsidRDefault="00000000">
            <w:pPr>
              <w:rPr>
                <w:sz w:val="24"/>
                <w:szCs w:val="24"/>
              </w:rPr>
            </w:pPr>
            <w:r>
              <w:rPr>
                <w:sz w:val="24"/>
                <w:szCs w:val="24"/>
              </w:rPr>
              <w:t>8.8</w:t>
            </w:r>
          </w:p>
        </w:tc>
      </w:tr>
      <w:tr w:rsidR="00655AEF" w14:paraId="2BD0F5C1" w14:textId="77777777">
        <w:trPr>
          <w:cantSplit/>
        </w:trPr>
        <w:tc>
          <w:tcPr>
            <w:tcW w:w="734" w:type="dxa"/>
            <w:vMerge/>
            <w:shd w:val="clear" w:color="auto" w:fill="FFFFFF"/>
            <w:tcMar>
              <w:top w:w="0" w:type="dxa"/>
              <w:left w:w="0" w:type="dxa"/>
              <w:bottom w:w="0" w:type="dxa"/>
              <w:right w:w="0" w:type="dxa"/>
            </w:tcMar>
            <w:vAlign w:val="center"/>
          </w:tcPr>
          <w:p w14:paraId="0000053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3B" w14:textId="77777777" w:rsidR="00655AEF" w:rsidRDefault="00000000">
            <w:pPr>
              <w:rPr>
                <w:sz w:val="24"/>
                <w:szCs w:val="24"/>
              </w:rPr>
            </w:pPr>
            <w:r>
              <w:rPr>
                <w:sz w:val="24"/>
                <w:szCs w:val="24"/>
              </w:rPr>
              <w:t>Stigma and Religious Belief</w:t>
            </w:r>
          </w:p>
        </w:tc>
        <w:tc>
          <w:tcPr>
            <w:tcW w:w="1440" w:type="dxa"/>
            <w:shd w:val="clear" w:color="auto" w:fill="FFFFFF"/>
            <w:tcMar>
              <w:top w:w="0" w:type="dxa"/>
              <w:left w:w="0" w:type="dxa"/>
              <w:bottom w:w="0" w:type="dxa"/>
              <w:right w:w="0" w:type="dxa"/>
            </w:tcMar>
            <w:vAlign w:val="center"/>
          </w:tcPr>
          <w:p w14:paraId="0000053C" w14:textId="77777777" w:rsidR="00655AEF" w:rsidRDefault="00000000">
            <w:pPr>
              <w:rPr>
                <w:sz w:val="24"/>
                <w:szCs w:val="24"/>
              </w:rPr>
            </w:pPr>
            <w:r>
              <w:rPr>
                <w:sz w:val="24"/>
                <w:szCs w:val="24"/>
              </w:rPr>
              <w:t>16</w:t>
            </w:r>
          </w:p>
        </w:tc>
        <w:tc>
          <w:tcPr>
            <w:tcW w:w="900" w:type="dxa"/>
            <w:shd w:val="clear" w:color="auto" w:fill="FFFFFF"/>
            <w:tcMar>
              <w:top w:w="0" w:type="dxa"/>
              <w:left w:w="0" w:type="dxa"/>
              <w:bottom w:w="0" w:type="dxa"/>
              <w:right w:w="0" w:type="dxa"/>
            </w:tcMar>
            <w:vAlign w:val="center"/>
          </w:tcPr>
          <w:p w14:paraId="0000053D" w14:textId="77777777" w:rsidR="00655AEF" w:rsidRDefault="00000000">
            <w:pPr>
              <w:rPr>
                <w:sz w:val="24"/>
                <w:szCs w:val="24"/>
              </w:rPr>
            </w:pPr>
            <w:r>
              <w:rPr>
                <w:sz w:val="24"/>
                <w:szCs w:val="24"/>
              </w:rPr>
              <w:t>3.1</w:t>
            </w:r>
          </w:p>
        </w:tc>
      </w:tr>
      <w:tr w:rsidR="00655AEF" w14:paraId="0A70C861" w14:textId="77777777">
        <w:trPr>
          <w:cantSplit/>
        </w:trPr>
        <w:tc>
          <w:tcPr>
            <w:tcW w:w="734" w:type="dxa"/>
            <w:vMerge/>
            <w:shd w:val="clear" w:color="auto" w:fill="FFFFFF"/>
            <w:tcMar>
              <w:top w:w="0" w:type="dxa"/>
              <w:left w:w="0" w:type="dxa"/>
              <w:bottom w:w="0" w:type="dxa"/>
              <w:right w:w="0" w:type="dxa"/>
            </w:tcMar>
            <w:vAlign w:val="center"/>
          </w:tcPr>
          <w:p w14:paraId="0000053E"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3F" w14:textId="77777777" w:rsidR="00655AEF" w:rsidRDefault="00000000">
            <w:pPr>
              <w:rPr>
                <w:sz w:val="24"/>
                <w:szCs w:val="24"/>
              </w:rPr>
            </w:pPr>
            <w:r>
              <w:rPr>
                <w:sz w:val="24"/>
                <w:szCs w:val="24"/>
              </w:rPr>
              <w:t>Stigma and Side Effects</w:t>
            </w:r>
          </w:p>
        </w:tc>
        <w:tc>
          <w:tcPr>
            <w:tcW w:w="1440" w:type="dxa"/>
            <w:shd w:val="clear" w:color="auto" w:fill="FFFFFF"/>
            <w:tcMar>
              <w:top w:w="0" w:type="dxa"/>
              <w:left w:w="0" w:type="dxa"/>
              <w:bottom w:w="0" w:type="dxa"/>
              <w:right w:w="0" w:type="dxa"/>
            </w:tcMar>
            <w:vAlign w:val="center"/>
          </w:tcPr>
          <w:p w14:paraId="00000540" w14:textId="77777777" w:rsidR="00655AEF" w:rsidRDefault="00000000">
            <w:pPr>
              <w:rPr>
                <w:sz w:val="24"/>
                <w:szCs w:val="24"/>
              </w:rPr>
            </w:pPr>
            <w:r>
              <w:rPr>
                <w:sz w:val="24"/>
                <w:szCs w:val="24"/>
              </w:rPr>
              <w:t>10</w:t>
            </w:r>
          </w:p>
        </w:tc>
        <w:tc>
          <w:tcPr>
            <w:tcW w:w="900" w:type="dxa"/>
            <w:shd w:val="clear" w:color="auto" w:fill="FFFFFF"/>
            <w:tcMar>
              <w:top w:w="0" w:type="dxa"/>
              <w:left w:w="0" w:type="dxa"/>
              <w:bottom w:w="0" w:type="dxa"/>
              <w:right w:w="0" w:type="dxa"/>
            </w:tcMar>
            <w:vAlign w:val="center"/>
          </w:tcPr>
          <w:p w14:paraId="00000541" w14:textId="77777777" w:rsidR="00655AEF" w:rsidRDefault="00000000">
            <w:pPr>
              <w:rPr>
                <w:sz w:val="24"/>
                <w:szCs w:val="24"/>
              </w:rPr>
            </w:pPr>
            <w:r>
              <w:rPr>
                <w:sz w:val="24"/>
                <w:szCs w:val="24"/>
              </w:rPr>
              <w:t>1.9</w:t>
            </w:r>
          </w:p>
        </w:tc>
      </w:tr>
      <w:tr w:rsidR="00655AEF" w14:paraId="23C3EDDB" w14:textId="77777777">
        <w:trPr>
          <w:cantSplit/>
        </w:trPr>
        <w:tc>
          <w:tcPr>
            <w:tcW w:w="734" w:type="dxa"/>
            <w:vMerge/>
            <w:shd w:val="clear" w:color="auto" w:fill="FFFFFF"/>
            <w:tcMar>
              <w:top w:w="0" w:type="dxa"/>
              <w:left w:w="0" w:type="dxa"/>
              <w:bottom w:w="0" w:type="dxa"/>
              <w:right w:w="0" w:type="dxa"/>
            </w:tcMar>
            <w:vAlign w:val="center"/>
          </w:tcPr>
          <w:p w14:paraId="00000542"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43" w14:textId="77777777" w:rsidR="00655AEF" w:rsidRDefault="00000000">
            <w:pPr>
              <w:rPr>
                <w:sz w:val="24"/>
                <w:szCs w:val="24"/>
              </w:rPr>
            </w:pPr>
            <w:r>
              <w:rPr>
                <w:sz w:val="24"/>
                <w:szCs w:val="24"/>
              </w:rPr>
              <w:t>Stigma, Disclosure and Ignorance</w:t>
            </w:r>
          </w:p>
        </w:tc>
        <w:tc>
          <w:tcPr>
            <w:tcW w:w="1440" w:type="dxa"/>
            <w:shd w:val="clear" w:color="auto" w:fill="FFFFFF"/>
            <w:tcMar>
              <w:top w:w="0" w:type="dxa"/>
              <w:left w:w="0" w:type="dxa"/>
              <w:bottom w:w="0" w:type="dxa"/>
              <w:right w:w="0" w:type="dxa"/>
            </w:tcMar>
            <w:vAlign w:val="center"/>
          </w:tcPr>
          <w:p w14:paraId="00000544" w14:textId="77777777" w:rsidR="00655AEF" w:rsidRDefault="00000000">
            <w:pPr>
              <w:rPr>
                <w:sz w:val="24"/>
                <w:szCs w:val="24"/>
              </w:rPr>
            </w:pPr>
            <w:r>
              <w:rPr>
                <w:sz w:val="24"/>
                <w:szCs w:val="24"/>
              </w:rPr>
              <w:t>3</w:t>
            </w:r>
          </w:p>
        </w:tc>
        <w:tc>
          <w:tcPr>
            <w:tcW w:w="900" w:type="dxa"/>
            <w:shd w:val="clear" w:color="auto" w:fill="FFFFFF"/>
            <w:tcMar>
              <w:top w:w="0" w:type="dxa"/>
              <w:left w:w="0" w:type="dxa"/>
              <w:bottom w:w="0" w:type="dxa"/>
              <w:right w:w="0" w:type="dxa"/>
            </w:tcMar>
            <w:vAlign w:val="center"/>
          </w:tcPr>
          <w:p w14:paraId="00000545" w14:textId="77777777" w:rsidR="00655AEF" w:rsidRDefault="00000000">
            <w:pPr>
              <w:rPr>
                <w:sz w:val="24"/>
                <w:szCs w:val="24"/>
              </w:rPr>
            </w:pPr>
            <w:r>
              <w:rPr>
                <w:sz w:val="24"/>
                <w:szCs w:val="24"/>
              </w:rPr>
              <w:t>.6</w:t>
            </w:r>
          </w:p>
        </w:tc>
      </w:tr>
      <w:tr w:rsidR="00655AEF" w14:paraId="2E88C260" w14:textId="77777777">
        <w:trPr>
          <w:cantSplit/>
        </w:trPr>
        <w:tc>
          <w:tcPr>
            <w:tcW w:w="734" w:type="dxa"/>
            <w:vMerge/>
            <w:shd w:val="clear" w:color="auto" w:fill="FFFFFF"/>
            <w:tcMar>
              <w:top w:w="0" w:type="dxa"/>
              <w:left w:w="0" w:type="dxa"/>
              <w:bottom w:w="0" w:type="dxa"/>
              <w:right w:w="0" w:type="dxa"/>
            </w:tcMar>
            <w:vAlign w:val="center"/>
          </w:tcPr>
          <w:p w14:paraId="00000546"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47" w14:textId="77777777" w:rsidR="00655AEF" w:rsidRDefault="00000000">
            <w:pPr>
              <w:rPr>
                <w:sz w:val="24"/>
                <w:szCs w:val="24"/>
              </w:rPr>
            </w:pPr>
            <w:r>
              <w:rPr>
                <w:sz w:val="24"/>
                <w:szCs w:val="24"/>
              </w:rPr>
              <w:t>Stigma, Disclosure and Inadequate Preparations</w:t>
            </w:r>
          </w:p>
        </w:tc>
        <w:tc>
          <w:tcPr>
            <w:tcW w:w="1440" w:type="dxa"/>
            <w:shd w:val="clear" w:color="auto" w:fill="FFFFFF"/>
            <w:tcMar>
              <w:top w:w="0" w:type="dxa"/>
              <w:left w:w="0" w:type="dxa"/>
              <w:bottom w:w="0" w:type="dxa"/>
              <w:right w:w="0" w:type="dxa"/>
            </w:tcMar>
            <w:vAlign w:val="center"/>
          </w:tcPr>
          <w:p w14:paraId="00000548" w14:textId="77777777" w:rsidR="00655AEF" w:rsidRDefault="00000000">
            <w:pPr>
              <w:rPr>
                <w:sz w:val="24"/>
                <w:szCs w:val="24"/>
              </w:rPr>
            </w:pPr>
            <w:r>
              <w:rPr>
                <w:sz w:val="24"/>
                <w:szCs w:val="24"/>
              </w:rPr>
              <w:t>18</w:t>
            </w:r>
          </w:p>
        </w:tc>
        <w:tc>
          <w:tcPr>
            <w:tcW w:w="900" w:type="dxa"/>
            <w:shd w:val="clear" w:color="auto" w:fill="FFFFFF"/>
            <w:tcMar>
              <w:top w:w="0" w:type="dxa"/>
              <w:left w:w="0" w:type="dxa"/>
              <w:bottom w:w="0" w:type="dxa"/>
              <w:right w:w="0" w:type="dxa"/>
            </w:tcMar>
            <w:vAlign w:val="center"/>
          </w:tcPr>
          <w:p w14:paraId="00000549" w14:textId="77777777" w:rsidR="00655AEF" w:rsidRDefault="00000000">
            <w:pPr>
              <w:rPr>
                <w:sz w:val="24"/>
                <w:szCs w:val="24"/>
              </w:rPr>
            </w:pPr>
            <w:r>
              <w:rPr>
                <w:sz w:val="24"/>
                <w:szCs w:val="24"/>
              </w:rPr>
              <w:t>3.5</w:t>
            </w:r>
          </w:p>
        </w:tc>
      </w:tr>
      <w:tr w:rsidR="00655AEF" w14:paraId="4F95B238" w14:textId="77777777">
        <w:trPr>
          <w:cantSplit/>
        </w:trPr>
        <w:tc>
          <w:tcPr>
            <w:tcW w:w="734" w:type="dxa"/>
            <w:vMerge/>
            <w:shd w:val="clear" w:color="auto" w:fill="FFFFFF"/>
            <w:tcMar>
              <w:top w:w="0" w:type="dxa"/>
              <w:left w:w="0" w:type="dxa"/>
              <w:bottom w:w="0" w:type="dxa"/>
              <w:right w:w="0" w:type="dxa"/>
            </w:tcMar>
            <w:vAlign w:val="center"/>
          </w:tcPr>
          <w:p w14:paraId="0000054A" w14:textId="77777777" w:rsidR="00655AEF" w:rsidRDefault="00655AEF">
            <w:pPr>
              <w:pBdr>
                <w:top w:val="nil"/>
                <w:left w:val="nil"/>
                <w:bottom w:val="nil"/>
                <w:right w:val="nil"/>
                <w:between w:val="nil"/>
              </w:pBdr>
              <w:spacing w:line="276" w:lineRule="auto"/>
              <w:rPr>
                <w:sz w:val="24"/>
                <w:szCs w:val="24"/>
              </w:rPr>
            </w:pPr>
          </w:p>
        </w:tc>
        <w:tc>
          <w:tcPr>
            <w:tcW w:w="5926" w:type="dxa"/>
            <w:shd w:val="clear" w:color="auto" w:fill="FFFFFF"/>
            <w:tcMar>
              <w:top w:w="0" w:type="dxa"/>
              <w:left w:w="0" w:type="dxa"/>
              <w:bottom w:w="0" w:type="dxa"/>
              <w:right w:w="0" w:type="dxa"/>
            </w:tcMar>
            <w:vAlign w:val="center"/>
          </w:tcPr>
          <w:p w14:paraId="0000054B" w14:textId="77777777" w:rsidR="00655AEF" w:rsidRDefault="00000000">
            <w:pPr>
              <w:rPr>
                <w:sz w:val="24"/>
                <w:szCs w:val="24"/>
              </w:rPr>
            </w:pPr>
            <w:r>
              <w:rPr>
                <w:sz w:val="24"/>
                <w:szCs w:val="24"/>
              </w:rPr>
              <w:t>Stigma, Disclosure and Religious Belief</w:t>
            </w:r>
          </w:p>
        </w:tc>
        <w:tc>
          <w:tcPr>
            <w:tcW w:w="1440" w:type="dxa"/>
            <w:shd w:val="clear" w:color="auto" w:fill="FFFFFF"/>
            <w:tcMar>
              <w:top w:w="0" w:type="dxa"/>
              <w:left w:w="0" w:type="dxa"/>
              <w:bottom w:w="0" w:type="dxa"/>
              <w:right w:w="0" w:type="dxa"/>
            </w:tcMar>
            <w:vAlign w:val="center"/>
          </w:tcPr>
          <w:p w14:paraId="0000054C" w14:textId="77777777" w:rsidR="00655AEF" w:rsidRDefault="00000000">
            <w:pPr>
              <w:rPr>
                <w:sz w:val="24"/>
                <w:szCs w:val="24"/>
              </w:rPr>
            </w:pPr>
            <w:r>
              <w:rPr>
                <w:sz w:val="24"/>
                <w:szCs w:val="24"/>
              </w:rPr>
              <w:t>3</w:t>
            </w:r>
          </w:p>
        </w:tc>
        <w:tc>
          <w:tcPr>
            <w:tcW w:w="900" w:type="dxa"/>
            <w:shd w:val="clear" w:color="auto" w:fill="FFFFFF"/>
            <w:tcMar>
              <w:top w:w="0" w:type="dxa"/>
              <w:left w:w="0" w:type="dxa"/>
              <w:bottom w:w="0" w:type="dxa"/>
              <w:right w:w="0" w:type="dxa"/>
            </w:tcMar>
            <w:vAlign w:val="center"/>
          </w:tcPr>
          <w:p w14:paraId="0000054D" w14:textId="77777777" w:rsidR="00655AEF" w:rsidRDefault="00000000">
            <w:pPr>
              <w:rPr>
                <w:sz w:val="24"/>
                <w:szCs w:val="24"/>
              </w:rPr>
            </w:pPr>
            <w:r>
              <w:rPr>
                <w:sz w:val="24"/>
                <w:szCs w:val="24"/>
              </w:rPr>
              <w:t>.6</w:t>
            </w:r>
          </w:p>
        </w:tc>
      </w:tr>
      <w:tr w:rsidR="00655AEF" w14:paraId="3CE2E3EA" w14:textId="77777777">
        <w:trPr>
          <w:cantSplit/>
        </w:trPr>
        <w:tc>
          <w:tcPr>
            <w:tcW w:w="734" w:type="dxa"/>
            <w:vMerge/>
            <w:shd w:val="clear" w:color="auto" w:fill="FFFFFF"/>
            <w:tcMar>
              <w:top w:w="0" w:type="dxa"/>
              <w:left w:w="0" w:type="dxa"/>
              <w:bottom w:w="0" w:type="dxa"/>
              <w:right w:w="0" w:type="dxa"/>
            </w:tcMar>
            <w:vAlign w:val="center"/>
          </w:tcPr>
          <w:p w14:paraId="0000054E" w14:textId="77777777" w:rsidR="00655AEF" w:rsidRDefault="00655AEF">
            <w:pPr>
              <w:pBdr>
                <w:top w:val="nil"/>
                <w:left w:val="nil"/>
                <w:bottom w:val="nil"/>
                <w:right w:val="nil"/>
                <w:between w:val="nil"/>
              </w:pBdr>
              <w:spacing w:line="276" w:lineRule="auto"/>
              <w:rPr>
                <w:sz w:val="24"/>
                <w:szCs w:val="24"/>
              </w:rPr>
            </w:pPr>
          </w:p>
        </w:tc>
        <w:tc>
          <w:tcPr>
            <w:tcW w:w="5926" w:type="dxa"/>
            <w:tcBorders>
              <w:bottom w:val="single" w:sz="4" w:space="0" w:color="000000"/>
            </w:tcBorders>
            <w:shd w:val="clear" w:color="auto" w:fill="FFFFFF"/>
            <w:tcMar>
              <w:top w:w="0" w:type="dxa"/>
              <w:left w:w="0" w:type="dxa"/>
              <w:bottom w:w="0" w:type="dxa"/>
              <w:right w:w="0" w:type="dxa"/>
            </w:tcMar>
            <w:vAlign w:val="center"/>
          </w:tcPr>
          <w:p w14:paraId="0000054F" w14:textId="77777777" w:rsidR="00655AEF" w:rsidRDefault="00000000">
            <w:pPr>
              <w:rPr>
                <w:sz w:val="24"/>
                <w:szCs w:val="24"/>
              </w:rPr>
            </w:pPr>
            <w:r>
              <w:rPr>
                <w:sz w:val="24"/>
                <w:szCs w:val="24"/>
              </w:rPr>
              <w:t>Stigma, Lack of Family Support</w:t>
            </w:r>
          </w:p>
        </w:tc>
        <w:tc>
          <w:tcPr>
            <w:tcW w:w="1440" w:type="dxa"/>
            <w:tcBorders>
              <w:bottom w:val="single" w:sz="4" w:space="0" w:color="000000"/>
            </w:tcBorders>
            <w:shd w:val="clear" w:color="auto" w:fill="FFFFFF"/>
            <w:tcMar>
              <w:top w:w="0" w:type="dxa"/>
              <w:left w:w="0" w:type="dxa"/>
              <w:bottom w:w="0" w:type="dxa"/>
              <w:right w:w="0" w:type="dxa"/>
            </w:tcMar>
            <w:vAlign w:val="center"/>
          </w:tcPr>
          <w:p w14:paraId="00000550" w14:textId="77777777" w:rsidR="00655AEF" w:rsidRDefault="00000000">
            <w:pPr>
              <w:rPr>
                <w:sz w:val="24"/>
                <w:szCs w:val="24"/>
              </w:rPr>
            </w:pPr>
            <w:r>
              <w:rPr>
                <w:sz w:val="24"/>
                <w:szCs w:val="24"/>
              </w:rPr>
              <w:t>7</w:t>
            </w:r>
          </w:p>
        </w:tc>
        <w:tc>
          <w:tcPr>
            <w:tcW w:w="900" w:type="dxa"/>
            <w:tcBorders>
              <w:bottom w:val="single" w:sz="4" w:space="0" w:color="000000"/>
            </w:tcBorders>
            <w:shd w:val="clear" w:color="auto" w:fill="FFFFFF"/>
            <w:tcMar>
              <w:top w:w="0" w:type="dxa"/>
              <w:left w:w="0" w:type="dxa"/>
              <w:bottom w:w="0" w:type="dxa"/>
              <w:right w:w="0" w:type="dxa"/>
            </w:tcMar>
            <w:vAlign w:val="center"/>
          </w:tcPr>
          <w:p w14:paraId="00000551" w14:textId="77777777" w:rsidR="00655AEF" w:rsidRDefault="00000000">
            <w:pPr>
              <w:rPr>
                <w:sz w:val="24"/>
                <w:szCs w:val="24"/>
              </w:rPr>
            </w:pPr>
            <w:r>
              <w:rPr>
                <w:sz w:val="24"/>
                <w:szCs w:val="24"/>
              </w:rPr>
              <w:t>1.4</w:t>
            </w:r>
          </w:p>
        </w:tc>
      </w:tr>
      <w:tr w:rsidR="00655AEF" w14:paraId="674E4C1E" w14:textId="77777777">
        <w:trPr>
          <w:cantSplit/>
        </w:trPr>
        <w:tc>
          <w:tcPr>
            <w:tcW w:w="734" w:type="dxa"/>
            <w:vMerge/>
            <w:shd w:val="clear" w:color="auto" w:fill="FFFFFF"/>
            <w:tcMar>
              <w:top w:w="0" w:type="dxa"/>
              <w:left w:w="0" w:type="dxa"/>
              <w:bottom w:w="0" w:type="dxa"/>
              <w:right w:w="0" w:type="dxa"/>
            </w:tcMar>
            <w:vAlign w:val="center"/>
          </w:tcPr>
          <w:p w14:paraId="00000552" w14:textId="77777777" w:rsidR="00655AEF" w:rsidRDefault="00655AEF">
            <w:pPr>
              <w:pBdr>
                <w:top w:val="nil"/>
                <w:left w:val="nil"/>
                <w:bottom w:val="nil"/>
                <w:right w:val="nil"/>
                <w:between w:val="nil"/>
              </w:pBdr>
              <w:spacing w:line="276" w:lineRule="auto"/>
              <w:rPr>
                <w:sz w:val="24"/>
                <w:szCs w:val="24"/>
              </w:rPr>
            </w:pPr>
          </w:p>
        </w:tc>
        <w:tc>
          <w:tcPr>
            <w:tcW w:w="5926"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553" w14:textId="77777777" w:rsidR="00655AEF" w:rsidRDefault="00000000">
            <w:pPr>
              <w:rPr>
                <w:b/>
                <w:sz w:val="24"/>
                <w:szCs w:val="24"/>
              </w:rPr>
            </w:pPr>
            <w:r>
              <w:rPr>
                <w:b/>
                <w:sz w:val="24"/>
                <w:szCs w:val="24"/>
              </w:rPr>
              <w:t>Total</w:t>
            </w:r>
          </w:p>
        </w:tc>
        <w:tc>
          <w:tcPr>
            <w:tcW w:w="144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554" w14:textId="77777777" w:rsidR="00655AEF" w:rsidRDefault="00000000">
            <w:pPr>
              <w:rPr>
                <w:b/>
                <w:sz w:val="24"/>
                <w:szCs w:val="24"/>
              </w:rPr>
            </w:pPr>
            <w:r>
              <w:rPr>
                <w:b/>
                <w:sz w:val="24"/>
                <w:szCs w:val="24"/>
              </w:rPr>
              <w:t>513</w:t>
            </w:r>
          </w:p>
        </w:tc>
        <w:tc>
          <w:tcPr>
            <w:tcW w:w="90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0000555" w14:textId="77777777" w:rsidR="00655AEF" w:rsidRDefault="00000000">
            <w:pPr>
              <w:rPr>
                <w:b/>
                <w:sz w:val="24"/>
                <w:szCs w:val="24"/>
              </w:rPr>
            </w:pPr>
            <w:r>
              <w:rPr>
                <w:b/>
                <w:sz w:val="24"/>
                <w:szCs w:val="24"/>
              </w:rPr>
              <w:t>100.0</w:t>
            </w:r>
          </w:p>
        </w:tc>
      </w:tr>
    </w:tbl>
    <w:p w14:paraId="00000556" w14:textId="77777777" w:rsidR="00655AEF" w:rsidRDefault="00655AEF">
      <w:pPr>
        <w:rPr>
          <w:sz w:val="24"/>
          <w:szCs w:val="24"/>
        </w:rPr>
      </w:pPr>
    </w:p>
    <w:p w14:paraId="00000557" w14:textId="77777777" w:rsidR="00655AEF" w:rsidRDefault="00655AEF">
      <w:pPr>
        <w:rPr>
          <w:sz w:val="24"/>
          <w:szCs w:val="24"/>
        </w:rPr>
      </w:pPr>
    </w:p>
    <w:p w14:paraId="00000558" w14:textId="77777777" w:rsidR="00655AEF" w:rsidRDefault="00000000">
      <w:pPr>
        <w:keepNext/>
      </w:pPr>
      <w:r>
        <w:rPr>
          <w:noProof/>
          <w:sz w:val="24"/>
          <w:szCs w:val="24"/>
        </w:rPr>
        <w:lastRenderedPageBreak/>
        <w:drawing>
          <wp:inline distT="0" distB="0" distL="0" distR="0" wp14:anchorId="5953EF77" wp14:editId="041682D3">
            <wp:extent cx="5634111" cy="4121834"/>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b="5038"/>
                    <a:stretch>
                      <a:fillRect/>
                    </a:stretch>
                  </pic:blipFill>
                  <pic:spPr>
                    <a:xfrm>
                      <a:off x="0" y="0"/>
                      <a:ext cx="5634111" cy="4121834"/>
                    </a:xfrm>
                    <a:prstGeom prst="rect">
                      <a:avLst/>
                    </a:prstGeom>
                    <a:ln/>
                  </pic:spPr>
                </pic:pic>
              </a:graphicData>
            </a:graphic>
          </wp:inline>
        </w:drawing>
      </w:r>
    </w:p>
    <w:p w14:paraId="00000559" w14:textId="77777777" w:rsidR="00655AEF" w:rsidRDefault="00000000">
      <w:pPr>
        <w:pBdr>
          <w:top w:val="nil"/>
          <w:left w:val="nil"/>
          <w:bottom w:val="nil"/>
          <w:right w:val="nil"/>
          <w:between w:val="nil"/>
        </w:pBdr>
        <w:spacing w:after="200"/>
        <w:rPr>
          <w:b/>
          <w:color w:val="4F81BD"/>
          <w:sz w:val="24"/>
          <w:szCs w:val="24"/>
        </w:rPr>
      </w:pPr>
      <w:bookmarkStart w:id="106" w:name="_heading=h.mdeuw2kln782" w:colFirst="0" w:colLast="0"/>
      <w:bookmarkEnd w:id="106"/>
      <w:r>
        <w:rPr>
          <w:b/>
          <w:color w:val="4F81BD"/>
          <w:sz w:val="18"/>
          <w:szCs w:val="18"/>
        </w:rPr>
        <w:t xml:space="preserve">Figure 17: Likely Root Cause </w:t>
      </w:r>
      <w:proofErr w:type="gramStart"/>
      <w:r>
        <w:rPr>
          <w:b/>
          <w:color w:val="4F81BD"/>
          <w:sz w:val="18"/>
          <w:szCs w:val="18"/>
        </w:rPr>
        <w:t>of  Severe</w:t>
      </w:r>
      <w:proofErr w:type="gramEnd"/>
      <w:r>
        <w:rPr>
          <w:b/>
          <w:color w:val="4F81BD"/>
          <w:sz w:val="18"/>
          <w:szCs w:val="18"/>
        </w:rPr>
        <w:t xml:space="preserve"> side effects</w:t>
      </w:r>
    </w:p>
    <w:p w14:paraId="0000055A" w14:textId="77777777" w:rsidR="00655AEF" w:rsidRDefault="00655AEF">
      <w:pPr>
        <w:spacing w:after="240" w:line="360" w:lineRule="auto"/>
        <w:jc w:val="both"/>
        <w:rPr>
          <w:sz w:val="24"/>
          <w:szCs w:val="24"/>
        </w:rPr>
      </w:pPr>
    </w:p>
    <w:p w14:paraId="0000055B" w14:textId="77777777" w:rsidR="00655AEF" w:rsidRDefault="00655AEF">
      <w:pPr>
        <w:spacing w:after="240" w:line="360" w:lineRule="auto"/>
        <w:jc w:val="both"/>
        <w:rPr>
          <w:sz w:val="24"/>
          <w:szCs w:val="24"/>
        </w:rPr>
      </w:pPr>
    </w:p>
    <w:p w14:paraId="0000055C" w14:textId="77777777" w:rsidR="00655AEF" w:rsidRDefault="00000000">
      <w:pPr>
        <w:pStyle w:val="Heading2"/>
        <w:keepNext w:val="0"/>
        <w:keepLines w:val="0"/>
        <w:numPr>
          <w:ilvl w:val="1"/>
          <w:numId w:val="3"/>
        </w:numPr>
        <w:spacing w:before="0"/>
      </w:pPr>
      <w:bookmarkStart w:id="107" w:name="_heading=h.7blidvw9s1dc" w:colFirst="0" w:colLast="0"/>
      <w:bookmarkEnd w:id="107"/>
      <w:r>
        <w:t>Discussions</w:t>
      </w:r>
    </w:p>
    <w:p w14:paraId="0000055D" w14:textId="77777777" w:rsidR="00655AEF" w:rsidRDefault="00000000">
      <w:pPr>
        <w:pStyle w:val="Heading3"/>
        <w:numPr>
          <w:ilvl w:val="2"/>
          <w:numId w:val="3"/>
        </w:numPr>
        <w:rPr>
          <w:sz w:val="24"/>
          <w:szCs w:val="24"/>
        </w:rPr>
      </w:pPr>
      <w:bookmarkStart w:id="108" w:name="_heading=h.a1je48w3rsky" w:colFirst="0" w:colLast="0"/>
      <w:bookmarkEnd w:id="108"/>
      <w:r>
        <w:rPr>
          <w:sz w:val="24"/>
          <w:szCs w:val="24"/>
        </w:rPr>
        <w:t>Exploratory Study</w:t>
      </w:r>
    </w:p>
    <w:p w14:paraId="0000055E" w14:textId="77777777" w:rsidR="00655AEF" w:rsidRDefault="00000000">
      <w:pPr>
        <w:spacing w:after="240" w:line="360" w:lineRule="auto"/>
        <w:jc w:val="both"/>
        <w:rPr>
          <w:sz w:val="24"/>
          <w:szCs w:val="24"/>
        </w:rPr>
      </w:pPr>
      <w:r>
        <w:rPr>
          <w:sz w:val="24"/>
          <w:szCs w:val="24"/>
        </w:rPr>
        <w:t>This study was an exploratory study and would serve as a crucial preliminary phase for the larger quasi-experimental research on the effectiveness of a reward system in Kakamega County. Its primary purpose would be to gain a deeper, understanding of the local context, refining the research questions, identifying key variables, and uncovering unforeseen factors that could influence the design and implementation of the main intervention. This acts as an initial phase is vital for ensuring that the subsequent quasi-experimental design that is well-informed, culturally appropriate, and addresses the most pressing local needs.</w:t>
      </w:r>
    </w:p>
    <w:p w14:paraId="0000055F" w14:textId="77777777" w:rsidR="00655AEF" w:rsidRDefault="00000000">
      <w:pPr>
        <w:pStyle w:val="Heading2"/>
        <w:keepNext w:val="0"/>
        <w:keepLines w:val="0"/>
        <w:numPr>
          <w:ilvl w:val="1"/>
          <w:numId w:val="3"/>
        </w:numPr>
        <w:spacing w:before="0"/>
      </w:pPr>
      <w:bookmarkStart w:id="109" w:name="_heading=h.e6wgp5zf6n9g" w:colFirst="0" w:colLast="0"/>
      <w:bookmarkEnd w:id="109"/>
      <w:r>
        <w:lastRenderedPageBreak/>
        <w:t xml:space="preserve">Factors Hindering Retention of HIV/AIDS Clients with Suspected Treatment Failure at Kakamega County </w:t>
      </w:r>
      <w:r>
        <w:rPr>
          <w:color w:val="FF0000"/>
        </w:rPr>
        <w:t>(Objective 2</w:t>
      </w:r>
      <w:r>
        <w:t>)</w:t>
      </w:r>
    </w:p>
    <w:p w14:paraId="00000560" w14:textId="77777777" w:rsidR="00655AEF" w:rsidRDefault="00000000">
      <w:pPr>
        <w:spacing w:after="240" w:line="360" w:lineRule="auto"/>
        <w:jc w:val="both"/>
        <w:rPr>
          <w:sz w:val="24"/>
          <w:szCs w:val="24"/>
        </w:rPr>
      </w:pPr>
      <w:r>
        <w:rPr>
          <w:sz w:val="24"/>
          <w:szCs w:val="24"/>
        </w:rPr>
        <w:t>Retention in HIV care is paramount for achieving viral suppression, preventing drug resistance, and improving the overall health outcomes of people living with HIV (PLHIV). In Kakamega County, where the study was conducted, and with a reported retention rate of 78%, identifying and addressing factors that hinder retention, especially among clients with suspected treatment failure, is critical. Based on the provided context and general knowledge of challenges in HIV care in Kenya and Sub-Saharan Africa, several key factors were identified.</w:t>
      </w:r>
    </w:p>
    <w:p w14:paraId="00000561" w14:textId="77777777" w:rsidR="00655AEF" w:rsidRDefault="00000000">
      <w:pPr>
        <w:spacing w:after="240" w:line="360" w:lineRule="auto"/>
        <w:jc w:val="both"/>
        <w:rPr>
          <w:b/>
          <w:sz w:val="24"/>
          <w:szCs w:val="24"/>
        </w:rPr>
      </w:pPr>
      <w:r>
        <w:rPr>
          <w:b/>
          <w:sz w:val="24"/>
          <w:szCs w:val="24"/>
        </w:rPr>
        <w:t>A.</w:t>
      </w:r>
      <w:r>
        <w:rPr>
          <w:b/>
          <w:sz w:val="24"/>
          <w:szCs w:val="24"/>
        </w:rPr>
        <w:tab/>
        <w:t>Socioeconomic Factors and Poverty:</w:t>
      </w:r>
    </w:p>
    <w:p w14:paraId="00000562" w14:textId="77777777" w:rsidR="00655AEF" w:rsidRDefault="00000000">
      <w:pPr>
        <w:spacing w:after="240" w:line="360" w:lineRule="auto"/>
        <w:jc w:val="both"/>
        <w:rPr>
          <w:sz w:val="24"/>
          <w:szCs w:val="24"/>
        </w:rPr>
      </w:pPr>
      <w:r>
        <w:rPr>
          <w:sz w:val="24"/>
          <w:szCs w:val="24"/>
        </w:rPr>
        <w:t>Lack of Financial Resources: It was established that some patient lack of finances which was a reason for stopping treatment and the extremely low rate of other insurance coverage, poverty significantly impacts retention. Patients often struggle to afford indirect costs of care, such as transport to clinics, food (especially for those needing to take medication with meals), and even lost wages due to clinic visits. This financial strain can force patients to prioritize immediate survival needs over consistent healthcare.</w:t>
      </w:r>
    </w:p>
    <w:p w14:paraId="00000563" w14:textId="77777777" w:rsidR="00655AEF" w:rsidRDefault="00000000">
      <w:pPr>
        <w:spacing w:after="240" w:line="360" w:lineRule="auto"/>
        <w:jc w:val="both"/>
        <w:rPr>
          <w:sz w:val="24"/>
          <w:szCs w:val="24"/>
        </w:rPr>
      </w:pPr>
      <w:r>
        <w:rPr>
          <w:sz w:val="24"/>
          <w:szCs w:val="24"/>
        </w:rPr>
        <w:t>Food Insecurity: Studies from similar settings in Kenya have shown that food insecurity is directly associated with major adherence lapses. Patients may find it difficult to adhere to medication when they are hungry, leading to missed doses and disengagement from care.</w:t>
      </w:r>
    </w:p>
    <w:p w14:paraId="00000564" w14:textId="77777777" w:rsidR="00655AEF" w:rsidRDefault="00000000">
      <w:pPr>
        <w:spacing w:after="240" w:line="360" w:lineRule="auto"/>
        <w:jc w:val="both"/>
        <w:rPr>
          <w:sz w:val="24"/>
          <w:szCs w:val="24"/>
        </w:rPr>
      </w:pPr>
      <w:r>
        <w:rPr>
          <w:sz w:val="24"/>
          <w:szCs w:val="24"/>
        </w:rPr>
        <w:t>Unemployment/Underemployment: High rates of unemployment contribute to the pervasive poverty, making it challenging for patients to sustain their engagement in care.</w:t>
      </w:r>
    </w:p>
    <w:p w14:paraId="00000565" w14:textId="77777777" w:rsidR="00655AEF" w:rsidRDefault="00000000">
      <w:pPr>
        <w:spacing w:after="240" w:line="360" w:lineRule="auto"/>
        <w:jc w:val="both"/>
        <w:rPr>
          <w:b/>
          <w:sz w:val="24"/>
          <w:szCs w:val="24"/>
        </w:rPr>
      </w:pPr>
      <w:r>
        <w:rPr>
          <w:b/>
          <w:sz w:val="24"/>
          <w:szCs w:val="24"/>
        </w:rPr>
        <w:t>B.</w:t>
      </w:r>
      <w:r>
        <w:rPr>
          <w:b/>
          <w:sz w:val="24"/>
          <w:szCs w:val="24"/>
        </w:rPr>
        <w:tab/>
        <w:t>Adherence Challenges and Patient-Related Factors:</w:t>
      </w:r>
    </w:p>
    <w:p w14:paraId="00000566" w14:textId="77777777" w:rsidR="00655AEF" w:rsidRDefault="00000000">
      <w:pPr>
        <w:spacing w:after="240" w:line="360" w:lineRule="auto"/>
        <w:jc w:val="both"/>
        <w:rPr>
          <w:sz w:val="24"/>
          <w:szCs w:val="24"/>
        </w:rPr>
      </w:pPr>
      <w:r>
        <w:rPr>
          <w:sz w:val="24"/>
          <w:szCs w:val="24"/>
        </w:rPr>
        <w:t>This is explicitly stated as a major reason for stopping treatment (3.5%). Beyond financial constraints, severe side effects can be influenced by:</w:t>
      </w:r>
    </w:p>
    <w:p w14:paraId="00000567" w14:textId="77777777" w:rsidR="00655AEF" w:rsidRDefault="00000000">
      <w:pPr>
        <w:spacing w:after="240" w:line="360" w:lineRule="auto"/>
        <w:jc w:val="both"/>
        <w:rPr>
          <w:sz w:val="24"/>
          <w:szCs w:val="24"/>
        </w:rPr>
      </w:pPr>
      <w:r>
        <w:rPr>
          <w:sz w:val="24"/>
          <w:szCs w:val="24"/>
        </w:rPr>
        <w:t xml:space="preserve">Side Effects: Undesirable side effects of ART can lead patients to discontinue treatment </w:t>
      </w:r>
      <w:proofErr w:type="gramStart"/>
      <w:r>
        <w:rPr>
          <w:sz w:val="24"/>
          <w:szCs w:val="24"/>
        </w:rPr>
        <w:lastRenderedPageBreak/>
        <w:t>in an attempt to</w:t>
      </w:r>
      <w:proofErr w:type="gramEnd"/>
      <w:r>
        <w:rPr>
          <w:sz w:val="24"/>
          <w:szCs w:val="24"/>
        </w:rPr>
        <w:t xml:space="preserve"> alleviate discomfort.</w:t>
      </w:r>
    </w:p>
    <w:p w14:paraId="00000568" w14:textId="77777777" w:rsidR="00655AEF" w:rsidRDefault="00000000">
      <w:pPr>
        <w:spacing w:after="240" w:line="360" w:lineRule="auto"/>
        <w:jc w:val="both"/>
        <w:rPr>
          <w:sz w:val="24"/>
          <w:szCs w:val="24"/>
        </w:rPr>
      </w:pPr>
      <w:r>
        <w:rPr>
          <w:sz w:val="24"/>
          <w:szCs w:val="24"/>
        </w:rPr>
        <w:t>Forgetfulness and Complex Regimens: Maintaining a daily medication schedule, especially with complex regimens, can be difficult without strong adherence support.</w:t>
      </w:r>
    </w:p>
    <w:p w14:paraId="00000569" w14:textId="77777777" w:rsidR="00655AEF" w:rsidRDefault="00000000">
      <w:pPr>
        <w:spacing w:after="240" w:line="360" w:lineRule="auto"/>
        <w:jc w:val="both"/>
        <w:rPr>
          <w:sz w:val="24"/>
          <w:szCs w:val="24"/>
        </w:rPr>
      </w:pPr>
      <w:r>
        <w:rPr>
          <w:sz w:val="24"/>
          <w:szCs w:val="24"/>
        </w:rPr>
        <w:t>Lack of Knowledge/Misconceptions: Some patients may not fully understand the importance of lifelong adherence, believing that once they feel better, they can stop medication, or holding misconceptions about the treatment’s efficacy.</w:t>
      </w:r>
    </w:p>
    <w:p w14:paraId="0000056A" w14:textId="77777777" w:rsidR="00655AEF" w:rsidRDefault="00000000">
      <w:pPr>
        <w:spacing w:after="240" w:line="360" w:lineRule="auto"/>
        <w:jc w:val="both"/>
        <w:rPr>
          <w:sz w:val="24"/>
          <w:szCs w:val="24"/>
        </w:rPr>
      </w:pPr>
      <w:r>
        <w:rPr>
          <w:sz w:val="24"/>
          <w:szCs w:val="24"/>
        </w:rPr>
        <w:t>Alcohol and Substance Abuse: These can severely impair a patient's ability to adhere to their ART regimen and keep appointments.</w:t>
      </w:r>
    </w:p>
    <w:p w14:paraId="0000056B" w14:textId="77777777" w:rsidR="00655AEF" w:rsidRDefault="00000000">
      <w:pPr>
        <w:spacing w:after="240" w:line="360" w:lineRule="auto"/>
        <w:jc w:val="both"/>
        <w:rPr>
          <w:b/>
          <w:sz w:val="24"/>
          <w:szCs w:val="24"/>
        </w:rPr>
      </w:pPr>
      <w:r>
        <w:rPr>
          <w:b/>
          <w:sz w:val="24"/>
          <w:szCs w:val="24"/>
        </w:rPr>
        <w:t>C.</w:t>
      </w:r>
      <w:r>
        <w:rPr>
          <w:b/>
          <w:sz w:val="24"/>
          <w:szCs w:val="24"/>
        </w:rPr>
        <w:tab/>
        <w:t>Health System and Facility-Level Barriers:</w:t>
      </w:r>
    </w:p>
    <w:p w14:paraId="0000056C" w14:textId="77777777" w:rsidR="00655AEF" w:rsidRDefault="00000000">
      <w:pPr>
        <w:spacing w:after="240" w:line="360" w:lineRule="auto"/>
        <w:jc w:val="both"/>
        <w:rPr>
          <w:sz w:val="24"/>
          <w:szCs w:val="24"/>
        </w:rPr>
      </w:pPr>
      <w:r>
        <w:rPr>
          <w:sz w:val="24"/>
          <w:szCs w:val="24"/>
        </w:rPr>
        <w:t>Drug Stock-Outs: The data explicitly mentions drug out of stock (1.0%) as a reason for stopping treatment. Inconsistent drug supply can lead to treatment interruptions, frustration, and disengagement.</w:t>
      </w:r>
    </w:p>
    <w:p w14:paraId="0000056D" w14:textId="77777777" w:rsidR="00655AEF" w:rsidRDefault="00000000">
      <w:pPr>
        <w:spacing w:after="240" w:line="360" w:lineRule="auto"/>
        <w:jc w:val="both"/>
        <w:rPr>
          <w:sz w:val="24"/>
          <w:szCs w:val="24"/>
        </w:rPr>
      </w:pPr>
      <w:r>
        <w:rPr>
          <w:sz w:val="24"/>
          <w:szCs w:val="24"/>
        </w:rPr>
        <w:t>Long Waiting Times and Distance to Clinics: Patients may face long queues at facilities, consuming valuable time and incurring additional transport costs. For those living far from clinics, the travel burden can be prohibitive, especially if they are already economically vulnerable. Decentralizing ART services could mitigate this.</w:t>
      </w:r>
    </w:p>
    <w:p w14:paraId="0000056E" w14:textId="77777777" w:rsidR="00655AEF" w:rsidRDefault="00000000">
      <w:pPr>
        <w:spacing w:after="240" w:line="360" w:lineRule="auto"/>
        <w:jc w:val="both"/>
        <w:rPr>
          <w:sz w:val="24"/>
          <w:szCs w:val="24"/>
        </w:rPr>
      </w:pPr>
      <w:r>
        <w:rPr>
          <w:sz w:val="24"/>
          <w:szCs w:val="24"/>
        </w:rPr>
        <w:t>Poor Attitude by Health Service Providers: Negative interactions with healthcare workers can deter patients from returning to clinics. A supportive and non-judgmental environment is crucial for retention.</w:t>
      </w:r>
    </w:p>
    <w:p w14:paraId="0000056F" w14:textId="77777777" w:rsidR="00655AEF" w:rsidRDefault="00000000">
      <w:pPr>
        <w:spacing w:after="240" w:line="360" w:lineRule="auto"/>
        <w:jc w:val="both"/>
        <w:rPr>
          <w:sz w:val="24"/>
          <w:szCs w:val="24"/>
        </w:rPr>
      </w:pPr>
      <w:r>
        <w:rPr>
          <w:sz w:val="24"/>
          <w:szCs w:val="24"/>
        </w:rPr>
        <w:t>Inadequate Tracking Systems: The existing antiquated health management systems make it difficult to accurately track patients, especially those who are lost to follow-up or silently transfer to other facilities. This results in an inaccurate estimation of retention rates and a failure to re-engage patients promptly. Electronic health records (EHRs) with clinical decision support systems have been shown to reduce loss to follow-up.</w:t>
      </w:r>
    </w:p>
    <w:p w14:paraId="00000570" w14:textId="77777777" w:rsidR="00655AEF" w:rsidRDefault="00000000">
      <w:pPr>
        <w:spacing w:after="240" w:line="360" w:lineRule="auto"/>
        <w:jc w:val="both"/>
        <w:rPr>
          <w:sz w:val="24"/>
          <w:szCs w:val="24"/>
        </w:rPr>
      </w:pPr>
      <w:r>
        <w:rPr>
          <w:sz w:val="24"/>
          <w:szCs w:val="24"/>
        </w:rPr>
        <w:t xml:space="preserve">Staff Shortages and High Workload: Healthcare providers in high-volume clinics often operate under immense strain, which can compromise the quality of patient interaction </w:t>
      </w:r>
      <w:r>
        <w:rPr>
          <w:sz w:val="24"/>
          <w:szCs w:val="24"/>
        </w:rPr>
        <w:lastRenderedPageBreak/>
        <w:t>and follow-up.</w:t>
      </w:r>
    </w:p>
    <w:p w14:paraId="00000571" w14:textId="77777777" w:rsidR="00655AEF" w:rsidRDefault="00000000">
      <w:pPr>
        <w:spacing w:after="240" w:line="360" w:lineRule="auto"/>
        <w:jc w:val="both"/>
        <w:rPr>
          <w:b/>
          <w:sz w:val="24"/>
          <w:szCs w:val="24"/>
        </w:rPr>
      </w:pPr>
      <w:r>
        <w:rPr>
          <w:b/>
          <w:sz w:val="24"/>
          <w:szCs w:val="24"/>
        </w:rPr>
        <w:t>D.</w:t>
      </w:r>
      <w:r>
        <w:rPr>
          <w:b/>
          <w:sz w:val="24"/>
          <w:szCs w:val="24"/>
        </w:rPr>
        <w:tab/>
        <w:t>Social and Psychological Factors:</w:t>
      </w:r>
    </w:p>
    <w:p w14:paraId="00000572" w14:textId="77777777" w:rsidR="00655AEF" w:rsidRDefault="00000000">
      <w:pPr>
        <w:spacing w:after="240" w:line="360" w:lineRule="auto"/>
        <w:jc w:val="both"/>
        <w:rPr>
          <w:sz w:val="24"/>
          <w:szCs w:val="24"/>
        </w:rPr>
      </w:pPr>
      <w:r>
        <w:rPr>
          <w:sz w:val="24"/>
          <w:szCs w:val="24"/>
        </w:rPr>
        <w:t>Stigma and Discrimination: Despite increased awareness, high levels of stigma and discrimination persist in Kenya. This can lead to fear of disclosure, social isolation, and reluctance to attend clinics or pick up medication, for fear of being identified as PLHIV. Stigma can also lead to internalized negative feelings, affecting self-worth and motivation for adherence.</w:t>
      </w:r>
    </w:p>
    <w:p w14:paraId="00000573" w14:textId="77777777" w:rsidR="00655AEF" w:rsidRDefault="00000000">
      <w:pPr>
        <w:spacing w:after="240" w:line="360" w:lineRule="auto"/>
        <w:jc w:val="both"/>
        <w:rPr>
          <w:sz w:val="24"/>
          <w:szCs w:val="24"/>
        </w:rPr>
      </w:pPr>
      <w:r>
        <w:rPr>
          <w:sz w:val="24"/>
          <w:szCs w:val="24"/>
        </w:rPr>
        <w:t>Lack of Social Support: Patients without strong family or community support networks may struggle more with adherence and retention. Support from peers, family, and community health workers is crucial.</w:t>
      </w:r>
    </w:p>
    <w:p w14:paraId="00000574" w14:textId="77777777" w:rsidR="00655AEF" w:rsidRDefault="00000000">
      <w:pPr>
        <w:spacing w:after="240" w:line="360" w:lineRule="auto"/>
        <w:jc w:val="both"/>
        <w:rPr>
          <w:sz w:val="24"/>
          <w:szCs w:val="24"/>
        </w:rPr>
      </w:pPr>
      <w:r>
        <w:rPr>
          <w:sz w:val="24"/>
          <w:szCs w:val="24"/>
        </w:rPr>
        <w:t>Fear of Side Effects and Disclosure: Patients might fear side effects, or disclosing their status, which can lead to discreet but irregular medication intake or missing appointments.</w:t>
      </w:r>
    </w:p>
    <w:p w14:paraId="00000575" w14:textId="77777777" w:rsidR="00655AEF" w:rsidRDefault="00000000">
      <w:pPr>
        <w:spacing w:after="240" w:line="360" w:lineRule="auto"/>
        <w:jc w:val="both"/>
        <w:rPr>
          <w:sz w:val="24"/>
          <w:szCs w:val="24"/>
        </w:rPr>
      </w:pPr>
      <w:r>
        <w:rPr>
          <w:sz w:val="24"/>
          <w:szCs w:val="24"/>
        </w:rPr>
        <w:t>Mental Health Issues: Depression and anxiety are common among PLHIV and can significantly impair their ability to adhere to treatment and remain in care.</w:t>
      </w:r>
    </w:p>
    <w:p w14:paraId="00000576" w14:textId="77777777" w:rsidR="00655AEF" w:rsidRDefault="00000000">
      <w:pPr>
        <w:spacing w:after="240" w:line="360" w:lineRule="auto"/>
        <w:jc w:val="both"/>
        <w:rPr>
          <w:b/>
          <w:sz w:val="24"/>
          <w:szCs w:val="24"/>
        </w:rPr>
      </w:pPr>
      <w:r>
        <w:rPr>
          <w:b/>
          <w:sz w:val="24"/>
          <w:szCs w:val="24"/>
        </w:rPr>
        <w:t>E.</w:t>
      </w:r>
      <w:r>
        <w:rPr>
          <w:b/>
          <w:sz w:val="24"/>
          <w:szCs w:val="24"/>
        </w:rPr>
        <w:tab/>
        <w:t>Other Contextual Factors:</w:t>
      </w:r>
    </w:p>
    <w:p w14:paraId="00000577" w14:textId="77777777" w:rsidR="00655AEF" w:rsidRDefault="00000000">
      <w:pPr>
        <w:spacing w:after="240" w:line="360" w:lineRule="auto"/>
        <w:jc w:val="both"/>
        <w:rPr>
          <w:sz w:val="24"/>
          <w:szCs w:val="24"/>
        </w:rPr>
      </w:pPr>
      <w:r>
        <w:rPr>
          <w:sz w:val="24"/>
          <w:szCs w:val="24"/>
        </w:rPr>
        <w:t>Mobility/Migration: Patients moving for work, education, or family reasons may self-transfer to other clinics without official documentation, making them appear lost to follow-up.</w:t>
      </w:r>
    </w:p>
    <w:p w14:paraId="00000578" w14:textId="77777777" w:rsidR="00655AEF" w:rsidRDefault="00000000">
      <w:pPr>
        <w:spacing w:after="240" w:line="360" w:lineRule="auto"/>
        <w:jc w:val="both"/>
        <w:rPr>
          <w:sz w:val="24"/>
          <w:szCs w:val="24"/>
        </w:rPr>
      </w:pPr>
      <w:r>
        <w:rPr>
          <w:sz w:val="24"/>
          <w:szCs w:val="24"/>
        </w:rPr>
        <w:t>Belief in Alternative Healing: Some patients may seek traditional or spiritual healers, sometimes discontinuing ART based on beliefs that alternative methods can cure HIV.</w:t>
      </w:r>
    </w:p>
    <w:p w14:paraId="00000579" w14:textId="77777777" w:rsidR="00655AEF" w:rsidRDefault="00000000">
      <w:pPr>
        <w:spacing w:after="240" w:line="360" w:lineRule="auto"/>
        <w:jc w:val="both"/>
        <w:rPr>
          <w:sz w:val="24"/>
          <w:szCs w:val="24"/>
        </w:rPr>
      </w:pPr>
      <w:r>
        <w:rPr>
          <w:sz w:val="24"/>
          <w:szCs w:val="24"/>
        </w:rPr>
        <w:t>Pregnancy: While essential for preventing mother-to-child transmission, pregnancy can introduce complexities if not managed with proper counseling, potentially leading to treatment interruptions.</w:t>
      </w:r>
    </w:p>
    <w:p w14:paraId="0000057A" w14:textId="77777777" w:rsidR="00655AEF" w:rsidRDefault="00000000">
      <w:pPr>
        <w:spacing w:after="240" w:line="360" w:lineRule="auto"/>
        <w:jc w:val="both"/>
        <w:rPr>
          <w:sz w:val="24"/>
          <w:szCs w:val="24"/>
        </w:rPr>
      </w:pPr>
      <w:r>
        <w:rPr>
          <w:sz w:val="24"/>
          <w:szCs w:val="24"/>
        </w:rPr>
        <w:t xml:space="preserve">Addressing these multifactorial barriers requires a comprehensive and integrated </w:t>
      </w:r>
      <w:r>
        <w:rPr>
          <w:sz w:val="24"/>
          <w:szCs w:val="24"/>
        </w:rPr>
        <w:lastRenderedPageBreak/>
        <w:t>approach. The study’s focus on a reward system, alongside qualitative exploration of hindering and promoting factors, is crucial for developing interventions tailored to the specific needs and challenges faced by PLHIV in Kakamega County. This understanding will inform strategies that go beyond mere provision of drugs to encompass holistic patient support, health system strengthening, and community-level interventions to foster an environment conducive to sustained HIV care.</w:t>
      </w:r>
    </w:p>
    <w:p w14:paraId="0000057B" w14:textId="77777777" w:rsidR="00655AEF" w:rsidRDefault="00000000">
      <w:pPr>
        <w:keepNext/>
        <w:spacing w:after="240" w:line="360" w:lineRule="auto"/>
        <w:jc w:val="center"/>
      </w:pPr>
      <w:r>
        <w:rPr>
          <w:rFonts w:ascii="Times New Roman" w:eastAsia="Times New Roman" w:hAnsi="Times New Roman" w:cs="Times New Roman"/>
          <w:noProof/>
          <w:sz w:val="24"/>
          <w:szCs w:val="24"/>
        </w:rPr>
        <w:drawing>
          <wp:inline distT="0" distB="0" distL="0" distR="0" wp14:anchorId="6EA57CEA" wp14:editId="5DB619E9">
            <wp:extent cx="2882508" cy="2882508"/>
            <wp:effectExtent l="0" t="0" r="0" b="0"/>
            <wp:docPr id="59" name="image1.png" descr="C:\Users\Administrator\Desktop\Immunify Life\Factors Hindering Retention.png"/>
            <wp:cNvGraphicFramePr/>
            <a:graphic xmlns:a="http://schemas.openxmlformats.org/drawingml/2006/main">
              <a:graphicData uri="http://schemas.openxmlformats.org/drawingml/2006/picture">
                <pic:pic xmlns:pic="http://schemas.openxmlformats.org/drawingml/2006/picture">
                  <pic:nvPicPr>
                    <pic:cNvPr id="0" name="image1.png" descr="C:\Users\Administrator\Desktop\Immunify Life\Factors Hindering Retention.png"/>
                    <pic:cNvPicPr preferRelativeResize="0"/>
                  </pic:nvPicPr>
                  <pic:blipFill>
                    <a:blip r:embed="rId31"/>
                    <a:srcRect/>
                    <a:stretch>
                      <a:fillRect/>
                    </a:stretch>
                  </pic:blipFill>
                  <pic:spPr>
                    <a:xfrm>
                      <a:off x="0" y="0"/>
                      <a:ext cx="2882508" cy="2882508"/>
                    </a:xfrm>
                    <a:prstGeom prst="rect">
                      <a:avLst/>
                    </a:prstGeom>
                    <a:ln/>
                  </pic:spPr>
                </pic:pic>
              </a:graphicData>
            </a:graphic>
          </wp:inline>
        </w:drawing>
      </w:r>
    </w:p>
    <w:p w14:paraId="0000057C" w14:textId="77777777" w:rsidR="00655AEF" w:rsidRDefault="00000000">
      <w:pPr>
        <w:pBdr>
          <w:top w:val="nil"/>
          <w:left w:val="nil"/>
          <w:bottom w:val="nil"/>
          <w:right w:val="nil"/>
          <w:between w:val="nil"/>
        </w:pBdr>
        <w:spacing w:after="200"/>
        <w:jc w:val="center"/>
        <w:rPr>
          <w:b/>
          <w:color w:val="4F81BD"/>
          <w:sz w:val="24"/>
          <w:szCs w:val="24"/>
        </w:rPr>
      </w:pPr>
      <w:bookmarkStart w:id="110" w:name="_heading=h.o15ghp1czbur" w:colFirst="0" w:colLast="0"/>
      <w:bookmarkEnd w:id="110"/>
      <w:r>
        <w:rPr>
          <w:b/>
          <w:color w:val="4F81BD"/>
          <w:sz w:val="18"/>
          <w:szCs w:val="18"/>
        </w:rPr>
        <w:t>Figure 18: Factors Hindering Retention of HIV/AIDS Clients with Suspected Treatment Failure</w:t>
      </w:r>
    </w:p>
    <w:p w14:paraId="0000057D" w14:textId="77777777" w:rsidR="00655AEF" w:rsidRDefault="00655AEF">
      <w:pPr>
        <w:spacing w:after="240" w:line="360" w:lineRule="auto"/>
        <w:jc w:val="center"/>
        <w:rPr>
          <w:sz w:val="24"/>
          <w:szCs w:val="24"/>
        </w:rPr>
      </w:pPr>
    </w:p>
    <w:p w14:paraId="0000057E" w14:textId="77777777" w:rsidR="00655AEF" w:rsidRDefault="00000000">
      <w:pPr>
        <w:pStyle w:val="Heading2"/>
        <w:keepNext w:val="0"/>
        <w:keepLines w:val="0"/>
        <w:numPr>
          <w:ilvl w:val="1"/>
          <w:numId w:val="3"/>
        </w:numPr>
        <w:spacing w:before="0"/>
      </w:pPr>
      <w:bookmarkStart w:id="111" w:name="_heading=h.rwnhyyuedhyq" w:colFirst="0" w:colLast="0"/>
      <w:bookmarkEnd w:id="111"/>
      <w:r>
        <w:t>Factors Promoting Retention of HIV/AIDS Clients with Suspected Treatment Failure at Kakamega County (</w:t>
      </w:r>
      <w:r>
        <w:rPr>
          <w:color w:val="FF0000"/>
        </w:rPr>
        <w:t>Objective 3)</w:t>
      </w:r>
    </w:p>
    <w:p w14:paraId="0000057F" w14:textId="77777777" w:rsidR="00655AEF" w:rsidRDefault="00000000">
      <w:pPr>
        <w:spacing w:after="240" w:line="360" w:lineRule="auto"/>
        <w:jc w:val="both"/>
        <w:rPr>
          <w:sz w:val="24"/>
          <w:szCs w:val="24"/>
        </w:rPr>
      </w:pPr>
      <w:r>
        <w:rPr>
          <w:sz w:val="24"/>
          <w:szCs w:val="24"/>
        </w:rPr>
        <w:t>In the context of patients with suspected treatment failure in Kakamega County, identifying and strengthening factors that promote retention in HIV/AIDS care is paramount. Based on general understanding of HIV care in resource-limited settings like Kenya, and drawing from the literature, several key areas contribute to improved patient retention:</w:t>
      </w:r>
    </w:p>
    <w:p w14:paraId="00000580" w14:textId="77777777" w:rsidR="00655AEF" w:rsidRDefault="00000000">
      <w:pPr>
        <w:spacing w:after="240" w:line="360" w:lineRule="auto"/>
        <w:jc w:val="both"/>
        <w:rPr>
          <w:b/>
          <w:sz w:val="24"/>
          <w:szCs w:val="24"/>
        </w:rPr>
      </w:pPr>
      <w:r>
        <w:rPr>
          <w:b/>
          <w:sz w:val="24"/>
          <w:szCs w:val="24"/>
        </w:rPr>
        <w:t>A.</w:t>
      </w:r>
      <w:r>
        <w:rPr>
          <w:b/>
          <w:sz w:val="24"/>
          <w:szCs w:val="24"/>
        </w:rPr>
        <w:tab/>
        <w:t>Patient-Centered Care and Strong Provider-Patient Relationships:</w:t>
      </w:r>
    </w:p>
    <w:p w14:paraId="00000581" w14:textId="77777777" w:rsidR="00655AEF" w:rsidRDefault="00000000">
      <w:pPr>
        <w:spacing w:after="240" w:line="360" w:lineRule="auto"/>
        <w:jc w:val="both"/>
        <w:rPr>
          <w:sz w:val="24"/>
          <w:szCs w:val="24"/>
        </w:rPr>
      </w:pPr>
      <w:r>
        <w:rPr>
          <w:sz w:val="24"/>
          <w:szCs w:val="24"/>
        </w:rPr>
        <w:lastRenderedPageBreak/>
        <w:t>Empathetic and Non-judgmental Healthcare Providers: Patients are more likely to remain in care when they feel respected, understood, and supported by their healthcare team. Training healthcare providers in communication skills and stigma reduction can significantly improve patient trust and comfort.</w:t>
      </w:r>
    </w:p>
    <w:p w14:paraId="00000582" w14:textId="77777777" w:rsidR="00655AEF" w:rsidRDefault="00000000">
      <w:pPr>
        <w:spacing w:after="240" w:line="360" w:lineRule="auto"/>
        <w:jc w:val="both"/>
        <w:rPr>
          <w:sz w:val="24"/>
          <w:szCs w:val="24"/>
        </w:rPr>
      </w:pPr>
      <w:r>
        <w:rPr>
          <w:sz w:val="24"/>
          <w:szCs w:val="24"/>
        </w:rPr>
        <w:t>Tailored Adherence Counseling: Generic counseling often falls short. Effective retention is promoted by individualized adherence counseling that addresses specific patient barriers (e.g., lifestyle, side effects, mental health). This includes practical advice on medication storage, taking pills with food, and managing side effects.</w:t>
      </w:r>
    </w:p>
    <w:p w14:paraId="00000583" w14:textId="77777777" w:rsidR="00655AEF" w:rsidRDefault="00000000">
      <w:pPr>
        <w:spacing w:after="240" w:line="360" w:lineRule="auto"/>
        <w:jc w:val="both"/>
        <w:rPr>
          <w:sz w:val="24"/>
          <w:szCs w:val="24"/>
        </w:rPr>
      </w:pPr>
      <w:r>
        <w:rPr>
          <w:sz w:val="24"/>
          <w:szCs w:val="24"/>
        </w:rPr>
        <w:t>Reduced Wait Times and Flexible Clinic Hours: Long wait times and rigid clinic schedules can be significant deterrents, especially for patients who are employed or have other family responsibilities. Minimizing time away from work or home can greatly improve retention. Offering appointments during non-working hours or on weekends can also be beneficial.</w:t>
      </w:r>
    </w:p>
    <w:p w14:paraId="00000584" w14:textId="77777777" w:rsidR="00655AEF" w:rsidRDefault="00000000">
      <w:pPr>
        <w:spacing w:after="240" w:line="360" w:lineRule="auto"/>
        <w:jc w:val="both"/>
        <w:rPr>
          <w:b/>
          <w:sz w:val="24"/>
          <w:szCs w:val="24"/>
        </w:rPr>
      </w:pPr>
      <w:r>
        <w:rPr>
          <w:b/>
          <w:sz w:val="24"/>
          <w:szCs w:val="24"/>
        </w:rPr>
        <w:t>B.</w:t>
      </w:r>
      <w:r>
        <w:rPr>
          <w:b/>
          <w:sz w:val="24"/>
          <w:szCs w:val="24"/>
        </w:rPr>
        <w:tab/>
        <w:t>Socio-Economic Support and Reduced Financial Burden:</w:t>
      </w:r>
    </w:p>
    <w:p w14:paraId="00000585" w14:textId="77777777" w:rsidR="00655AEF" w:rsidRDefault="00000000">
      <w:pPr>
        <w:spacing w:after="240" w:line="360" w:lineRule="auto"/>
        <w:jc w:val="both"/>
        <w:rPr>
          <w:sz w:val="24"/>
          <w:szCs w:val="24"/>
        </w:rPr>
      </w:pPr>
      <w:sdt>
        <w:sdtPr>
          <w:tag w:val="goog_rdk_4"/>
          <w:id w:val="-221283481"/>
        </w:sdtPr>
        <w:sdtContent>
          <w:commentRangeStart w:id="112"/>
        </w:sdtContent>
      </w:sdt>
      <w:r>
        <w:rPr>
          <w:sz w:val="24"/>
          <w:szCs w:val="24"/>
        </w:rPr>
        <w:t>Financial Incentives (as proposed in the study): Direct financial incentives, such as gift cards or vouchers, can significantly alleviate the economic burdens associated with accessing care (e.g., transport costs, food insecurity, lost wages). As highlighted in the background, such incentives have shown promise in improving viral suppression and clinic attendance in other settings, including a study in Kenya where incentives helped patients prioritize care-seeking by alleviating transport barriers and food insecurity. This directly addresses the high lack of insurance coverage observed in the target population.</w:t>
      </w:r>
      <w:commentRangeEnd w:id="112"/>
      <w:r>
        <w:commentReference w:id="112"/>
      </w:r>
    </w:p>
    <w:p w14:paraId="00000586" w14:textId="77777777" w:rsidR="00655AEF" w:rsidRDefault="00000000">
      <w:pPr>
        <w:spacing w:after="240" w:line="360" w:lineRule="auto"/>
        <w:jc w:val="both"/>
        <w:rPr>
          <w:sz w:val="24"/>
          <w:szCs w:val="24"/>
        </w:rPr>
      </w:pPr>
      <w:r>
        <w:rPr>
          <w:sz w:val="24"/>
          <w:szCs w:val="24"/>
        </w:rPr>
        <w:t xml:space="preserve">Ancillary Services: Providing access to services like </w:t>
      </w:r>
      <w:proofErr w:type="gramStart"/>
      <w:r>
        <w:rPr>
          <w:sz w:val="24"/>
          <w:szCs w:val="24"/>
        </w:rPr>
        <w:t>child care</w:t>
      </w:r>
      <w:proofErr w:type="gramEnd"/>
      <w:r>
        <w:rPr>
          <w:sz w:val="24"/>
          <w:szCs w:val="24"/>
        </w:rPr>
        <w:t>, emergency financial assistance, housing support, or nutrition programs can remove significant practical barriers that often lead to missed appointments or treatment interruptions.</w:t>
      </w:r>
    </w:p>
    <w:p w14:paraId="00000587" w14:textId="77777777" w:rsidR="00655AEF" w:rsidRDefault="00000000">
      <w:pPr>
        <w:spacing w:after="240" w:line="360" w:lineRule="auto"/>
        <w:jc w:val="both"/>
        <w:rPr>
          <w:sz w:val="24"/>
          <w:szCs w:val="24"/>
        </w:rPr>
      </w:pPr>
      <w:r>
        <w:rPr>
          <w:sz w:val="24"/>
          <w:szCs w:val="24"/>
        </w:rPr>
        <w:t>Integrated Services: Co-locating HIV services with other essential health services (e.g., family planning, TB screening, mental health support) can reduce the number of separate visits patients need to make, improving convenience and overall engagement.</w:t>
      </w:r>
    </w:p>
    <w:p w14:paraId="00000588" w14:textId="77777777" w:rsidR="00655AEF" w:rsidRDefault="00000000">
      <w:pPr>
        <w:spacing w:after="240" w:line="360" w:lineRule="auto"/>
        <w:jc w:val="both"/>
        <w:rPr>
          <w:b/>
          <w:sz w:val="24"/>
          <w:szCs w:val="24"/>
        </w:rPr>
      </w:pPr>
      <w:r>
        <w:rPr>
          <w:b/>
          <w:sz w:val="24"/>
          <w:szCs w:val="24"/>
        </w:rPr>
        <w:lastRenderedPageBreak/>
        <w:t>C.</w:t>
      </w:r>
      <w:r>
        <w:rPr>
          <w:b/>
          <w:sz w:val="24"/>
          <w:szCs w:val="24"/>
        </w:rPr>
        <w:tab/>
        <w:t>Social Support and Community Engagement:</w:t>
      </w:r>
    </w:p>
    <w:p w14:paraId="00000589" w14:textId="77777777" w:rsidR="00655AEF" w:rsidRDefault="00000000">
      <w:pPr>
        <w:spacing w:after="240" w:line="360" w:lineRule="auto"/>
        <w:jc w:val="both"/>
        <w:rPr>
          <w:sz w:val="24"/>
          <w:szCs w:val="24"/>
        </w:rPr>
      </w:pPr>
      <w:r>
        <w:rPr>
          <w:sz w:val="24"/>
          <w:szCs w:val="24"/>
        </w:rPr>
        <w:t>Family and Treatment Supporters: Encouraging and educating family members or designated treatment supporters to provide emotional, practical, and reminder support can significantly boost adherence and retention. Studies consistently show the positive impact of involving close contacts in patient care.</w:t>
      </w:r>
    </w:p>
    <w:p w14:paraId="0000058A" w14:textId="77777777" w:rsidR="00655AEF" w:rsidRDefault="00000000">
      <w:pPr>
        <w:spacing w:after="240" w:line="360" w:lineRule="auto"/>
        <w:jc w:val="both"/>
        <w:rPr>
          <w:sz w:val="24"/>
          <w:szCs w:val="24"/>
        </w:rPr>
      </w:pPr>
      <w:r>
        <w:rPr>
          <w:sz w:val="24"/>
          <w:szCs w:val="24"/>
        </w:rPr>
        <w:t>Peer Support Groups: Connecting patients with their peers who are also living with HIV provides a crucial platform for sharing experiences, coping strategies, and mutual encouragement. Peer support can reduce feelings of isolation, combat stigma, and offer practical advice from lived experience, significantly improving adherence and retention. Peer navigators, who often have personal experience with HIV, can also guide clients through the healthcare system.</w:t>
      </w:r>
    </w:p>
    <w:p w14:paraId="0000058B" w14:textId="77777777" w:rsidR="00655AEF" w:rsidRDefault="00000000">
      <w:pPr>
        <w:spacing w:after="240" w:line="360" w:lineRule="auto"/>
        <w:jc w:val="both"/>
        <w:rPr>
          <w:sz w:val="24"/>
          <w:szCs w:val="24"/>
        </w:rPr>
      </w:pPr>
      <w:r>
        <w:rPr>
          <w:sz w:val="24"/>
          <w:szCs w:val="24"/>
        </w:rPr>
        <w:t>Community Health Workers (CHWs): CHWs play a vital role in bridging the gap between healthcare facilities and communities. They can conduct home visits, provide psychosocial support, deliver health education, track missed appointments, and offer direct reminders, especially to those who are more vulnerable or hard to reach. Their familiarity with local issues and rapport with community members make them effective in promoting long-term engagement.</w:t>
      </w:r>
    </w:p>
    <w:p w14:paraId="0000058C" w14:textId="77777777" w:rsidR="00655AEF" w:rsidRDefault="00000000">
      <w:pPr>
        <w:spacing w:after="240" w:line="360" w:lineRule="auto"/>
        <w:jc w:val="both"/>
        <w:rPr>
          <w:b/>
          <w:sz w:val="24"/>
          <w:szCs w:val="24"/>
        </w:rPr>
      </w:pPr>
      <w:r>
        <w:rPr>
          <w:b/>
          <w:sz w:val="24"/>
          <w:szCs w:val="24"/>
        </w:rPr>
        <w:t>D.</w:t>
      </w:r>
      <w:r>
        <w:rPr>
          <w:b/>
          <w:sz w:val="24"/>
          <w:szCs w:val="24"/>
        </w:rPr>
        <w:tab/>
        <w:t>Effective Tracking and Follow-up Mechanisms:</w:t>
      </w:r>
    </w:p>
    <w:p w14:paraId="0000058D" w14:textId="77777777" w:rsidR="00655AEF" w:rsidRDefault="00000000">
      <w:pPr>
        <w:spacing w:after="240" w:line="360" w:lineRule="auto"/>
        <w:jc w:val="both"/>
        <w:rPr>
          <w:sz w:val="24"/>
          <w:szCs w:val="24"/>
        </w:rPr>
      </w:pPr>
      <w:r>
        <w:rPr>
          <w:sz w:val="24"/>
          <w:szCs w:val="24"/>
        </w:rPr>
        <w:t>Robust Patient Tracking Systems: Given the challenges with antiquated health management systems mentioned in the problem statement, developing an integrated system for tracking patient attendance, missed appointments, and viral load results is crucial. This allows for timely intervention when a patient is at risk of defaulting.</w:t>
      </w:r>
    </w:p>
    <w:p w14:paraId="0000058E" w14:textId="77777777" w:rsidR="00655AEF" w:rsidRDefault="00000000">
      <w:pPr>
        <w:spacing w:after="240" w:line="360" w:lineRule="auto"/>
        <w:jc w:val="both"/>
        <w:rPr>
          <w:sz w:val="24"/>
          <w:szCs w:val="24"/>
        </w:rPr>
      </w:pPr>
      <w:r>
        <w:rPr>
          <w:sz w:val="24"/>
          <w:szCs w:val="24"/>
        </w:rPr>
        <w:t>Appointment Reminders: Simple interventions like phone calls or SMS reminders for scheduled appointments can dramatically reduce missed visits. Digital health solutions, including patient portals and mobile apps, are showing high feasibility and acceptability in Kenya for this purpose, offering reminders, peer support forums, and access to health information.</w:t>
      </w:r>
    </w:p>
    <w:p w14:paraId="0000058F" w14:textId="77777777" w:rsidR="00655AEF" w:rsidRDefault="00000000">
      <w:pPr>
        <w:spacing w:after="240" w:line="360" w:lineRule="auto"/>
        <w:jc w:val="both"/>
        <w:rPr>
          <w:sz w:val="24"/>
          <w:szCs w:val="24"/>
        </w:rPr>
      </w:pPr>
      <w:r>
        <w:rPr>
          <w:sz w:val="24"/>
          <w:szCs w:val="24"/>
        </w:rPr>
        <w:lastRenderedPageBreak/>
        <w:t>Proactive Outreach for Defaulters: When a patient misses an appointment or shows signs of treatment failure, prompt and respectful outreach (e.g., by CHWs or clinic staff) to understand the reasons and re-engage them in care is essential.</w:t>
      </w:r>
    </w:p>
    <w:p w14:paraId="00000590" w14:textId="77777777" w:rsidR="00655AEF" w:rsidRDefault="00000000">
      <w:pPr>
        <w:spacing w:after="240" w:line="360" w:lineRule="auto"/>
        <w:jc w:val="both"/>
        <w:rPr>
          <w:sz w:val="24"/>
          <w:szCs w:val="24"/>
        </w:rPr>
      </w:pPr>
      <w:r>
        <w:rPr>
          <w:sz w:val="24"/>
          <w:szCs w:val="24"/>
        </w:rPr>
        <w:t>Personal Motivation and Perceived Health Benefits:</w:t>
      </w:r>
    </w:p>
    <w:p w14:paraId="00000591" w14:textId="77777777" w:rsidR="00655AEF" w:rsidRDefault="00000000">
      <w:pPr>
        <w:spacing w:after="240" w:line="360" w:lineRule="auto"/>
        <w:jc w:val="both"/>
        <w:rPr>
          <w:sz w:val="24"/>
          <w:szCs w:val="24"/>
        </w:rPr>
      </w:pPr>
      <w:r>
        <w:rPr>
          <w:sz w:val="24"/>
          <w:szCs w:val="24"/>
        </w:rPr>
        <w:t>Improved Physical Health: Patients who experience tangible improvements in their health status after initiating ART are strongly motivated to remain in care. This feeling better reinforces the value of treatment.</w:t>
      </w:r>
    </w:p>
    <w:p w14:paraId="00000592" w14:textId="77777777" w:rsidR="00655AEF" w:rsidRDefault="00000000">
      <w:pPr>
        <w:spacing w:after="240" w:line="360" w:lineRule="auto"/>
        <w:jc w:val="both"/>
        <w:rPr>
          <w:sz w:val="24"/>
          <w:szCs w:val="24"/>
        </w:rPr>
      </w:pPr>
      <w:r>
        <w:rPr>
          <w:sz w:val="24"/>
          <w:szCs w:val="24"/>
        </w:rPr>
        <w:t>Understanding of Treatment Benefits: Clear and consistent education on the importance of ART for viral suppression, preventing opportunistic infections, and improving quality of life, including the ability to live a normal life and prevent transmission, strengthens personal commitment to retention.</w:t>
      </w:r>
    </w:p>
    <w:p w14:paraId="00000593" w14:textId="77777777" w:rsidR="00655AEF" w:rsidRDefault="00000000">
      <w:pPr>
        <w:spacing w:after="240" w:line="360" w:lineRule="auto"/>
        <w:jc w:val="both"/>
        <w:rPr>
          <w:sz w:val="24"/>
          <w:szCs w:val="24"/>
        </w:rPr>
      </w:pPr>
      <w:r>
        <w:rPr>
          <w:sz w:val="24"/>
          <w:szCs w:val="24"/>
        </w:rPr>
        <w:t>Promoting retention in Kakamega County requires a multi-faceted approach that goes beyond simply providing drugs. It necessitates a patient-centered healthcare system that addresses both clinical and socio-economic barriers, leverages strong social and community support networks, integrates modern tracking technologies, and continuously reinforces the personal benefits of sustained adherence. The proposed reward system, by directly addressing financial and motivational aspects, aligns well with many of these identified promoting factors.</w:t>
      </w:r>
    </w:p>
    <w:p w14:paraId="00000594" w14:textId="77777777" w:rsidR="00655AEF" w:rsidRDefault="00655AEF">
      <w:pPr>
        <w:spacing w:after="240" w:line="360" w:lineRule="auto"/>
        <w:jc w:val="both"/>
        <w:rPr>
          <w:sz w:val="24"/>
          <w:szCs w:val="24"/>
        </w:rPr>
      </w:pPr>
    </w:p>
    <w:p w14:paraId="00000595" w14:textId="77777777" w:rsidR="00655AEF" w:rsidRDefault="00655AEF">
      <w:pPr>
        <w:spacing w:after="240" w:line="360" w:lineRule="auto"/>
        <w:jc w:val="both"/>
        <w:rPr>
          <w:sz w:val="24"/>
          <w:szCs w:val="24"/>
        </w:rPr>
      </w:pPr>
    </w:p>
    <w:p w14:paraId="00000596" w14:textId="77777777" w:rsidR="00655AEF" w:rsidRDefault="00000000">
      <w:pPr>
        <w:keepNext/>
        <w:spacing w:after="240" w:line="360" w:lineRule="auto"/>
        <w:jc w:val="center"/>
      </w:pPr>
      <w:r>
        <w:rPr>
          <w:rFonts w:ascii="Times New Roman" w:eastAsia="Times New Roman" w:hAnsi="Times New Roman" w:cs="Times New Roman"/>
          <w:noProof/>
          <w:sz w:val="24"/>
          <w:szCs w:val="24"/>
        </w:rPr>
        <w:lastRenderedPageBreak/>
        <w:drawing>
          <wp:inline distT="0" distB="0" distL="0" distR="0" wp14:anchorId="2E0CF80E" wp14:editId="429506F4">
            <wp:extent cx="2715672" cy="2695992"/>
            <wp:effectExtent l="0" t="0" r="0" b="0"/>
            <wp:docPr id="60" name="image3.png" descr="C:\Users\Administrator\Desktop\Immunify Life\Factors Promoting Retention.png"/>
            <wp:cNvGraphicFramePr/>
            <a:graphic xmlns:a="http://schemas.openxmlformats.org/drawingml/2006/main">
              <a:graphicData uri="http://schemas.openxmlformats.org/drawingml/2006/picture">
                <pic:pic xmlns:pic="http://schemas.openxmlformats.org/drawingml/2006/picture">
                  <pic:nvPicPr>
                    <pic:cNvPr id="0" name="image3.png" descr="C:\Users\Administrator\Desktop\Immunify Life\Factors Promoting Retention.png"/>
                    <pic:cNvPicPr preferRelativeResize="0"/>
                  </pic:nvPicPr>
                  <pic:blipFill>
                    <a:blip r:embed="rId32"/>
                    <a:srcRect b="724"/>
                    <a:stretch>
                      <a:fillRect/>
                    </a:stretch>
                  </pic:blipFill>
                  <pic:spPr>
                    <a:xfrm>
                      <a:off x="0" y="0"/>
                      <a:ext cx="2715672" cy="2695992"/>
                    </a:xfrm>
                    <a:prstGeom prst="rect">
                      <a:avLst/>
                    </a:prstGeom>
                    <a:ln/>
                  </pic:spPr>
                </pic:pic>
              </a:graphicData>
            </a:graphic>
          </wp:inline>
        </w:drawing>
      </w:r>
    </w:p>
    <w:p w14:paraId="00000597" w14:textId="77777777" w:rsidR="00655AEF" w:rsidRDefault="00000000">
      <w:pPr>
        <w:pBdr>
          <w:top w:val="nil"/>
          <w:left w:val="nil"/>
          <w:bottom w:val="nil"/>
          <w:right w:val="nil"/>
          <w:between w:val="nil"/>
        </w:pBdr>
        <w:spacing w:after="200"/>
        <w:jc w:val="center"/>
        <w:rPr>
          <w:b/>
          <w:color w:val="4F81BD"/>
          <w:sz w:val="24"/>
          <w:szCs w:val="24"/>
        </w:rPr>
      </w:pPr>
      <w:bookmarkStart w:id="113" w:name="_heading=h.mjhm85s7muu5" w:colFirst="0" w:colLast="0"/>
      <w:bookmarkEnd w:id="113"/>
      <w:r>
        <w:rPr>
          <w:b/>
          <w:color w:val="4F81BD"/>
          <w:sz w:val="18"/>
          <w:szCs w:val="18"/>
        </w:rPr>
        <w:t>Figure 19: Factors Promoting Retention of HIV/AIDS Clients with Suspected Treatment Failure</w:t>
      </w:r>
    </w:p>
    <w:p w14:paraId="00000598" w14:textId="77777777" w:rsidR="00655AEF" w:rsidRDefault="00655AEF">
      <w:pPr>
        <w:spacing w:after="240" w:line="360" w:lineRule="auto"/>
        <w:jc w:val="both"/>
        <w:rPr>
          <w:sz w:val="24"/>
          <w:szCs w:val="24"/>
        </w:rPr>
      </w:pPr>
    </w:p>
    <w:bookmarkStart w:id="114" w:name="_heading=h.j08erpi9wn5x" w:colFirst="0" w:colLast="0"/>
    <w:bookmarkEnd w:id="114"/>
    <w:p w14:paraId="00000599" w14:textId="77777777" w:rsidR="00655AEF" w:rsidRDefault="00000000">
      <w:pPr>
        <w:pStyle w:val="Heading2"/>
        <w:keepNext w:val="0"/>
        <w:keepLines w:val="0"/>
        <w:numPr>
          <w:ilvl w:val="1"/>
          <w:numId w:val="3"/>
        </w:numPr>
        <w:spacing w:before="0"/>
      </w:pPr>
      <w:sdt>
        <w:sdtPr>
          <w:tag w:val="goog_rdk_5"/>
          <w:id w:val="-10079316"/>
        </w:sdtPr>
        <w:sdtContent>
          <w:commentRangeStart w:id="115"/>
        </w:sdtContent>
      </w:sdt>
      <w:r>
        <w:t>Developing an Integrated System for Improving Treatment Adherence for HIV/AIDS Clients with Suspected Treatment Failure at Kakamega County (</w:t>
      </w:r>
      <w:r>
        <w:rPr>
          <w:color w:val="FF0000"/>
        </w:rPr>
        <w:t>Objective 4</w:t>
      </w:r>
      <w:r>
        <w:t>)</w:t>
      </w:r>
      <w:commentRangeEnd w:id="115"/>
      <w:r>
        <w:commentReference w:id="115"/>
      </w:r>
    </w:p>
    <w:p w14:paraId="0000059A" w14:textId="77777777" w:rsidR="00655AEF" w:rsidRDefault="00000000">
      <w:pPr>
        <w:spacing w:after="240" w:line="360" w:lineRule="auto"/>
        <w:jc w:val="both"/>
        <w:rPr>
          <w:sz w:val="24"/>
          <w:szCs w:val="24"/>
        </w:rPr>
      </w:pPr>
      <w:r>
        <w:rPr>
          <w:sz w:val="24"/>
          <w:szCs w:val="24"/>
        </w:rPr>
        <w:t>Developing an integrated system for improving treatment adherence in Kakamega County is a crucial strategic imperative to address the persistent challenges in HIV treatment outcomes, especially for patients with suspected treatment failure. The current context, marked by significant rates of severe side effects, drug stock-outs, and profound patient financial vulnerability which include a near-total lack of active insurance cover, necessitates a multi-faceted and coordinated approach.</w:t>
      </w:r>
    </w:p>
    <w:p w14:paraId="0000059B" w14:textId="77777777" w:rsidR="00655AEF" w:rsidRDefault="00000000">
      <w:pPr>
        <w:spacing w:after="240" w:line="360" w:lineRule="auto"/>
        <w:jc w:val="both"/>
        <w:rPr>
          <w:sz w:val="24"/>
          <w:szCs w:val="24"/>
        </w:rPr>
      </w:pPr>
      <w:r>
        <w:rPr>
          <w:sz w:val="24"/>
          <w:szCs w:val="24"/>
        </w:rPr>
        <w:t>An effective integrated system must move beyond isolated interventions and instead create a seamless web of support that addresses the various determinants of adherence. This requires a shift from standalone HIV clinics towards a more holistic, person-centered approach embedded within existing primary healthcare structures, as advocated by Kenya's Ministry of Health and global recommendations. The goal is to provide comprehensive care that normalizes HIV treatment, reduces stigma, and improves efficiency.</w:t>
      </w:r>
    </w:p>
    <w:p w14:paraId="0000059C" w14:textId="77777777" w:rsidR="00655AEF" w:rsidRDefault="00000000">
      <w:pPr>
        <w:spacing w:after="240" w:line="360" w:lineRule="auto"/>
        <w:jc w:val="both"/>
        <w:rPr>
          <w:sz w:val="24"/>
          <w:szCs w:val="24"/>
        </w:rPr>
      </w:pPr>
      <w:r>
        <w:rPr>
          <w:sz w:val="24"/>
          <w:szCs w:val="24"/>
        </w:rPr>
        <w:t xml:space="preserve">A good integrative systems need to cover the following </w:t>
      </w:r>
      <w:proofErr w:type="gramStart"/>
      <w:r>
        <w:rPr>
          <w:sz w:val="24"/>
          <w:szCs w:val="24"/>
        </w:rPr>
        <w:t>factors;</w:t>
      </w:r>
      <w:proofErr w:type="gramEnd"/>
    </w:p>
    <w:p w14:paraId="0000059D" w14:textId="77777777" w:rsidR="00655AEF" w:rsidRDefault="00000000">
      <w:pPr>
        <w:spacing w:after="240" w:line="360" w:lineRule="auto"/>
        <w:jc w:val="both"/>
        <w:rPr>
          <w:b/>
          <w:sz w:val="24"/>
          <w:szCs w:val="24"/>
        </w:rPr>
      </w:pPr>
      <w:r>
        <w:rPr>
          <w:b/>
          <w:sz w:val="24"/>
          <w:szCs w:val="24"/>
        </w:rPr>
        <w:lastRenderedPageBreak/>
        <w:t>A.</w:t>
      </w:r>
      <w:r>
        <w:rPr>
          <w:b/>
          <w:sz w:val="24"/>
          <w:szCs w:val="24"/>
        </w:rPr>
        <w:tab/>
        <w:t>Enhanced Patient-Provider Relationships and Counseling:</w:t>
      </w:r>
    </w:p>
    <w:p w14:paraId="0000059E" w14:textId="77777777" w:rsidR="00655AEF" w:rsidRDefault="00000000">
      <w:pPr>
        <w:spacing w:after="240" w:line="360" w:lineRule="auto"/>
        <w:jc w:val="both"/>
        <w:rPr>
          <w:sz w:val="24"/>
          <w:szCs w:val="24"/>
        </w:rPr>
      </w:pPr>
      <w:r>
        <w:rPr>
          <w:sz w:val="24"/>
          <w:szCs w:val="24"/>
        </w:rPr>
        <w:t>Tailored Adherence Support: Recognizing that severe side effects is a complex issue, the system must incorporate individualized counseling approaches. This means assessing each patient’s specific barriers such as, forgetfulness, side effects, stigma, busy schedules, mental health issues and developing personalized strategies. This goes beyond initial counseling to ongoing, constructive, collaborative, and non-judgmental support.</w:t>
      </w:r>
    </w:p>
    <w:p w14:paraId="0000059F" w14:textId="77777777" w:rsidR="00655AEF" w:rsidRDefault="00000000">
      <w:pPr>
        <w:spacing w:after="240" w:line="360" w:lineRule="auto"/>
        <w:jc w:val="both"/>
        <w:rPr>
          <w:sz w:val="24"/>
          <w:szCs w:val="24"/>
        </w:rPr>
      </w:pPr>
      <w:r>
        <w:rPr>
          <w:sz w:val="24"/>
          <w:szCs w:val="24"/>
        </w:rPr>
        <w:t>Multidisciplinary Team Approach: An integrated system should involve a team of healthcare professionals, including clinicians, nurses, pharmacists, social workers, and community health volunteers (CHVs). This team can collectively identify and address the diverse needs impacting adherence, from medical concerns to psycho-social and economic challenges.</w:t>
      </w:r>
    </w:p>
    <w:p w14:paraId="000005A0" w14:textId="77777777" w:rsidR="00655AEF" w:rsidRDefault="00000000">
      <w:pPr>
        <w:spacing w:after="240" w:line="360" w:lineRule="auto"/>
        <w:jc w:val="both"/>
        <w:rPr>
          <w:sz w:val="24"/>
          <w:szCs w:val="24"/>
        </w:rPr>
      </w:pPr>
      <w:r>
        <w:rPr>
          <w:sz w:val="24"/>
          <w:szCs w:val="24"/>
        </w:rPr>
        <w:t>Positive Reinforcement: As proposed by this study, reward systems can be a powerful tool for positive reinforcement. Incentivizing consistent adherence and successful viral suppression, as demonstrated by the US study and conceptualized in this research, can motivate patients. This moves beyond punitive measures to a supportive framework that celebrates progress.</w:t>
      </w:r>
    </w:p>
    <w:p w14:paraId="000005A1" w14:textId="77777777" w:rsidR="00655AEF" w:rsidRDefault="00000000">
      <w:pPr>
        <w:spacing w:after="240" w:line="360" w:lineRule="auto"/>
        <w:jc w:val="both"/>
        <w:rPr>
          <w:b/>
          <w:sz w:val="24"/>
          <w:szCs w:val="24"/>
        </w:rPr>
      </w:pPr>
      <w:r>
        <w:rPr>
          <w:b/>
          <w:sz w:val="24"/>
          <w:szCs w:val="24"/>
        </w:rPr>
        <w:t>B.</w:t>
      </w:r>
      <w:r>
        <w:rPr>
          <w:b/>
          <w:sz w:val="24"/>
          <w:szCs w:val="24"/>
        </w:rPr>
        <w:tab/>
        <w:t>Robust Supply Chain and Pharmaceutical Management:</w:t>
      </w:r>
    </w:p>
    <w:p w14:paraId="000005A2" w14:textId="77777777" w:rsidR="00655AEF" w:rsidRDefault="00000000">
      <w:pPr>
        <w:spacing w:after="240" w:line="360" w:lineRule="auto"/>
        <w:jc w:val="both"/>
        <w:rPr>
          <w:sz w:val="24"/>
          <w:szCs w:val="24"/>
        </w:rPr>
      </w:pPr>
      <w:r>
        <w:rPr>
          <w:sz w:val="24"/>
          <w:szCs w:val="24"/>
        </w:rPr>
        <w:t>Addressing Drug Out of Stock: An integrated system must ensure a reliable and consistent supply of ART medications. This involves strengthening logistics, forecasting, and inventory management at both county and facility levels. Early warning systems for potential stock-outs and rapid redistribution mechanisms are vital.</w:t>
      </w:r>
    </w:p>
    <w:p w14:paraId="000005A3" w14:textId="77777777" w:rsidR="00655AEF" w:rsidRDefault="00000000">
      <w:pPr>
        <w:spacing w:after="240" w:line="360" w:lineRule="auto"/>
        <w:jc w:val="both"/>
        <w:rPr>
          <w:sz w:val="24"/>
          <w:szCs w:val="24"/>
        </w:rPr>
      </w:pPr>
      <w:r>
        <w:rPr>
          <w:sz w:val="24"/>
          <w:szCs w:val="24"/>
        </w:rPr>
        <w:t>Pharmacy-Based Adherence Support: Pharmacists play a crucial role in adherence. Their integration into the adherence support system can involve providing clear medication instructions, discussing potential side effects, conducting pill counts, and offering direct adherence counseling.</w:t>
      </w:r>
    </w:p>
    <w:p w14:paraId="000005A4" w14:textId="77777777" w:rsidR="00655AEF" w:rsidRDefault="00655AEF">
      <w:pPr>
        <w:spacing w:after="240" w:line="360" w:lineRule="auto"/>
        <w:jc w:val="both"/>
        <w:rPr>
          <w:sz w:val="24"/>
          <w:szCs w:val="24"/>
        </w:rPr>
      </w:pPr>
    </w:p>
    <w:p w14:paraId="000005A5" w14:textId="77777777" w:rsidR="00655AEF" w:rsidRDefault="00000000">
      <w:pPr>
        <w:spacing w:after="240" w:line="360" w:lineRule="auto"/>
        <w:jc w:val="both"/>
        <w:rPr>
          <w:b/>
          <w:sz w:val="24"/>
          <w:szCs w:val="24"/>
        </w:rPr>
      </w:pPr>
      <w:r>
        <w:rPr>
          <w:b/>
          <w:sz w:val="24"/>
          <w:szCs w:val="24"/>
        </w:rPr>
        <w:lastRenderedPageBreak/>
        <w:t>C.</w:t>
      </w:r>
      <w:r>
        <w:rPr>
          <w:b/>
          <w:sz w:val="24"/>
          <w:szCs w:val="24"/>
        </w:rPr>
        <w:tab/>
        <w:t>Financial and Socio-Economic Support Mechanisms:</w:t>
      </w:r>
    </w:p>
    <w:p w14:paraId="000005A6" w14:textId="77777777" w:rsidR="00655AEF" w:rsidRDefault="00000000">
      <w:pPr>
        <w:spacing w:after="240" w:line="360" w:lineRule="auto"/>
        <w:jc w:val="both"/>
        <w:rPr>
          <w:sz w:val="24"/>
          <w:szCs w:val="24"/>
        </w:rPr>
      </w:pPr>
      <w:r>
        <w:rPr>
          <w:sz w:val="24"/>
          <w:szCs w:val="24"/>
        </w:rPr>
        <w:t>Targeted Financial Incentives: Given the widespread concern of patients’ lack of finance and negligible insurance coverage, the reward system can directly alleviate some financial burdens such as, transport costs to clinics, food insecurity. The study’s proposed rewards offer a tangible way to address these external barriers.</w:t>
      </w:r>
    </w:p>
    <w:p w14:paraId="000005A7" w14:textId="77777777" w:rsidR="00655AEF" w:rsidRDefault="00000000">
      <w:pPr>
        <w:spacing w:after="240" w:line="360" w:lineRule="auto"/>
        <w:jc w:val="both"/>
        <w:rPr>
          <w:sz w:val="24"/>
          <w:szCs w:val="24"/>
        </w:rPr>
      </w:pPr>
      <w:r>
        <w:rPr>
          <w:sz w:val="24"/>
          <w:szCs w:val="24"/>
        </w:rPr>
        <w:t>Linkage to Social Services: An integrated system should facilitate referrals to social support services, including food programs, housing assistance, and other welfare initiatives that can reduce the overall stress on patients, thereby indirectly improving their capacity to adhere to treatment. Community health workers (CHWs) and peer navigators can be crucial in this linkage. Studies in Western Kenya and Ethiopia have shown the effectiveness of interventions combining food support and peer navigation.</w:t>
      </w:r>
    </w:p>
    <w:p w14:paraId="000005A8" w14:textId="77777777" w:rsidR="00655AEF" w:rsidRDefault="00000000">
      <w:pPr>
        <w:spacing w:after="240" w:line="360" w:lineRule="auto"/>
        <w:jc w:val="both"/>
        <w:rPr>
          <w:b/>
          <w:sz w:val="24"/>
          <w:szCs w:val="24"/>
        </w:rPr>
      </w:pPr>
      <w:r>
        <w:rPr>
          <w:b/>
          <w:sz w:val="24"/>
          <w:szCs w:val="24"/>
        </w:rPr>
        <w:t>D.</w:t>
      </w:r>
      <w:r>
        <w:rPr>
          <w:b/>
          <w:sz w:val="24"/>
          <w:szCs w:val="24"/>
        </w:rPr>
        <w:tab/>
        <w:t>Leveraging Technology for Adherence and Tracking:</w:t>
      </w:r>
    </w:p>
    <w:p w14:paraId="000005A9" w14:textId="77777777" w:rsidR="00655AEF" w:rsidRDefault="00000000">
      <w:pPr>
        <w:spacing w:after="240" w:line="360" w:lineRule="auto"/>
        <w:jc w:val="both"/>
        <w:rPr>
          <w:sz w:val="24"/>
          <w:szCs w:val="24"/>
        </w:rPr>
      </w:pPr>
      <w:r>
        <w:rPr>
          <w:sz w:val="24"/>
          <w:szCs w:val="24"/>
        </w:rPr>
        <w:t>Digital Health Interventions (DHIs): Incorporating technology, such as SMS reminders for appointments and medication, mobile health portals for accessing results and communicating with providers, and even smart pillboxes for real-time monitoring, can significantly enhance adherence, especially among tech-savvy populations like youth. Kenyan studies show high acceptability and feasibility of such digital tools.</w:t>
      </w:r>
    </w:p>
    <w:p w14:paraId="000005AA" w14:textId="77777777" w:rsidR="00655AEF" w:rsidRDefault="00000000">
      <w:pPr>
        <w:spacing w:after="240" w:line="360" w:lineRule="auto"/>
        <w:jc w:val="both"/>
        <w:rPr>
          <w:sz w:val="24"/>
          <w:szCs w:val="24"/>
        </w:rPr>
      </w:pPr>
      <w:r>
        <w:rPr>
          <w:sz w:val="24"/>
          <w:szCs w:val="24"/>
        </w:rPr>
        <w:t>Improved Patient Tracking Systems: Moving away from paper-based systems to integrated electronic medical records (EMRs) is critical. This allows for accurate tracking of appointments, medication pick-ups, viral load results, and identification of patients at risk of treatment failure or loss to follow-up. A robust EMR system supports real-time monitoring and targeted outreach.</w:t>
      </w:r>
    </w:p>
    <w:p w14:paraId="000005AB" w14:textId="77777777" w:rsidR="00655AEF" w:rsidRDefault="00000000">
      <w:pPr>
        <w:spacing w:after="240" w:line="360" w:lineRule="auto"/>
        <w:jc w:val="both"/>
        <w:rPr>
          <w:b/>
          <w:sz w:val="24"/>
          <w:szCs w:val="24"/>
        </w:rPr>
      </w:pPr>
      <w:r>
        <w:rPr>
          <w:b/>
          <w:sz w:val="24"/>
          <w:szCs w:val="24"/>
        </w:rPr>
        <w:t>E.</w:t>
      </w:r>
      <w:r>
        <w:rPr>
          <w:b/>
          <w:sz w:val="24"/>
          <w:szCs w:val="24"/>
        </w:rPr>
        <w:tab/>
        <w:t>Community-Based Support and De-Stigmatization:</w:t>
      </w:r>
    </w:p>
    <w:p w14:paraId="000005AC" w14:textId="77777777" w:rsidR="00655AEF" w:rsidRDefault="00000000">
      <w:pPr>
        <w:spacing w:after="240" w:line="360" w:lineRule="auto"/>
        <w:jc w:val="both"/>
        <w:rPr>
          <w:sz w:val="24"/>
          <w:szCs w:val="24"/>
        </w:rPr>
      </w:pPr>
      <w:r>
        <w:rPr>
          <w:sz w:val="24"/>
          <w:szCs w:val="24"/>
        </w:rPr>
        <w:t xml:space="preserve">Community Health Worker (CHW) and Peer Support Networks: Empowering CHWs and peer educators to conduct home visits, provide adherence reminders, offer social support, and trace patients who miss appointments has proven effective in rural settings like Kakamega. These community-based approaches help normalize HIV and reduce stigma </w:t>
      </w:r>
      <w:r>
        <w:rPr>
          <w:sz w:val="24"/>
          <w:szCs w:val="24"/>
        </w:rPr>
        <w:lastRenderedPageBreak/>
        <w:t>by integrating care into daily life.</w:t>
      </w:r>
    </w:p>
    <w:p w14:paraId="000005AD" w14:textId="77777777" w:rsidR="00655AEF" w:rsidRDefault="00000000">
      <w:pPr>
        <w:spacing w:after="240" w:line="360" w:lineRule="auto"/>
        <w:jc w:val="both"/>
        <w:rPr>
          <w:sz w:val="24"/>
          <w:szCs w:val="24"/>
        </w:rPr>
      </w:pPr>
      <w:r>
        <w:rPr>
          <w:sz w:val="24"/>
          <w:szCs w:val="24"/>
        </w:rPr>
        <w:t>Integration of Services at Facility Level: Kenya’s drive to integrate HIV services into broader primary healthcare platforms, rather than having standalone stigmatizing HIV clinics, is crucial. This diagonal approach not only improves comprehensive care for patients with co-morbidities but also minimizes missed opportunities and reduces patient loss within the system.</w:t>
      </w:r>
    </w:p>
    <w:p w14:paraId="000005AE" w14:textId="77777777" w:rsidR="00655AEF" w:rsidRDefault="00000000">
      <w:pPr>
        <w:spacing w:after="240" w:line="360" w:lineRule="auto"/>
        <w:jc w:val="both"/>
        <w:rPr>
          <w:sz w:val="24"/>
          <w:szCs w:val="24"/>
        </w:rPr>
      </w:pPr>
      <w:r>
        <w:rPr>
          <w:sz w:val="24"/>
          <w:szCs w:val="24"/>
        </w:rPr>
        <w:t>By integrating these components, Kakamega County can create a more resilient and patient-centered system that not only addresses suspected treatment failure but proactively prevents it. Such an integrated approach, supported by evidence-based interventions like a reward system and robust technological infrastructure, is essential for achieving and sustaining high rates of viral suppression and improving the overall health outcomes for people living with HIV.</w:t>
      </w:r>
    </w:p>
    <w:p w14:paraId="000005AF" w14:textId="77777777" w:rsidR="00655AEF" w:rsidRDefault="00000000">
      <w:pPr>
        <w:keepNext/>
        <w:spacing w:after="240" w:line="360" w:lineRule="auto"/>
        <w:jc w:val="center"/>
      </w:pPr>
      <w:r>
        <w:rPr>
          <w:rFonts w:ascii="Times New Roman" w:eastAsia="Times New Roman" w:hAnsi="Times New Roman" w:cs="Times New Roman"/>
          <w:noProof/>
          <w:sz w:val="24"/>
          <w:szCs w:val="24"/>
        </w:rPr>
        <w:drawing>
          <wp:inline distT="0" distB="0" distL="0" distR="0" wp14:anchorId="6A389E9F" wp14:editId="192A2DC1">
            <wp:extent cx="2921765" cy="2921765"/>
            <wp:effectExtent l="0" t="0" r="0" b="0"/>
            <wp:docPr id="61" name="image2.png" descr="C:\Users\Administrator\Desktop\Immunify Life\Integrated System for Improving Treatment Adherence.png"/>
            <wp:cNvGraphicFramePr/>
            <a:graphic xmlns:a="http://schemas.openxmlformats.org/drawingml/2006/main">
              <a:graphicData uri="http://schemas.openxmlformats.org/drawingml/2006/picture">
                <pic:pic xmlns:pic="http://schemas.openxmlformats.org/drawingml/2006/picture">
                  <pic:nvPicPr>
                    <pic:cNvPr id="0" name="image2.png" descr="C:\Users\Administrator\Desktop\Immunify Life\Integrated System for Improving Treatment Adherence.png"/>
                    <pic:cNvPicPr preferRelativeResize="0"/>
                  </pic:nvPicPr>
                  <pic:blipFill>
                    <a:blip r:embed="rId33"/>
                    <a:srcRect/>
                    <a:stretch>
                      <a:fillRect/>
                    </a:stretch>
                  </pic:blipFill>
                  <pic:spPr>
                    <a:xfrm>
                      <a:off x="0" y="0"/>
                      <a:ext cx="2921765" cy="2921765"/>
                    </a:xfrm>
                    <a:prstGeom prst="rect">
                      <a:avLst/>
                    </a:prstGeom>
                    <a:ln/>
                  </pic:spPr>
                </pic:pic>
              </a:graphicData>
            </a:graphic>
          </wp:inline>
        </w:drawing>
      </w:r>
    </w:p>
    <w:p w14:paraId="000005B0" w14:textId="77777777" w:rsidR="00655AEF" w:rsidRDefault="00000000">
      <w:pPr>
        <w:pBdr>
          <w:top w:val="nil"/>
          <w:left w:val="nil"/>
          <w:bottom w:val="nil"/>
          <w:right w:val="nil"/>
          <w:between w:val="nil"/>
        </w:pBdr>
        <w:spacing w:after="200"/>
        <w:jc w:val="center"/>
        <w:rPr>
          <w:b/>
          <w:color w:val="4F81BD"/>
          <w:sz w:val="18"/>
          <w:szCs w:val="18"/>
        </w:rPr>
      </w:pPr>
      <w:bookmarkStart w:id="116" w:name="_heading=h.v894oqrbmbl1" w:colFirst="0" w:colLast="0"/>
      <w:bookmarkEnd w:id="116"/>
      <w:r>
        <w:rPr>
          <w:b/>
          <w:color w:val="4F81BD"/>
          <w:sz w:val="18"/>
          <w:szCs w:val="18"/>
        </w:rPr>
        <w:t>Figure 20: Constructs of an Integrated System for Improving Treatment Adherence for HIV/AIDS Clients with Suspected Treatment Failure</w:t>
      </w:r>
    </w:p>
    <w:p w14:paraId="000005B1" w14:textId="77777777" w:rsidR="00655AEF" w:rsidRDefault="00655AEF"/>
    <w:p w14:paraId="000005B2" w14:textId="77777777" w:rsidR="00655AEF" w:rsidRDefault="00655AEF"/>
    <w:p w14:paraId="000005B3" w14:textId="77777777" w:rsidR="00655AEF" w:rsidRDefault="00655AEF"/>
    <w:p w14:paraId="000005B4" w14:textId="77777777" w:rsidR="00655AEF" w:rsidRDefault="00655AEF"/>
    <w:p w14:paraId="000005B5" w14:textId="77777777" w:rsidR="00655AEF" w:rsidRDefault="00655AEF"/>
    <w:p w14:paraId="000005B6" w14:textId="77777777" w:rsidR="00655AEF" w:rsidRDefault="00655AEF"/>
    <w:p w14:paraId="000005B7" w14:textId="77777777" w:rsidR="00655AEF" w:rsidRDefault="00655AEF"/>
    <w:p w14:paraId="000005B8" w14:textId="77777777" w:rsidR="00655AEF" w:rsidRDefault="00655AEF"/>
    <w:p w14:paraId="000005B9" w14:textId="77777777" w:rsidR="00655AEF" w:rsidRDefault="00000000">
      <w:pPr>
        <w:pStyle w:val="Heading1"/>
        <w:spacing w:before="0" w:after="240" w:line="360" w:lineRule="auto"/>
        <w:jc w:val="center"/>
      </w:pPr>
      <w:bookmarkStart w:id="117" w:name="_heading=h.brt9osr4mny1" w:colFirst="0" w:colLast="0"/>
      <w:bookmarkEnd w:id="117"/>
      <w:r>
        <w:t>REFERENCES</w:t>
      </w:r>
    </w:p>
    <w:p w14:paraId="000005BA" w14:textId="77777777" w:rsidR="00655AEF" w:rsidRDefault="00000000">
      <w:pPr>
        <w:rPr>
          <w:sz w:val="24"/>
          <w:szCs w:val="24"/>
        </w:rPr>
      </w:pPr>
      <w:r>
        <w:rPr>
          <w:sz w:val="24"/>
          <w:szCs w:val="24"/>
        </w:rPr>
        <w:t>Ampath Retention Report, 2020</w:t>
      </w:r>
    </w:p>
    <w:p w14:paraId="000005BB" w14:textId="77777777" w:rsidR="00655AEF" w:rsidRDefault="00000000">
      <w:pPr>
        <w:rPr>
          <w:sz w:val="24"/>
          <w:szCs w:val="24"/>
        </w:rPr>
      </w:pPr>
      <w:r>
        <w:rPr>
          <w:sz w:val="24"/>
          <w:szCs w:val="24"/>
        </w:rPr>
        <w:t>https://patientengagementhit.com/news/financial-incentives-encourage- hivpatients-to-access-treatment</w:t>
      </w:r>
    </w:p>
    <w:p w14:paraId="000005BC" w14:textId="77777777" w:rsidR="00655AEF" w:rsidRDefault="00000000">
      <w:pPr>
        <w:rPr>
          <w:sz w:val="24"/>
          <w:szCs w:val="24"/>
        </w:rPr>
      </w:pPr>
      <w:r>
        <w:rPr>
          <w:sz w:val="24"/>
          <w:szCs w:val="24"/>
        </w:rPr>
        <w:t>Kakamega HIV and aids strategic plan 2016-2020</w:t>
      </w:r>
    </w:p>
    <w:p w14:paraId="000005BD" w14:textId="77777777" w:rsidR="00655AEF" w:rsidRDefault="00000000">
      <w:pPr>
        <w:rPr>
          <w:sz w:val="24"/>
          <w:szCs w:val="24"/>
        </w:rPr>
      </w:pPr>
      <w:r>
        <w:rPr>
          <w:sz w:val="24"/>
          <w:szCs w:val="24"/>
        </w:rPr>
        <w:t>Mia L van der Kop, Patrick I Nagide, Lehana Thabane, Lawrence Gelmon, Lennie B Kyomuhangi, Bonface Abunah, Anna Mia Ekström, Retention in clinic versus retention in care during the first year of HIV care in Nairobi, Kenya: a prospective cohort study, 2018</w:t>
      </w:r>
    </w:p>
    <w:p w14:paraId="000005BE" w14:textId="77777777" w:rsidR="00655AEF" w:rsidRDefault="00000000">
      <w:pPr>
        <w:rPr>
          <w:sz w:val="24"/>
          <w:szCs w:val="24"/>
        </w:rPr>
      </w:pPr>
      <w:r>
        <w:rPr>
          <w:sz w:val="24"/>
          <w:szCs w:val="24"/>
        </w:rPr>
        <w:t>UNICEF, Methodological Briefs, 2014</w:t>
      </w:r>
    </w:p>
    <w:p w14:paraId="000005BF" w14:textId="77777777" w:rsidR="00655AEF" w:rsidRDefault="00000000">
      <w:pPr>
        <w:rPr>
          <w:sz w:val="24"/>
          <w:szCs w:val="24"/>
        </w:rPr>
      </w:pPr>
      <w:r>
        <w:rPr>
          <w:sz w:val="24"/>
          <w:szCs w:val="24"/>
        </w:rPr>
        <w:t>WHO: Consolidated guidelines on the use of antiretroviral drugs for treating and preventing HIV infection: recommendations for a public health approach – 2nd ed, 2016</w:t>
      </w:r>
    </w:p>
    <w:p w14:paraId="000005C0" w14:textId="77777777" w:rsidR="00655AEF" w:rsidRDefault="00655AEF">
      <w:pPr>
        <w:rPr>
          <w:sz w:val="24"/>
          <w:szCs w:val="24"/>
        </w:rPr>
      </w:pPr>
    </w:p>
    <w:p w14:paraId="000005C1" w14:textId="77777777" w:rsidR="00655AEF" w:rsidRDefault="00655AEF">
      <w:pPr>
        <w:rPr>
          <w:sz w:val="24"/>
          <w:szCs w:val="24"/>
        </w:rPr>
      </w:pPr>
    </w:p>
    <w:p w14:paraId="000005C2" w14:textId="77777777" w:rsidR="00655AEF" w:rsidRDefault="00655AEF">
      <w:pPr>
        <w:rPr>
          <w:sz w:val="24"/>
          <w:szCs w:val="24"/>
        </w:rPr>
      </w:pPr>
    </w:p>
    <w:p w14:paraId="000005C3" w14:textId="77777777" w:rsidR="00655AEF" w:rsidRDefault="00655AEF">
      <w:pPr>
        <w:rPr>
          <w:sz w:val="24"/>
          <w:szCs w:val="24"/>
        </w:rPr>
      </w:pPr>
    </w:p>
    <w:p w14:paraId="000005C4" w14:textId="77777777" w:rsidR="00655AEF" w:rsidRDefault="00655AEF">
      <w:pPr>
        <w:rPr>
          <w:sz w:val="24"/>
          <w:szCs w:val="24"/>
        </w:rPr>
      </w:pPr>
    </w:p>
    <w:p w14:paraId="000005C5" w14:textId="77777777" w:rsidR="00655AEF" w:rsidRDefault="00655AEF">
      <w:pPr>
        <w:rPr>
          <w:sz w:val="24"/>
          <w:szCs w:val="24"/>
        </w:rPr>
      </w:pPr>
    </w:p>
    <w:p w14:paraId="000005C6" w14:textId="77777777" w:rsidR="00655AEF" w:rsidRDefault="00655AEF">
      <w:pPr>
        <w:rPr>
          <w:sz w:val="24"/>
          <w:szCs w:val="24"/>
        </w:rPr>
      </w:pPr>
    </w:p>
    <w:p w14:paraId="000005C7" w14:textId="77777777" w:rsidR="00655AEF" w:rsidRDefault="00655AEF">
      <w:pPr>
        <w:rPr>
          <w:sz w:val="24"/>
          <w:szCs w:val="24"/>
        </w:rPr>
      </w:pPr>
    </w:p>
    <w:p w14:paraId="000005C8" w14:textId="77777777" w:rsidR="00655AEF" w:rsidRDefault="00655AEF">
      <w:pPr>
        <w:rPr>
          <w:sz w:val="24"/>
          <w:szCs w:val="24"/>
        </w:rPr>
      </w:pPr>
    </w:p>
    <w:p w14:paraId="000005C9" w14:textId="77777777" w:rsidR="00655AEF" w:rsidRDefault="00655AEF">
      <w:pPr>
        <w:rPr>
          <w:sz w:val="24"/>
          <w:szCs w:val="24"/>
        </w:rPr>
      </w:pPr>
    </w:p>
    <w:p w14:paraId="000005CA" w14:textId="77777777" w:rsidR="00655AEF" w:rsidRDefault="00655AEF">
      <w:pPr>
        <w:rPr>
          <w:sz w:val="24"/>
          <w:szCs w:val="24"/>
        </w:rPr>
      </w:pPr>
    </w:p>
    <w:p w14:paraId="000005CB" w14:textId="77777777" w:rsidR="00655AEF" w:rsidRDefault="00655AEF">
      <w:pPr>
        <w:rPr>
          <w:sz w:val="24"/>
          <w:szCs w:val="24"/>
        </w:rPr>
      </w:pPr>
    </w:p>
    <w:p w14:paraId="000005CC" w14:textId="77777777" w:rsidR="00655AEF" w:rsidRDefault="00655AEF">
      <w:pPr>
        <w:rPr>
          <w:sz w:val="24"/>
          <w:szCs w:val="24"/>
        </w:rPr>
      </w:pPr>
    </w:p>
    <w:p w14:paraId="000005CD" w14:textId="77777777" w:rsidR="00655AEF" w:rsidRDefault="00655AEF">
      <w:pPr>
        <w:rPr>
          <w:sz w:val="24"/>
          <w:szCs w:val="24"/>
        </w:rPr>
      </w:pPr>
    </w:p>
    <w:p w14:paraId="000005CE" w14:textId="77777777" w:rsidR="00655AEF" w:rsidRDefault="00655AEF">
      <w:pPr>
        <w:rPr>
          <w:sz w:val="24"/>
          <w:szCs w:val="24"/>
        </w:rPr>
      </w:pPr>
    </w:p>
    <w:p w14:paraId="000005CF" w14:textId="77777777" w:rsidR="00655AEF" w:rsidRDefault="00655AEF">
      <w:pPr>
        <w:rPr>
          <w:sz w:val="24"/>
          <w:szCs w:val="24"/>
        </w:rPr>
      </w:pPr>
    </w:p>
    <w:p w14:paraId="000005D0" w14:textId="77777777" w:rsidR="00655AEF" w:rsidRDefault="00655AEF">
      <w:pPr>
        <w:rPr>
          <w:sz w:val="24"/>
          <w:szCs w:val="24"/>
        </w:rPr>
      </w:pPr>
    </w:p>
    <w:p w14:paraId="000005D1" w14:textId="77777777" w:rsidR="00655AEF" w:rsidRDefault="00655AEF">
      <w:pPr>
        <w:rPr>
          <w:sz w:val="24"/>
          <w:szCs w:val="24"/>
        </w:rPr>
      </w:pPr>
    </w:p>
    <w:p w14:paraId="000005D2" w14:textId="77777777" w:rsidR="00655AEF" w:rsidRDefault="00655AEF">
      <w:pPr>
        <w:rPr>
          <w:sz w:val="24"/>
          <w:szCs w:val="24"/>
        </w:rPr>
      </w:pPr>
    </w:p>
    <w:p w14:paraId="000005D3" w14:textId="77777777" w:rsidR="00655AEF" w:rsidRDefault="00655AEF">
      <w:pPr>
        <w:rPr>
          <w:sz w:val="24"/>
          <w:szCs w:val="24"/>
        </w:rPr>
      </w:pPr>
    </w:p>
    <w:p w14:paraId="000005D4" w14:textId="77777777" w:rsidR="00655AEF" w:rsidRDefault="00655AEF">
      <w:pPr>
        <w:rPr>
          <w:sz w:val="24"/>
          <w:szCs w:val="24"/>
        </w:rPr>
      </w:pPr>
    </w:p>
    <w:p w14:paraId="000005D5" w14:textId="77777777" w:rsidR="00655AEF" w:rsidRDefault="00655AEF">
      <w:pPr>
        <w:rPr>
          <w:sz w:val="24"/>
          <w:szCs w:val="24"/>
        </w:rPr>
      </w:pPr>
    </w:p>
    <w:p w14:paraId="000005D6" w14:textId="77777777" w:rsidR="00655AEF" w:rsidRDefault="00655AEF">
      <w:pPr>
        <w:rPr>
          <w:sz w:val="24"/>
          <w:szCs w:val="24"/>
        </w:rPr>
      </w:pPr>
    </w:p>
    <w:p w14:paraId="000005D7" w14:textId="77777777" w:rsidR="00655AEF" w:rsidRDefault="00655AEF">
      <w:pPr>
        <w:rPr>
          <w:sz w:val="24"/>
          <w:szCs w:val="24"/>
        </w:rPr>
      </w:pPr>
    </w:p>
    <w:p w14:paraId="000005D8" w14:textId="77777777" w:rsidR="00655AEF" w:rsidRDefault="00655AEF">
      <w:pPr>
        <w:rPr>
          <w:sz w:val="24"/>
          <w:szCs w:val="24"/>
        </w:rPr>
      </w:pPr>
    </w:p>
    <w:p w14:paraId="000005D9" w14:textId="77777777" w:rsidR="00655AEF" w:rsidRDefault="00655AEF">
      <w:pPr>
        <w:rPr>
          <w:sz w:val="24"/>
          <w:szCs w:val="24"/>
        </w:rPr>
      </w:pPr>
    </w:p>
    <w:p w14:paraId="000005DA" w14:textId="77777777" w:rsidR="00655AEF" w:rsidRDefault="00655AEF">
      <w:pPr>
        <w:rPr>
          <w:sz w:val="24"/>
          <w:szCs w:val="24"/>
        </w:rPr>
      </w:pPr>
    </w:p>
    <w:p w14:paraId="000005DB" w14:textId="77777777" w:rsidR="00655AEF" w:rsidRDefault="00655AEF">
      <w:pPr>
        <w:rPr>
          <w:sz w:val="24"/>
          <w:szCs w:val="24"/>
        </w:rPr>
      </w:pPr>
    </w:p>
    <w:p w14:paraId="000005DC" w14:textId="77777777" w:rsidR="00655AEF" w:rsidRDefault="00655AEF">
      <w:pPr>
        <w:rPr>
          <w:sz w:val="24"/>
          <w:szCs w:val="24"/>
        </w:rPr>
      </w:pPr>
    </w:p>
    <w:p w14:paraId="000005DD" w14:textId="77777777" w:rsidR="00655AEF" w:rsidRDefault="00000000">
      <w:pPr>
        <w:pStyle w:val="Heading1"/>
        <w:spacing w:before="0" w:after="240" w:line="360" w:lineRule="auto"/>
        <w:jc w:val="center"/>
      </w:pPr>
      <w:bookmarkStart w:id="118" w:name="_heading=h.vrqf4n6sxodw" w:colFirst="0" w:colLast="0"/>
      <w:bookmarkEnd w:id="118"/>
      <w:r>
        <w:t>APPPENDICES</w:t>
      </w:r>
    </w:p>
    <w:p w14:paraId="000005DE" w14:textId="77777777" w:rsidR="00655AEF" w:rsidRDefault="00000000">
      <w:pPr>
        <w:rPr>
          <w:sz w:val="24"/>
          <w:szCs w:val="24"/>
        </w:rPr>
      </w:pPr>
      <w:r>
        <w:rPr>
          <w:sz w:val="24"/>
          <w:szCs w:val="24"/>
        </w:rPr>
        <w:t>APPENDIX I: INFORMED CONSENT</w:t>
      </w:r>
    </w:p>
    <w:p w14:paraId="000005DF" w14:textId="77777777" w:rsidR="00655AEF" w:rsidRDefault="00655AEF">
      <w:pPr>
        <w:rPr>
          <w:sz w:val="24"/>
          <w:szCs w:val="24"/>
        </w:rPr>
      </w:pPr>
    </w:p>
    <w:p w14:paraId="000005E0" w14:textId="77777777" w:rsidR="00655AEF" w:rsidRDefault="00655AEF">
      <w:pPr>
        <w:rPr>
          <w:sz w:val="24"/>
          <w:szCs w:val="24"/>
        </w:rPr>
      </w:pPr>
    </w:p>
    <w:p w14:paraId="000005E1" w14:textId="77777777" w:rsidR="00655AEF" w:rsidRDefault="00655AEF">
      <w:pPr>
        <w:rPr>
          <w:sz w:val="24"/>
          <w:szCs w:val="24"/>
        </w:rPr>
      </w:pPr>
    </w:p>
    <w:p w14:paraId="000005E2" w14:textId="77777777" w:rsidR="00655AEF" w:rsidRDefault="00000000">
      <w:pPr>
        <w:spacing w:before="84"/>
        <w:ind w:left="9"/>
        <w:rPr>
          <w:b/>
          <w:sz w:val="24"/>
          <w:szCs w:val="24"/>
        </w:rPr>
      </w:pPr>
      <w:r>
        <w:rPr>
          <w:b/>
          <w:sz w:val="24"/>
          <w:szCs w:val="24"/>
        </w:rPr>
        <w:t>APPENDIX V: MAP OF THE STUDY AREA</w:t>
      </w:r>
    </w:p>
    <w:p w14:paraId="000005E3" w14:textId="77777777" w:rsidR="00655AEF" w:rsidRDefault="00000000">
      <w:pPr>
        <w:pBdr>
          <w:top w:val="nil"/>
          <w:left w:val="nil"/>
          <w:bottom w:val="nil"/>
          <w:right w:val="nil"/>
          <w:between w:val="nil"/>
        </w:pBdr>
        <w:spacing w:before="10"/>
        <w:rPr>
          <w:b/>
          <w:color w:val="000000"/>
          <w:sz w:val="9"/>
          <w:szCs w:val="9"/>
        </w:rPr>
      </w:pPr>
      <w:r>
        <w:rPr>
          <w:noProof/>
        </w:rPr>
        <w:lastRenderedPageBreak/>
        <w:drawing>
          <wp:anchor distT="0" distB="0" distL="0" distR="0" simplePos="0" relativeHeight="251658240" behindDoc="0" locked="0" layoutInCell="1" hidden="0" allowOverlap="1" wp14:anchorId="0229FF7D" wp14:editId="203AFEA2">
            <wp:simplePos x="0" y="0"/>
            <wp:positionH relativeFrom="column">
              <wp:posOffset>0</wp:posOffset>
            </wp:positionH>
            <wp:positionV relativeFrom="paragraph">
              <wp:posOffset>86360</wp:posOffset>
            </wp:positionV>
            <wp:extent cx="6272208" cy="6423279"/>
            <wp:effectExtent l="0" t="0" r="0" b="0"/>
            <wp:wrapTopAndBottom distT="0" distB="0"/>
            <wp:docPr id="63" name="image6.png" descr="C:\Users\ZADOK\Downloads\map-of-kakamega.png"/>
            <wp:cNvGraphicFramePr/>
            <a:graphic xmlns:a="http://schemas.openxmlformats.org/drawingml/2006/main">
              <a:graphicData uri="http://schemas.openxmlformats.org/drawingml/2006/picture">
                <pic:pic xmlns:pic="http://schemas.openxmlformats.org/drawingml/2006/picture">
                  <pic:nvPicPr>
                    <pic:cNvPr id="0" name="image6.png" descr="C:\Users\ZADOK\Downloads\map-of-kakamega.png"/>
                    <pic:cNvPicPr preferRelativeResize="0"/>
                  </pic:nvPicPr>
                  <pic:blipFill>
                    <a:blip r:embed="rId34"/>
                    <a:srcRect/>
                    <a:stretch>
                      <a:fillRect/>
                    </a:stretch>
                  </pic:blipFill>
                  <pic:spPr>
                    <a:xfrm>
                      <a:off x="0" y="0"/>
                      <a:ext cx="6272208" cy="6423279"/>
                    </a:xfrm>
                    <a:prstGeom prst="rect">
                      <a:avLst/>
                    </a:prstGeom>
                    <a:ln/>
                  </pic:spPr>
                </pic:pic>
              </a:graphicData>
            </a:graphic>
          </wp:anchor>
        </w:drawing>
      </w:r>
    </w:p>
    <w:p w14:paraId="000005E4" w14:textId="77777777" w:rsidR="00655AEF" w:rsidRDefault="00655AEF">
      <w:pPr>
        <w:pBdr>
          <w:top w:val="nil"/>
          <w:left w:val="nil"/>
          <w:bottom w:val="nil"/>
          <w:right w:val="nil"/>
          <w:between w:val="nil"/>
        </w:pBdr>
        <w:spacing w:before="38"/>
        <w:rPr>
          <w:b/>
          <w:color w:val="000000"/>
          <w:sz w:val="24"/>
          <w:szCs w:val="24"/>
        </w:rPr>
      </w:pPr>
    </w:p>
    <w:p w14:paraId="000005E5" w14:textId="77777777" w:rsidR="00655AEF" w:rsidRDefault="00000000">
      <w:pPr>
        <w:pBdr>
          <w:top w:val="nil"/>
          <w:left w:val="nil"/>
          <w:bottom w:val="nil"/>
          <w:right w:val="nil"/>
          <w:between w:val="nil"/>
        </w:pBdr>
        <w:ind w:lef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Kakamega County Integrated Development Plan. (2018-2022)</w:t>
      </w:r>
    </w:p>
    <w:p w14:paraId="000005E6" w14:textId="77777777" w:rsidR="00655AEF" w:rsidRDefault="00655AEF">
      <w:pPr>
        <w:rPr>
          <w:sz w:val="24"/>
          <w:szCs w:val="24"/>
        </w:rPr>
      </w:pPr>
    </w:p>
    <w:sectPr w:rsidR="00655AEF">
      <w:footerReference w:type="default" r:id="rId3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Guy New." w:date="2025-08-07T08:15:00Z" w:initials="">
    <w:p w14:paraId="000005EC"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could we have a section on data collection methodology?  The study utilised a  digital health management system that integrated data collection with SMS reminders and the delivery of client  incentives</w:t>
      </w:r>
    </w:p>
  </w:comment>
  <w:comment w:id="89" w:author="Guy New." w:date="2025-08-07T08:25:00Z" w:initials="">
    <w:p w14:paraId="000005F0"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this data is based on the small  sample of those that responded , ( 36 clients)  so its need to be put in perspective , we cant make too many conclusions as the vast majority of clients disappeared  from care</w:t>
      </w:r>
    </w:p>
  </w:comment>
  <w:comment w:id="93" w:author="Guy New." w:date="2025-08-07T08:28:00Z" w:initials="">
    <w:p w14:paraId="000005EB"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much less compared to the control group , significant ?</w:t>
      </w:r>
    </w:p>
  </w:comment>
  <w:comment w:id="98" w:author="Guy New." w:date="2025-08-07T08:30:00Z" w:initials="">
    <w:p w14:paraId="000005ED"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FURTHER EXPLORATION OF  ( AS THIS WAS PART OF THE STUDY )</w:t>
      </w:r>
    </w:p>
  </w:comment>
  <w:comment w:id="112" w:author="Guy New." w:date="2025-08-07T08:33:00Z" w:initials="">
    <w:p w14:paraId="000005EF"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vouchers for food Mobilee data ,or financial incentives</w:t>
      </w:r>
    </w:p>
  </w:comment>
  <w:comment w:id="115" w:author="Guy New." w:date="2025-08-07T08:45:00Z" w:initials="">
    <w:p w14:paraId="000005EE" w14:textId="77777777" w:rsidR="00655AEF"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Another factor : Centralised client data base   The data reveals that a significant number of clients were lost to follow up when they moved out of the area . A  centralised  medical record system in which a client's  treatment history and contact details  is accessible could help address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5EC" w15:done="0"/>
  <w15:commentEx w15:paraId="000005F0" w15:done="0"/>
  <w15:commentEx w15:paraId="000005EB" w15:done="0"/>
  <w15:commentEx w15:paraId="000005ED" w15:done="0"/>
  <w15:commentEx w15:paraId="000005EF" w15:done="0"/>
  <w15:commentEx w15:paraId="000005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5EC" w16cid:durableId="000005EC"/>
  <w16cid:commentId w16cid:paraId="000005F0" w16cid:durableId="000005F0"/>
  <w16cid:commentId w16cid:paraId="000005EB" w16cid:durableId="000005EB"/>
  <w16cid:commentId w16cid:paraId="000005ED" w16cid:durableId="000005ED"/>
  <w16cid:commentId w16cid:paraId="000005EF" w16cid:durableId="000005EF"/>
  <w16cid:commentId w16cid:paraId="000005EE" w16cid:durableId="000005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CAA5B" w14:textId="77777777" w:rsidR="00DD4278" w:rsidRDefault="00DD4278">
      <w:r>
        <w:separator/>
      </w:r>
    </w:p>
  </w:endnote>
  <w:endnote w:type="continuationSeparator" w:id="0">
    <w:p w14:paraId="0046FE17" w14:textId="77777777" w:rsidR="00DD4278" w:rsidRDefault="00DD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266CF6A-9D06-354C-944C-6EF06EE4DB82}"/>
  </w:font>
  <w:font w:name="Courier New">
    <w:panose1 w:val="02070309020205020404"/>
    <w:charset w:val="00"/>
    <w:family w:val="modern"/>
    <w:pitch w:val="fixed"/>
    <w:sig w:usb0="E0002AFF" w:usb1="C0007843" w:usb2="00000009" w:usb3="00000000" w:csb0="000001FF" w:csb1="00000000"/>
    <w:embedRegular r:id="rId2" w:fontKey="{30D52A53-739F-514B-9AAE-57D3923A5D38}"/>
  </w:font>
  <w:font w:name="Georgia">
    <w:panose1 w:val="02040502050405020303"/>
    <w:charset w:val="00"/>
    <w:family w:val="roman"/>
    <w:pitch w:val="variable"/>
    <w:sig w:usb0="00000287" w:usb1="00000000" w:usb2="00000000" w:usb3="00000000" w:csb0="0000009F" w:csb1="00000000"/>
    <w:embedRegular r:id="rId3" w:fontKey="{12B44D40-570E-754B-8965-551FAC5B9C8A}"/>
    <w:embedBold r:id="rId4" w:fontKey="{238ED3F5-F39A-2843-B0CA-DFEEDE2AC40F}"/>
    <w:embedItalic r:id="rId5" w:fontKey="{64CE0B28-04BF-E942-881F-4DC287114082}"/>
  </w:font>
  <w:font w:name="Cambria">
    <w:panose1 w:val="02040503050406030204"/>
    <w:charset w:val="00"/>
    <w:family w:val="roman"/>
    <w:pitch w:val="variable"/>
    <w:sig w:usb0="E00002FF" w:usb1="400004FF" w:usb2="00000000" w:usb3="00000000" w:csb0="0000019F" w:csb1="00000000"/>
    <w:embedRegular r:id="rId6" w:fontKey="{AE4BDE9B-93ED-5444-98CF-BB4365A54AD2}"/>
    <w:embedBold r:id="rId7" w:fontKey="{D92FFFE4-DF6C-594D-9A5D-2756D423E411}"/>
  </w:font>
  <w:font w:name="Times New Roman">
    <w:panose1 w:val="02020603050405020304"/>
    <w:charset w:val="00"/>
    <w:family w:val="roman"/>
    <w:pitch w:val="variable"/>
    <w:sig w:usb0="E0002EFF" w:usb1="C000785B" w:usb2="00000009" w:usb3="00000000" w:csb0="000001FF" w:csb1="00000000"/>
    <w:embedRegular r:id="rId8" w:fontKey="{0207015F-BC76-FF40-BA7F-925C5ED872B1}"/>
    <w:embedBold r:id="rId9" w:fontKey="{D52EB787-EB9A-9149-9673-FDF84671FA4F}"/>
  </w:font>
  <w:font w:name="Tahoma">
    <w:panose1 w:val="020B0604030504040204"/>
    <w:charset w:val="00"/>
    <w:family w:val="swiss"/>
    <w:pitch w:val="variable"/>
    <w:sig w:usb0="E1002EFF" w:usb1="C000605B" w:usb2="00000029" w:usb3="00000000" w:csb0="000101FF" w:csb1="00000000"/>
    <w:embedRegular r:id="rId10" w:fontKey="{888F2D5F-8537-BF4F-B893-1F9EF9B05395}"/>
  </w:font>
  <w:font w:name="Calibri">
    <w:panose1 w:val="020F0502020204030204"/>
    <w:charset w:val="00"/>
    <w:family w:val="swiss"/>
    <w:pitch w:val="variable"/>
    <w:sig w:usb0="E0002AFF" w:usb1="C000ACFF" w:usb2="00000009" w:usb3="00000000" w:csb0="000001FF" w:csb1="00000000"/>
    <w:embedRegular r:id="rId11" w:fontKey="{EA316E79-D5BB-5D4B-A52F-92C3D114DC19}"/>
  </w:font>
  <w:font w:name="Arial">
    <w:panose1 w:val="020B0604020202020204"/>
    <w:charset w:val="00"/>
    <w:family w:val="swiss"/>
    <w:pitch w:val="variable"/>
    <w:sig w:usb0="E0002AFF" w:usb1="C0007843" w:usb2="00000009" w:usb3="00000000" w:csb0="000001FF" w:csb1="00000000"/>
    <w:embedRegular r:id="rId12" w:fontKey="{63A4CBE6-47B8-CA41-B63E-CEBE5633D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E7" w14:textId="12C792C8" w:rsidR="00655AEF"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32672">
      <w:rPr>
        <w:noProof/>
        <w:color w:val="000000"/>
      </w:rPr>
      <w:t>1</w:t>
    </w:r>
    <w:r>
      <w:rPr>
        <w:color w:val="000000"/>
      </w:rPr>
      <w:fldChar w:fldCharType="end"/>
    </w:r>
  </w:p>
  <w:p w14:paraId="000005E8" w14:textId="77777777" w:rsidR="00655AEF" w:rsidRDefault="00655AEF">
    <w:pPr>
      <w:pBdr>
        <w:top w:val="nil"/>
        <w:left w:val="nil"/>
        <w:bottom w:val="nil"/>
        <w:right w:val="nil"/>
        <w:between w:val="nil"/>
      </w:pBdr>
      <w:tabs>
        <w:tab w:val="center" w:pos="4680"/>
        <w:tab w:val="right" w:pos="9360"/>
      </w:tabs>
      <w:rPr>
        <w:color w:val="000000"/>
      </w:rPr>
    </w:pPr>
  </w:p>
  <w:p w14:paraId="000005E9" w14:textId="77777777" w:rsidR="00655AEF" w:rsidRDefault="00655AEF"/>
  <w:p w14:paraId="000005EA" w14:textId="77777777" w:rsidR="00655AEF" w:rsidRDefault="00655A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D7794" w14:textId="77777777" w:rsidR="00DD4278" w:rsidRDefault="00DD4278">
      <w:r>
        <w:separator/>
      </w:r>
    </w:p>
  </w:footnote>
  <w:footnote w:type="continuationSeparator" w:id="0">
    <w:p w14:paraId="5C3EFFC5" w14:textId="77777777" w:rsidR="00DD4278" w:rsidRDefault="00DD4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35793"/>
    <w:multiLevelType w:val="multilevel"/>
    <w:tmpl w:val="F21A9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60648C"/>
    <w:multiLevelType w:val="multilevel"/>
    <w:tmpl w:val="103AC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D037D0"/>
    <w:multiLevelType w:val="multilevel"/>
    <w:tmpl w:val="B95A568E"/>
    <w:lvl w:ilvl="0">
      <w:start w:val="1"/>
      <w:numFmt w:val="decimal"/>
      <w:lvlText w:val="%1.0."/>
      <w:lvlJc w:val="left"/>
      <w:pPr>
        <w:ind w:left="1279" w:hanging="720"/>
      </w:pPr>
    </w:lvl>
    <w:lvl w:ilvl="1">
      <w:start w:val="1"/>
      <w:numFmt w:val="decimal"/>
      <w:lvlText w:val="%1.%2."/>
      <w:lvlJc w:val="left"/>
      <w:pPr>
        <w:ind w:left="1999" w:hanging="720"/>
      </w:pPr>
    </w:lvl>
    <w:lvl w:ilvl="2">
      <w:start w:val="1"/>
      <w:numFmt w:val="decimal"/>
      <w:lvlText w:val="%1.%2.%3."/>
      <w:lvlJc w:val="left"/>
      <w:pPr>
        <w:ind w:left="3079" w:hanging="1080"/>
      </w:pPr>
    </w:lvl>
    <w:lvl w:ilvl="3">
      <w:start w:val="1"/>
      <w:numFmt w:val="decimal"/>
      <w:lvlText w:val="%1.%2.%3.%4."/>
      <w:lvlJc w:val="left"/>
      <w:pPr>
        <w:ind w:left="3799" w:hanging="1080"/>
      </w:pPr>
    </w:lvl>
    <w:lvl w:ilvl="4">
      <w:start w:val="1"/>
      <w:numFmt w:val="decimal"/>
      <w:lvlText w:val="%1.%2.%3.%4.%5."/>
      <w:lvlJc w:val="left"/>
      <w:pPr>
        <w:ind w:left="4879" w:hanging="1440"/>
      </w:pPr>
    </w:lvl>
    <w:lvl w:ilvl="5">
      <w:start w:val="1"/>
      <w:numFmt w:val="decimal"/>
      <w:lvlText w:val="%1.%2.%3.%4.%5.%6."/>
      <w:lvlJc w:val="left"/>
      <w:pPr>
        <w:ind w:left="5959" w:hanging="1800"/>
      </w:pPr>
    </w:lvl>
    <w:lvl w:ilvl="6">
      <w:start w:val="1"/>
      <w:numFmt w:val="decimal"/>
      <w:lvlText w:val="%1.%2.%3.%4.%5.%6.%7."/>
      <w:lvlJc w:val="left"/>
      <w:pPr>
        <w:ind w:left="6679" w:hanging="1800"/>
      </w:pPr>
    </w:lvl>
    <w:lvl w:ilvl="7">
      <w:start w:val="1"/>
      <w:numFmt w:val="decimal"/>
      <w:lvlText w:val="%1.%2.%3.%4.%5.%6.%7.%8."/>
      <w:lvlJc w:val="left"/>
      <w:pPr>
        <w:ind w:left="7759" w:hanging="2160"/>
      </w:pPr>
    </w:lvl>
    <w:lvl w:ilvl="8">
      <w:start w:val="1"/>
      <w:numFmt w:val="decimal"/>
      <w:lvlText w:val="%1.%2.%3.%4.%5.%6.%7.%8.%9."/>
      <w:lvlJc w:val="left"/>
      <w:pPr>
        <w:ind w:left="8839" w:hanging="2520"/>
      </w:pPr>
    </w:lvl>
  </w:abstractNum>
  <w:abstractNum w:abstractNumId="3" w15:restartNumberingAfterBreak="0">
    <w:nsid w:val="2B7552DE"/>
    <w:multiLevelType w:val="multilevel"/>
    <w:tmpl w:val="BE1E2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B36E58"/>
    <w:multiLevelType w:val="multilevel"/>
    <w:tmpl w:val="E7543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5A486D"/>
    <w:multiLevelType w:val="multilevel"/>
    <w:tmpl w:val="60168CDE"/>
    <w:lvl w:ilvl="0">
      <w:start w:val="3"/>
      <w:numFmt w:val="decimal"/>
      <w:lvlText w:val="%1."/>
      <w:lvlJc w:val="left"/>
      <w:pPr>
        <w:ind w:left="420" w:hanging="420"/>
      </w:pPr>
    </w:lvl>
    <w:lvl w:ilvl="1">
      <w:start w:val="1"/>
      <w:numFmt w:val="decimal"/>
      <w:lvlText w:val="%1.%2."/>
      <w:lvlJc w:val="left"/>
      <w:pPr>
        <w:ind w:left="1999" w:hanging="720"/>
      </w:pPr>
    </w:lvl>
    <w:lvl w:ilvl="2">
      <w:start w:val="1"/>
      <w:numFmt w:val="decimal"/>
      <w:lvlText w:val="%1.%2.%3."/>
      <w:lvlJc w:val="left"/>
      <w:pPr>
        <w:ind w:left="3278" w:hanging="720"/>
      </w:pPr>
    </w:lvl>
    <w:lvl w:ilvl="3">
      <w:start w:val="1"/>
      <w:numFmt w:val="decimal"/>
      <w:lvlText w:val="%1.%2.%3.%4."/>
      <w:lvlJc w:val="left"/>
      <w:pPr>
        <w:ind w:left="4917" w:hanging="1080"/>
      </w:pPr>
    </w:lvl>
    <w:lvl w:ilvl="4">
      <w:start w:val="1"/>
      <w:numFmt w:val="decimal"/>
      <w:lvlText w:val="%1.%2.%3.%4.%5."/>
      <w:lvlJc w:val="left"/>
      <w:pPr>
        <w:ind w:left="6556" w:hanging="1440"/>
      </w:pPr>
    </w:lvl>
    <w:lvl w:ilvl="5">
      <w:start w:val="1"/>
      <w:numFmt w:val="decimal"/>
      <w:lvlText w:val="%1.%2.%3.%4.%5.%6."/>
      <w:lvlJc w:val="left"/>
      <w:pPr>
        <w:ind w:left="7835" w:hanging="1440"/>
      </w:pPr>
    </w:lvl>
    <w:lvl w:ilvl="6">
      <w:start w:val="1"/>
      <w:numFmt w:val="decimal"/>
      <w:lvlText w:val="%1.%2.%3.%4.%5.%6.%7."/>
      <w:lvlJc w:val="left"/>
      <w:pPr>
        <w:ind w:left="9474" w:hanging="1800"/>
      </w:pPr>
    </w:lvl>
    <w:lvl w:ilvl="7">
      <w:start w:val="1"/>
      <w:numFmt w:val="decimal"/>
      <w:lvlText w:val="%1.%2.%3.%4.%5.%6.%7.%8."/>
      <w:lvlJc w:val="left"/>
      <w:pPr>
        <w:ind w:left="10753" w:hanging="1800"/>
      </w:pPr>
    </w:lvl>
    <w:lvl w:ilvl="8">
      <w:start w:val="1"/>
      <w:numFmt w:val="decimal"/>
      <w:lvlText w:val="%1.%2.%3.%4.%5.%6.%7.%8.%9."/>
      <w:lvlJc w:val="left"/>
      <w:pPr>
        <w:ind w:left="12392" w:hanging="2160"/>
      </w:pPr>
    </w:lvl>
  </w:abstractNum>
  <w:abstractNum w:abstractNumId="6" w15:restartNumberingAfterBreak="0">
    <w:nsid w:val="4C871992"/>
    <w:multiLevelType w:val="multilevel"/>
    <w:tmpl w:val="3918AF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BE0106"/>
    <w:multiLevelType w:val="multilevel"/>
    <w:tmpl w:val="E9B676BC"/>
    <w:lvl w:ilvl="0">
      <w:start w:val="3"/>
      <w:numFmt w:val="decimal"/>
      <w:lvlText w:val="%1."/>
      <w:lvlJc w:val="left"/>
      <w:pPr>
        <w:ind w:left="420" w:hanging="420"/>
      </w:pPr>
    </w:lvl>
    <w:lvl w:ilvl="1">
      <w:start w:val="1"/>
      <w:numFmt w:val="decimal"/>
      <w:lvlText w:val="%1.%2."/>
      <w:lvlJc w:val="left"/>
      <w:pPr>
        <w:ind w:left="1999" w:hanging="720"/>
      </w:pPr>
    </w:lvl>
    <w:lvl w:ilvl="2">
      <w:start w:val="1"/>
      <w:numFmt w:val="decimal"/>
      <w:lvlText w:val="%1.%2.%3."/>
      <w:lvlJc w:val="left"/>
      <w:pPr>
        <w:ind w:left="3278" w:hanging="720"/>
      </w:pPr>
    </w:lvl>
    <w:lvl w:ilvl="3">
      <w:start w:val="1"/>
      <w:numFmt w:val="decimal"/>
      <w:lvlText w:val="%1.%2.%3.%4."/>
      <w:lvlJc w:val="left"/>
      <w:pPr>
        <w:ind w:left="4917" w:hanging="1080"/>
      </w:pPr>
    </w:lvl>
    <w:lvl w:ilvl="4">
      <w:start w:val="1"/>
      <w:numFmt w:val="decimal"/>
      <w:lvlText w:val="%1.%2.%3.%4.%5."/>
      <w:lvlJc w:val="left"/>
      <w:pPr>
        <w:ind w:left="6556" w:hanging="1440"/>
      </w:pPr>
    </w:lvl>
    <w:lvl w:ilvl="5">
      <w:start w:val="1"/>
      <w:numFmt w:val="decimal"/>
      <w:lvlText w:val="%1.%2.%3.%4.%5.%6."/>
      <w:lvlJc w:val="left"/>
      <w:pPr>
        <w:ind w:left="7835" w:hanging="1440"/>
      </w:pPr>
    </w:lvl>
    <w:lvl w:ilvl="6">
      <w:start w:val="1"/>
      <w:numFmt w:val="decimal"/>
      <w:lvlText w:val="%1.%2.%3.%4.%5.%6.%7."/>
      <w:lvlJc w:val="left"/>
      <w:pPr>
        <w:ind w:left="9474" w:hanging="1800"/>
      </w:pPr>
    </w:lvl>
    <w:lvl w:ilvl="7">
      <w:start w:val="1"/>
      <w:numFmt w:val="decimal"/>
      <w:lvlText w:val="%1.%2.%3.%4.%5.%6.%7.%8."/>
      <w:lvlJc w:val="left"/>
      <w:pPr>
        <w:ind w:left="10753" w:hanging="1800"/>
      </w:pPr>
    </w:lvl>
    <w:lvl w:ilvl="8">
      <w:start w:val="1"/>
      <w:numFmt w:val="decimal"/>
      <w:lvlText w:val="%1.%2.%3.%4.%5.%6.%7.%8.%9."/>
      <w:lvlJc w:val="left"/>
      <w:pPr>
        <w:ind w:left="12392" w:hanging="2160"/>
      </w:pPr>
    </w:lvl>
  </w:abstractNum>
  <w:abstractNum w:abstractNumId="8" w15:restartNumberingAfterBreak="0">
    <w:nsid w:val="68DA3BB3"/>
    <w:multiLevelType w:val="multilevel"/>
    <w:tmpl w:val="1388A86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9A57CF"/>
    <w:multiLevelType w:val="multilevel"/>
    <w:tmpl w:val="CDEC7830"/>
    <w:lvl w:ilvl="0">
      <w:start w:val="3"/>
      <w:numFmt w:val="decimal"/>
      <w:lvlText w:val="%1."/>
      <w:lvlJc w:val="left"/>
      <w:pPr>
        <w:ind w:left="420" w:hanging="420"/>
      </w:pPr>
    </w:lvl>
    <w:lvl w:ilvl="1">
      <w:start w:val="1"/>
      <w:numFmt w:val="decimal"/>
      <w:lvlText w:val="%1.%2."/>
      <w:lvlJc w:val="left"/>
      <w:pPr>
        <w:ind w:left="1999" w:hanging="720"/>
      </w:pPr>
    </w:lvl>
    <w:lvl w:ilvl="2">
      <w:start w:val="1"/>
      <w:numFmt w:val="decimal"/>
      <w:lvlText w:val="%1.%2.%3."/>
      <w:lvlJc w:val="left"/>
      <w:pPr>
        <w:ind w:left="3278" w:hanging="720"/>
      </w:pPr>
    </w:lvl>
    <w:lvl w:ilvl="3">
      <w:start w:val="1"/>
      <w:numFmt w:val="decimal"/>
      <w:lvlText w:val="%1.%2.%3.%4."/>
      <w:lvlJc w:val="left"/>
      <w:pPr>
        <w:ind w:left="4917" w:hanging="1080"/>
      </w:pPr>
    </w:lvl>
    <w:lvl w:ilvl="4">
      <w:start w:val="1"/>
      <w:numFmt w:val="decimal"/>
      <w:lvlText w:val="%1.%2.%3.%4.%5."/>
      <w:lvlJc w:val="left"/>
      <w:pPr>
        <w:ind w:left="6556" w:hanging="1440"/>
      </w:pPr>
    </w:lvl>
    <w:lvl w:ilvl="5">
      <w:start w:val="1"/>
      <w:numFmt w:val="decimal"/>
      <w:lvlText w:val="%1.%2.%3.%4.%5.%6."/>
      <w:lvlJc w:val="left"/>
      <w:pPr>
        <w:ind w:left="7835" w:hanging="1440"/>
      </w:pPr>
    </w:lvl>
    <w:lvl w:ilvl="6">
      <w:start w:val="1"/>
      <w:numFmt w:val="decimal"/>
      <w:lvlText w:val="%1.%2.%3.%4.%5.%6.%7."/>
      <w:lvlJc w:val="left"/>
      <w:pPr>
        <w:ind w:left="9474" w:hanging="1800"/>
      </w:pPr>
    </w:lvl>
    <w:lvl w:ilvl="7">
      <w:start w:val="1"/>
      <w:numFmt w:val="decimal"/>
      <w:lvlText w:val="%1.%2.%3.%4.%5.%6.%7.%8."/>
      <w:lvlJc w:val="left"/>
      <w:pPr>
        <w:ind w:left="10753" w:hanging="1800"/>
      </w:pPr>
    </w:lvl>
    <w:lvl w:ilvl="8">
      <w:start w:val="1"/>
      <w:numFmt w:val="decimal"/>
      <w:lvlText w:val="%1.%2.%3.%4.%5.%6.%7.%8.%9."/>
      <w:lvlJc w:val="left"/>
      <w:pPr>
        <w:ind w:left="12392" w:hanging="2160"/>
      </w:pPr>
    </w:lvl>
  </w:abstractNum>
  <w:abstractNum w:abstractNumId="10" w15:restartNumberingAfterBreak="0">
    <w:nsid w:val="7FDB5171"/>
    <w:multiLevelType w:val="multilevel"/>
    <w:tmpl w:val="5D7E304C"/>
    <w:lvl w:ilvl="0">
      <w:start w:val="2"/>
      <w:numFmt w:val="decimal"/>
      <w:lvlText w:val="%1."/>
      <w:lvlJc w:val="left"/>
      <w:pPr>
        <w:ind w:left="420" w:hanging="420"/>
      </w:pPr>
    </w:lvl>
    <w:lvl w:ilvl="1">
      <w:start w:val="1"/>
      <w:numFmt w:val="decimal"/>
      <w:lvlText w:val="%1.%2."/>
      <w:lvlJc w:val="left"/>
      <w:pPr>
        <w:ind w:left="1999" w:hanging="720"/>
      </w:pPr>
    </w:lvl>
    <w:lvl w:ilvl="2">
      <w:start w:val="1"/>
      <w:numFmt w:val="decimal"/>
      <w:lvlText w:val="%1.%2.%3."/>
      <w:lvlJc w:val="left"/>
      <w:pPr>
        <w:ind w:left="3278" w:hanging="720"/>
      </w:pPr>
    </w:lvl>
    <w:lvl w:ilvl="3">
      <w:start w:val="1"/>
      <w:numFmt w:val="decimal"/>
      <w:lvlText w:val="%1.%2.%3.%4."/>
      <w:lvlJc w:val="left"/>
      <w:pPr>
        <w:ind w:left="4917" w:hanging="1080"/>
      </w:pPr>
    </w:lvl>
    <w:lvl w:ilvl="4">
      <w:start w:val="1"/>
      <w:numFmt w:val="decimal"/>
      <w:lvlText w:val="%1.%2.%3.%4.%5."/>
      <w:lvlJc w:val="left"/>
      <w:pPr>
        <w:ind w:left="6556" w:hanging="1440"/>
      </w:pPr>
    </w:lvl>
    <w:lvl w:ilvl="5">
      <w:start w:val="1"/>
      <w:numFmt w:val="decimal"/>
      <w:lvlText w:val="%1.%2.%3.%4.%5.%6."/>
      <w:lvlJc w:val="left"/>
      <w:pPr>
        <w:ind w:left="7835" w:hanging="1440"/>
      </w:pPr>
    </w:lvl>
    <w:lvl w:ilvl="6">
      <w:start w:val="1"/>
      <w:numFmt w:val="decimal"/>
      <w:lvlText w:val="%1.%2.%3.%4.%5.%6.%7."/>
      <w:lvlJc w:val="left"/>
      <w:pPr>
        <w:ind w:left="9474" w:hanging="1800"/>
      </w:pPr>
    </w:lvl>
    <w:lvl w:ilvl="7">
      <w:start w:val="1"/>
      <w:numFmt w:val="decimal"/>
      <w:lvlText w:val="%1.%2.%3.%4.%5.%6.%7.%8."/>
      <w:lvlJc w:val="left"/>
      <w:pPr>
        <w:ind w:left="10753" w:hanging="1800"/>
      </w:pPr>
    </w:lvl>
    <w:lvl w:ilvl="8">
      <w:start w:val="1"/>
      <w:numFmt w:val="decimal"/>
      <w:lvlText w:val="%1.%2.%3.%4.%5.%6.%7.%8.%9."/>
      <w:lvlJc w:val="left"/>
      <w:pPr>
        <w:ind w:left="12392" w:hanging="2160"/>
      </w:pPr>
    </w:lvl>
  </w:abstractNum>
  <w:num w:numId="1" w16cid:durableId="665326669">
    <w:abstractNumId w:val="2"/>
  </w:num>
  <w:num w:numId="2" w16cid:durableId="1176111284">
    <w:abstractNumId w:val="9"/>
  </w:num>
  <w:num w:numId="3" w16cid:durableId="961838222">
    <w:abstractNumId w:val="7"/>
  </w:num>
  <w:num w:numId="4" w16cid:durableId="1824655919">
    <w:abstractNumId w:val="1"/>
  </w:num>
  <w:num w:numId="5" w16cid:durableId="1521579753">
    <w:abstractNumId w:val="0"/>
  </w:num>
  <w:num w:numId="6" w16cid:durableId="6098804">
    <w:abstractNumId w:val="10"/>
  </w:num>
  <w:num w:numId="7" w16cid:durableId="1561937300">
    <w:abstractNumId w:val="6"/>
  </w:num>
  <w:num w:numId="8" w16cid:durableId="944919098">
    <w:abstractNumId w:val="8"/>
  </w:num>
  <w:num w:numId="9" w16cid:durableId="1173883941">
    <w:abstractNumId w:val="3"/>
  </w:num>
  <w:num w:numId="10" w16cid:durableId="1187794665">
    <w:abstractNumId w:val="4"/>
  </w:num>
  <w:num w:numId="11" w16cid:durableId="1124034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AEF"/>
    <w:rsid w:val="00655AEF"/>
    <w:rsid w:val="009E7BD8"/>
    <w:rsid w:val="00C32672"/>
    <w:rsid w:val="00DD42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89DFF22B-4B39-094C-9810-4CDD0DFC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2"/>
      <w:ind w:left="1900" w:hanging="1983"/>
      <w:outlineLvl w:val="0"/>
    </w:pPr>
    <w:rPr>
      <w:b/>
      <w:sz w:val="32"/>
      <w:szCs w:val="32"/>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313"/>
      <w:ind w:left="621" w:right="1325" w:firstLine="1"/>
      <w:jc w:val="center"/>
    </w:pPr>
    <w:rPr>
      <w:rFonts w:ascii="Times New Roman" w:eastAsia="Times New Roman" w:hAnsi="Times New Roman" w:cs="Times New Roman"/>
      <w:b/>
      <w:sz w:val="40"/>
      <w:szCs w:val="40"/>
    </w:rPr>
  </w:style>
  <w:style w:type="paragraph" w:styleId="BalloonText">
    <w:name w:val="Balloon Text"/>
    <w:link w:val="BalloonTextChar"/>
    <w:uiPriority w:val="99"/>
    <w:semiHidden/>
    <w:unhideWhenUsed/>
    <w:rPr>
      <w:rFonts w:ascii="Tahoma" w:hAnsi="Tahoma" w:cs="Tahoma"/>
      <w:sz w:val="16"/>
      <w:szCs w:val="16"/>
    </w:rPr>
  </w:style>
  <w:style w:type="paragraph" w:styleId="BodyText">
    <w:name w:val="Body Text"/>
    <w:link w:val="BodyTextChar"/>
    <w:uiPriority w:val="1"/>
    <w:qFormat/>
    <w:pPr>
      <w:ind w:left="568"/>
    </w:pPr>
    <w:rPr>
      <w:sz w:val="24"/>
      <w:szCs w:val="24"/>
    </w:rPr>
  </w:style>
  <w:style w:type="paragraph" w:styleId="Caption">
    <w:name w:val="caption"/>
    <w:uiPriority w:val="35"/>
    <w:unhideWhenUsed/>
    <w:qFormat/>
    <w:pPr>
      <w:spacing w:after="200"/>
    </w:pPr>
    <w:rPr>
      <w:b/>
      <w:bCs/>
      <w:color w:val="4F81BD" w:themeColor="accent1"/>
      <w:sz w:val="18"/>
      <w:szCs w:val="18"/>
    </w:rPr>
  </w:style>
  <w:style w:type="paragraph" w:styleId="Footer">
    <w:name w:val="footer"/>
    <w:link w:val="FooterChar"/>
    <w:uiPriority w:val="99"/>
    <w:unhideWhenUsed/>
    <w:qFormat/>
    <w:pPr>
      <w:tabs>
        <w:tab w:val="center" w:pos="4680"/>
        <w:tab w:val="right" w:pos="9360"/>
      </w:tabs>
    </w:pPr>
  </w:style>
  <w:style w:type="paragraph" w:styleId="Header">
    <w:name w:val="header"/>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uiPriority w:val="99"/>
    <w:unhideWhenUsed/>
    <w:qFormat/>
  </w:style>
  <w:style w:type="paragraph" w:styleId="TOC1">
    <w:name w:val="toc 1"/>
    <w:autoRedefine/>
    <w:uiPriority w:val="39"/>
    <w:unhideWhenUsed/>
    <w:pPr>
      <w:spacing w:after="100"/>
    </w:pPr>
  </w:style>
  <w:style w:type="paragraph" w:styleId="TOC2">
    <w:name w:val="toc 2"/>
    <w:autoRedefine/>
    <w:uiPriority w:val="39"/>
    <w:unhideWhenUsed/>
    <w:qFormat/>
    <w:pPr>
      <w:spacing w:after="100"/>
      <w:ind w:left="220"/>
    </w:pPr>
  </w:style>
  <w:style w:type="paragraph" w:styleId="TOC3">
    <w:name w:val="toc 3"/>
    <w:autoRedefine/>
    <w:uiPriority w:val="39"/>
    <w:unhideWhenUsed/>
    <w:qFormat/>
    <w:pPr>
      <w:spacing w:after="100"/>
      <w:ind w:left="440"/>
    </w:pPr>
  </w:style>
  <w:style w:type="character" w:customStyle="1" w:styleId="BodyTextChar">
    <w:name w:val="Body Text Char"/>
    <w:basedOn w:val="DefaultParagraphFont"/>
    <w:link w:val="BodyText"/>
    <w:uiPriority w:val="1"/>
    <w:qFormat/>
    <w:rPr>
      <w:rFonts w:ascii="Georgia" w:eastAsia="Georgia" w:hAnsi="Georgia" w:cs="Georgia"/>
      <w:sz w:val="24"/>
      <w:szCs w:val="24"/>
    </w:rPr>
  </w:style>
  <w:style w:type="character" w:customStyle="1" w:styleId="TitleChar">
    <w:name w:val="Title Char"/>
    <w:basedOn w:val="DefaultParagraphFont"/>
    <w:uiPriority w:val="1"/>
    <w:qFormat/>
    <w:rPr>
      <w:rFonts w:ascii="Times New Roman" w:eastAsia="Times New Roman" w:hAnsi="Times New Roman" w:cs="Times New Roman"/>
      <w:b/>
      <w:bCs/>
      <w:sz w:val="40"/>
      <w:szCs w:val="40"/>
    </w:rPr>
  </w:style>
  <w:style w:type="character" w:customStyle="1" w:styleId="BalloonTextChar">
    <w:name w:val="Balloon Text Char"/>
    <w:basedOn w:val="DefaultParagraphFont"/>
    <w:link w:val="BalloonText"/>
    <w:uiPriority w:val="99"/>
    <w:semiHidden/>
    <w:rPr>
      <w:rFonts w:ascii="Tahoma" w:eastAsia="Georgia" w:hAnsi="Tahoma" w:cs="Tahoma"/>
      <w:sz w:val="16"/>
      <w:szCs w:val="16"/>
    </w:rPr>
  </w:style>
  <w:style w:type="character" w:customStyle="1" w:styleId="Heading1Char">
    <w:name w:val="Heading 1 Char"/>
    <w:basedOn w:val="DefaultParagraphFont"/>
    <w:uiPriority w:val="1"/>
    <w:rPr>
      <w:rFonts w:ascii="Georgia" w:eastAsia="Georgia" w:hAnsi="Georgia" w:cs="Georgia"/>
      <w:b/>
      <w:bCs/>
      <w:sz w:val="32"/>
      <w:szCs w:val="32"/>
    </w:rPr>
  </w:style>
  <w:style w:type="character" w:customStyle="1" w:styleId="Heading2Char">
    <w:name w:val="Heading 2 Char"/>
    <w:basedOn w:val="DefaultParagraphFont"/>
    <w:uiPriority w:val="9"/>
    <w:qFormat/>
    <w:rPr>
      <w:rFonts w:asciiTheme="majorHAnsi" w:eastAsiaTheme="majorEastAsia" w:hAnsiTheme="majorHAnsi" w:cstheme="majorBidi"/>
      <w:b/>
      <w:bCs/>
      <w:color w:val="4F81BD" w:themeColor="accent1"/>
      <w:sz w:val="26"/>
      <w:szCs w:val="26"/>
    </w:rPr>
  </w:style>
  <w:style w:type="paragraph" w:customStyle="1" w:styleId="TOCHeading1">
    <w:name w:val="TOC Heading1"/>
    <w:uiPriority w:val="39"/>
    <w:semiHidden/>
    <w:unhideWhenUsed/>
    <w:qFormat/>
    <w:pPr>
      <w:keepNext/>
      <w:keepLines/>
      <w:widowControl/>
      <w:spacing w:before="480" w:line="276" w:lineRule="auto"/>
    </w:pPr>
    <w:rPr>
      <w:rFonts w:asciiTheme="majorHAnsi" w:eastAsiaTheme="majorEastAsia" w:hAnsiTheme="majorHAnsi" w:cstheme="majorBidi"/>
      <w:color w:val="365F91" w:themeColor="accent1" w:themeShade="BF"/>
      <w:sz w:val="28"/>
      <w:szCs w:val="28"/>
      <w:lang w:eastAsia="ja-JP"/>
    </w:rPr>
  </w:style>
  <w:style w:type="character" w:customStyle="1" w:styleId="HeaderChar">
    <w:name w:val="Header Char"/>
    <w:basedOn w:val="DefaultParagraphFont"/>
    <w:link w:val="Header"/>
    <w:uiPriority w:val="99"/>
    <w:qFormat/>
    <w:rPr>
      <w:rFonts w:ascii="Georgia" w:eastAsia="Georgia" w:hAnsi="Georgia" w:cs="Georgia"/>
    </w:rPr>
  </w:style>
  <w:style w:type="character" w:customStyle="1" w:styleId="FooterChar">
    <w:name w:val="Footer Char"/>
    <w:basedOn w:val="DefaultParagraphFont"/>
    <w:link w:val="Footer"/>
    <w:uiPriority w:val="99"/>
    <w:qFormat/>
    <w:rPr>
      <w:rFonts w:ascii="Georgia" w:eastAsia="Georgia" w:hAnsi="Georgia" w:cs="Georgia"/>
    </w:rPr>
  </w:style>
  <w:style w:type="character" w:customStyle="1" w:styleId="Heading3Char">
    <w:name w:val="Heading 3 Char"/>
    <w:basedOn w:val="DefaultParagraphFont"/>
    <w:uiPriority w:val="9"/>
    <w:qFormat/>
    <w:rPr>
      <w:rFonts w:asciiTheme="majorHAnsi" w:eastAsiaTheme="majorEastAsia" w:hAnsiTheme="majorHAnsi" w:cstheme="majorBidi"/>
      <w:b/>
      <w:bCs/>
      <w:color w:val="4F81BD" w:themeColor="accent1"/>
    </w:rPr>
  </w:style>
  <w:style w:type="paragraph" w:styleId="ListParagraph">
    <w:name w:val="List Paragraph"/>
    <w:uiPriority w:val="34"/>
    <w:qFormat/>
    <w:pPr>
      <w:ind w:left="720"/>
      <w:contextualSpacing/>
    </w:pPr>
  </w:style>
  <w:style w:type="paragraph" w:customStyle="1" w:styleId="TableParagraph">
    <w:name w:val="Table Paragraph"/>
    <w:uiPriority w:val="1"/>
    <w:qFormat/>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chart" Target="charts/chart13.xm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chart" Target="charts/chart8.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2.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Housing Types</c:v>
                </c:pt>
              </c:strCache>
            </c:strRef>
          </c:tx>
          <c:cat>
            <c:strRef>
              <c:f>Sheet1!$A$2:$A$5</c:f>
              <c:strCache>
                <c:ptCount val="4"/>
                <c:pt idx="0">
                  <c:v>Hosted</c:v>
                </c:pt>
                <c:pt idx="1">
                  <c:v>Own</c:v>
                </c:pt>
                <c:pt idx="2">
                  <c:v>Rented</c:v>
                </c:pt>
                <c:pt idx="3">
                  <c:v>Squarter</c:v>
                </c:pt>
              </c:strCache>
            </c:strRef>
          </c:cat>
          <c:val>
            <c:numRef>
              <c:f>Sheet1!$B$2:$B$5</c:f>
              <c:numCache>
                <c:formatCode>General</c:formatCode>
                <c:ptCount val="4"/>
                <c:pt idx="0">
                  <c:v>27</c:v>
                </c:pt>
                <c:pt idx="1">
                  <c:v>400</c:v>
                </c:pt>
                <c:pt idx="2">
                  <c:v>75</c:v>
                </c:pt>
                <c:pt idx="3">
                  <c:v>1</c:v>
                </c:pt>
              </c:numCache>
            </c:numRef>
          </c:val>
          <c:extLst>
            <c:ext xmlns:c16="http://schemas.microsoft.com/office/drawing/2014/chart" uri="{C3380CC4-5D6E-409C-BE32-E72D297353CC}">
              <c16:uniqueId val="{00000000-47C3-494E-A0A0-32DC800D1B89}"/>
            </c:ext>
          </c:extLst>
        </c:ser>
        <c:dLbls>
          <c:showLegendKey val="0"/>
          <c:showVal val="0"/>
          <c:showCatName val="0"/>
          <c:showSerName val="0"/>
          <c:showPercent val="0"/>
          <c:showBubbleSize val="0"/>
        </c:dLbls>
        <c:axId val="230047744"/>
        <c:axId val="230049280"/>
      </c:radarChart>
      <c:catAx>
        <c:axId val="23004774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049280"/>
        <c:crosses val="autoZero"/>
        <c:auto val="1"/>
        <c:lblAlgn val="ctr"/>
        <c:lblOffset val="100"/>
        <c:noMultiLvlLbl val="0"/>
      </c:catAx>
      <c:valAx>
        <c:axId val="230049280"/>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047744"/>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dd7cb0d-d827-49c4-87ad-dfff5061e9aa}"/>
      </c:ext>
    </c:extLst>
  </c:chart>
  <c:txPr>
    <a:bodyPr/>
    <a:lstStyle/>
    <a:p>
      <a:pPr>
        <a:defRPr lang="en-GB"/>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Reasons for Substitute</c:v>
                </c:pt>
              </c:strCache>
            </c:strRef>
          </c:tx>
          <c:cat>
            <c:strRef>
              <c:f>Sheet1!$A$2:$A$7</c:f>
              <c:strCache>
                <c:ptCount val="6"/>
                <c:pt idx="0">
                  <c:v>Drug out of stock</c:v>
                </c:pt>
                <c:pt idx="1">
                  <c:v>New drug available</c:v>
                </c:pt>
                <c:pt idx="2">
                  <c:v>Newly diagnosed TB</c:v>
                </c:pt>
                <c:pt idx="3">
                  <c:v>Pregnancy</c:v>
                </c:pt>
                <c:pt idx="4">
                  <c:v>Risk of pregnancy</c:v>
                </c:pt>
                <c:pt idx="5">
                  <c:v>Toxicity side effects</c:v>
                </c:pt>
              </c:strCache>
            </c:strRef>
          </c:cat>
          <c:val>
            <c:numRef>
              <c:f>Sheet1!$B$2:$B$7</c:f>
              <c:numCache>
                <c:formatCode>General</c:formatCode>
                <c:ptCount val="6"/>
                <c:pt idx="0">
                  <c:v>63</c:v>
                </c:pt>
                <c:pt idx="1">
                  <c:v>5</c:v>
                </c:pt>
                <c:pt idx="2">
                  <c:v>1</c:v>
                </c:pt>
                <c:pt idx="3">
                  <c:v>4</c:v>
                </c:pt>
                <c:pt idx="4">
                  <c:v>5</c:v>
                </c:pt>
                <c:pt idx="5">
                  <c:v>1</c:v>
                </c:pt>
              </c:numCache>
            </c:numRef>
          </c:val>
          <c:extLst>
            <c:ext xmlns:c16="http://schemas.microsoft.com/office/drawing/2014/chart" uri="{C3380CC4-5D6E-409C-BE32-E72D297353CC}">
              <c16:uniqueId val="{00000000-C0B0-9D4C-94B9-8783B35DD283}"/>
            </c:ext>
          </c:extLst>
        </c:ser>
        <c:dLbls>
          <c:showLegendKey val="0"/>
          <c:showVal val="0"/>
          <c:showCatName val="0"/>
          <c:showSerName val="0"/>
          <c:showPercent val="0"/>
          <c:showBubbleSize val="0"/>
        </c:dLbls>
        <c:axId val="231282176"/>
        <c:axId val="231283712"/>
      </c:radarChart>
      <c:catAx>
        <c:axId val="23128217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283712"/>
        <c:crosses val="autoZero"/>
        <c:auto val="1"/>
        <c:lblAlgn val="ctr"/>
        <c:lblOffset val="100"/>
        <c:noMultiLvlLbl val="0"/>
      </c:catAx>
      <c:valAx>
        <c:axId val="231283712"/>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282176"/>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5cc1c7c3-cd1c-499f-ad27-af2b3fa81c1d}"/>
      </c:ext>
    </c:extLst>
  </c:chart>
  <c:txPr>
    <a:bodyPr/>
    <a:lstStyle/>
    <a:p>
      <a:pPr>
        <a:defRPr lang="en-GB"/>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Reason for Substitute</c:v>
                </c:pt>
              </c:strCache>
            </c:strRef>
          </c:tx>
          <c:invertIfNegative val="0"/>
          <c:cat>
            <c:strRef>
              <c:f>Sheet1!$A$2:$A$7</c:f>
              <c:strCache>
                <c:ptCount val="6"/>
                <c:pt idx="0">
                  <c:v>Drug out of stock</c:v>
                </c:pt>
                <c:pt idx="1">
                  <c:v>New drug available</c:v>
                </c:pt>
                <c:pt idx="2">
                  <c:v>Newly diagnosed TB</c:v>
                </c:pt>
                <c:pt idx="3">
                  <c:v>Pregnancy</c:v>
                </c:pt>
                <c:pt idx="4">
                  <c:v>Risk of pregnancy</c:v>
                </c:pt>
                <c:pt idx="5">
                  <c:v>Toxicity side effects</c:v>
                </c:pt>
              </c:strCache>
            </c:strRef>
          </c:cat>
          <c:val>
            <c:numRef>
              <c:f>Sheet1!$B$2:$B$7</c:f>
              <c:numCache>
                <c:formatCode>General</c:formatCode>
                <c:ptCount val="6"/>
                <c:pt idx="0">
                  <c:v>63</c:v>
                </c:pt>
                <c:pt idx="1">
                  <c:v>5</c:v>
                </c:pt>
                <c:pt idx="2">
                  <c:v>1</c:v>
                </c:pt>
                <c:pt idx="3">
                  <c:v>4</c:v>
                </c:pt>
                <c:pt idx="4">
                  <c:v>5</c:v>
                </c:pt>
                <c:pt idx="5">
                  <c:v>1</c:v>
                </c:pt>
              </c:numCache>
            </c:numRef>
          </c:val>
          <c:extLst>
            <c:ext xmlns:c16="http://schemas.microsoft.com/office/drawing/2014/chart" uri="{C3380CC4-5D6E-409C-BE32-E72D297353CC}">
              <c16:uniqueId val="{00000000-A65F-E04D-8998-D6A12ED6FE42}"/>
            </c:ext>
          </c:extLst>
        </c:ser>
        <c:dLbls>
          <c:showLegendKey val="0"/>
          <c:showVal val="0"/>
          <c:showCatName val="0"/>
          <c:showSerName val="0"/>
          <c:showPercent val="0"/>
          <c:showBubbleSize val="0"/>
        </c:dLbls>
        <c:gapWidth val="150"/>
        <c:axId val="231361536"/>
        <c:axId val="231367424"/>
      </c:barChart>
      <c:catAx>
        <c:axId val="23136153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8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367424"/>
        <c:crosses val="autoZero"/>
        <c:auto val="1"/>
        <c:lblAlgn val="ctr"/>
        <c:lblOffset val="100"/>
        <c:noMultiLvlLbl val="0"/>
      </c:catAx>
      <c:valAx>
        <c:axId val="2313674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361536"/>
        <c:crosses val="autoZero"/>
        <c:crossBetween val="between"/>
      </c:valAx>
    </c:plotArea>
    <c:legend>
      <c:legendPos val="r"/>
      <c:legendEntry>
        <c:idx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Entry>
      <c:overlay val="0"/>
      <c:txPr>
        <a:bodyPr rot="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75aba5f3-0470-46e6-b899-0a48153cd092}"/>
      </c:ext>
    </c:extLst>
  </c:chart>
  <c:txPr>
    <a:bodyPr/>
    <a:lstStyle/>
    <a:p>
      <a:pPr>
        <a:defRPr lang="en-GB"/>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Reason for Switch</c:v>
                </c:pt>
              </c:strCache>
            </c:strRef>
          </c:tx>
          <c:invertIfNegative val="0"/>
          <c:cat>
            <c:strRef>
              <c:f>Sheet1!$A$2:$A$3</c:f>
              <c:strCache>
                <c:ptCount val="2"/>
                <c:pt idx="0">
                  <c:v>Clinical treatment failure</c:v>
                </c:pt>
                <c:pt idx="1">
                  <c:v>Virologic failure</c:v>
                </c:pt>
              </c:strCache>
            </c:strRef>
          </c:cat>
          <c:val>
            <c:numRef>
              <c:f>Sheet1!$B$2:$B$3</c:f>
              <c:numCache>
                <c:formatCode>General</c:formatCode>
                <c:ptCount val="2"/>
                <c:pt idx="0">
                  <c:v>10</c:v>
                </c:pt>
                <c:pt idx="1">
                  <c:v>5</c:v>
                </c:pt>
              </c:numCache>
            </c:numRef>
          </c:val>
          <c:extLst>
            <c:ext xmlns:c16="http://schemas.microsoft.com/office/drawing/2014/chart" uri="{C3380CC4-5D6E-409C-BE32-E72D297353CC}">
              <c16:uniqueId val="{00000000-C2BB-BF46-B5E1-B764005125AD}"/>
            </c:ext>
          </c:extLst>
        </c:ser>
        <c:dLbls>
          <c:showLegendKey val="0"/>
          <c:showVal val="0"/>
          <c:showCatName val="0"/>
          <c:showSerName val="0"/>
          <c:showPercent val="0"/>
          <c:showBubbleSize val="0"/>
        </c:dLbls>
        <c:gapWidth val="150"/>
        <c:axId val="231412864"/>
        <c:axId val="231414400"/>
      </c:barChart>
      <c:catAx>
        <c:axId val="2314128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414400"/>
        <c:crosses val="autoZero"/>
        <c:auto val="1"/>
        <c:lblAlgn val="ctr"/>
        <c:lblOffset val="100"/>
        <c:noMultiLvlLbl val="0"/>
      </c:catAx>
      <c:valAx>
        <c:axId val="2314144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31412864"/>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03aef379-435f-4519-a1b5-779340a46c7f}"/>
      </c:ext>
    </c:extLst>
  </c:chart>
  <c:txPr>
    <a:bodyPr/>
    <a:lstStyle/>
    <a:p>
      <a:pPr>
        <a:defRPr lang="en-GB"/>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52901720618304E-2"/>
          <c:y val="4.36507936507936E-2"/>
          <c:w val="0.59263706620005796"/>
          <c:h val="0.86121734783152104"/>
        </c:manualLayout>
      </c:layout>
      <c:barChart>
        <c:barDir val="col"/>
        <c:grouping val="clustered"/>
        <c:varyColors val="0"/>
        <c:ser>
          <c:idx val="0"/>
          <c:order val="0"/>
          <c:tx>
            <c:strRef>
              <c:f>Sheet1!$B$1</c:f>
              <c:strCache>
                <c:ptCount val="1"/>
                <c:pt idx="0">
                  <c:v>Clinical treatment failure</c:v>
                </c:pt>
              </c:strCache>
            </c:strRef>
          </c:tx>
          <c:invertIfNegative val="0"/>
          <c:cat>
            <c:strRef>
              <c:f>Sheet1!$A$2:$A$3</c:f>
              <c:strCache>
                <c:ptCount val="2"/>
                <c:pt idx="0">
                  <c:v>Control Group</c:v>
                </c:pt>
                <c:pt idx="1">
                  <c:v>Treatment group</c:v>
                </c:pt>
              </c:strCache>
            </c:strRef>
          </c:cat>
          <c:val>
            <c:numRef>
              <c:f>Sheet1!$B$2:$B$3</c:f>
              <c:numCache>
                <c:formatCode>General</c:formatCode>
                <c:ptCount val="2"/>
                <c:pt idx="0">
                  <c:v>10</c:v>
                </c:pt>
                <c:pt idx="1">
                  <c:v>90</c:v>
                </c:pt>
              </c:numCache>
            </c:numRef>
          </c:val>
          <c:extLst>
            <c:ext xmlns:c16="http://schemas.microsoft.com/office/drawing/2014/chart" uri="{C3380CC4-5D6E-409C-BE32-E72D297353CC}">
              <c16:uniqueId val="{00000000-47E2-2D4B-BF6D-319E750A4E37}"/>
            </c:ext>
          </c:extLst>
        </c:ser>
        <c:ser>
          <c:idx val="1"/>
          <c:order val="1"/>
          <c:tx>
            <c:strRef>
              <c:f>Sheet1!$C$1</c:f>
              <c:strCache>
                <c:ptCount val="1"/>
                <c:pt idx="0">
                  <c:v>Virologic failure</c:v>
                </c:pt>
              </c:strCache>
            </c:strRef>
          </c:tx>
          <c:invertIfNegative val="0"/>
          <c:cat>
            <c:strRef>
              <c:f>Sheet1!$A$2:$A$3</c:f>
              <c:strCache>
                <c:ptCount val="2"/>
                <c:pt idx="0">
                  <c:v>Control Group</c:v>
                </c:pt>
                <c:pt idx="1">
                  <c:v>Treatment group</c:v>
                </c:pt>
              </c:strCache>
            </c:strRef>
          </c:cat>
          <c:val>
            <c:numRef>
              <c:f>Sheet1!$C$2:$C$3</c:f>
              <c:numCache>
                <c:formatCode>General</c:formatCode>
                <c:ptCount val="2"/>
                <c:pt idx="0">
                  <c:v>20</c:v>
                </c:pt>
                <c:pt idx="1">
                  <c:v>80</c:v>
                </c:pt>
              </c:numCache>
            </c:numRef>
          </c:val>
          <c:extLst>
            <c:ext xmlns:c16="http://schemas.microsoft.com/office/drawing/2014/chart" uri="{C3380CC4-5D6E-409C-BE32-E72D297353CC}">
              <c16:uniqueId val="{00000001-47E2-2D4B-BF6D-319E750A4E37}"/>
            </c:ext>
          </c:extLst>
        </c:ser>
        <c:dLbls>
          <c:showLegendKey val="0"/>
          <c:showVal val="0"/>
          <c:showCatName val="0"/>
          <c:showSerName val="0"/>
          <c:showPercent val="0"/>
          <c:showBubbleSize val="0"/>
        </c:dLbls>
        <c:gapWidth val="150"/>
        <c:axId val="231476224"/>
        <c:axId val="231478016"/>
      </c:barChart>
      <c:catAx>
        <c:axId val="2314762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478016"/>
        <c:crosses val="autoZero"/>
        <c:auto val="1"/>
        <c:lblAlgn val="ctr"/>
        <c:lblOffset val="100"/>
        <c:noMultiLvlLbl val="0"/>
      </c:catAx>
      <c:valAx>
        <c:axId val="2314780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476224"/>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legend>
    <c:plotVisOnly val="1"/>
    <c:dispBlanksAs val="gap"/>
    <c:showDLblsOverMax val="0"/>
    <c:extLst>
      <c:ext uri="{0b15fc19-7d7d-44ad-8c2d-2c3a37ce22c3}">
        <chartProps xmlns="https://web.wps.cn/et/2018/main" chartId="{9437a451-46da-4f41-aae6-93a8633be22c}"/>
      </c:ext>
    </c:extLst>
  </c:chart>
  <c:txPr>
    <a:bodyPr/>
    <a:lstStyle/>
    <a:p>
      <a:pPr>
        <a:defRPr lang="en-GB"/>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End of Follow-up Reasons</c:v>
                </c:pt>
              </c:strCache>
            </c:strRef>
          </c:tx>
          <c:cat>
            <c:strRef>
              <c:f>Sheet1!$A$2:$A$4</c:f>
              <c:strCache>
                <c:ptCount val="3"/>
                <c:pt idx="0">
                  <c:v>Death</c:v>
                </c:pt>
                <c:pt idx="1">
                  <c:v>Lost to follow-up (&lt; 3 months)</c:v>
                </c:pt>
                <c:pt idx="2">
                  <c:v>Not Applicable</c:v>
                </c:pt>
              </c:strCache>
            </c:strRef>
          </c:cat>
          <c:val>
            <c:numRef>
              <c:f>Sheet1!$B$2:$B$4</c:f>
              <c:numCache>
                <c:formatCode>General</c:formatCode>
                <c:ptCount val="3"/>
                <c:pt idx="0">
                  <c:v>5</c:v>
                </c:pt>
                <c:pt idx="1">
                  <c:v>110</c:v>
                </c:pt>
                <c:pt idx="2">
                  <c:v>2</c:v>
                </c:pt>
              </c:numCache>
            </c:numRef>
          </c:val>
          <c:extLst>
            <c:ext xmlns:c16="http://schemas.microsoft.com/office/drawing/2014/chart" uri="{C3380CC4-5D6E-409C-BE32-E72D297353CC}">
              <c16:uniqueId val="{00000000-7B5F-444C-9EC8-9F58FF64F9F5}"/>
            </c:ext>
          </c:extLst>
        </c:ser>
        <c:dLbls>
          <c:showLegendKey val="0"/>
          <c:showVal val="0"/>
          <c:showCatName val="0"/>
          <c:showSerName val="0"/>
          <c:showPercent val="0"/>
          <c:showBubbleSize val="0"/>
        </c:dLbls>
        <c:axId val="231543168"/>
        <c:axId val="231544704"/>
      </c:radarChart>
      <c:catAx>
        <c:axId val="231543168"/>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544704"/>
        <c:crosses val="autoZero"/>
        <c:auto val="1"/>
        <c:lblAlgn val="ctr"/>
        <c:lblOffset val="100"/>
        <c:noMultiLvlLbl val="0"/>
      </c:catAx>
      <c:valAx>
        <c:axId val="231544704"/>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543168"/>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8730d823-8533-4095-8173-c3c47979a77b}"/>
      </c:ext>
    </c:extLst>
  </c:chart>
  <c:txPr>
    <a:bodyPr/>
    <a:lstStyle/>
    <a:p>
      <a:pPr>
        <a:defRPr lang="en-GB"/>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Reasons for stopping Treatment</c:v>
                </c:pt>
              </c:strCache>
            </c:strRef>
          </c:tx>
          <c:invertIfNegative val="0"/>
          <c:cat>
            <c:strRef>
              <c:f>Sheet1!$A$2:$A$7</c:f>
              <c:strCache>
                <c:ptCount val="6"/>
                <c:pt idx="0">
                  <c:v>Drug out of stock</c:v>
                </c:pt>
                <c:pt idx="1">
                  <c:v>Patient decision</c:v>
                </c:pt>
                <c:pt idx="2">
                  <c:v>Patient lack of finance</c:v>
                </c:pt>
                <c:pt idx="3">
                  <c:v>Poor adherence</c:v>
                </c:pt>
                <c:pt idx="4">
                  <c:v>Pregnancy</c:v>
                </c:pt>
                <c:pt idx="5">
                  <c:v>Virologic failure</c:v>
                </c:pt>
              </c:strCache>
            </c:strRef>
          </c:cat>
          <c:val>
            <c:numRef>
              <c:f>Sheet1!$B$2:$B$7</c:f>
              <c:numCache>
                <c:formatCode>General</c:formatCode>
                <c:ptCount val="6"/>
                <c:pt idx="0">
                  <c:v>13.9</c:v>
                </c:pt>
                <c:pt idx="1">
                  <c:v>5.6</c:v>
                </c:pt>
                <c:pt idx="2">
                  <c:v>11.1</c:v>
                </c:pt>
                <c:pt idx="3">
                  <c:v>50</c:v>
                </c:pt>
                <c:pt idx="4">
                  <c:v>8.3000000000000007</c:v>
                </c:pt>
                <c:pt idx="5">
                  <c:v>11.1</c:v>
                </c:pt>
              </c:numCache>
            </c:numRef>
          </c:val>
          <c:extLst>
            <c:ext xmlns:c16="http://schemas.microsoft.com/office/drawing/2014/chart" uri="{C3380CC4-5D6E-409C-BE32-E72D297353CC}">
              <c16:uniqueId val="{00000000-1DD6-2F42-BE9E-4BE78003FEBC}"/>
            </c:ext>
          </c:extLst>
        </c:ser>
        <c:dLbls>
          <c:showLegendKey val="0"/>
          <c:showVal val="0"/>
          <c:showCatName val="0"/>
          <c:showSerName val="0"/>
          <c:showPercent val="0"/>
          <c:showBubbleSize val="0"/>
        </c:dLbls>
        <c:gapWidth val="150"/>
        <c:axId val="231774080"/>
        <c:axId val="231775616"/>
      </c:barChart>
      <c:catAx>
        <c:axId val="2317740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775616"/>
        <c:crosses val="autoZero"/>
        <c:auto val="1"/>
        <c:lblAlgn val="ctr"/>
        <c:lblOffset val="100"/>
        <c:noMultiLvlLbl val="0"/>
      </c:catAx>
      <c:valAx>
        <c:axId val="2317756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77408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627d0d75-a9a2-4279-80c0-1b7901b4b3c1}"/>
      </c:ext>
    </c:extLst>
  </c:chart>
  <c:txPr>
    <a:bodyPr/>
    <a:lstStyle/>
    <a:p>
      <a:pPr>
        <a:defRPr lang="en-GB"/>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Control Group (%)</c:v>
                </c:pt>
              </c:strCache>
            </c:strRef>
          </c:tx>
          <c:invertIfNegative val="0"/>
          <c:cat>
            <c:strRef>
              <c:f>Sheet1!$A$2:$A$7</c:f>
              <c:strCache>
                <c:ptCount val="6"/>
                <c:pt idx="0">
                  <c:v>Drug out of stock</c:v>
                </c:pt>
                <c:pt idx="1">
                  <c:v>Patient decision</c:v>
                </c:pt>
                <c:pt idx="2">
                  <c:v>Patient lack of finance</c:v>
                </c:pt>
                <c:pt idx="3">
                  <c:v>Poor adherence</c:v>
                </c:pt>
                <c:pt idx="4">
                  <c:v>Pregnancy</c:v>
                </c:pt>
                <c:pt idx="5">
                  <c:v>Virologic failure</c:v>
                </c:pt>
              </c:strCache>
            </c:strRef>
          </c:cat>
          <c:val>
            <c:numRef>
              <c:f>Sheet1!$B$2:$B$7</c:f>
              <c:numCache>
                <c:formatCode>General</c:formatCode>
                <c:ptCount val="6"/>
                <c:pt idx="0">
                  <c:v>8.6999999999999993</c:v>
                </c:pt>
                <c:pt idx="1">
                  <c:v>4.3</c:v>
                </c:pt>
                <c:pt idx="2">
                  <c:v>13</c:v>
                </c:pt>
                <c:pt idx="3">
                  <c:v>74</c:v>
                </c:pt>
                <c:pt idx="4">
                  <c:v>0</c:v>
                </c:pt>
                <c:pt idx="5">
                  <c:v>0</c:v>
                </c:pt>
              </c:numCache>
            </c:numRef>
          </c:val>
          <c:extLst>
            <c:ext xmlns:c16="http://schemas.microsoft.com/office/drawing/2014/chart" uri="{C3380CC4-5D6E-409C-BE32-E72D297353CC}">
              <c16:uniqueId val="{00000000-1614-A84B-A957-AA1216ED1CA6}"/>
            </c:ext>
          </c:extLst>
        </c:ser>
        <c:ser>
          <c:idx val="1"/>
          <c:order val="1"/>
          <c:tx>
            <c:strRef>
              <c:f>Sheet1!$C$1</c:f>
              <c:strCache>
                <c:ptCount val="1"/>
                <c:pt idx="0">
                  <c:v>Treatment Group (%)</c:v>
                </c:pt>
              </c:strCache>
            </c:strRef>
          </c:tx>
          <c:invertIfNegative val="0"/>
          <c:cat>
            <c:strRef>
              <c:f>Sheet1!$A$2:$A$7</c:f>
              <c:strCache>
                <c:ptCount val="6"/>
                <c:pt idx="0">
                  <c:v>Drug out of stock</c:v>
                </c:pt>
                <c:pt idx="1">
                  <c:v>Patient decision</c:v>
                </c:pt>
                <c:pt idx="2">
                  <c:v>Patient lack of finance</c:v>
                </c:pt>
                <c:pt idx="3">
                  <c:v>Poor adherence</c:v>
                </c:pt>
                <c:pt idx="4">
                  <c:v>Pregnancy</c:v>
                </c:pt>
                <c:pt idx="5">
                  <c:v>Virologic failure</c:v>
                </c:pt>
              </c:strCache>
            </c:strRef>
          </c:cat>
          <c:val>
            <c:numRef>
              <c:f>Sheet1!$C$2:$C$7</c:f>
              <c:numCache>
                <c:formatCode>General</c:formatCode>
                <c:ptCount val="6"/>
                <c:pt idx="0">
                  <c:v>23.1</c:v>
                </c:pt>
                <c:pt idx="1">
                  <c:v>7.7</c:v>
                </c:pt>
                <c:pt idx="2">
                  <c:v>7.7</c:v>
                </c:pt>
                <c:pt idx="3">
                  <c:v>7.7</c:v>
                </c:pt>
                <c:pt idx="4">
                  <c:v>23.1</c:v>
                </c:pt>
                <c:pt idx="5">
                  <c:v>30.8</c:v>
                </c:pt>
              </c:numCache>
            </c:numRef>
          </c:val>
          <c:extLst>
            <c:ext xmlns:c16="http://schemas.microsoft.com/office/drawing/2014/chart" uri="{C3380CC4-5D6E-409C-BE32-E72D297353CC}">
              <c16:uniqueId val="{00000001-1614-A84B-A957-AA1216ED1CA6}"/>
            </c:ext>
          </c:extLst>
        </c:ser>
        <c:dLbls>
          <c:showLegendKey val="0"/>
          <c:showVal val="0"/>
          <c:showCatName val="0"/>
          <c:showSerName val="0"/>
          <c:showPercent val="0"/>
          <c:showBubbleSize val="0"/>
        </c:dLbls>
        <c:gapWidth val="150"/>
        <c:axId val="231792640"/>
        <c:axId val="231794176"/>
      </c:barChart>
      <c:catAx>
        <c:axId val="2317926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794176"/>
        <c:crosses val="autoZero"/>
        <c:auto val="1"/>
        <c:lblAlgn val="ctr"/>
        <c:lblOffset val="100"/>
        <c:noMultiLvlLbl val="0"/>
      </c:catAx>
      <c:valAx>
        <c:axId val="2317941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792640"/>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legend>
    <c:plotVisOnly val="1"/>
    <c:dispBlanksAs val="gap"/>
    <c:showDLblsOverMax val="0"/>
    <c:extLst>
      <c:ext uri="{0b15fc19-7d7d-44ad-8c2d-2c3a37ce22c3}">
        <chartProps xmlns="https://web.wps.cn/et/2018/main" chartId="{45bc6299-1e87-4557-94cc-c85d9797880e}"/>
      </c:ext>
    </c:extLst>
  </c:chart>
  <c:txPr>
    <a:bodyPr/>
    <a:lstStyle/>
    <a:p>
      <a:pPr>
        <a:defRPr lang="en-GB"/>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Evidence of Adherence Concerns</c:v>
                </c:pt>
              </c:strCache>
            </c:strRef>
          </c:tx>
          <c:invertIfNegative val="0"/>
          <c:cat>
            <c:strRef>
              <c:f>Sheet1!$A$2:$A$5</c:f>
              <c:strCache>
                <c:ptCount val="4"/>
                <c:pt idx="0">
                  <c:v>Missed Appointment</c:v>
                </c:pt>
                <c:pt idx="1">
                  <c:v>Missed Appointments and Missed Pill</c:v>
                </c:pt>
                <c:pt idx="2">
                  <c:v>Missed Appointments and Stress</c:v>
                </c:pt>
                <c:pt idx="3">
                  <c:v>Stigma Long Distance to Health Facility</c:v>
                </c:pt>
              </c:strCache>
            </c:strRef>
          </c:cat>
          <c:val>
            <c:numRef>
              <c:f>Sheet1!$B$2:$B$5</c:f>
              <c:numCache>
                <c:formatCode>General</c:formatCode>
                <c:ptCount val="4"/>
                <c:pt idx="0">
                  <c:v>303</c:v>
                </c:pt>
                <c:pt idx="1">
                  <c:v>153</c:v>
                </c:pt>
                <c:pt idx="2">
                  <c:v>6</c:v>
                </c:pt>
                <c:pt idx="3">
                  <c:v>3</c:v>
                </c:pt>
              </c:numCache>
            </c:numRef>
          </c:val>
          <c:extLst>
            <c:ext xmlns:c16="http://schemas.microsoft.com/office/drawing/2014/chart" uri="{C3380CC4-5D6E-409C-BE32-E72D297353CC}">
              <c16:uniqueId val="{00000000-9367-3341-8756-C470883950D7}"/>
            </c:ext>
          </c:extLst>
        </c:ser>
        <c:dLbls>
          <c:showLegendKey val="0"/>
          <c:showVal val="0"/>
          <c:showCatName val="0"/>
          <c:showSerName val="0"/>
          <c:showPercent val="0"/>
          <c:showBubbleSize val="0"/>
        </c:dLbls>
        <c:gapWidth val="150"/>
        <c:axId val="231867520"/>
        <c:axId val="231869056"/>
      </c:barChart>
      <c:catAx>
        <c:axId val="23186752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869056"/>
        <c:crosses val="autoZero"/>
        <c:auto val="1"/>
        <c:lblAlgn val="ctr"/>
        <c:lblOffset val="100"/>
        <c:noMultiLvlLbl val="0"/>
      </c:catAx>
      <c:valAx>
        <c:axId val="23186905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1867520"/>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5c5b28d5-a3be-482b-9b9f-23371c2be107}"/>
      </c:ext>
    </c:extLst>
  </c:chart>
  <c:txPr>
    <a:bodyPr/>
    <a:lstStyle/>
    <a:p>
      <a:pPr>
        <a:defRPr lang="en-GB"/>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Missed Appointment</c:v>
                </c:pt>
              </c:strCache>
            </c:strRef>
          </c:tx>
          <c:invertIfNegative val="0"/>
          <c:cat>
            <c:strRef>
              <c:f>Sheet1!$A$2:$A$3</c:f>
              <c:strCache>
                <c:ptCount val="2"/>
                <c:pt idx="0">
                  <c:v>Control Group</c:v>
                </c:pt>
                <c:pt idx="1">
                  <c:v>Treatment group</c:v>
                </c:pt>
              </c:strCache>
            </c:strRef>
          </c:cat>
          <c:val>
            <c:numRef>
              <c:f>Sheet1!$B$2:$B$3</c:f>
              <c:numCache>
                <c:formatCode>General</c:formatCode>
                <c:ptCount val="2"/>
                <c:pt idx="0">
                  <c:v>160</c:v>
                </c:pt>
                <c:pt idx="1">
                  <c:v>143</c:v>
                </c:pt>
              </c:numCache>
            </c:numRef>
          </c:val>
          <c:extLst>
            <c:ext xmlns:c16="http://schemas.microsoft.com/office/drawing/2014/chart" uri="{C3380CC4-5D6E-409C-BE32-E72D297353CC}">
              <c16:uniqueId val="{00000000-553B-824C-AFBB-3B72688D9BAF}"/>
            </c:ext>
          </c:extLst>
        </c:ser>
        <c:ser>
          <c:idx val="1"/>
          <c:order val="1"/>
          <c:tx>
            <c:strRef>
              <c:f>Sheet1!$C$1</c:f>
              <c:strCache>
                <c:ptCount val="1"/>
                <c:pt idx="0">
                  <c:v>Missed Appointments and Missed Pill</c:v>
                </c:pt>
              </c:strCache>
            </c:strRef>
          </c:tx>
          <c:invertIfNegative val="0"/>
          <c:cat>
            <c:strRef>
              <c:f>Sheet1!$A$2:$A$3</c:f>
              <c:strCache>
                <c:ptCount val="2"/>
                <c:pt idx="0">
                  <c:v>Control Group</c:v>
                </c:pt>
                <c:pt idx="1">
                  <c:v>Treatment group</c:v>
                </c:pt>
              </c:strCache>
            </c:strRef>
          </c:cat>
          <c:val>
            <c:numRef>
              <c:f>Sheet1!$C$2:$C$3</c:f>
              <c:numCache>
                <c:formatCode>General</c:formatCode>
                <c:ptCount val="2"/>
                <c:pt idx="0">
                  <c:v>68</c:v>
                </c:pt>
                <c:pt idx="1">
                  <c:v>85</c:v>
                </c:pt>
              </c:numCache>
            </c:numRef>
          </c:val>
          <c:extLst>
            <c:ext xmlns:c16="http://schemas.microsoft.com/office/drawing/2014/chart" uri="{C3380CC4-5D6E-409C-BE32-E72D297353CC}">
              <c16:uniqueId val="{00000001-553B-824C-AFBB-3B72688D9BAF}"/>
            </c:ext>
          </c:extLst>
        </c:ser>
        <c:ser>
          <c:idx val="2"/>
          <c:order val="2"/>
          <c:tx>
            <c:strRef>
              <c:f>Sheet1!$D$1</c:f>
              <c:strCache>
                <c:ptCount val="1"/>
                <c:pt idx="0">
                  <c:v>Missed Appointments and Stress</c:v>
                </c:pt>
              </c:strCache>
            </c:strRef>
          </c:tx>
          <c:invertIfNegative val="0"/>
          <c:cat>
            <c:strRef>
              <c:f>Sheet1!$A$2:$A$3</c:f>
              <c:strCache>
                <c:ptCount val="2"/>
                <c:pt idx="0">
                  <c:v>Control Group</c:v>
                </c:pt>
                <c:pt idx="1">
                  <c:v>Treatment group</c:v>
                </c:pt>
              </c:strCache>
            </c:strRef>
          </c:cat>
          <c:val>
            <c:numRef>
              <c:f>Sheet1!$D$2:$D$3</c:f>
              <c:numCache>
                <c:formatCode>General</c:formatCode>
                <c:ptCount val="2"/>
                <c:pt idx="0">
                  <c:v>1</c:v>
                </c:pt>
                <c:pt idx="1">
                  <c:v>5</c:v>
                </c:pt>
              </c:numCache>
            </c:numRef>
          </c:val>
          <c:extLst>
            <c:ext xmlns:c16="http://schemas.microsoft.com/office/drawing/2014/chart" uri="{C3380CC4-5D6E-409C-BE32-E72D297353CC}">
              <c16:uniqueId val="{00000002-553B-824C-AFBB-3B72688D9BAF}"/>
            </c:ext>
          </c:extLst>
        </c:ser>
        <c:ser>
          <c:idx val="3"/>
          <c:order val="3"/>
          <c:tx>
            <c:strRef>
              <c:f>Sheet1!$E$1</c:f>
              <c:strCache>
                <c:ptCount val="1"/>
                <c:pt idx="0">
                  <c:v>Stigma Long Distance to Health Facility</c:v>
                </c:pt>
              </c:strCache>
            </c:strRef>
          </c:tx>
          <c:invertIfNegative val="0"/>
          <c:cat>
            <c:strRef>
              <c:f>Sheet1!$A$2:$A$3</c:f>
              <c:strCache>
                <c:ptCount val="2"/>
                <c:pt idx="0">
                  <c:v>Control Group</c:v>
                </c:pt>
                <c:pt idx="1">
                  <c:v>Treatment group</c:v>
                </c:pt>
              </c:strCache>
            </c:strRef>
          </c:cat>
          <c:val>
            <c:numRef>
              <c:f>Sheet1!$E$2:$E$3</c:f>
              <c:numCache>
                <c:formatCode>General</c:formatCode>
                <c:ptCount val="2"/>
                <c:pt idx="0">
                  <c:v>0</c:v>
                </c:pt>
                <c:pt idx="1">
                  <c:v>3</c:v>
                </c:pt>
              </c:numCache>
            </c:numRef>
          </c:val>
          <c:extLst>
            <c:ext xmlns:c16="http://schemas.microsoft.com/office/drawing/2014/chart" uri="{C3380CC4-5D6E-409C-BE32-E72D297353CC}">
              <c16:uniqueId val="{00000003-553B-824C-AFBB-3B72688D9BAF}"/>
            </c:ext>
          </c:extLst>
        </c:ser>
        <c:dLbls>
          <c:showLegendKey val="0"/>
          <c:showVal val="0"/>
          <c:showCatName val="0"/>
          <c:showSerName val="0"/>
          <c:showPercent val="0"/>
          <c:showBubbleSize val="0"/>
        </c:dLbls>
        <c:gapWidth val="150"/>
        <c:axId val="231895808"/>
        <c:axId val="231897344"/>
      </c:barChart>
      <c:catAx>
        <c:axId val="23189580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897344"/>
        <c:crosses val="autoZero"/>
        <c:auto val="1"/>
        <c:lblAlgn val="ctr"/>
        <c:lblOffset val="100"/>
        <c:noMultiLvlLbl val="0"/>
      </c:catAx>
      <c:valAx>
        <c:axId val="23189734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1895808"/>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legend>
    <c:plotVisOnly val="1"/>
    <c:dispBlanksAs val="gap"/>
    <c:showDLblsOverMax val="0"/>
    <c:extLst>
      <c:ext uri="{0b15fc19-7d7d-44ad-8c2d-2c3a37ce22c3}">
        <chartProps xmlns="https://web.wps.cn/et/2018/main" chartId="{d849c981-4a51-4631-9c1e-820e146c3101}"/>
      </c:ext>
    </c:extLst>
  </c:chart>
  <c:txPr>
    <a:bodyPr/>
    <a:lstStyle/>
    <a:p>
      <a:pPr>
        <a:defRPr lang="en-GB"/>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Marital Status</c:v>
                </c:pt>
              </c:strCache>
            </c:strRef>
          </c:tx>
          <c:cat>
            <c:strRef>
              <c:f>Sheet1!$A$2:$A$8</c:f>
              <c:strCache>
                <c:ptCount val="7"/>
                <c:pt idx="0">
                  <c:v>Divorced</c:v>
                </c:pt>
                <c:pt idx="1">
                  <c:v>Living with Partner</c:v>
                </c:pt>
                <c:pt idx="2">
                  <c:v>Maried (multiple spouses)</c:v>
                </c:pt>
                <c:pt idx="3">
                  <c:v>Married (one spouse)</c:v>
                </c:pt>
                <c:pt idx="4">
                  <c:v>Separated</c:v>
                </c:pt>
                <c:pt idx="5">
                  <c:v>Single</c:v>
                </c:pt>
                <c:pt idx="6">
                  <c:v>Widowed</c:v>
                </c:pt>
              </c:strCache>
            </c:strRef>
          </c:cat>
          <c:val>
            <c:numRef>
              <c:f>Sheet1!$B$2:$B$8</c:f>
              <c:numCache>
                <c:formatCode>General</c:formatCode>
                <c:ptCount val="7"/>
                <c:pt idx="0">
                  <c:v>25</c:v>
                </c:pt>
                <c:pt idx="1">
                  <c:v>8</c:v>
                </c:pt>
                <c:pt idx="2">
                  <c:v>20</c:v>
                </c:pt>
                <c:pt idx="3">
                  <c:v>287</c:v>
                </c:pt>
                <c:pt idx="4">
                  <c:v>18</c:v>
                </c:pt>
                <c:pt idx="5">
                  <c:v>102</c:v>
                </c:pt>
                <c:pt idx="6">
                  <c:v>43</c:v>
                </c:pt>
              </c:numCache>
            </c:numRef>
          </c:val>
          <c:extLst>
            <c:ext xmlns:c16="http://schemas.microsoft.com/office/drawing/2014/chart" uri="{C3380CC4-5D6E-409C-BE32-E72D297353CC}">
              <c16:uniqueId val="{00000000-FA42-5946-A047-F7CFA4017A36}"/>
            </c:ext>
          </c:extLst>
        </c:ser>
        <c:dLbls>
          <c:showLegendKey val="0"/>
          <c:showVal val="0"/>
          <c:showCatName val="0"/>
          <c:showSerName val="0"/>
          <c:showPercent val="0"/>
          <c:showBubbleSize val="0"/>
        </c:dLbls>
        <c:axId val="230061184"/>
        <c:axId val="230062720"/>
      </c:radarChart>
      <c:catAx>
        <c:axId val="230061184"/>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062720"/>
        <c:crosses val="autoZero"/>
        <c:auto val="1"/>
        <c:lblAlgn val="ctr"/>
        <c:lblOffset val="100"/>
        <c:noMultiLvlLbl val="0"/>
      </c:catAx>
      <c:valAx>
        <c:axId val="230062720"/>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061184"/>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420a9f89-1130-4c99-add7-a4677bae3c18}"/>
      </c:ext>
    </c:extLst>
  </c:chart>
  <c:txPr>
    <a:bodyPr/>
    <a:lstStyle/>
    <a:p>
      <a:pPr>
        <a:defRPr lang="en-GB"/>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Average Household Income</c:v>
                </c:pt>
              </c:strCache>
            </c:strRef>
          </c:tx>
          <c:cat>
            <c:strRef>
              <c:f>Sheet1!$A$2:$A$6</c:f>
              <c:strCache>
                <c:ptCount val="5"/>
                <c:pt idx="0">
                  <c:v>0 - 500</c:v>
                </c:pt>
                <c:pt idx="1">
                  <c:v>501 - 1000</c:v>
                </c:pt>
                <c:pt idx="2">
                  <c:v>1001 - 2000</c:v>
                </c:pt>
                <c:pt idx="3">
                  <c:v>2001 - 3000</c:v>
                </c:pt>
                <c:pt idx="4">
                  <c:v>3001 and  above</c:v>
                </c:pt>
              </c:strCache>
            </c:strRef>
          </c:cat>
          <c:val>
            <c:numRef>
              <c:f>Sheet1!$B$2:$B$6</c:f>
              <c:numCache>
                <c:formatCode>General</c:formatCode>
                <c:ptCount val="5"/>
                <c:pt idx="0">
                  <c:v>11</c:v>
                </c:pt>
                <c:pt idx="1">
                  <c:v>10</c:v>
                </c:pt>
                <c:pt idx="2">
                  <c:v>85</c:v>
                </c:pt>
                <c:pt idx="3">
                  <c:v>155</c:v>
                </c:pt>
                <c:pt idx="4">
                  <c:v>246</c:v>
                </c:pt>
              </c:numCache>
            </c:numRef>
          </c:val>
          <c:extLst>
            <c:ext xmlns:c16="http://schemas.microsoft.com/office/drawing/2014/chart" uri="{C3380CC4-5D6E-409C-BE32-E72D297353CC}">
              <c16:uniqueId val="{00000000-C74F-8B4F-A197-E56F35322628}"/>
            </c:ext>
          </c:extLst>
        </c:ser>
        <c:dLbls>
          <c:showLegendKey val="0"/>
          <c:showVal val="0"/>
          <c:showCatName val="0"/>
          <c:showSerName val="0"/>
          <c:showPercent val="0"/>
          <c:showBubbleSize val="0"/>
        </c:dLbls>
        <c:axId val="230201600"/>
        <c:axId val="230203392"/>
      </c:radarChart>
      <c:catAx>
        <c:axId val="230201600"/>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203392"/>
        <c:crosses val="autoZero"/>
        <c:auto val="1"/>
        <c:lblAlgn val="ctr"/>
        <c:lblOffset val="100"/>
        <c:noMultiLvlLbl val="0"/>
      </c:catAx>
      <c:valAx>
        <c:axId val="230203392"/>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201600"/>
        <c:crosses val="autoZero"/>
        <c:crossBetween val="between"/>
      </c:valAx>
    </c:plotArea>
    <c:legend>
      <c:legendPos val="r"/>
      <c:legendEntry>
        <c:idx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Entry>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6befe930-9e41-4481-98e3-87cdf2cc2e5f}"/>
      </c:ext>
    </c:extLst>
  </c:chart>
  <c:txPr>
    <a:bodyPr/>
    <a:lstStyle/>
    <a:p>
      <a:pPr>
        <a:defRPr lang="en-GB"/>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Average Expenditure</c:v>
                </c:pt>
              </c:strCache>
            </c:strRef>
          </c:tx>
          <c:cat>
            <c:strRef>
              <c:f>Sheet1!$A$2:$A$6</c:f>
              <c:strCache>
                <c:ptCount val="5"/>
                <c:pt idx="0">
                  <c:v>0 - 500</c:v>
                </c:pt>
                <c:pt idx="1">
                  <c:v>501 - 1000</c:v>
                </c:pt>
                <c:pt idx="2">
                  <c:v>1001 - 2000</c:v>
                </c:pt>
                <c:pt idx="3">
                  <c:v>2001 - 3000</c:v>
                </c:pt>
                <c:pt idx="4">
                  <c:v>3001 and above</c:v>
                </c:pt>
              </c:strCache>
            </c:strRef>
          </c:cat>
          <c:val>
            <c:numRef>
              <c:f>Sheet1!$B$2:$B$6</c:f>
              <c:numCache>
                <c:formatCode>General</c:formatCode>
                <c:ptCount val="5"/>
                <c:pt idx="0">
                  <c:v>2</c:v>
                </c:pt>
                <c:pt idx="1">
                  <c:v>18</c:v>
                </c:pt>
                <c:pt idx="2">
                  <c:v>76</c:v>
                </c:pt>
                <c:pt idx="3">
                  <c:v>137</c:v>
                </c:pt>
                <c:pt idx="4">
                  <c:v>274</c:v>
                </c:pt>
              </c:numCache>
            </c:numRef>
          </c:val>
          <c:extLst>
            <c:ext xmlns:c16="http://schemas.microsoft.com/office/drawing/2014/chart" uri="{C3380CC4-5D6E-409C-BE32-E72D297353CC}">
              <c16:uniqueId val="{00000000-EB9D-704B-A6E0-995E54007503}"/>
            </c:ext>
          </c:extLst>
        </c:ser>
        <c:dLbls>
          <c:showLegendKey val="0"/>
          <c:showVal val="0"/>
          <c:showCatName val="0"/>
          <c:showSerName val="0"/>
          <c:showPercent val="0"/>
          <c:showBubbleSize val="0"/>
        </c:dLbls>
        <c:axId val="230260736"/>
        <c:axId val="230262272"/>
      </c:radarChart>
      <c:catAx>
        <c:axId val="23026073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262272"/>
        <c:crosses val="autoZero"/>
        <c:auto val="1"/>
        <c:lblAlgn val="ctr"/>
        <c:lblOffset val="100"/>
        <c:noMultiLvlLbl val="0"/>
      </c:catAx>
      <c:valAx>
        <c:axId val="230262272"/>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260736"/>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153ac42a-dd98-4eb5-a349-fc98611f5f98}"/>
      </c:ext>
    </c:extLst>
  </c:chart>
  <c:txPr>
    <a:bodyPr/>
    <a:lstStyle/>
    <a:p>
      <a:pPr>
        <a:defRPr lang="en-GB"/>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Education Level</c:v>
                </c:pt>
              </c:strCache>
            </c:strRef>
          </c:tx>
          <c:cat>
            <c:strRef>
              <c:f>Sheet1!$A$2:$A$5</c:f>
              <c:strCache>
                <c:ptCount val="4"/>
                <c:pt idx="0">
                  <c:v>No formal education</c:v>
                </c:pt>
                <c:pt idx="1">
                  <c:v>Primary education</c:v>
                </c:pt>
                <c:pt idx="2">
                  <c:v>Secondary education or high school</c:v>
                </c:pt>
                <c:pt idx="3">
                  <c:v>Vocational qualification</c:v>
                </c:pt>
              </c:strCache>
            </c:strRef>
          </c:cat>
          <c:val>
            <c:numRef>
              <c:f>Sheet1!$B$2:$B$5</c:f>
              <c:numCache>
                <c:formatCode>General</c:formatCode>
                <c:ptCount val="4"/>
                <c:pt idx="0">
                  <c:v>31</c:v>
                </c:pt>
                <c:pt idx="1">
                  <c:v>266</c:v>
                </c:pt>
                <c:pt idx="2">
                  <c:v>188</c:v>
                </c:pt>
                <c:pt idx="3">
                  <c:v>15</c:v>
                </c:pt>
              </c:numCache>
            </c:numRef>
          </c:val>
          <c:extLst>
            <c:ext xmlns:c16="http://schemas.microsoft.com/office/drawing/2014/chart" uri="{C3380CC4-5D6E-409C-BE32-E72D297353CC}">
              <c16:uniqueId val="{00000000-8388-D947-8088-0BF9F29B21D1}"/>
            </c:ext>
          </c:extLst>
        </c:ser>
        <c:dLbls>
          <c:showLegendKey val="0"/>
          <c:showVal val="0"/>
          <c:showCatName val="0"/>
          <c:showSerName val="0"/>
          <c:showPercent val="0"/>
          <c:showBubbleSize val="0"/>
        </c:dLbls>
        <c:axId val="230356096"/>
        <c:axId val="230357632"/>
      </c:radarChart>
      <c:catAx>
        <c:axId val="23035609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357632"/>
        <c:crosses val="autoZero"/>
        <c:auto val="1"/>
        <c:lblAlgn val="ctr"/>
        <c:lblOffset val="100"/>
        <c:noMultiLvlLbl val="0"/>
      </c:catAx>
      <c:valAx>
        <c:axId val="230357632"/>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crossAx val="230356096"/>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82b24eb6-57c2-4811-a60e-ed46dc5bf56b}"/>
      </c:ext>
    </c:extLst>
  </c:chart>
  <c:txPr>
    <a:bodyPr/>
    <a:lstStyle/>
    <a:p>
      <a:pPr>
        <a:defRPr lang="en-GB"/>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Sheet1!#REF!</c:f>
              <c:strCache>
                <c:ptCount val="1"/>
                <c:pt idx="0">
                  <c:v>#REF!</c:v>
                </c:pt>
              </c:strCache>
            </c:strRef>
          </c:tx>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16</c:v>
                </c:pt>
              </c:numCache>
            </c:numRef>
          </c:cat>
          <c:val>
            <c:numRef>
              <c:f>Sheet1!$B$2:$B$13</c:f>
              <c:numCache>
                <c:formatCode>General</c:formatCode>
                <c:ptCount val="12"/>
                <c:pt idx="0">
                  <c:v>43</c:v>
                </c:pt>
                <c:pt idx="1">
                  <c:v>59</c:v>
                </c:pt>
                <c:pt idx="2">
                  <c:v>78</c:v>
                </c:pt>
                <c:pt idx="3">
                  <c:v>96</c:v>
                </c:pt>
                <c:pt idx="4">
                  <c:v>59</c:v>
                </c:pt>
                <c:pt idx="5">
                  <c:v>51</c:v>
                </c:pt>
                <c:pt idx="6">
                  <c:v>37</c:v>
                </c:pt>
                <c:pt idx="7">
                  <c:v>28</c:v>
                </c:pt>
                <c:pt idx="8">
                  <c:v>16</c:v>
                </c:pt>
                <c:pt idx="9">
                  <c:v>13</c:v>
                </c:pt>
                <c:pt idx="10">
                  <c:v>1</c:v>
                </c:pt>
                <c:pt idx="11">
                  <c:v>1</c:v>
                </c:pt>
              </c:numCache>
            </c:numRef>
          </c:val>
          <c:extLst>
            <c:ext xmlns:c16="http://schemas.microsoft.com/office/drawing/2014/chart" uri="{C3380CC4-5D6E-409C-BE32-E72D297353CC}">
              <c16:uniqueId val="{00000000-836E-CD4F-915D-574F45989EC2}"/>
            </c:ext>
          </c:extLst>
        </c:ser>
        <c:dLbls>
          <c:showLegendKey val="0"/>
          <c:showVal val="0"/>
          <c:showCatName val="0"/>
          <c:showSerName val="0"/>
          <c:showPercent val="0"/>
          <c:showBubbleSize val="0"/>
        </c:dLbls>
        <c:gapWidth val="150"/>
        <c:axId val="230369536"/>
        <c:axId val="230371328"/>
      </c:barChart>
      <c:catAx>
        <c:axId val="2303695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0371328"/>
        <c:crosses val="autoZero"/>
        <c:auto val="1"/>
        <c:lblAlgn val="ctr"/>
        <c:lblOffset val="100"/>
        <c:noMultiLvlLbl val="0"/>
      </c:catAx>
      <c:valAx>
        <c:axId val="2303713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mn-cs"/>
              </a:defRPr>
            </a:pPr>
            <a:endParaRPr lang="en-US"/>
          </a:p>
        </c:txPr>
        <c:crossAx val="230369536"/>
        <c:crosses val="autoZero"/>
        <c:crossBetween val="between"/>
      </c:valAx>
    </c:plotArea>
    <c:legend>
      <c:legendPos val="r"/>
      <c:layout>
        <c:manualLayout>
          <c:xMode val="edge"/>
          <c:yMode val="edge"/>
          <c:x val="0.74507035578886005"/>
          <c:y val="0.464121047369079"/>
          <c:w val="0.241040755322251"/>
          <c:h val="7.1757592800899897E-2"/>
        </c:manualLayout>
      </c:layout>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c2024d12-f532-4c12-8b5f-48e5b3041878}"/>
      </c:ext>
    </c:extLst>
  </c:chart>
  <c:txPr>
    <a:bodyPr/>
    <a:lstStyle/>
    <a:p>
      <a:pPr>
        <a:defRPr lang="en-GB"/>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NHIF insurance cover</c:v>
                </c:pt>
              </c:strCache>
            </c:strRef>
          </c:tx>
          <c:dPt>
            <c:idx val="0"/>
            <c:bubble3D val="0"/>
            <c:extLst>
              <c:ext xmlns:c16="http://schemas.microsoft.com/office/drawing/2014/chart" uri="{C3380CC4-5D6E-409C-BE32-E72D297353CC}">
                <c16:uniqueId val="{00000000-6D7E-0241-8896-D825F380DB0E}"/>
              </c:ext>
            </c:extLst>
          </c:dPt>
          <c:dPt>
            <c:idx val="1"/>
            <c:bubble3D val="0"/>
            <c:extLst>
              <c:ext xmlns:c16="http://schemas.microsoft.com/office/drawing/2014/chart" uri="{C3380CC4-5D6E-409C-BE32-E72D297353CC}">
                <c16:uniqueId val="{00000001-6D7E-0241-8896-D825F380DB0E}"/>
              </c:ext>
            </c:extLst>
          </c:dPt>
          <c:cat>
            <c:strRef>
              <c:f>Sheet1!$A$2:$A$3</c:f>
              <c:strCache>
                <c:ptCount val="2"/>
                <c:pt idx="0">
                  <c:v>Have NHIF insurance cover</c:v>
                </c:pt>
                <c:pt idx="1">
                  <c:v>No NHIF insurance cover</c:v>
                </c:pt>
              </c:strCache>
            </c:strRef>
          </c:cat>
          <c:val>
            <c:numRef>
              <c:f>Sheet1!$B$2:$B$3</c:f>
              <c:numCache>
                <c:formatCode>General</c:formatCode>
                <c:ptCount val="2"/>
                <c:pt idx="0">
                  <c:v>5</c:v>
                </c:pt>
                <c:pt idx="1">
                  <c:v>508</c:v>
                </c:pt>
              </c:numCache>
            </c:numRef>
          </c:val>
          <c:extLst>
            <c:ext xmlns:c16="http://schemas.microsoft.com/office/drawing/2014/chart" uri="{C3380CC4-5D6E-409C-BE32-E72D297353CC}">
              <c16:uniqueId val="{00000002-6D7E-0241-8896-D825F380DB0E}"/>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bc3b21a4-3b28-4e3f-89d6-ebdee8dd125c}"/>
      </c:ext>
    </c:extLst>
  </c:chart>
  <c:txPr>
    <a:bodyPr/>
    <a:lstStyle/>
    <a:p>
      <a:pPr>
        <a:defRPr lang="en-GB"/>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Other active insurance cover</c:v>
                </c:pt>
              </c:strCache>
            </c:strRef>
          </c:tx>
          <c:dPt>
            <c:idx val="0"/>
            <c:bubble3D val="0"/>
            <c:extLst>
              <c:ext xmlns:c16="http://schemas.microsoft.com/office/drawing/2014/chart" uri="{C3380CC4-5D6E-409C-BE32-E72D297353CC}">
                <c16:uniqueId val="{00000000-05E1-7749-8B9B-2433427B5E58}"/>
              </c:ext>
            </c:extLst>
          </c:dPt>
          <c:dPt>
            <c:idx val="1"/>
            <c:bubble3D val="0"/>
            <c:extLst>
              <c:ext xmlns:c16="http://schemas.microsoft.com/office/drawing/2014/chart" uri="{C3380CC4-5D6E-409C-BE32-E72D297353CC}">
                <c16:uniqueId val="{00000001-05E1-7749-8B9B-2433427B5E58}"/>
              </c:ext>
            </c:extLst>
          </c:dPt>
          <c:cat>
            <c:strRef>
              <c:f>Sheet1!$A$2:$A$3</c:f>
              <c:strCache>
                <c:ptCount val="2"/>
                <c:pt idx="0">
                  <c:v>Have other insurance cover</c:v>
                </c:pt>
                <c:pt idx="1">
                  <c:v>No insurance cover</c:v>
                </c:pt>
              </c:strCache>
            </c:strRef>
          </c:cat>
          <c:val>
            <c:numRef>
              <c:f>Sheet1!$B$2:$B$3</c:f>
              <c:numCache>
                <c:formatCode>General</c:formatCode>
                <c:ptCount val="2"/>
                <c:pt idx="0">
                  <c:v>3</c:v>
                </c:pt>
                <c:pt idx="1">
                  <c:v>510</c:v>
                </c:pt>
              </c:numCache>
            </c:numRef>
          </c:val>
          <c:extLst>
            <c:ext xmlns:c16="http://schemas.microsoft.com/office/drawing/2014/chart" uri="{C3380CC4-5D6E-409C-BE32-E72D297353CC}">
              <c16:uniqueId val="{00000002-05E1-7749-8B9B-2433427B5E58}"/>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67d7c8a-69f1-40c7-a942-4e69fffaaa45}"/>
      </c:ext>
    </c:extLst>
  </c:chart>
  <c:txPr>
    <a:bodyPr/>
    <a:lstStyle/>
    <a:p>
      <a:pPr>
        <a:defRPr lang="en-GB"/>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Clinic Intervention Group and Clinic Control Group</c:v>
                </c:pt>
              </c:strCache>
            </c:strRef>
          </c:tx>
          <c:dPt>
            <c:idx val="0"/>
            <c:bubble3D val="0"/>
            <c:extLst>
              <c:ext xmlns:c16="http://schemas.microsoft.com/office/drawing/2014/chart" uri="{C3380CC4-5D6E-409C-BE32-E72D297353CC}">
                <c16:uniqueId val="{00000000-7E1B-804B-A746-3F4EB680326C}"/>
              </c:ext>
            </c:extLst>
          </c:dPt>
          <c:dPt>
            <c:idx val="1"/>
            <c:bubble3D val="0"/>
            <c:extLst>
              <c:ext xmlns:c16="http://schemas.microsoft.com/office/drawing/2014/chart" uri="{C3380CC4-5D6E-409C-BE32-E72D297353CC}">
                <c16:uniqueId val="{00000001-7E1B-804B-A746-3F4EB680326C}"/>
              </c:ext>
            </c:extLst>
          </c:dPt>
          <c:cat>
            <c:strRef>
              <c:f>Sheet1!$A$2:$A$3</c:f>
              <c:strCache>
                <c:ptCount val="2"/>
                <c:pt idx="0">
                  <c:v>Control Group</c:v>
                </c:pt>
                <c:pt idx="1">
                  <c:v>Treatment Group</c:v>
                </c:pt>
              </c:strCache>
            </c:strRef>
          </c:cat>
          <c:val>
            <c:numRef>
              <c:f>Sheet1!$B$2:$B$3</c:f>
              <c:numCache>
                <c:formatCode>General</c:formatCode>
                <c:ptCount val="2"/>
                <c:pt idx="0">
                  <c:v>242</c:v>
                </c:pt>
                <c:pt idx="1">
                  <c:v>270</c:v>
                </c:pt>
              </c:numCache>
            </c:numRef>
          </c:val>
          <c:extLst>
            <c:ext xmlns:c16="http://schemas.microsoft.com/office/drawing/2014/chart" uri="{C3380CC4-5D6E-409C-BE32-E72D297353CC}">
              <c16:uniqueId val="{00000002-7E1B-804B-A746-3F4EB680326C}"/>
            </c:ext>
          </c:extLst>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Georgia" panose="02040502050405020303" pitchFamily="1"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5c444d5c-3c9c-4eda-b068-cb0089b5415b}"/>
      </c:ext>
    </c:extLst>
  </c:chart>
  <c:txPr>
    <a:bodyPr/>
    <a:lstStyle/>
    <a:p>
      <a:pPr>
        <a:defRPr lang="en-GB"/>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TsfXb7qZnmaYFKFkEw+3ZpxEA==">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20222</Words>
  <Characters>115272</Characters>
  <Application>Microsoft Office Word</Application>
  <DocSecurity>0</DocSecurity>
  <Lines>960</Lines>
  <Paragraphs>270</Paragraphs>
  <ScaleCrop>false</ScaleCrop>
  <Company/>
  <LinksUpToDate>false</LinksUpToDate>
  <CharactersWithSpaces>135224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guy newing</cp:lastModifiedBy>
  <cp:revision>2</cp:revision>
  <dcterms:created xsi:type="dcterms:W3CDTF">2025-08-14T04:32:00Z</dcterms:created>
  <dcterms:modified xsi:type="dcterms:W3CDTF">2025-08-14T04:32:00Z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AB5E1EC8E81B46149E24527F56CD876B_13</vt:lpwstr>
  </property>
</Properties>
</file>