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4D73" w14:textId="0A639AD6" w:rsidR="00340BFF" w:rsidRDefault="005670F4" w:rsidP="00340BFF">
      <w:pPr>
        <w:pStyle w:val="Title"/>
      </w:pPr>
      <w:r>
        <w:rPr>
          <w:noProof/>
        </w:rPr>
        <w:drawing>
          <wp:anchor distT="0" distB="0" distL="114300" distR="114300" simplePos="0" relativeHeight="251658240" behindDoc="0" locked="0" layoutInCell="1" allowOverlap="1" wp14:anchorId="32EC2452" wp14:editId="7466855A">
            <wp:simplePos x="0" y="0"/>
            <wp:positionH relativeFrom="column">
              <wp:posOffset>0</wp:posOffset>
            </wp:positionH>
            <wp:positionV relativeFrom="paragraph">
              <wp:posOffset>228600</wp:posOffset>
            </wp:positionV>
            <wp:extent cx="1800000" cy="410414"/>
            <wp:effectExtent l="0" t="0" r="3810" b="0"/>
            <wp:wrapTopAndBottom/>
            <wp:docPr id="70871306" name="Graphic 1" descr="CoMo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1306" name="Graphic 1" descr="CoMoUK logo"/>
                    <pic:cNvPicPr/>
                  </pic:nvPicPr>
                  <pic:blipFill>
                    <a:blip r:embed="rId10">
                      <a:extLst>
                        <a:ext uri="{96DAC541-7B7A-43D3-8B79-37D633B846F1}">
                          <asvg:svgBlip xmlns:asvg="http://schemas.microsoft.com/office/drawing/2016/SVG/main" r:embed="rId11"/>
                        </a:ext>
                      </a:extLst>
                    </a:blip>
                    <a:stretch>
                      <a:fillRect/>
                    </a:stretch>
                  </pic:blipFill>
                  <pic:spPr>
                    <a:xfrm>
                      <a:off x="0" y="0"/>
                      <a:ext cx="1800000" cy="410414"/>
                    </a:xfrm>
                    <a:prstGeom prst="rect">
                      <a:avLst/>
                    </a:prstGeom>
                  </pic:spPr>
                </pic:pic>
              </a:graphicData>
            </a:graphic>
            <wp14:sizeRelH relativeFrom="page">
              <wp14:pctWidth>0</wp14:pctWidth>
            </wp14:sizeRelH>
            <wp14:sizeRelV relativeFrom="page">
              <wp14:pctHeight>0</wp14:pctHeight>
            </wp14:sizeRelV>
          </wp:anchor>
        </w:drawing>
      </w:r>
      <w:r w:rsidR="007F2710">
        <w:t xml:space="preserve">Public </w:t>
      </w:r>
      <w:r w:rsidR="0086734B">
        <w:t>b</w:t>
      </w:r>
      <w:r w:rsidR="007F2710">
        <w:t xml:space="preserve">ike </w:t>
      </w:r>
      <w:r w:rsidR="0086734B">
        <w:t>s</w:t>
      </w:r>
      <w:r w:rsidR="007F2710">
        <w:t>hare</w:t>
      </w:r>
      <w:r w:rsidR="00A83077" w:rsidRPr="00A83077">
        <w:t xml:space="preserve"> </w:t>
      </w:r>
      <w:r w:rsidR="0086734B">
        <w:t>a</w:t>
      </w:r>
      <w:r w:rsidR="00A83077" w:rsidRPr="00A83077">
        <w:t xml:space="preserve">ccreditation </w:t>
      </w:r>
      <w:r w:rsidR="0086734B">
        <w:t>s</w:t>
      </w:r>
      <w:r w:rsidR="00A83077" w:rsidRPr="00A83077">
        <w:t>cheme</w:t>
      </w:r>
      <w:r w:rsidR="0086734B">
        <w:t xml:space="preserve"> application form</w:t>
      </w:r>
    </w:p>
    <w:p w14:paraId="10D3DA0D" w14:textId="39A74C8C" w:rsidR="00A83077" w:rsidRPr="00A83077" w:rsidRDefault="0086734B" w:rsidP="0086734B">
      <w:pPr>
        <w:rPr>
          <w:b/>
        </w:rPr>
      </w:pPr>
      <w:r w:rsidRPr="0086734B">
        <w:rPr>
          <w:rFonts w:eastAsiaTheme="majorEastAsia" w:cs="Times New Roman (Headings CS)"/>
          <w:color w:val="595959" w:themeColor="text1" w:themeTint="A6"/>
          <w:sz w:val="28"/>
          <w:szCs w:val="28"/>
        </w:rPr>
        <w:t>Full</w:t>
      </w:r>
      <w:r>
        <w:rPr>
          <w:rFonts w:eastAsiaTheme="majorEastAsia" w:cs="Times New Roman (Headings CS)"/>
          <w:color w:val="595959" w:themeColor="text1" w:themeTint="A6"/>
          <w:sz w:val="28"/>
          <w:szCs w:val="28"/>
        </w:rPr>
        <w:t>, p</w:t>
      </w:r>
      <w:r w:rsidRPr="0086734B">
        <w:rPr>
          <w:rFonts w:eastAsiaTheme="majorEastAsia" w:cs="Times New Roman (Headings CS)"/>
          <w:color w:val="595959" w:themeColor="text1" w:themeTint="A6"/>
          <w:sz w:val="28"/>
          <w:szCs w:val="28"/>
        </w:rPr>
        <w:t>rovisional</w:t>
      </w:r>
      <w:r>
        <w:rPr>
          <w:rFonts w:eastAsiaTheme="majorEastAsia" w:cs="Times New Roman (Headings CS)"/>
          <w:color w:val="595959" w:themeColor="text1" w:themeTint="A6"/>
          <w:sz w:val="28"/>
          <w:szCs w:val="28"/>
        </w:rPr>
        <w:t xml:space="preserve"> and s</w:t>
      </w:r>
      <w:r w:rsidRPr="0086734B">
        <w:rPr>
          <w:rFonts w:eastAsiaTheme="majorEastAsia" w:cs="Times New Roman (Headings CS)"/>
          <w:color w:val="595959" w:themeColor="text1" w:themeTint="A6"/>
          <w:sz w:val="28"/>
          <w:szCs w:val="28"/>
        </w:rPr>
        <w:t>mall scale, basic level</w:t>
      </w:r>
      <w:r w:rsidR="00340BFF">
        <w:br w:type="page"/>
      </w:r>
    </w:p>
    <w:p w14:paraId="2A60CFF5" w14:textId="77777777" w:rsidR="00A83077" w:rsidRPr="00A83077" w:rsidRDefault="00A83077" w:rsidP="00A83077">
      <w:pPr>
        <w:pStyle w:val="Heading1"/>
      </w:pPr>
      <w:r w:rsidRPr="00A83077">
        <w:lastRenderedPageBreak/>
        <w:t>Contact details</w:t>
      </w:r>
    </w:p>
    <w:tbl>
      <w:tblPr>
        <w:tblStyle w:val="TableGridLight"/>
        <w:tblW w:w="9067" w:type="dxa"/>
        <w:tblLook w:val="0000" w:firstRow="0" w:lastRow="0" w:firstColumn="0" w:lastColumn="0" w:noHBand="0" w:noVBand="0"/>
      </w:tblPr>
      <w:tblGrid>
        <w:gridCol w:w="2830"/>
        <w:gridCol w:w="6237"/>
      </w:tblGrid>
      <w:tr w:rsidR="00A83077" w:rsidRPr="00A83077" w14:paraId="3F24CABF" w14:textId="77777777" w:rsidTr="004B6A76">
        <w:tc>
          <w:tcPr>
            <w:tcW w:w="2830" w:type="dxa"/>
          </w:tcPr>
          <w:p w14:paraId="5F16BC6C" w14:textId="5118FE46" w:rsidR="00A83077" w:rsidRPr="00A83077" w:rsidRDefault="00A83077" w:rsidP="00A83077">
            <w:r w:rsidRPr="00A83077">
              <w:t>Contact name</w:t>
            </w:r>
            <w:r w:rsidR="002A46DE">
              <w:t>:</w:t>
            </w:r>
          </w:p>
        </w:tc>
        <w:tc>
          <w:tcPr>
            <w:tcW w:w="6237" w:type="dxa"/>
          </w:tcPr>
          <w:p w14:paraId="7E37D64A" w14:textId="056DF4CC" w:rsidR="00A83077" w:rsidRPr="00A83077" w:rsidRDefault="00A83077" w:rsidP="00A83077"/>
        </w:tc>
      </w:tr>
      <w:tr w:rsidR="00A83077" w:rsidRPr="00A83077" w14:paraId="2D7A6271" w14:textId="77777777" w:rsidTr="004B6A76">
        <w:tc>
          <w:tcPr>
            <w:tcW w:w="2830" w:type="dxa"/>
          </w:tcPr>
          <w:p w14:paraId="0182D097" w14:textId="46DFB3D2" w:rsidR="00A83077" w:rsidRPr="00A83077" w:rsidRDefault="00A83077" w:rsidP="00A83077">
            <w:r w:rsidRPr="00A83077">
              <w:t>Organisation name</w:t>
            </w:r>
            <w:r w:rsidR="002A46DE">
              <w:t>:</w:t>
            </w:r>
          </w:p>
        </w:tc>
        <w:tc>
          <w:tcPr>
            <w:tcW w:w="6237" w:type="dxa"/>
          </w:tcPr>
          <w:p w14:paraId="28A3C2F1" w14:textId="06218016" w:rsidR="00A83077" w:rsidRPr="00A83077" w:rsidRDefault="00A83077" w:rsidP="00A83077"/>
        </w:tc>
      </w:tr>
      <w:tr w:rsidR="00A83077" w:rsidRPr="00A83077" w14:paraId="1913B729" w14:textId="77777777" w:rsidTr="004B6A76">
        <w:tc>
          <w:tcPr>
            <w:tcW w:w="2830" w:type="dxa"/>
          </w:tcPr>
          <w:p w14:paraId="0E6AE335" w14:textId="0F026AD1" w:rsidR="00A83077" w:rsidRPr="00A83077" w:rsidRDefault="00A83077" w:rsidP="00A83077">
            <w:r w:rsidRPr="00A83077">
              <w:t>Trading name (if different)</w:t>
            </w:r>
            <w:r w:rsidR="002A46DE">
              <w:t>:</w:t>
            </w:r>
          </w:p>
        </w:tc>
        <w:tc>
          <w:tcPr>
            <w:tcW w:w="6237" w:type="dxa"/>
          </w:tcPr>
          <w:p w14:paraId="359B1224" w14:textId="13443614" w:rsidR="00A83077" w:rsidRPr="00A83077" w:rsidRDefault="00A83077" w:rsidP="00A83077"/>
        </w:tc>
      </w:tr>
      <w:tr w:rsidR="00A83077" w:rsidRPr="00A83077" w14:paraId="6B765DC4" w14:textId="77777777" w:rsidTr="004B6A76">
        <w:tc>
          <w:tcPr>
            <w:tcW w:w="2830" w:type="dxa"/>
          </w:tcPr>
          <w:p w14:paraId="074A811B" w14:textId="6AC87A23" w:rsidR="00A83077" w:rsidRPr="00A83077" w:rsidRDefault="00A83077" w:rsidP="00A83077">
            <w:r w:rsidRPr="00A83077">
              <w:t>Address for correspondence</w:t>
            </w:r>
            <w:r w:rsidR="002A46DE">
              <w:t>:</w:t>
            </w:r>
          </w:p>
        </w:tc>
        <w:tc>
          <w:tcPr>
            <w:tcW w:w="6237" w:type="dxa"/>
          </w:tcPr>
          <w:p w14:paraId="1EEFAAC1" w14:textId="0B3B4A30" w:rsidR="00A83077" w:rsidRPr="00A83077" w:rsidRDefault="00A83077" w:rsidP="00A83077"/>
        </w:tc>
      </w:tr>
      <w:tr w:rsidR="00A83077" w:rsidRPr="00A83077" w14:paraId="44BFF8E8" w14:textId="77777777" w:rsidTr="004B6A76">
        <w:tc>
          <w:tcPr>
            <w:tcW w:w="2830" w:type="dxa"/>
          </w:tcPr>
          <w:p w14:paraId="6D496CAA" w14:textId="280282FB" w:rsidR="00A83077" w:rsidRPr="00A83077" w:rsidRDefault="00A83077" w:rsidP="00A83077">
            <w:r w:rsidRPr="00A83077">
              <w:t>Postcode</w:t>
            </w:r>
            <w:r w:rsidR="002A46DE">
              <w:t>:</w:t>
            </w:r>
          </w:p>
        </w:tc>
        <w:tc>
          <w:tcPr>
            <w:tcW w:w="6237" w:type="dxa"/>
          </w:tcPr>
          <w:p w14:paraId="34DAB0DE" w14:textId="19181487" w:rsidR="00A83077" w:rsidRPr="00A83077" w:rsidRDefault="00A83077" w:rsidP="00A83077"/>
        </w:tc>
      </w:tr>
      <w:tr w:rsidR="00A83077" w:rsidRPr="00A83077" w14:paraId="3FD93E0C" w14:textId="77777777" w:rsidTr="004B6A76">
        <w:tc>
          <w:tcPr>
            <w:tcW w:w="2830" w:type="dxa"/>
          </w:tcPr>
          <w:p w14:paraId="36F81620" w14:textId="0367B12D" w:rsidR="00A83077" w:rsidRPr="00A83077" w:rsidRDefault="00A83077" w:rsidP="00A83077">
            <w:r w:rsidRPr="00A83077">
              <w:t>Telephone</w:t>
            </w:r>
            <w:r w:rsidR="002A46DE">
              <w:t>:</w:t>
            </w:r>
          </w:p>
        </w:tc>
        <w:tc>
          <w:tcPr>
            <w:tcW w:w="6237" w:type="dxa"/>
          </w:tcPr>
          <w:p w14:paraId="46FF0114" w14:textId="5B892C4D" w:rsidR="00A83077" w:rsidRPr="00A83077" w:rsidRDefault="00A83077" w:rsidP="00A83077"/>
        </w:tc>
      </w:tr>
      <w:tr w:rsidR="00A83077" w:rsidRPr="00A83077" w14:paraId="3CE784DB" w14:textId="77777777" w:rsidTr="004B6A76">
        <w:tc>
          <w:tcPr>
            <w:tcW w:w="2830" w:type="dxa"/>
          </w:tcPr>
          <w:p w14:paraId="0C2E2DC6" w14:textId="3C04C498" w:rsidR="00A83077" w:rsidRPr="00A83077" w:rsidRDefault="00A83077" w:rsidP="00A83077">
            <w:r w:rsidRPr="00A83077">
              <w:t>Mobile</w:t>
            </w:r>
            <w:r w:rsidR="002A46DE">
              <w:t>:</w:t>
            </w:r>
          </w:p>
        </w:tc>
        <w:tc>
          <w:tcPr>
            <w:tcW w:w="6237" w:type="dxa"/>
          </w:tcPr>
          <w:p w14:paraId="018A97A0" w14:textId="24757252" w:rsidR="00A83077" w:rsidRPr="00A83077" w:rsidRDefault="00A83077" w:rsidP="00A83077"/>
        </w:tc>
      </w:tr>
      <w:tr w:rsidR="00A83077" w:rsidRPr="00A83077" w14:paraId="6E3C0352" w14:textId="77777777" w:rsidTr="004B6A76">
        <w:tc>
          <w:tcPr>
            <w:tcW w:w="2830" w:type="dxa"/>
          </w:tcPr>
          <w:p w14:paraId="18E09416" w14:textId="1DF6CC5E" w:rsidR="00A83077" w:rsidRPr="00A83077" w:rsidRDefault="00A83077" w:rsidP="00A83077">
            <w:r w:rsidRPr="00A83077">
              <w:t>Email</w:t>
            </w:r>
            <w:r w:rsidR="002A46DE">
              <w:t>:</w:t>
            </w:r>
          </w:p>
        </w:tc>
        <w:tc>
          <w:tcPr>
            <w:tcW w:w="6237" w:type="dxa"/>
          </w:tcPr>
          <w:p w14:paraId="152958B0" w14:textId="3031E6BF" w:rsidR="00A83077" w:rsidRPr="00A83077" w:rsidRDefault="00A83077" w:rsidP="00A83077"/>
        </w:tc>
      </w:tr>
      <w:tr w:rsidR="00A83077" w:rsidRPr="00A83077" w14:paraId="0E566A64" w14:textId="77777777" w:rsidTr="004B6A76">
        <w:tc>
          <w:tcPr>
            <w:tcW w:w="2830" w:type="dxa"/>
          </w:tcPr>
          <w:p w14:paraId="0F584126" w14:textId="200B0120" w:rsidR="00A83077" w:rsidRPr="00A83077" w:rsidRDefault="00A83077" w:rsidP="00A83077">
            <w:r w:rsidRPr="00A83077">
              <w:t>Website</w:t>
            </w:r>
            <w:r w:rsidR="002A46DE">
              <w:t>:</w:t>
            </w:r>
          </w:p>
        </w:tc>
        <w:tc>
          <w:tcPr>
            <w:tcW w:w="6237" w:type="dxa"/>
          </w:tcPr>
          <w:p w14:paraId="62706EC5" w14:textId="770FB223" w:rsidR="00A83077" w:rsidRPr="00A83077" w:rsidRDefault="00A83077" w:rsidP="00A83077"/>
        </w:tc>
      </w:tr>
      <w:tr w:rsidR="00A83077" w:rsidRPr="00A83077" w14:paraId="5B529536" w14:textId="77777777" w:rsidTr="004B6A76">
        <w:tc>
          <w:tcPr>
            <w:tcW w:w="2830" w:type="dxa"/>
          </w:tcPr>
          <w:p w14:paraId="324734EB" w14:textId="7131B386" w:rsidR="00A83077" w:rsidRPr="00A83077" w:rsidRDefault="007F2710" w:rsidP="00A83077">
            <w:r w:rsidRPr="007F2710">
              <w:t xml:space="preserve">List of bike share scheme locations if not already supplied to CoMoUK </w:t>
            </w:r>
            <w:r w:rsidR="00A83077" w:rsidRPr="00A83077">
              <w:t>(i.e. name of village, town, city or borough of London), and number of vehicles in fleet</w:t>
            </w:r>
            <w:r w:rsidR="002A46DE">
              <w:t>:</w:t>
            </w:r>
          </w:p>
        </w:tc>
        <w:tc>
          <w:tcPr>
            <w:tcW w:w="6237" w:type="dxa"/>
          </w:tcPr>
          <w:p w14:paraId="14C89526" w14:textId="133BC560" w:rsidR="00A83077" w:rsidRPr="00A83077" w:rsidRDefault="00A83077" w:rsidP="00A83077"/>
          <w:p w14:paraId="6E0E7E7C" w14:textId="77777777" w:rsidR="00A83077" w:rsidRPr="00A83077" w:rsidRDefault="00A83077" w:rsidP="00A83077"/>
          <w:p w14:paraId="3D175747" w14:textId="77777777" w:rsidR="00A83077" w:rsidRPr="00A83077" w:rsidRDefault="00A83077" w:rsidP="00A83077"/>
          <w:p w14:paraId="437C1EC7" w14:textId="77777777" w:rsidR="00A83077" w:rsidRPr="00A83077" w:rsidRDefault="00A83077" w:rsidP="00A83077"/>
          <w:p w14:paraId="0ECFF765" w14:textId="77777777" w:rsidR="00A83077" w:rsidRPr="00A83077" w:rsidRDefault="00A83077" w:rsidP="00A83077"/>
        </w:tc>
      </w:tr>
    </w:tbl>
    <w:p w14:paraId="23BA9967" w14:textId="77777777" w:rsidR="00A83077" w:rsidRDefault="00A83077" w:rsidP="00A83077">
      <w:pPr>
        <w:pStyle w:val="Heading1"/>
      </w:pPr>
    </w:p>
    <w:p w14:paraId="1DCFE57B" w14:textId="77777777" w:rsidR="00A83077" w:rsidRDefault="00A83077">
      <w:pPr>
        <w:rPr>
          <w:rFonts w:ascii="Raleway" w:eastAsiaTheme="majorEastAsia" w:hAnsi="Raleway" w:cs="Times New Roman (Headings CS)"/>
          <w:b/>
          <w:color w:val="0F4761" w:themeColor="accent1" w:themeShade="BF"/>
          <w:sz w:val="40"/>
          <w:szCs w:val="40"/>
        </w:rPr>
      </w:pPr>
      <w:r>
        <w:br w:type="page"/>
      </w:r>
    </w:p>
    <w:p w14:paraId="65E7D9C6" w14:textId="77777777" w:rsidR="007F2710" w:rsidRDefault="00A83077" w:rsidP="007F2710">
      <w:pPr>
        <w:pStyle w:val="Heading1"/>
      </w:pPr>
      <w:r w:rsidRPr="00A83077">
        <w:lastRenderedPageBreak/>
        <w:t>Section 1: Business requirements</w:t>
      </w:r>
    </w:p>
    <w:p w14:paraId="25A67A06" w14:textId="7B6ED4D5" w:rsidR="00A83077" w:rsidRPr="00A83077" w:rsidRDefault="00A83077" w:rsidP="007F2710">
      <w:pPr>
        <w:pStyle w:val="Heading2"/>
      </w:pPr>
      <w:r w:rsidRPr="00A83077">
        <w:t xml:space="preserve">Documents for </w:t>
      </w:r>
      <w:r w:rsidR="004B6A76">
        <w:t>s</w:t>
      </w:r>
      <w:r w:rsidRPr="00A83077">
        <w:t>ubmission</w:t>
      </w:r>
    </w:p>
    <w:p w14:paraId="67C9FF12" w14:textId="5861D184" w:rsidR="00A83077" w:rsidRPr="00A83077" w:rsidRDefault="00A83077" w:rsidP="00A83077">
      <w:r w:rsidRPr="00A83077">
        <w:t>Please tick if included in application</w:t>
      </w:r>
      <w:r>
        <w:t>:</w:t>
      </w:r>
    </w:p>
    <w:tbl>
      <w:tblPr>
        <w:tblStyle w:val="TableGridLight"/>
        <w:tblW w:w="9067" w:type="dxa"/>
        <w:tblLook w:val="0000" w:firstRow="0" w:lastRow="0" w:firstColumn="0" w:lastColumn="0" w:noHBand="0" w:noVBand="0"/>
      </w:tblPr>
      <w:tblGrid>
        <w:gridCol w:w="421"/>
        <w:gridCol w:w="8646"/>
      </w:tblGrid>
      <w:tr w:rsidR="00A83077" w:rsidRPr="00A83077" w14:paraId="1476A1AA" w14:textId="77777777" w:rsidTr="004B6A76">
        <w:trPr>
          <w:trHeight w:val="135"/>
        </w:trPr>
        <w:tc>
          <w:tcPr>
            <w:tcW w:w="421" w:type="dxa"/>
          </w:tcPr>
          <w:p w14:paraId="6B1141C5" w14:textId="67271DD2" w:rsidR="00A83077" w:rsidRPr="00A83077" w:rsidRDefault="00A83077" w:rsidP="00A83077"/>
        </w:tc>
        <w:tc>
          <w:tcPr>
            <w:tcW w:w="8646" w:type="dxa"/>
          </w:tcPr>
          <w:p w14:paraId="1714ABB4" w14:textId="5F30D2B0" w:rsidR="00A83077" w:rsidRPr="00A83077" w:rsidRDefault="007F2710" w:rsidP="00A83077">
            <w:r>
              <w:t xml:space="preserve">1.1 </w:t>
            </w:r>
            <w:r w:rsidR="00A83077" w:rsidRPr="00A83077">
              <w:t>Constitution, Memorandum and Articles of association or equivalent</w:t>
            </w:r>
            <w:r w:rsidR="00A83077">
              <w:t>.</w:t>
            </w:r>
          </w:p>
        </w:tc>
      </w:tr>
      <w:tr w:rsidR="00A83077" w:rsidRPr="00A83077" w14:paraId="2BE81CAB" w14:textId="77777777" w:rsidTr="004B6A76">
        <w:trPr>
          <w:trHeight w:val="135"/>
        </w:trPr>
        <w:tc>
          <w:tcPr>
            <w:tcW w:w="421" w:type="dxa"/>
          </w:tcPr>
          <w:p w14:paraId="2624C270" w14:textId="62AFE517" w:rsidR="00A83077" w:rsidRPr="00A83077" w:rsidRDefault="00A83077" w:rsidP="00A83077"/>
        </w:tc>
        <w:tc>
          <w:tcPr>
            <w:tcW w:w="8646" w:type="dxa"/>
          </w:tcPr>
          <w:p w14:paraId="55F16EC8" w14:textId="2C6840CE" w:rsidR="00A83077" w:rsidRPr="00A83077" w:rsidRDefault="007F2710" w:rsidP="00A83077">
            <w:r w:rsidRPr="007F2710">
              <w:t>1.2 Evidence of operating experience and a reference from at least one current public sector partner.</w:t>
            </w:r>
          </w:p>
        </w:tc>
      </w:tr>
      <w:tr w:rsidR="00A83077" w:rsidRPr="00A83077" w14:paraId="64200955" w14:textId="77777777" w:rsidTr="004B6A76">
        <w:trPr>
          <w:trHeight w:val="135"/>
        </w:trPr>
        <w:tc>
          <w:tcPr>
            <w:tcW w:w="421" w:type="dxa"/>
          </w:tcPr>
          <w:p w14:paraId="02A0A045" w14:textId="10F4A177" w:rsidR="00A83077" w:rsidRPr="00A83077" w:rsidRDefault="00A83077" w:rsidP="00A83077"/>
        </w:tc>
        <w:tc>
          <w:tcPr>
            <w:tcW w:w="8646" w:type="dxa"/>
          </w:tcPr>
          <w:p w14:paraId="1F7D035D" w14:textId="1BD3C18C" w:rsidR="00A83077" w:rsidRPr="00A83077" w:rsidRDefault="007F2710" w:rsidP="00A83077">
            <w:r w:rsidRPr="007F2710">
              <w:t>1.3 Annual report and published accounts or evidence of financial sustainability</w:t>
            </w:r>
            <w:r>
              <w:t>.</w:t>
            </w:r>
          </w:p>
        </w:tc>
      </w:tr>
      <w:tr w:rsidR="00A83077" w:rsidRPr="00A83077" w14:paraId="1F843FC8" w14:textId="77777777" w:rsidTr="004B6A76">
        <w:trPr>
          <w:trHeight w:val="135"/>
        </w:trPr>
        <w:tc>
          <w:tcPr>
            <w:tcW w:w="421" w:type="dxa"/>
          </w:tcPr>
          <w:p w14:paraId="3DB44ECA" w14:textId="13E2FA3F" w:rsidR="00A83077" w:rsidRPr="00A83077" w:rsidRDefault="00A83077" w:rsidP="00A83077"/>
        </w:tc>
        <w:tc>
          <w:tcPr>
            <w:tcW w:w="8646" w:type="dxa"/>
          </w:tcPr>
          <w:p w14:paraId="2AEC9BA6" w14:textId="0B890337" w:rsidR="00A83077" w:rsidRPr="00A83077" w:rsidRDefault="007F2710" w:rsidP="007F2710">
            <w:r>
              <w:t>1.4 Ethical business practices: ISO14001 accreditation OR an Environmental Policy and Environmental Impact statement</w:t>
            </w:r>
            <w:r w:rsidR="00A83077">
              <w:t>.</w:t>
            </w:r>
          </w:p>
        </w:tc>
      </w:tr>
      <w:tr w:rsidR="00A83077" w:rsidRPr="00A83077" w14:paraId="32ADD1A9" w14:textId="77777777" w:rsidTr="004B6A76">
        <w:trPr>
          <w:trHeight w:val="135"/>
        </w:trPr>
        <w:tc>
          <w:tcPr>
            <w:tcW w:w="421" w:type="dxa"/>
          </w:tcPr>
          <w:p w14:paraId="2F8FA4B6" w14:textId="05A6F637" w:rsidR="00A83077" w:rsidRPr="00A83077" w:rsidRDefault="00A83077" w:rsidP="00A83077"/>
        </w:tc>
        <w:tc>
          <w:tcPr>
            <w:tcW w:w="8646" w:type="dxa"/>
          </w:tcPr>
          <w:p w14:paraId="1710B3B4" w14:textId="757F04EC" w:rsidR="00A83077" w:rsidRPr="00A83077" w:rsidRDefault="00A83077" w:rsidP="00A83077">
            <w:r w:rsidRPr="00A83077">
              <w:t>Diversity and Equity policy</w:t>
            </w:r>
            <w:r>
              <w:t>.</w:t>
            </w:r>
          </w:p>
        </w:tc>
      </w:tr>
      <w:tr w:rsidR="00A83077" w:rsidRPr="00A83077" w14:paraId="0284F30D" w14:textId="77777777" w:rsidTr="004B6A76">
        <w:trPr>
          <w:trHeight w:val="135"/>
        </w:trPr>
        <w:tc>
          <w:tcPr>
            <w:tcW w:w="421" w:type="dxa"/>
          </w:tcPr>
          <w:p w14:paraId="3087B48A" w14:textId="71405FB7" w:rsidR="00A83077" w:rsidRPr="00A83077" w:rsidRDefault="00A83077" w:rsidP="00A83077"/>
        </w:tc>
        <w:tc>
          <w:tcPr>
            <w:tcW w:w="8646" w:type="dxa"/>
          </w:tcPr>
          <w:p w14:paraId="5CD2B5BF" w14:textId="40C1678A" w:rsidR="00A83077" w:rsidRPr="00A83077" w:rsidRDefault="004B6989" w:rsidP="00A83077">
            <w:r w:rsidRPr="004B6989">
              <w:t>A statement or copy of company policy to support the Government living wage by guaranteeing a minimum standard of income for all employees and sub-cont</w:t>
            </w:r>
            <w:r>
              <w:t>r</w:t>
            </w:r>
            <w:r w:rsidRPr="004B6989">
              <w:t>actors</w:t>
            </w:r>
            <w:r w:rsidR="00A83077" w:rsidRPr="00A83077">
              <w:t>.</w:t>
            </w:r>
          </w:p>
        </w:tc>
      </w:tr>
      <w:tr w:rsidR="00A83077" w:rsidRPr="00A83077" w14:paraId="07567E8F" w14:textId="77777777" w:rsidTr="004B6A76">
        <w:trPr>
          <w:trHeight w:val="135"/>
        </w:trPr>
        <w:tc>
          <w:tcPr>
            <w:tcW w:w="421" w:type="dxa"/>
          </w:tcPr>
          <w:p w14:paraId="416CFE95" w14:textId="4DA4D11D" w:rsidR="00A83077" w:rsidRPr="00A83077" w:rsidRDefault="00A83077" w:rsidP="00A83077"/>
        </w:tc>
        <w:tc>
          <w:tcPr>
            <w:tcW w:w="8646" w:type="dxa"/>
          </w:tcPr>
          <w:p w14:paraId="1DDA0CFC" w14:textId="507DBB62" w:rsidR="00A83077" w:rsidRPr="00A83077" w:rsidRDefault="007F2710" w:rsidP="00A83077">
            <w:r w:rsidRPr="007F2710">
              <w:t>1.5 Full lifecycle carbon emissions in</w:t>
            </w:r>
            <w:r>
              <w:t>cluded in your</w:t>
            </w:r>
            <w:r w:rsidRPr="007F2710">
              <w:t xml:space="preserve"> annual report, and to ensure this is reflected in any reported carbon savings</w:t>
            </w:r>
            <w:r>
              <w:t>.</w:t>
            </w:r>
          </w:p>
        </w:tc>
      </w:tr>
      <w:tr w:rsidR="00A83077" w:rsidRPr="00A83077" w14:paraId="4295FC36" w14:textId="77777777" w:rsidTr="004B6A76">
        <w:trPr>
          <w:trHeight w:val="135"/>
        </w:trPr>
        <w:tc>
          <w:tcPr>
            <w:tcW w:w="421" w:type="dxa"/>
          </w:tcPr>
          <w:p w14:paraId="72695206" w14:textId="0FA40CC2" w:rsidR="00A83077" w:rsidRPr="00A83077" w:rsidRDefault="00A83077" w:rsidP="00A83077"/>
        </w:tc>
        <w:tc>
          <w:tcPr>
            <w:tcW w:w="8646" w:type="dxa"/>
          </w:tcPr>
          <w:p w14:paraId="5BCF2316" w14:textId="3287EE39" w:rsidR="00A83077" w:rsidRPr="00A83077" w:rsidRDefault="007F2710" w:rsidP="00A83077">
            <w:r>
              <w:t xml:space="preserve">1.6 </w:t>
            </w:r>
            <w:r w:rsidR="00A83077" w:rsidRPr="00A83077">
              <w:t>Evidence of operating experience and a reference from at least one current public sector partner.</w:t>
            </w:r>
          </w:p>
        </w:tc>
      </w:tr>
    </w:tbl>
    <w:p w14:paraId="1BA2F6AE" w14:textId="77777777" w:rsidR="00A83077" w:rsidRDefault="00A83077" w:rsidP="00A83077">
      <w:pPr>
        <w:pStyle w:val="Heading1"/>
      </w:pPr>
    </w:p>
    <w:p w14:paraId="45C7EA65" w14:textId="77777777" w:rsidR="00A83077" w:rsidRDefault="00A83077">
      <w:pPr>
        <w:rPr>
          <w:rFonts w:ascii="Raleway" w:eastAsiaTheme="majorEastAsia" w:hAnsi="Raleway" w:cs="Times New Roman (Headings CS)"/>
          <w:b/>
          <w:color w:val="0F4761" w:themeColor="accent1" w:themeShade="BF"/>
          <w:sz w:val="40"/>
          <w:szCs w:val="40"/>
        </w:rPr>
      </w:pPr>
      <w:r>
        <w:br w:type="page"/>
      </w:r>
    </w:p>
    <w:p w14:paraId="0F6740FF" w14:textId="04089C3B" w:rsidR="00A83077" w:rsidRDefault="00A83077" w:rsidP="00A83077">
      <w:pPr>
        <w:pStyle w:val="Heading1"/>
      </w:pPr>
      <w:r w:rsidRPr="00A83077">
        <w:lastRenderedPageBreak/>
        <w:t xml:space="preserve">Section 2: Service </w:t>
      </w:r>
      <w:r w:rsidR="00E6676E">
        <w:t>p</w:t>
      </w:r>
      <w:r w:rsidRPr="00A83077">
        <w:t xml:space="preserve">rovision </w:t>
      </w:r>
      <w:r w:rsidR="00E6676E">
        <w:t>r</w:t>
      </w:r>
      <w:r w:rsidRPr="00A83077">
        <w:t>equirements</w:t>
      </w:r>
    </w:p>
    <w:p w14:paraId="5711AB7B" w14:textId="1B552971" w:rsidR="00B83614" w:rsidRPr="00B83614" w:rsidRDefault="00B83614" w:rsidP="00B83614">
      <w:r w:rsidRPr="00B83614">
        <w:t>Please tick to confirm these statements are tru</w:t>
      </w:r>
      <w:r>
        <w:t>e</w:t>
      </w:r>
      <w:r w:rsidRPr="00B83614">
        <w:t xml:space="preserve"> </w:t>
      </w:r>
      <w:r w:rsidRPr="00A83077">
        <w:t xml:space="preserve">for your </w:t>
      </w:r>
      <w:r>
        <w:t>bike share scheme</w:t>
      </w:r>
      <w:r w:rsidRPr="00B83614">
        <w:t>.</w:t>
      </w:r>
    </w:p>
    <w:p w14:paraId="0BFE3831" w14:textId="472736CF" w:rsidR="00A83077" w:rsidRPr="00A83077" w:rsidRDefault="00A83077" w:rsidP="00B83614">
      <w:pPr>
        <w:pStyle w:val="Heading2hanging"/>
      </w:pPr>
      <w:r w:rsidRPr="00B63551">
        <w:t>2.1</w:t>
      </w:r>
      <w:r w:rsidR="00B63551">
        <w:tab/>
      </w:r>
      <w:r w:rsidR="007F2710" w:rsidRPr="00B63551">
        <w:t>Meeting the definition of an accredited bike share service</w:t>
      </w:r>
    </w:p>
    <w:tbl>
      <w:tblPr>
        <w:tblStyle w:val="TableGridLight"/>
        <w:tblW w:w="9067" w:type="dxa"/>
        <w:tblLook w:val="0000" w:firstRow="0" w:lastRow="0" w:firstColumn="0" w:lastColumn="0" w:noHBand="0" w:noVBand="0"/>
      </w:tblPr>
      <w:tblGrid>
        <w:gridCol w:w="421"/>
        <w:gridCol w:w="8646"/>
      </w:tblGrid>
      <w:tr w:rsidR="007B181D" w:rsidRPr="00A83077" w14:paraId="2C622417" w14:textId="77777777" w:rsidTr="004B6A76">
        <w:tc>
          <w:tcPr>
            <w:tcW w:w="421" w:type="dxa"/>
          </w:tcPr>
          <w:p w14:paraId="105D55BF" w14:textId="1162A6CA" w:rsidR="007B181D" w:rsidRPr="00A83077" w:rsidRDefault="007B181D" w:rsidP="00A83077"/>
        </w:tc>
        <w:tc>
          <w:tcPr>
            <w:tcW w:w="8646" w:type="dxa"/>
          </w:tcPr>
          <w:p w14:paraId="07102DB3" w14:textId="77777777" w:rsidR="007F2710" w:rsidRDefault="007F2710" w:rsidP="007F2710">
            <w:r>
              <w:t>Bikes which are accessible at the time of the hire commencing without assistance from a member of staff using one or more recognised access system (e.g. credit card, smart card, or App, code provided by telephone) accessible to all their customers.</w:t>
            </w:r>
          </w:p>
          <w:p w14:paraId="12B5EFB1" w14:textId="77777777" w:rsidR="007F2710" w:rsidRDefault="007F2710" w:rsidP="007F2710"/>
          <w:p w14:paraId="17B0D0C9" w14:textId="741265B7" w:rsidR="007B181D" w:rsidRPr="007B181D" w:rsidRDefault="007F2710" w:rsidP="007F2710">
            <w:r>
              <w:t>For basic accreditation this may involve low tech solutions, but those schemes are nevertheless required to be self-service)</w:t>
            </w:r>
            <w:r w:rsidR="004B6A76">
              <w:t>.</w:t>
            </w:r>
          </w:p>
        </w:tc>
      </w:tr>
      <w:tr w:rsidR="007B181D" w:rsidRPr="00A83077" w14:paraId="23E8AA6F" w14:textId="77777777" w:rsidTr="004B6A76">
        <w:tc>
          <w:tcPr>
            <w:tcW w:w="421" w:type="dxa"/>
          </w:tcPr>
          <w:p w14:paraId="466E4214" w14:textId="10A54CC8" w:rsidR="007B181D" w:rsidRPr="00A83077" w:rsidRDefault="007B181D" w:rsidP="00A83077"/>
        </w:tc>
        <w:tc>
          <w:tcPr>
            <w:tcW w:w="8646" w:type="dxa"/>
          </w:tcPr>
          <w:p w14:paraId="4C0F4751" w14:textId="3A63C30B" w:rsidR="007B181D" w:rsidRPr="007B181D" w:rsidRDefault="007F2710" w:rsidP="007B181D">
            <w:r w:rsidRPr="007F2710">
              <w:t xml:space="preserve">The scheme will be accessible to single use </w:t>
            </w:r>
            <w:r>
              <w:t>‘</w:t>
            </w:r>
            <w:r w:rsidRPr="007F2710">
              <w:t>walk-up</w:t>
            </w:r>
            <w:r>
              <w:t>’</w:t>
            </w:r>
            <w:r w:rsidRPr="007F2710">
              <w:t xml:space="preserve"> customers and not require membership</w:t>
            </w:r>
            <w:r>
              <w:t>. E</w:t>
            </w:r>
            <w:r w:rsidRPr="007F2710">
              <w:t>xceptions can be made for basic accreditation for small schemes</w:t>
            </w:r>
            <w:r w:rsidR="004B6A76">
              <w:t>.</w:t>
            </w:r>
          </w:p>
        </w:tc>
      </w:tr>
      <w:tr w:rsidR="007B181D" w:rsidRPr="00A83077" w14:paraId="69C55810" w14:textId="77777777" w:rsidTr="004B6A76">
        <w:tc>
          <w:tcPr>
            <w:tcW w:w="421" w:type="dxa"/>
          </w:tcPr>
          <w:p w14:paraId="3CA1F57B" w14:textId="307F4D61" w:rsidR="007B181D" w:rsidRPr="00A83077" w:rsidRDefault="007B181D" w:rsidP="00A83077"/>
        </w:tc>
        <w:tc>
          <w:tcPr>
            <w:tcW w:w="8646" w:type="dxa"/>
          </w:tcPr>
          <w:p w14:paraId="1F3EB284" w14:textId="49BFDD30" w:rsidR="007B181D" w:rsidRPr="007B181D" w:rsidRDefault="007F2710" w:rsidP="007B181D">
            <w:r w:rsidRPr="007F2710">
              <w:t>Prices allow customers to use the bikes and pay for short trips rather than whole day hires, which may include a range of tariffs suitable for the differing user requirements; commuting, leisure and utility</w:t>
            </w:r>
            <w:r w:rsidR="007B181D" w:rsidRPr="007B181D">
              <w:t>.</w:t>
            </w:r>
          </w:p>
        </w:tc>
      </w:tr>
      <w:tr w:rsidR="007B181D" w:rsidRPr="00A83077" w14:paraId="3AF1271E" w14:textId="77777777" w:rsidTr="004B6A76">
        <w:tc>
          <w:tcPr>
            <w:tcW w:w="421" w:type="dxa"/>
          </w:tcPr>
          <w:p w14:paraId="0F80CAA7" w14:textId="1EC848F9" w:rsidR="007B181D" w:rsidRPr="00A83077" w:rsidRDefault="007B181D" w:rsidP="00A83077"/>
        </w:tc>
        <w:tc>
          <w:tcPr>
            <w:tcW w:w="8646" w:type="dxa"/>
          </w:tcPr>
          <w:p w14:paraId="1D3B0212" w14:textId="6007092D" w:rsidR="007B181D" w:rsidRPr="007B181D" w:rsidRDefault="007B181D" w:rsidP="007B181D">
            <w:r w:rsidRPr="007B181D">
              <w:t xml:space="preserve">Customers should pay according to a </w:t>
            </w:r>
            <w:r w:rsidR="007F2710">
              <w:t>clear</w:t>
            </w:r>
            <w:r w:rsidRPr="007B181D">
              <w:t xml:space="preserve"> price structure.</w:t>
            </w:r>
          </w:p>
        </w:tc>
      </w:tr>
      <w:tr w:rsidR="007B181D" w:rsidRPr="00A83077" w14:paraId="3251F316" w14:textId="77777777" w:rsidTr="004B6A76">
        <w:tc>
          <w:tcPr>
            <w:tcW w:w="421" w:type="dxa"/>
          </w:tcPr>
          <w:p w14:paraId="088C8A27" w14:textId="04A43DEB" w:rsidR="007B181D" w:rsidRPr="00A83077" w:rsidRDefault="007B181D" w:rsidP="00A83077"/>
        </w:tc>
        <w:tc>
          <w:tcPr>
            <w:tcW w:w="8646" w:type="dxa"/>
          </w:tcPr>
          <w:p w14:paraId="6BB491D5" w14:textId="2C646319" w:rsidR="007B181D" w:rsidRPr="007B181D" w:rsidRDefault="007F2710" w:rsidP="007B181D">
            <w:r w:rsidRPr="007F2710">
              <w:t>Pricing must be available to customers at the time of booking and include any excess fees for over running time with no charge</w:t>
            </w:r>
            <w:r w:rsidR="007B181D" w:rsidRPr="007B181D">
              <w:t>.</w:t>
            </w:r>
          </w:p>
        </w:tc>
      </w:tr>
      <w:tr w:rsidR="007B181D" w:rsidRPr="00A83077" w14:paraId="3AD22B08" w14:textId="77777777" w:rsidTr="004B6A76">
        <w:tc>
          <w:tcPr>
            <w:tcW w:w="421" w:type="dxa"/>
          </w:tcPr>
          <w:p w14:paraId="1EDE2EB4" w14:textId="2BE82276" w:rsidR="007B181D" w:rsidRPr="00A83077" w:rsidRDefault="007B181D" w:rsidP="00A83077"/>
        </w:tc>
        <w:tc>
          <w:tcPr>
            <w:tcW w:w="8646" w:type="dxa"/>
          </w:tcPr>
          <w:p w14:paraId="0CE764AB" w14:textId="1BBD8D1D" w:rsidR="007B181D" w:rsidRPr="007B181D" w:rsidRDefault="007F2710" w:rsidP="007B181D">
            <w:r w:rsidRPr="007F2710">
              <w:t>Bikes will be available to customers 24 hours a day, 7 days a week, 365 days. This rule allows for block bookings of a proportion bikes by corporate members</w:t>
            </w:r>
            <w:r w:rsidR="007B181D">
              <w:t>.</w:t>
            </w:r>
          </w:p>
        </w:tc>
      </w:tr>
      <w:tr w:rsidR="007B181D" w:rsidRPr="00A83077" w14:paraId="55ACE849" w14:textId="77777777" w:rsidTr="004B6A76">
        <w:tc>
          <w:tcPr>
            <w:tcW w:w="421" w:type="dxa"/>
          </w:tcPr>
          <w:p w14:paraId="74A41801" w14:textId="037EC44A" w:rsidR="007B181D" w:rsidRPr="00A83077" w:rsidRDefault="007B181D" w:rsidP="00A83077"/>
        </w:tc>
        <w:tc>
          <w:tcPr>
            <w:tcW w:w="8646" w:type="dxa"/>
          </w:tcPr>
          <w:p w14:paraId="70B2285F" w14:textId="6C589929" w:rsidR="007B181D" w:rsidRPr="007B181D" w:rsidRDefault="007F2710" w:rsidP="007B181D">
            <w:r w:rsidRPr="007F2710">
              <w:t>Bikes will be available in eas</w:t>
            </w:r>
            <w:r>
              <w:t xml:space="preserve">y </w:t>
            </w:r>
            <w:r w:rsidRPr="007F2710">
              <w:t>to access convenient locations where there is customer demand e.g. residential or commercial areas</w:t>
            </w:r>
            <w:r w:rsidR="007B181D" w:rsidRPr="007B181D">
              <w:t>.</w:t>
            </w:r>
          </w:p>
        </w:tc>
      </w:tr>
      <w:tr w:rsidR="007B181D" w:rsidRPr="00A83077" w14:paraId="4284694D" w14:textId="77777777" w:rsidTr="004B6A76">
        <w:tc>
          <w:tcPr>
            <w:tcW w:w="421" w:type="dxa"/>
          </w:tcPr>
          <w:p w14:paraId="03EB8023" w14:textId="313CFFEF" w:rsidR="007B181D" w:rsidRPr="00A83077" w:rsidRDefault="007B181D" w:rsidP="00A83077"/>
        </w:tc>
        <w:tc>
          <w:tcPr>
            <w:tcW w:w="8646" w:type="dxa"/>
          </w:tcPr>
          <w:p w14:paraId="65581534" w14:textId="3ABC1006" w:rsidR="007B181D" w:rsidRPr="007B181D" w:rsidRDefault="007F2710" w:rsidP="007B181D">
            <w:r w:rsidRPr="007F2710">
              <w:t>The scheme will allow for one-way trips</w:t>
            </w:r>
            <w:r>
              <w:t>. E</w:t>
            </w:r>
            <w:r w:rsidRPr="007F2710">
              <w:t>xemptions will be considered for basic accreditation, small scheme applications</w:t>
            </w:r>
            <w:r w:rsidR="007B181D">
              <w:t>.</w:t>
            </w:r>
          </w:p>
        </w:tc>
      </w:tr>
      <w:tr w:rsidR="007B181D" w:rsidRPr="00A83077" w14:paraId="4E7F09BA" w14:textId="77777777" w:rsidTr="004B6A76">
        <w:tc>
          <w:tcPr>
            <w:tcW w:w="421" w:type="dxa"/>
          </w:tcPr>
          <w:p w14:paraId="096010D5" w14:textId="0C333E62" w:rsidR="007B181D" w:rsidRPr="00A83077" w:rsidRDefault="007B181D" w:rsidP="00A83077"/>
        </w:tc>
        <w:tc>
          <w:tcPr>
            <w:tcW w:w="8646" w:type="dxa"/>
          </w:tcPr>
          <w:p w14:paraId="4D564C8F" w14:textId="634E510D" w:rsidR="007F2710" w:rsidRDefault="007F2710" w:rsidP="007B181D">
            <w:r w:rsidRPr="007F2710">
              <w:t>Have defined docking stations, geo fenced stations or marked / agreed public stands</w:t>
            </w:r>
            <w:r>
              <w:t>.</w:t>
            </w:r>
          </w:p>
          <w:p w14:paraId="5B7F81A9" w14:textId="5F9BBC2F" w:rsidR="007F2710" w:rsidRDefault="007F2710" w:rsidP="007B181D">
            <w:r>
              <w:t>OR</w:t>
            </w:r>
          </w:p>
          <w:p w14:paraId="32A039C5" w14:textId="77777777" w:rsidR="007F2710" w:rsidRDefault="007F2710" w:rsidP="007F2710">
            <w:r>
              <w:t>Where dock-less systems are employed to allow parking away from stations, the operator must demonstrate that tools including geo-fenced restrictions, penalties, incentives and rebalancing are deployed to:</w:t>
            </w:r>
          </w:p>
          <w:p w14:paraId="50CDD5DF" w14:textId="5D65EC24" w:rsidR="007F2710" w:rsidRDefault="007F2710" w:rsidP="007F2710">
            <w:pPr>
              <w:pStyle w:val="ListParagraph"/>
            </w:pPr>
            <w:r>
              <w:t>ensure bikes can be returned to preferred identifiable locations as defined by the local authority partner,</w:t>
            </w:r>
          </w:p>
          <w:p w14:paraId="0392AE66" w14:textId="515D577A" w:rsidR="007F2710" w:rsidRPr="007F2710" w:rsidRDefault="007F2710" w:rsidP="007F2710">
            <w:pPr>
              <w:pStyle w:val="ListParagraph"/>
            </w:pPr>
            <w:r w:rsidRPr="007F2710">
              <w:t>ensure bikes aren’t allowed to cause an obstruction,</w:t>
            </w:r>
          </w:p>
          <w:p w14:paraId="2D391F20" w14:textId="4B84E1F3" w:rsidR="007F2710" w:rsidRPr="007F2710" w:rsidRDefault="007F2710" w:rsidP="007F2710">
            <w:pPr>
              <w:pStyle w:val="ListParagraph"/>
            </w:pPr>
            <w:r w:rsidRPr="007F2710">
              <w:t>ensure bike are not allowed to become excessively untidy,</w:t>
            </w:r>
          </w:p>
          <w:p w14:paraId="036BDE94" w14:textId="12BCB3D6" w:rsidR="007F2710" w:rsidRPr="007F2710" w:rsidRDefault="007F2710" w:rsidP="007F2710">
            <w:pPr>
              <w:pStyle w:val="ListParagraph"/>
            </w:pPr>
            <w:r w:rsidRPr="007F2710">
              <w:t>ensure parking is not allowed in locations local authorities have identified as no-go parking areas.</w:t>
            </w:r>
          </w:p>
          <w:p w14:paraId="5C467FF9" w14:textId="77777777" w:rsidR="007F2710" w:rsidRDefault="007F2710" w:rsidP="007F2710"/>
          <w:p w14:paraId="66184F81" w14:textId="0C76E1FD" w:rsidR="007B181D" w:rsidRPr="007B181D" w:rsidRDefault="007F2710" w:rsidP="007B181D">
            <w:r>
              <w:t>Operators are expected to proactively push information about the rules for parking</w:t>
            </w:r>
            <w:r w:rsidR="0086734B">
              <w:t xml:space="preserve"> </w:t>
            </w:r>
            <w:r>
              <w:t>to their users through all communication channels.</w:t>
            </w:r>
          </w:p>
        </w:tc>
      </w:tr>
      <w:tr w:rsidR="007B181D" w:rsidRPr="00A83077" w14:paraId="22E5118D" w14:textId="77777777" w:rsidTr="004B6A76">
        <w:tc>
          <w:tcPr>
            <w:tcW w:w="421" w:type="dxa"/>
          </w:tcPr>
          <w:p w14:paraId="543B8066" w14:textId="24ECDED0" w:rsidR="007B181D" w:rsidRPr="00A83077" w:rsidRDefault="007B181D" w:rsidP="00A83077"/>
        </w:tc>
        <w:tc>
          <w:tcPr>
            <w:tcW w:w="8646" w:type="dxa"/>
          </w:tcPr>
          <w:p w14:paraId="27F745DA" w14:textId="1909822F" w:rsidR="007B181D" w:rsidRPr="007B181D" w:rsidRDefault="007F2710" w:rsidP="007B181D">
            <w:r w:rsidRPr="007F2710">
              <w:t>Operators in London must meet the specific permission conditions defined by the London Bye Law</w:t>
            </w:r>
            <w:r>
              <w:t>,</w:t>
            </w:r>
            <w:r w:rsidRPr="007F2710">
              <w:t xml:space="preserve"> guidance issued by TfL</w:t>
            </w:r>
            <w:r>
              <w:t xml:space="preserve">, </w:t>
            </w:r>
            <w:r w:rsidRPr="007F2710">
              <w:t xml:space="preserve">and any additional requirements </w:t>
            </w:r>
            <w:r>
              <w:t xml:space="preserve">set by </w:t>
            </w:r>
            <w:r w:rsidRPr="007F2710">
              <w:t>each borough</w:t>
            </w:r>
            <w:r w:rsidR="007B181D">
              <w:t>.</w:t>
            </w:r>
          </w:p>
        </w:tc>
      </w:tr>
    </w:tbl>
    <w:p w14:paraId="76A1DD96" w14:textId="191B8AA9" w:rsidR="007F2710" w:rsidRDefault="007B181D" w:rsidP="00B83614">
      <w:pPr>
        <w:pStyle w:val="Heading2hanging"/>
      </w:pPr>
      <w:r w:rsidRPr="00A83077">
        <w:t>2.2.</w:t>
      </w:r>
      <w:r w:rsidR="00B63551">
        <w:tab/>
      </w:r>
      <w:r w:rsidR="007F2710" w:rsidRPr="007F2710">
        <w:t>Minimum specification of bikes</w:t>
      </w:r>
    </w:p>
    <w:tbl>
      <w:tblPr>
        <w:tblStyle w:val="TableGridLight"/>
        <w:tblW w:w="9067" w:type="dxa"/>
        <w:tblLook w:val="0000" w:firstRow="0" w:lastRow="0" w:firstColumn="0" w:lastColumn="0" w:noHBand="0" w:noVBand="0"/>
      </w:tblPr>
      <w:tblGrid>
        <w:gridCol w:w="421"/>
        <w:gridCol w:w="8646"/>
      </w:tblGrid>
      <w:tr w:rsidR="007F2710" w:rsidRPr="007B181D" w14:paraId="5A5DB4AC" w14:textId="77777777" w:rsidTr="00B70B0A">
        <w:tc>
          <w:tcPr>
            <w:tcW w:w="421" w:type="dxa"/>
          </w:tcPr>
          <w:p w14:paraId="2C488185" w14:textId="77777777" w:rsidR="007F2710" w:rsidRPr="00A83077" w:rsidRDefault="007F2710" w:rsidP="00B70B0A"/>
        </w:tc>
        <w:tc>
          <w:tcPr>
            <w:tcW w:w="8646" w:type="dxa"/>
          </w:tcPr>
          <w:p w14:paraId="0C21A1F9" w14:textId="77777777" w:rsidR="007F2710" w:rsidRPr="007F2710" w:rsidRDefault="007F2710" w:rsidP="007F2710">
            <w:r w:rsidRPr="007F2710">
              <w:t>The bike specification should meet the countries legal requirements. For UK bike share bikes this is:</w:t>
            </w:r>
          </w:p>
          <w:p w14:paraId="014F777F" w14:textId="3F35373D" w:rsidR="007F2710" w:rsidRPr="007F2710" w:rsidRDefault="007F2710" w:rsidP="007F2710">
            <w:pPr>
              <w:pStyle w:val="ListParagraph"/>
            </w:pPr>
            <w:r w:rsidRPr="007F2710">
              <w:t xml:space="preserve">The ISO 4210:2014 standards for </w:t>
            </w:r>
            <w:r w:rsidR="00B63551" w:rsidRPr="007F2710">
              <w:t>all</w:t>
            </w:r>
            <w:r w:rsidRPr="007F2710">
              <w:t xml:space="preserve"> the bicycles and electric bikes used in the system. Please provide a copy of your certificate.</w:t>
            </w:r>
          </w:p>
          <w:p w14:paraId="60A7F2CA" w14:textId="7794E5F7" w:rsidR="007F2710" w:rsidRPr="007F2710" w:rsidRDefault="007F2710" w:rsidP="007F2710">
            <w:pPr>
              <w:pStyle w:val="ListParagraph"/>
            </w:pPr>
            <w:r w:rsidRPr="007F2710">
              <w:t>Front and back lights including a steady light feature (i.e. lights stay on for a period after the bicycle has stopped, for safety at junctions)</w:t>
            </w:r>
            <w:r>
              <w:t>.</w:t>
            </w:r>
          </w:p>
          <w:p w14:paraId="261A1D4E" w14:textId="26472786" w:rsidR="007F2710" w:rsidRPr="007F2710" w:rsidRDefault="007F2710" w:rsidP="007F2710">
            <w:pPr>
              <w:pStyle w:val="ListParagraph"/>
            </w:pPr>
            <w:r w:rsidRPr="007F2710">
              <w:t>Each bike to be identifiable e.g. numbered</w:t>
            </w:r>
            <w:r>
              <w:t>.</w:t>
            </w:r>
          </w:p>
          <w:p w14:paraId="52E30A2F" w14:textId="77777777" w:rsidR="007F2710" w:rsidRPr="007F2710" w:rsidRDefault="007F2710" w:rsidP="007F2710"/>
          <w:p w14:paraId="749D8755" w14:textId="6B0A8689" w:rsidR="007F2710" w:rsidRPr="007B181D" w:rsidRDefault="007F2710" w:rsidP="007F2710">
            <w:r w:rsidRPr="007F2710">
              <w:t>Specialist schemes using alternative bikes, such as cargo-bikes, are required to show relevant UK safety certification</w:t>
            </w:r>
            <w:r>
              <w:t>.</w:t>
            </w:r>
          </w:p>
        </w:tc>
      </w:tr>
    </w:tbl>
    <w:p w14:paraId="21500FAD" w14:textId="7A208D92" w:rsidR="007F2710" w:rsidRDefault="007B181D" w:rsidP="00B83614">
      <w:pPr>
        <w:pStyle w:val="Heading2hanging"/>
      </w:pPr>
      <w:r w:rsidRPr="007B181D">
        <w:t>2.3</w:t>
      </w:r>
      <w:r w:rsidR="00B63551">
        <w:tab/>
      </w:r>
      <w:r w:rsidRPr="00B63551">
        <w:t>Cleaning</w:t>
      </w:r>
      <w:r w:rsidRPr="007B181D">
        <w:t xml:space="preserve"> procedures</w:t>
      </w:r>
    </w:p>
    <w:tbl>
      <w:tblPr>
        <w:tblStyle w:val="TableGridLight"/>
        <w:tblW w:w="9067" w:type="dxa"/>
        <w:tblLook w:val="0000" w:firstRow="0" w:lastRow="0" w:firstColumn="0" w:lastColumn="0" w:noHBand="0" w:noVBand="0"/>
      </w:tblPr>
      <w:tblGrid>
        <w:gridCol w:w="421"/>
        <w:gridCol w:w="8646"/>
      </w:tblGrid>
      <w:tr w:rsidR="007F2710" w:rsidRPr="007B181D" w14:paraId="59EFF2BB" w14:textId="77777777" w:rsidTr="00B70B0A">
        <w:tc>
          <w:tcPr>
            <w:tcW w:w="421" w:type="dxa"/>
          </w:tcPr>
          <w:p w14:paraId="177633D8" w14:textId="77777777" w:rsidR="007F2710" w:rsidRPr="00A83077" w:rsidRDefault="007F2710" w:rsidP="00B70B0A"/>
        </w:tc>
        <w:tc>
          <w:tcPr>
            <w:tcW w:w="8646" w:type="dxa"/>
          </w:tcPr>
          <w:p w14:paraId="559481F1" w14:textId="77777777" w:rsidR="007F2710" w:rsidRDefault="007F2710" w:rsidP="007F2710">
            <w:r>
              <w:t>Local authority permission is required and the number of bikes deployed should be appropriate to the demand in the city.</w:t>
            </w:r>
          </w:p>
          <w:p w14:paraId="56543BC1" w14:textId="77777777" w:rsidR="007F2710" w:rsidRDefault="007F2710" w:rsidP="007F2710"/>
          <w:p w14:paraId="709FA3CE" w14:textId="77777777" w:rsidR="007F2710" w:rsidRDefault="007F2710" w:rsidP="007F2710">
            <w:r>
              <w:t>Operators should never operate in an area where the local authority has not given permission.</w:t>
            </w:r>
          </w:p>
          <w:p w14:paraId="5E7F2094" w14:textId="77777777" w:rsidR="007F2710" w:rsidRDefault="007F2710" w:rsidP="007F2710"/>
          <w:p w14:paraId="2D63623C" w14:textId="4E11A462" w:rsidR="007F2710" w:rsidRDefault="007F2710" w:rsidP="007F2710">
            <w:r>
              <w:t>Operators in London must meet the specific permission conditions defined by each borough which may be:</w:t>
            </w:r>
          </w:p>
          <w:p w14:paraId="58BC6B0B" w14:textId="33928022" w:rsidR="007F2710" w:rsidRDefault="007F2710" w:rsidP="007F2710">
            <w:pPr>
              <w:pStyle w:val="ListParagraph"/>
            </w:pPr>
            <w:r>
              <w:t>Permission for actively deploying bikes in an area</w:t>
            </w:r>
            <w:r w:rsidR="00E6676E">
              <w:t>.</w:t>
            </w:r>
          </w:p>
          <w:p w14:paraId="4F635744" w14:textId="6958A07E" w:rsidR="007F2710" w:rsidRDefault="007F2710" w:rsidP="007F2710">
            <w:pPr>
              <w:pStyle w:val="ListParagraph"/>
            </w:pPr>
            <w:r>
              <w:t>Permission for allowing user to end a hire in a neighbouring authority by user and being allowed for re-hire</w:t>
            </w:r>
            <w:r w:rsidR="00E6676E">
              <w:t>.</w:t>
            </w:r>
          </w:p>
          <w:p w14:paraId="3117B67A" w14:textId="17C7DC3C" w:rsidR="007F2710" w:rsidRDefault="007F2710" w:rsidP="007F2710">
            <w:pPr>
              <w:pStyle w:val="ListParagraph"/>
            </w:pPr>
            <w:r>
              <w:t>Permission for allowing user to end a hire in a neighbouring authority by user and NOT being allowed for re-hire</w:t>
            </w:r>
            <w:r w:rsidR="00E6676E">
              <w:t>.</w:t>
            </w:r>
          </w:p>
          <w:p w14:paraId="2B07F9D1" w14:textId="77777777" w:rsidR="00B63551" w:rsidRDefault="00B63551" w:rsidP="00B63551"/>
          <w:p w14:paraId="75C039F0" w14:textId="23FFE52F" w:rsidR="007F2710" w:rsidRDefault="007F2710" w:rsidP="00B63551">
            <w:r>
              <w:t>Permissions must be in writing and state that the operator has explicit permission OR a statement from an authorised individual in the authority that there will be no objections raised to the proposed activity. Where permission hasn’t been granted there must be a procedure in place to move bikes within 24 hours or locally agreed timeframes.</w:t>
            </w:r>
          </w:p>
          <w:p w14:paraId="6A7BA14C" w14:textId="77777777" w:rsidR="007F2710" w:rsidRDefault="007F2710" w:rsidP="007F2710"/>
          <w:p w14:paraId="3D5DFE42" w14:textId="15DC1C8B" w:rsidR="007F2710" w:rsidRPr="007B181D" w:rsidRDefault="007F2710" w:rsidP="007F2710">
            <w:r>
              <w:t>Operators should agree to not exceed maximum bike numbers or quotas set by their local authority partners.</w:t>
            </w:r>
          </w:p>
        </w:tc>
      </w:tr>
    </w:tbl>
    <w:p w14:paraId="0D05F3BE" w14:textId="3F62E407" w:rsidR="00B63551" w:rsidRDefault="007B181D" w:rsidP="00B83614">
      <w:pPr>
        <w:pStyle w:val="Heading2hanging"/>
      </w:pPr>
      <w:r w:rsidRPr="007B181D">
        <w:lastRenderedPageBreak/>
        <w:t>2.4</w:t>
      </w:r>
      <w:r w:rsidR="00B63551">
        <w:tab/>
      </w:r>
      <w:r w:rsidR="00B63551" w:rsidRPr="00B63551">
        <w:t>The operator will have a rebalancing system in place to ensure customer demand is met and bikes are not allowed to build up and cause obstructions</w:t>
      </w:r>
    </w:p>
    <w:tbl>
      <w:tblPr>
        <w:tblStyle w:val="TableGridLight"/>
        <w:tblW w:w="9067" w:type="dxa"/>
        <w:tblLook w:val="0000" w:firstRow="0" w:lastRow="0" w:firstColumn="0" w:lastColumn="0" w:noHBand="0" w:noVBand="0"/>
      </w:tblPr>
      <w:tblGrid>
        <w:gridCol w:w="421"/>
        <w:gridCol w:w="8646"/>
      </w:tblGrid>
      <w:tr w:rsidR="00B63551" w:rsidRPr="007B181D" w14:paraId="48986C3A" w14:textId="77777777" w:rsidTr="00B70B0A">
        <w:tc>
          <w:tcPr>
            <w:tcW w:w="421" w:type="dxa"/>
          </w:tcPr>
          <w:p w14:paraId="3864858F" w14:textId="77777777" w:rsidR="00B63551" w:rsidRPr="00A83077" w:rsidRDefault="00B63551" w:rsidP="00B70B0A"/>
        </w:tc>
        <w:tc>
          <w:tcPr>
            <w:tcW w:w="8646" w:type="dxa"/>
          </w:tcPr>
          <w:p w14:paraId="60B7793B" w14:textId="7D8A2776" w:rsidR="00B63551" w:rsidRDefault="00B63551" w:rsidP="00B63551">
            <w:r>
              <w:t>The operator must submit details of their operational plans to ensure stations or geofenced stations are not left full or empty, and customer demands for collection and drop off are met.</w:t>
            </w:r>
          </w:p>
          <w:p w14:paraId="59F72B2E" w14:textId="77777777" w:rsidR="00B63551" w:rsidRDefault="00B63551" w:rsidP="00B63551"/>
          <w:p w14:paraId="39BD03CA" w14:textId="77777777" w:rsidR="00B63551" w:rsidRDefault="00B63551" w:rsidP="00B63551">
            <w:r>
              <w:t>In systems without docking stations, the bikes must be rebalanced to geofenced areas and not allowed to build up in an untidy and unsafe manner in popular areas.</w:t>
            </w:r>
          </w:p>
          <w:p w14:paraId="7D9BFE84" w14:textId="77777777" w:rsidR="00B63551" w:rsidRDefault="00B63551" w:rsidP="00B63551"/>
          <w:p w14:paraId="1F74E98A" w14:textId="77777777" w:rsidR="00B63551" w:rsidRDefault="00B63551" w:rsidP="00B63551">
            <w:r>
              <w:t>Systems must be in place to ensure that hot spot areas where parking is prohibited are kept clear at all times.</w:t>
            </w:r>
          </w:p>
          <w:p w14:paraId="496E0750" w14:textId="77777777" w:rsidR="00B63551" w:rsidRDefault="00B63551" w:rsidP="00B63551"/>
          <w:p w14:paraId="1479A2C6" w14:textId="633027A6" w:rsidR="00B63551" w:rsidRDefault="00B63551" w:rsidP="00B63551">
            <w:r>
              <w:t xml:space="preserve">Dynamic pricing and user incentives are acceptable tools as part of the operational plan. </w:t>
            </w:r>
          </w:p>
          <w:p w14:paraId="19664E03" w14:textId="77777777" w:rsidR="00B63551" w:rsidRDefault="00B63551" w:rsidP="00B63551"/>
          <w:p w14:paraId="04CB98E4" w14:textId="1D1B5325" w:rsidR="00B63551" w:rsidRDefault="00B63551" w:rsidP="00B63551">
            <w:r>
              <w:t>Specifics of service level agreements will be agreed with each local authority or contractor.</w:t>
            </w:r>
          </w:p>
          <w:p w14:paraId="19C579C9" w14:textId="77777777" w:rsidR="00B63551" w:rsidRDefault="00B63551" w:rsidP="00B63551"/>
          <w:p w14:paraId="182117BD" w14:textId="11B52777" w:rsidR="00B63551" w:rsidRPr="007B181D" w:rsidRDefault="00B63551" w:rsidP="00B63551">
            <w:r>
              <w:t>Where possible efforts should be made to reduce use of petrol or diesel vans for redistribution.</w:t>
            </w:r>
          </w:p>
        </w:tc>
      </w:tr>
    </w:tbl>
    <w:p w14:paraId="3E666AAF" w14:textId="60200BF9" w:rsidR="00B63551" w:rsidRDefault="00B63551" w:rsidP="00B83614">
      <w:pPr>
        <w:pStyle w:val="Heading2hanging"/>
      </w:pPr>
      <w:r w:rsidRPr="007B181D">
        <w:t>2.</w:t>
      </w:r>
      <w:r>
        <w:t>5</w:t>
      </w:r>
      <w:r>
        <w:tab/>
      </w:r>
      <w:r w:rsidRPr="00B63551">
        <w:t>Operators must be easily contactable</w:t>
      </w:r>
    </w:p>
    <w:tbl>
      <w:tblPr>
        <w:tblStyle w:val="TableGridLight"/>
        <w:tblW w:w="9067" w:type="dxa"/>
        <w:tblLook w:val="0000" w:firstRow="0" w:lastRow="0" w:firstColumn="0" w:lastColumn="0" w:noHBand="0" w:noVBand="0"/>
      </w:tblPr>
      <w:tblGrid>
        <w:gridCol w:w="421"/>
        <w:gridCol w:w="8646"/>
      </w:tblGrid>
      <w:tr w:rsidR="00B63551" w:rsidRPr="007B181D" w14:paraId="6D0810A2" w14:textId="77777777" w:rsidTr="00B70B0A">
        <w:tc>
          <w:tcPr>
            <w:tcW w:w="421" w:type="dxa"/>
          </w:tcPr>
          <w:p w14:paraId="7A179B54" w14:textId="77777777" w:rsidR="00B63551" w:rsidRPr="00A83077" w:rsidRDefault="00B63551" w:rsidP="00B70B0A"/>
        </w:tc>
        <w:tc>
          <w:tcPr>
            <w:tcW w:w="8646" w:type="dxa"/>
          </w:tcPr>
          <w:p w14:paraId="3D285E13" w14:textId="1FF1579D" w:rsidR="00B63551" w:rsidRDefault="00B63551" w:rsidP="00B63551">
            <w:r>
              <w:t>In order to deal with members’ problems, operators must be easily contactable by telephone or other means such as text or online chat. Please outline hours covered and tried and tested system to deal with out of hours queries.</w:t>
            </w:r>
          </w:p>
          <w:p w14:paraId="50ADE4CE" w14:textId="77777777" w:rsidR="00B63551" w:rsidRDefault="00B63551" w:rsidP="00B63551"/>
          <w:p w14:paraId="3A2F8DE0" w14:textId="08BAE95F" w:rsidR="00B63551" w:rsidRDefault="00B63551" w:rsidP="00B63551">
            <w:r>
              <w:t>In order to reduce the number of out-of-hours queries, systems will be put in place to deal with non-serious matters. Customers must be able to access information on the procedure in the case of:</w:t>
            </w:r>
          </w:p>
          <w:p w14:paraId="4D629873" w14:textId="22C884C2" w:rsidR="00B63551" w:rsidRDefault="00B63551" w:rsidP="00B63551">
            <w:pPr>
              <w:pStyle w:val="ListParagraph"/>
            </w:pPr>
            <w:r>
              <w:t xml:space="preserve">No docking station space being available at the time of drop off (where relevant) </w:t>
            </w:r>
          </w:p>
          <w:p w14:paraId="5A7F57F5" w14:textId="0323446F" w:rsidR="00B63551" w:rsidRDefault="00B63551" w:rsidP="00B63551">
            <w:pPr>
              <w:pStyle w:val="ListParagraph"/>
            </w:pPr>
            <w:r>
              <w:t>Not being able to access the bike</w:t>
            </w:r>
          </w:p>
          <w:p w14:paraId="625E2639" w14:textId="0D164679" w:rsidR="00B63551" w:rsidRDefault="00B63551" w:rsidP="00B63551">
            <w:pPr>
              <w:pStyle w:val="ListParagraph"/>
            </w:pPr>
            <w:r>
              <w:t>A bike being returned late (where relevant)</w:t>
            </w:r>
          </w:p>
          <w:p w14:paraId="50ED38D7" w14:textId="7B2B0A38" w:rsidR="00B63551" w:rsidRDefault="00B63551" w:rsidP="00B63551">
            <w:pPr>
              <w:pStyle w:val="ListParagraph"/>
            </w:pPr>
            <w:r>
              <w:t>Damage being discovered on the bike before riding</w:t>
            </w:r>
          </w:p>
          <w:p w14:paraId="6FF03401" w14:textId="2E8EF168" w:rsidR="00B63551" w:rsidRPr="007B181D" w:rsidRDefault="00B63551" w:rsidP="00B63551">
            <w:pPr>
              <w:pStyle w:val="ListParagraph"/>
            </w:pPr>
            <w:r>
              <w:t>A bike developing a fault or being involved in an accident.</w:t>
            </w:r>
          </w:p>
        </w:tc>
      </w:tr>
    </w:tbl>
    <w:p w14:paraId="6848E6B3" w14:textId="47BD98C9" w:rsidR="00B63551" w:rsidRDefault="00B63551" w:rsidP="00B83614">
      <w:pPr>
        <w:pStyle w:val="Heading2hanging"/>
      </w:pPr>
      <w:r w:rsidRPr="007B181D">
        <w:lastRenderedPageBreak/>
        <w:t>2.</w:t>
      </w:r>
      <w:r>
        <w:t>6</w:t>
      </w:r>
      <w:r>
        <w:tab/>
      </w:r>
      <w:r w:rsidRPr="00B63551">
        <w:t>All operators must provide information with terms and conditions on their website or app</w:t>
      </w:r>
    </w:p>
    <w:tbl>
      <w:tblPr>
        <w:tblStyle w:val="TableGridLight"/>
        <w:tblW w:w="9067" w:type="dxa"/>
        <w:tblLook w:val="0000" w:firstRow="0" w:lastRow="0" w:firstColumn="0" w:lastColumn="0" w:noHBand="0" w:noVBand="0"/>
      </w:tblPr>
      <w:tblGrid>
        <w:gridCol w:w="421"/>
        <w:gridCol w:w="8646"/>
      </w:tblGrid>
      <w:tr w:rsidR="00B63551" w:rsidRPr="007B181D" w14:paraId="70E7CFAC" w14:textId="77777777" w:rsidTr="00B70B0A">
        <w:tc>
          <w:tcPr>
            <w:tcW w:w="421" w:type="dxa"/>
          </w:tcPr>
          <w:p w14:paraId="4FC73F5D" w14:textId="77777777" w:rsidR="00B63551" w:rsidRPr="00A83077" w:rsidRDefault="00B63551" w:rsidP="00B70B0A"/>
        </w:tc>
        <w:tc>
          <w:tcPr>
            <w:tcW w:w="8646" w:type="dxa"/>
          </w:tcPr>
          <w:p w14:paraId="42F5F5E9" w14:textId="3C7B63FC" w:rsidR="00B63551" w:rsidRPr="007B181D" w:rsidRDefault="00B63551" w:rsidP="00B63551">
            <w:r w:rsidRPr="00B63551">
              <w:t xml:space="preserve">To ensure that members are aware of how to access and return the bikes and how to deal with emergencies and breakdowns, a set of </w:t>
            </w:r>
            <w:r>
              <w:t>‘</w:t>
            </w:r>
            <w:r w:rsidRPr="00B63551">
              <w:t>frequently asked questions</w:t>
            </w:r>
            <w:r>
              <w:t>’</w:t>
            </w:r>
            <w:r w:rsidRPr="00B63551">
              <w:t xml:space="preserve"> or handbook must be available on the operator’s website. This will include all telephone numbers that may be needed should any problem arise from using the bike including a simple procedure for reporting faulty bikes.</w:t>
            </w:r>
          </w:p>
        </w:tc>
      </w:tr>
    </w:tbl>
    <w:p w14:paraId="72BB9298" w14:textId="10A28E9B" w:rsidR="00B63551" w:rsidRDefault="00B63551" w:rsidP="00B83614">
      <w:pPr>
        <w:pStyle w:val="Heading2hanging"/>
      </w:pPr>
      <w:r w:rsidRPr="007B181D">
        <w:t>2.</w:t>
      </w:r>
      <w:r>
        <w:t>7</w:t>
      </w:r>
      <w:r>
        <w:tab/>
      </w:r>
      <w:r w:rsidRPr="00B63551">
        <w:t>Operators should adopt ethical pricing strategies</w:t>
      </w:r>
    </w:p>
    <w:tbl>
      <w:tblPr>
        <w:tblStyle w:val="TableGridLight"/>
        <w:tblW w:w="9067" w:type="dxa"/>
        <w:tblLook w:val="0000" w:firstRow="0" w:lastRow="0" w:firstColumn="0" w:lastColumn="0" w:noHBand="0" w:noVBand="0"/>
      </w:tblPr>
      <w:tblGrid>
        <w:gridCol w:w="421"/>
        <w:gridCol w:w="8646"/>
      </w:tblGrid>
      <w:tr w:rsidR="00B63551" w:rsidRPr="007B181D" w14:paraId="63C55056" w14:textId="77777777" w:rsidTr="00B70B0A">
        <w:tc>
          <w:tcPr>
            <w:tcW w:w="421" w:type="dxa"/>
          </w:tcPr>
          <w:p w14:paraId="20F3D71E" w14:textId="77777777" w:rsidR="00B63551" w:rsidRPr="00A83077" w:rsidRDefault="00B63551" w:rsidP="00B70B0A"/>
        </w:tc>
        <w:tc>
          <w:tcPr>
            <w:tcW w:w="8646" w:type="dxa"/>
          </w:tcPr>
          <w:p w14:paraId="49447EE7" w14:textId="12DCB0F9" w:rsidR="00B63551" w:rsidRPr="007B181D" w:rsidRDefault="00B63551" w:rsidP="00B63551">
            <w:r w:rsidRPr="00B63551">
              <w:t>Operators are expected to adopt sustainable long-term pricing strategies which are based on sustainable rates not designed to undercut and eliminate competitors with a view to later implementing significant increases (e.g. defined as a member’s trip rising by no more than 100% in one year). This doesn’t preclude special offers and rates designed to help specific low-income user groups. Operators should not support price dumping strategies</w:t>
            </w:r>
            <w:r>
              <w:t>.</w:t>
            </w:r>
          </w:p>
        </w:tc>
      </w:tr>
    </w:tbl>
    <w:p w14:paraId="121AB2AE" w14:textId="500BB122" w:rsidR="00B63551" w:rsidRDefault="00B63551" w:rsidP="00B83614">
      <w:pPr>
        <w:pStyle w:val="Heading2hanging"/>
      </w:pPr>
      <w:r w:rsidRPr="007B181D">
        <w:t>2.</w:t>
      </w:r>
      <w:r>
        <w:t>8</w:t>
      </w:r>
      <w:r>
        <w:tab/>
      </w:r>
      <w:r w:rsidRPr="00B63551">
        <w:t>Deposits, authorisations on payment cards and charges for damage taken by the operators must be set at a reasonable level</w:t>
      </w:r>
    </w:p>
    <w:tbl>
      <w:tblPr>
        <w:tblStyle w:val="TableGridLight"/>
        <w:tblW w:w="9067" w:type="dxa"/>
        <w:tblLook w:val="0000" w:firstRow="0" w:lastRow="0" w:firstColumn="0" w:lastColumn="0" w:noHBand="0" w:noVBand="0"/>
      </w:tblPr>
      <w:tblGrid>
        <w:gridCol w:w="421"/>
        <w:gridCol w:w="8646"/>
      </w:tblGrid>
      <w:tr w:rsidR="00B63551" w:rsidRPr="007B181D" w14:paraId="1C314A71" w14:textId="77777777" w:rsidTr="00B70B0A">
        <w:tc>
          <w:tcPr>
            <w:tcW w:w="421" w:type="dxa"/>
          </w:tcPr>
          <w:p w14:paraId="25456B98" w14:textId="77777777" w:rsidR="00B63551" w:rsidRPr="00A83077" w:rsidRDefault="00B63551" w:rsidP="00B70B0A"/>
        </w:tc>
        <w:tc>
          <w:tcPr>
            <w:tcW w:w="8646" w:type="dxa"/>
          </w:tcPr>
          <w:p w14:paraId="13BE846E" w14:textId="6A6A5827" w:rsidR="00B63551" w:rsidRDefault="00B63551" w:rsidP="00B63551">
            <w:r>
              <w:t>To protect the operators from the cost of damage, theft or unpaid charges, it may be necessary to request a deposit or card authorisation from the customer. In all cases the deposit must not be more than the cost price of replacing or repairing the bike. Members will be made aware of what charge will be payable in the event of all scenarios.</w:t>
            </w:r>
          </w:p>
          <w:p w14:paraId="0EEB20AB" w14:textId="77777777" w:rsidR="00B63551" w:rsidRDefault="00B63551" w:rsidP="00B63551"/>
          <w:p w14:paraId="42B45BC4" w14:textId="0CC4B879" w:rsidR="00B63551" w:rsidRPr="007B181D" w:rsidRDefault="00B63551" w:rsidP="00B63551">
            <w:r>
              <w:t>All deposits must be returned to the customer within 10 days of termination of the service contract, any deductions must be itemised and supporting documentation and/or receipts provided. Credit card authorisations should not last longer than 48 hours after the end of the hire period.</w:t>
            </w:r>
          </w:p>
        </w:tc>
      </w:tr>
    </w:tbl>
    <w:p w14:paraId="3207424E" w14:textId="4144571D" w:rsidR="00B63551" w:rsidRDefault="00B63551" w:rsidP="00B83614">
      <w:pPr>
        <w:pStyle w:val="Heading2hanging"/>
      </w:pPr>
      <w:r w:rsidRPr="007B181D">
        <w:t>2.</w:t>
      </w:r>
      <w:r>
        <w:t>9</w:t>
      </w:r>
      <w:r>
        <w:tab/>
      </w:r>
      <w:r w:rsidRPr="00B63551">
        <w:t>All operators must have a complaints policy on their website</w:t>
      </w:r>
      <w:r w:rsidR="001A2C37">
        <w:t xml:space="preserve"> or </w:t>
      </w:r>
      <w:r w:rsidRPr="00B63551">
        <w:t>app</w:t>
      </w:r>
    </w:p>
    <w:tbl>
      <w:tblPr>
        <w:tblStyle w:val="TableGridLight"/>
        <w:tblW w:w="9067" w:type="dxa"/>
        <w:tblLook w:val="0000" w:firstRow="0" w:lastRow="0" w:firstColumn="0" w:lastColumn="0" w:noHBand="0" w:noVBand="0"/>
      </w:tblPr>
      <w:tblGrid>
        <w:gridCol w:w="421"/>
        <w:gridCol w:w="8646"/>
      </w:tblGrid>
      <w:tr w:rsidR="00B63551" w:rsidRPr="007B181D" w14:paraId="4B97BCA3" w14:textId="77777777" w:rsidTr="00B70B0A">
        <w:tc>
          <w:tcPr>
            <w:tcW w:w="421" w:type="dxa"/>
          </w:tcPr>
          <w:p w14:paraId="5B87787C" w14:textId="77777777" w:rsidR="00B63551" w:rsidRPr="00A83077" w:rsidRDefault="00B63551" w:rsidP="00B70B0A"/>
        </w:tc>
        <w:tc>
          <w:tcPr>
            <w:tcW w:w="8646" w:type="dxa"/>
          </w:tcPr>
          <w:p w14:paraId="2C3A172C" w14:textId="43C0079C" w:rsidR="00B63551" w:rsidRPr="007B181D" w:rsidRDefault="00B63551" w:rsidP="00B63551">
            <w:r w:rsidRPr="00B63551">
              <w:t>Operators will have a procedure with which members can raise complaints which will be made available to members on commencement of hire. The procedure should provide contact details of CoMoUK if members are dissatisfied with treatment by the operator</w:t>
            </w:r>
            <w:r>
              <w:t xml:space="preserve">. </w:t>
            </w:r>
          </w:p>
        </w:tc>
      </w:tr>
    </w:tbl>
    <w:p w14:paraId="55AE67EC" w14:textId="5BF65DC9" w:rsidR="00B63551" w:rsidRDefault="00B63551" w:rsidP="00B83614">
      <w:pPr>
        <w:pStyle w:val="Heading2hanging"/>
      </w:pPr>
      <w:r w:rsidRPr="007B181D">
        <w:lastRenderedPageBreak/>
        <w:t>2.</w:t>
      </w:r>
      <w:r>
        <w:t>10</w:t>
      </w:r>
      <w:r>
        <w:tab/>
      </w:r>
      <w:r w:rsidRPr="00B63551">
        <w:t>In the event of a withdrawal of operations, operators must have an appropriate procedure in place</w:t>
      </w:r>
    </w:p>
    <w:tbl>
      <w:tblPr>
        <w:tblStyle w:val="TableGridLight"/>
        <w:tblW w:w="9067" w:type="dxa"/>
        <w:tblLook w:val="0000" w:firstRow="0" w:lastRow="0" w:firstColumn="0" w:lastColumn="0" w:noHBand="0" w:noVBand="0"/>
      </w:tblPr>
      <w:tblGrid>
        <w:gridCol w:w="421"/>
        <w:gridCol w:w="8646"/>
      </w:tblGrid>
      <w:tr w:rsidR="00B63551" w:rsidRPr="007B181D" w14:paraId="49277EA6" w14:textId="77777777" w:rsidTr="00B70B0A">
        <w:tc>
          <w:tcPr>
            <w:tcW w:w="421" w:type="dxa"/>
          </w:tcPr>
          <w:p w14:paraId="1ED5B442" w14:textId="77777777" w:rsidR="00B63551" w:rsidRPr="00A83077" w:rsidRDefault="00B63551" w:rsidP="00B70B0A"/>
        </w:tc>
        <w:tc>
          <w:tcPr>
            <w:tcW w:w="8646" w:type="dxa"/>
          </w:tcPr>
          <w:p w14:paraId="7EE9D2DE" w14:textId="77777777" w:rsidR="00B63551" w:rsidRDefault="00B63551" w:rsidP="00B63551">
            <w:r>
              <w:t>In the event of there being a temporary closure of a docking station, operators will where possible provide prior notice at the station and via electronic communications.</w:t>
            </w:r>
          </w:p>
          <w:p w14:paraId="6B4B8B2D" w14:textId="77777777" w:rsidR="00B63551" w:rsidRDefault="00B63551" w:rsidP="00B63551"/>
          <w:p w14:paraId="5B50E329" w14:textId="013AD57D" w:rsidR="00B63551" w:rsidRPr="007B181D" w:rsidRDefault="00B63551" w:rsidP="00B63551">
            <w:r>
              <w:t>In the event that an operator ceases operations or withdraws services from a specific area, operators will give their customer two months’ notice if this is practicable. Where the decision is the operators to close the scheme, they will also consider offering customers the option to transfer to another bike share scheme if available for a nil or nominal charge. We request that operators advise CoMoUK of their intention to withdraw services or close as early as possible. Operators may also seek advice from CoMoUK on an appropriate closing down procedure.</w:t>
            </w:r>
          </w:p>
        </w:tc>
      </w:tr>
    </w:tbl>
    <w:p w14:paraId="6F3CBC39" w14:textId="0E61DAD6" w:rsidR="00B63551" w:rsidRDefault="00B63551" w:rsidP="00B83614">
      <w:pPr>
        <w:pStyle w:val="Heading2hanging"/>
      </w:pPr>
      <w:r w:rsidRPr="007B181D">
        <w:t>2.</w:t>
      </w:r>
      <w:r>
        <w:t>11</w:t>
      </w:r>
      <w:r w:rsidR="00B83614">
        <w:tab/>
      </w:r>
      <w:r w:rsidRPr="00B63551">
        <w:t xml:space="preserve">All operators </w:t>
      </w:r>
      <w:r w:rsidR="00E6676E" w:rsidRPr="00B63551">
        <w:t>must</w:t>
      </w:r>
      <w:r w:rsidRPr="00B63551">
        <w:t xml:space="preserve"> comply with data security legislation</w:t>
      </w:r>
    </w:p>
    <w:tbl>
      <w:tblPr>
        <w:tblStyle w:val="TableGridLight"/>
        <w:tblW w:w="9067" w:type="dxa"/>
        <w:tblLook w:val="0000" w:firstRow="0" w:lastRow="0" w:firstColumn="0" w:lastColumn="0" w:noHBand="0" w:noVBand="0"/>
      </w:tblPr>
      <w:tblGrid>
        <w:gridCol w:w="421"/>
        <w:gridCol w:w="8646"/>
      </w:tblGrid>
      <w:tr w:rsidR="00B63551" w:rsidRPr="007B181D" w14:paraId="2D59F6EC" w14:textId="77777777" w:rsidTr="00B70B0A">
        <w:tc>
          <w:tcPr>
            <w:tcW w:w="421" w:type="dxa"/>
          </w:tcPr>
          <w:p w14:paraId="080DCDD9" w14:textId="77777777" w:rsidR="00B63551" w:rsidRPr="00A83077" w:rsidRDefault="00B63551" w:rsidP="00B70B0A"/>
        </w:tc>
        <w:tc>
          <w:tcPr>
            <w:tcW w:w="8646" w:type="dxa"/>
          </w:tcPr>
          <w:p w14:paraId="5F6BBD02" w14:textId="0032AFEE" w:rsidR="00B83614" w:rsidRDefault="00B83614" w:rsidP="00B83614">
            <w:r>
              <w:t>Operators must demonstrate compliance to the 2018 General Data Projection Regulations. Privacy policies need to include a clear statement of what intentions there are for any data gathered. Operators must notify CoMoUK with changes to privacy policies during the year with highlighted changes.</w:t>
            </w:r>
          </w:p>
          <w:p w14:paraId="433EDDF4" w14:textId="77777777" w:rsidR="00B83614" w:rsidRDefault="00B83614" w:rsidP="00B83614"/>
          <w:p w14:paraId="162BE76D" w14:textId="70BC3B0F" w:rsidR="00B63551" w:rsidRPr="007B181D" w:rsidRDefault="00B83614" w:rsidP="00B83614">
            <w:r>
              <w:t>Accreditation also requires an outline of how user registration provides prominent, specific, data use consent opt-ins separated for different purposes.</w:t>
            </w:r>
          </w:p>
        </w:tc>
      </w:tr>
    </w:tbl>
    <w:p w14:paraId="116AFA06" w14:textId="77777777" w:rsidR="00B83614" w:rsidRDefault="00B83614" w:rsidP="007B181D">
      <w:pPr>
        <w:pStyle w:val="Heading1"/>
      </w:pPr>
    </w:p>
    <w:p w14:paraId="24B5772A" w14:textId="77777777" w:rsidR="00B83614" w:rsidRDefault="00B83614">
      <w:pPr>
        <w:rPr>
          <w:rFonts w:ascii="Raleway" w:eastAsiaTheme="majorEastAsia" w:hAnsi="Raleway" w:cs="Times New Roman (Headings CS)"/>
          <w:b/>
          <w:color w:val="0F4761" w:themeColor="accent1" w:themeShade="BF"/>
          <w:sz w:val="40"/>
          <w:szCs w:val="40"/>
        </w:rPr>
      </w:pPr>
      <w:r>
        <w:br w:type="page"/>
      </w:r>
    </w:p>
    <w:p w14:paraId="26D5964F" w14:textId="500681FC" w:rsidR="00A83077" w:rsidRDefault="00A83077" w:rsidP="007B181D">
      <w:pPr>
        <w:pStyle w:val="Heading1"/>
      </w:pPr>
      <w:r w:rsidRPr="00A83077">
        <w:lastRenderedPageBreak/>
        <w:t xml:space="preserve">Section 3: </w:t>
      </w:r>
      <w:r w:rsidR="00B83614">
        <w:t>Maintenance and s</w:t>
      </w:r>
      <w:r w:rsidRPr="00A83077">
        <w:t>afety requirements</w:t>
      </w:r>
    </w:p>
    <w:p w14:paraId="09B42448" w14:textId="00CA1E93" w:rsidR="00B83614" w:rsidRPr="00B83614" w:rsidRDefault="00B83614" w:rsidP="00B83614">
      <w:r w:rsidRPr="00B83614">
        <w:t>Please tick to confirm these statements are true and provide insurance certificates in your application.</w:t>
      </w:r>
    </w:p>
    <w:p w14:paraId="6AF42180" w14:textId="3CBFC5CD" w:rsidR="00A83077" w:rsidRDefault="007B181D" w:rsidP="00B83614">
      <w:pPr>
        <w:pStyle w:val="Heading2hanging"/>
      </w:pPr>
      <w:r w:rsidRPr="00A83077">
        <w:t>3.1</w:t>
      </w:r>
      <w:r w:rsidR="00B83614">
        <w:tab/>
      </w:r>
      <w:r w:rsidR="00B83614" w:rsidRPr="00B83614">
        <w:t>All schemes must have adequate insurance</w:t>
      </w:r>
    </w:p>
    <w:tbl>
      <w:tblPr>
        <w:tblStyle w:val="TableGridLight"/>
        <w:tblW w:w="9067" w:type="dxa"/>
        <w:tblLook w:val="0000" w:firstRow="0" w:lastRow="0" w:firstColumn="0" w:lastColumn="0" w:noHBand="0" w:noVBand="0"/>
      </w:tblPr>
      <w:tblGrid>
        <w:gridCol w:w="421"/>
        <w:gridCol w:w="8646"/>
      </w:tblGrid>
      <w:tr w:rsidR="00B83614" w:rsidRPr="007B181D" w14:paraId="5B0332B6" w14:textId="77777777" w:rsidTr="00B70B0A">
        <w:tc>
          <w:tcPr>
            <w:tcW w:w="421" w:type="dxa"/>
          </w:tcPr>
          <w:p w14:paraId="54BD6F05" w14:textId="77777777" w:rsidR="00B83614" w:rsidRPr="00A83077" w:rsidRDefault="00B83614" w:rsidP="00B70B0A"/>
        </w:tc>
        <w:tc>
          <w:tcPr>
            <w:tcW w:w="8646" w:type="dxa"/>
          </w:tcPr>
          <w:p w14:paraId="098D4E4E" w14:textId="11183E00" w:rsidR="00B83614" w:rsidRDefault="00B83614" w:rsidP="00B83614">
            <w:r>
              <w:t>All schemes must be covered by the necessary insurance to meet the legal requirements of the country in order to protect the safety of other road users, property and bikes and to protect the operator. For those using the accreditation within the UK the details, please provide evidence for the cover outlined below.</w:t>
            </w:r>
          </w:p>
          <w:p w14:paraId="0D01AB0E" w14:textId="77777777" w:rsidR="00B83614" w:rsidRDefault="00B83614" w:rsidP="00B83614"/>
          <w:p w14:paraId="140BEBB7" w14:textId="6A0F4F34" w:rsidR="00B83614" w:rsidRDefault="00B83614" w:rsidP="00B83614">
            <w:r>
              <w:t>Basic accreditation requires proof of insurance cover that adequately protects staff and users, and reasoning for the level chosen.</w:t>
            </w:r>
          </w:p>
          <w:p w14:paraId="285E84BA" w14:textId="77777777" w:rsidR="00B83614" w:rsidRDefault="00B83614" w:rsidP="00B83614"/>
          <w:p w14:paraId="6E8AB9B4" w14:textId="78B9F5D1" w:rsidR="00B83614" w:rsidRPr="007B181D" w:rsidRDefault="00B83614" w:rsidP="00B83614">
            <w:r>
              <w:t>Where bikes are being used for business purposes in specialist schemes such as e-cargo bike share or general schemes the insurance cover must cover this activity.</w:t>
            </w:r>
          </w:p>
        </w:tc>
      </w:tr>
      <w:tr w:rsidR="00B83614" w:rsidRPr="007B181D" w14:paraId="46CE1794" w14:textId="77777777" w:rsidTr="00B70B0A">
        <w:tc>
          <w:tcPr>
            <w:tcW w:w="421" w:type="dxa"/>
          </w:tcPr>
          <w:p w14:paraId="56511FB8" w14:textId="77777777" w:rsidR="00B83614" w:rsidRPr="00A83077" w:rsidRDefault="00B83614" w:rsidP="00B70B0A"/>
        </w:tc>
        <w:tc>
          <w:tcPr>
            <w:tcW w:w="8646" w:type="dxa"/>
          </w:tcPr>
          <w:p w14:paraId="1842A08E" w14:textId="4C1734F6" w:rsidR="00B83614" w:rsidRPr="00B83614" w:rsidRDefault="00B83614" w:rsidP="00B83614">
            <w:pPr>
              <w:rPr>
                <w:b/>
                <w:bCs/>
              </w:rPr>
            </w:pPr>
            <w:r w:rsidRPr="00B83614">
              <w:rPr>
                <w:b/>
                <w:bCs/>
              </w:rPr>
              <w:t>Employer’s Liability</w:t>
            </w:r>
          </w:p>
          <w:p w14:paraId="013AC617" w14:textId="4F161CB6" w:rsidR="00B83614" w:rsidRDefault="00B83614" w:rsidP="00B83614">
            <w:r>
              <w:t>The operator must take out and maintain throughout the annual period of Accreditation - Employer’s Liability insurance to the value of a minimum TEN MILLION (£10,000,000) POUNDS STERLING in respect of any one claim and unlimited in the period.</w:t>
            </w:r>
          </w:p>
        </w:tc>
      </w:tr>
      <w:tr w:rsidR="00B83614" w:rsidRPr="007B181D" w14:paraId="6D0FBD8A" w14:textId="77777777" w:rsidTr="00B70B0A">
        <w:tc>
          <w:tcPr>
            <w:tcW w:w="421" w:type="dxa"/>
          </w:tcPr>
          <w:p w14:paraId="32E07D1D" w14:textId="77777777" w:rsidR="00B83614" w:rsidRPr="00A83077" w:rsidRDefault="00B83614" w:rsidP="00B70B0A"/>
        </w:tc>
        <w:tc>
          <w:tcPr>
            <w:tcW w:w="8646" w:type="dxa"/>
          </w:tcPr>
          <w:p w14:paraId="74C82108" w14:textId="2870CE81" w:rsidR="00B83614" w:rsidRPr="00B83614" w:rsidRDefault="00B83614" w:rsidP="00B83614">
            <w:pPr>
              <w:rPr>
                <w:b/>
                <w:bCs/>
              </w:rPr>
            </w:pPr>
            <w:r w:rsidRPr="00B83614">
              <w:rPr>
                <w:b/>
                <w:bCs/>
              </w:rPr>
              <w:t>Public and Product Liability:</w:t>
            </w:r>
          </w:p>
          <w:p w14:paraId="692C8C50" w14:textId="47C870CA" w:rsidR="00B83614" w:rsidRPr="00B83614" w:rsidRDefault="00B83614" w:rsidP="0086734B">
            <w:pPr>
              <w:rPr>
                <w:strike/>
              </w:rPr>
            </w:pPr>
            <w:r>
              <w:t>The operator must take out and maintain throughout the annual period of Accreditation - Public Liability insurance to the value of a minimum of FIVE MILLION (£5,000,000) POUNDS STERLING in respect of any one claim and unlimited in the period.</w:t>
            </w:r>
          </w:p>
        </w:tc>
      </w:tr>
      <w:tr w:rsidR="00B83614" w:rsidRPr="007B181D" w14:paraId="57F9AEE7" w14:textId="77777777" w:rsidTr="00B70B0A">
        <w:tc>
          <w:tcPr>
            <w:tcW w:w="421" w:type="dxa"/>
          </w:tcPr>
          <w:p w14:paraId="0FE7473B" w14:textId="77777777" w:rsidR="00B83614" w:rsidRPr="00A83077" w:rsidRDefault="00B83614" w:rsidP="00B70B0A"/>
        </w:tc>
        <w:tc>
          <w:tcPr>
            <w:tcW w:w="8646" w:type="dxa"/>
          </w:tcPr>
          <w:p w14:paraId="36A44BB8" w14:textId="3622EC1D" w:rsidR="00B83614" w:rsidRDefault="00B83614" w:rsidP="00B70B0A">
            <w:r w:rsidRPr="00B83614">
              <w:t>All insurance certificates and details of cover should be submitted with applications</w:t>
            </w:r>
            <w:r>
              <w:t>,</w:t>
            </w:r>
            <w:r w:rsidRPr="00B83614">
              <w:t xml:space="preserve"> as well as being available to customers within three working days of the request being received. The above insurances must be with an insurance company registered with Financial Conduct Authority (FCA) in the UK, or equivalent body for other EU member states by the council and any operator must not sub-let or sub-contract any part of the commission unless the sub-contractor is similarly insured, unless CoMoUK agrees otherwise. It is the express responsibility of the lead operator to ensure this is the case</w:t>
            </w:r>
            <w:r>
              <w:t>.</w:t>
            </w:r>
          </w:p>
        </w:tc>
      </w:tr>
    </w:tbl>
    <w:p w14:paraId="1DC3F8DC" w14:textId="2427D7D5" w:rsidR="00B83614" w:rsidRDefault="00B83614" w:rsidP="00B83614">
      <w:pPr>
        <w:pStyle w:val="Heading2hanging"/>
      </w:pPr>
      <w:r>
        <w:lastRenderedPageBreak/>
        <w:t>3</w:t>
      </w:r>
      <w:r w:rsidRPr="007B181D">
        <w:t>.</w:t>
      </w:r>
      <w:r>
        <w:t>2</w:t>
      </w:r>
      <w:r>
        <w:tab/>
      </w:r>
      <w:r w:rsidRPr="00B83614">
        <w:t>All bikes for hire must be roadworthy and regularly serviced and maintained</w:t>
      </w:r>
    </w:p>
    <w:tbl>
      <w:tblPr>
        <w:tblStyle w:val="TableGridLight"/>
        <w:tblW w:w="9067" w:type="dxa"/>
        <w:tblLook w:val="0000" w:firstRow="0" w:lastRow="0" w:firstColumn="0" w:lastColumn="0" w:noHBand="0" w:noVBand="0"/>
      </w:tblPr>
      <w:tblGrid>
        <w:gridCol w:w="421"/>
        <w:gridCol w:w="8646"/>
      </w:tblGrid>
      <w:tr w:rsidR="00B83614" w:rsidRPr="007B181D" w14:paraId="64363C54" w14:textId="77777777" w:rsidTr="00B70B0A">
        <w:tc>
          <w:tcPr>
            <w:tcW w:w="421" w:type="dxa"/>
          </w:tcPr>
          <w:p w14:paraId="022EE040" w14:textId="77777777" w:rsidR="00B83614" w:rsidRPr="00A83077" w:rsidRDefault="00B83614" w:rsidP="00B70B0A"/>
        </w:tc>
        <w:tc>
          <w:tcPr>
            <w:tcW w:w="8646" w:type="dxa"/>
          </w:tcPr>
          <w:p w14:paraId="6D5BA634" w14:textId="38FFA43F" w:rsidR="00B83614" w:rsidRDefault="00B83614" w:rsidP="00B83614">
            <w:r>
              <w:t>To protect the customer’s health and safety, all bikes offered for hire must comply with all national legislation regarding roadworthiness.</w:t>
            </w:r>
          </w:p>
          <w:p w14:paraId="7003FF9D" w14:textId="424CE9BE" w:rsidR="00B83614" w:rsidRDefault="00B83614" w:rsidP="00B83614">
            <w:pPr>
              <w:pStyle w:val="ListParagraph"/>
            </w:pPr>
            <w:r>
              <w:t>Manufacturer’s service requirements must be adhered to in full.</w:t>
            </w:r>
          </w:p>
          <w:p w14:paraId="64722B6F" w14:textId="7BF0133F" w:rsidR="00B83614" w:rsidRDefault="00B83614" w:rsidP="00B83614">
            <w:pPr>
              <w:pStyle w:val="ListParagraph"/>
            </w:pPr>
            <w:r>
              <w:t>Regular maintenance checks will be undertaken by the operator to ensure compliance with relevant legislation and the Highway Code.</w:t>
            </w:r>
          </w:p>
          <w:p w14:paraId="0AF935D7" w14:textId="6C69D9DD" w:rsidR="00B83614" w:rsidRDefault="00B83614" w:rsidP="00B83614">
            <w:pPr>
              <w:pStyle w:val="ListParagraph"/>
            </w:pPr>
            <w:r>
              <w:t>All maintenance checks will be recorded and any repairs or adjustments recorded.</w:t>
            </w:r>
          </w:p>
          <w:p w14:paraId="15933DE4" w14:textId="61E60655" w:rsidR="00B83614" w:rsidRDefault="00B83614" w:rsidP="00B83614">
            <w:pPr>
              <w:pStyle w:val="ListParagraph"/>
            </w:pPr>
            <w:r>
              <w:t>All bikes will be fully serviced at least once a year as a minimum.</w:t>
            </w:r>
          </w:p>
          <w:p w14:paraId="349571A9" w14:textId="718CE159" w:rsidR="00B83614" w:rsidRPr="007B181D" w:rsidRDefault="00B83614" w:rsidP="00B83614">
            <w:pPr>
              <w:pStyle w:val="ListParagraph"/>
            </w:pPr>
            <w:r>
              <w:t>Operators should supply their mechanic staff training policy. All servicing carried out will be supervised by a mechanic qualified to Cytech 2 or equivalent. Details of the certification should be provided on application.</w:t>
            </w:r>
          </w:p>
        </w:tc>
      </w:tr>
    </w:tbl>
    <w:p w14:paraId="47C483BE" w14:textId="57091DE9" w:rsidR="00B83614" w:rsidRDefault="00B83614" w:rsidP="00B83614">
      <w:pPr>
        <w:pStyle w:val="Heading2hanging"/>
      </w:pPr>
      <w:r>
        <w:t>3</w:t>
      </w:r>
      <w:r w:rsidRPr="007B181D">
        <w:t>.</w:t>
      </w:r>
      <w:r>
        <w:t>3</w:t>
      </w:r>
      <w:r>
        <w:tab/>
      </w:r>
      <w:r w:rsidRPr="00B83614">
        <w:t xml:space="preserve">Reactive </w:t>
      </w:r>
      <w:r>
        <w:t>m</w:t>
      </w:r>
      <w:r w:rsidRPr="00B83614">
        <w:t>aintenance</w:t>
      </w:r>
    </w:p>
    <w:tbl>
      <w:tblPr>
        <w:tblStyle w:val="TableGridLight"/>
        <w:tblW w:w="9067" w:type="dxa"/>
        <w:tblLook w:val="0000" w:firstRow="0" w:lastRow="0" w:firstColumn="0" w:lastColumn="0" w:noHBand="0" w:noVBand="0"/>
      </w:tblPr>
      <w:tblGrid>
        <w:gridCol w:w="421"/>
        <w:gridCol w:w="8646"/>
      </w:tblGrid>
      <w:tr w:rsidR="00B83614" w:rsidRPr="007B181D" w14:paraId="0FF2633B" w14:textId="77777777" w:rsidTr="00B70B0A">
        <w:tc>
          <w:tcPr>
            <w:tcW w:w="421" w:type="dxa"/>
          </w:tcPr>
          <w:p w14:paraId="58FEEE0F" w14:textId="77777777" w:rsidR="00B83614" w:rsidRPr="00A83077" w:rsidRDefault="00B83614" w:rsidP="00B70B0A"/>
        </w:tc>
        <w:tc>
          <w:tcPr>
            <w:tcW w:w="8646" w:type="dxa"/>
          </w:tcPr>
          <w:p w14:paraId="22D54774" w14:textId="77777777" w:rsidR="00B83614" w:rsidRDefault="00B83614" w:rsidP="00B83614">
            <w:r>
              <w:t>The operator must clearly set out a simple procedure to users for returning, exchanging and reporting faulty bikes.</w:t>
            </w:r>
          </w:p>
          <w:p w14:paraId="6B22FB82" w14:textId="4D8147B0" w:rsidR="00B83614" w:rsidRDefault="00B83614" w:rsidP="00B83614">
            <w:pPr>
              <w:pStyle w:val="ListParagraph"/>
            </w:pPr>
            <w:r>
              <w:t>Mechanical, technical and vandalism repairs to bikes must be addressed to make safe or unavailable to the public within 24 hours.</w:t>
            </w:r>
          </w:p>
          <w:p w14:paraId="3817972C" w14:textId="02BFCECD" w:rsidR="00B83614" w:rsidRDefault="00B83614" w:rsidP="00B83614">
            <w:pPr>
              <w:pStyle w:val="ListParagraph"/>
            </w:pPr>
            <w:r>
              <w:t>90% of bikes on the street must be serviceable to avoid faulty bikes being left on the street. Not applicable to basic accreditation.</w:t>
            </w:r>
          </w:p>
          <w:p w14:paraId="7C0F50DE" w14:textId="71DEFF0A" w:rsidR="00B83614" w:rsidRDefault="00B83614" w:rsidP="00B83614">
            <w:pPr>
              <w:pStyle w:val="ListParagraph"/>
            </w:pPr>
            <w:r>
              <w:t>The operator must develop a system of locating and collecting bikes that have been abandoned or not been returned within 48 hours.</w:t>
            </w:r>
          </w:p>
          <w:p w14:paraId="0316777B" w14:textId="1E807EBF" w:rsidR="00B83614" w:rsidRPr="007B181D" w:rsidRDefault="00B83614" w:rsidP="00B83614">
            <w:pPr>
              <w:pStyle w:val="ListParagraph"/>
            </w:pPr>
            <w:r>
              <w:t>Mechanical, technical and vandalism repairs to bike share stations must be addressed to make safe to the public within 12 hours.</w:t>
            </w:r>
          </w:p>
        </w:tc>
      </w:tr>
    </w:tbl>
    <w:p w14:paraId="17820450" w14:textId="6C2C0DA6" w:rsidR="00B83614" w:rsidRDefault="00B83614" w:rsidP="00B83614">
      <w:pPr>
        <w:pStyle w:val="Heading2hanging"/>
      </w:pPr>
      <w:r>
        <w:t>3</w:t>
      </w:r>
      <w:r w:rsidRPr="007B181D">
        <w:t>.</w:t>
      </w:r>
      <w:r>
        <w:t>4</w:t>
      </w:r>
      <w:r>
        <w:tab/>
      </w:r>
      <w:r w:rsidRPr="00B83614">
        <w:t>Bikes and bike docking station</w:t>
      </w:r>
      <w:r>
        <w:t>s</w:t>
      </w:r>
      <w:r w:rsidRPr="00B83614">
        <w:t xml:space="preserve"> will be kept clean at all times</w:t>
      </w:r>
    </w:p>
    <w:tbl>
      <w:tblPr>
        <w:tblStyle w:val="TableGridLight"/>
        <w:tblW w:w="9067" w:type="dxa"/>
        <w:tblLook w:val="0000" w:firstRow="0" w:lastRow="0" w:firstColumn="0" w:lastColumn="0" w:noHBand="0" w:noVBand="0"/>
      </w:tblPr>
      <w:tblGrid>
        <w:gridCol w:w="421"/>
        <w:gridCol w:w="8646"/>
      </w:tblGrid>
      <w:tr w:rsidR="00B83614" w:rsidRPr="007B181D" w14:paraId="6BF75D23" w14:textId="77777777" w:rsidTr="00B70B0A">
        <w:tc>
          <w:tcPr>
            <w:tcW w:w="421" w:type="dxa"/>
          </w:tcPr>
          <w:p w14:paraId="71EC3C4A" w14:textId="77777777" w:rsidR="00B83614" w:rsidRPr="00A83077" w:rsidRDefault="00B83614" w:rsidP="00B70B0A"/>
        </w:tc>
        <w:tc>
          <w:tcPr>
            <w:tcW w:w="8646" w:type="dxa"/>
          </w:tcPr>
          <w:p w14:paraId="7E06F524" w14:textId="2495B564" w:rsidR="00B83614" w:rsidRPr="007B181D" w:rsidRDefault="00B83614" w:rsidP="00B83614">
            <w:r w:rsidRPr="00B83614">
              <w:t>To protect the image of bike schemes as a professional service, as seen by potential and actual customers</w:t>
            </w:r>
            <w:r>
              <w:t>,</w:t>
            </w:r>
            <w:r w:rsidRPr="00B83614">
              <w:t xml:space="preserve"> the operator will have a defined cleaning procedure to ensure all bikes and docking stations are kept clean and in good order. As part of the application for </w:t>
            </w:r>
            <w:r>
              <w:t>a</w:t>
            </w:r>
            <w:r w:rsidRPr="00B83614">
              <w:t>ccreditation, operators must outline their checking procedures which will include responding to complaints within 24 hours</w:t>
            </w:r>
            <w:r>
              <w:t xml:space="preserve"> (</w:t>
            </w:r>
            <w:r w:rsidRPr="00B83614">
              <w:t>48 hours for basic accreditation</w:t>
            </w:r>
            <w:r>
              <w:t>).</w:t>
            </w:r>
          </w:p>
        </w:tc>
      </w:tr>
    </w:tbl>
    <w:p w14:paraId="4D709432" w14:textId="77777777" w:rsidR="0086734B" w:rsidRDefault="0086734B" w:rsidP="00B83614">
      <w:pPr>
        <w:pStyle w:val="Heading2hanging"/>
      </w:pPr>
    </w:p>
    <w:p w14:paraId="4B2F3ACC" w14:textId="77777777" w:rsidR="0086734B" w:rsidRDefault="0086734B">
      <w:pPr>
        <w:rPr>
          <w:rFonts w:ascii="Raleway" w:eastAsiaTheme="majorEastAsia" w:hAnsi="Raleway" w:cstheme="majorBidi"/>
          <w:b/>
          <w:color w:val="0F4761" w:themeColor="accent1" w:themeShade="BF"/>
          <w:sz w:val="32"/>
          <w:szCs w:val="32"/>
        </w:rPr>
      </w:pPr>
      <w:r>
        <w:br w:type="page"/>
      </w:r>
    </w:p>
    <w:p w14:paraId="3D8658F0" w14:textId="72F20ED0" w:rsidR="00B83614" w:rsidRDefault="00B83614" w:rsidP="00B83614">
      <w:pPr>
        <w:pStyle w:val="Heading2hanging"/>
      </w:pPr>
      <w:r>
        <w:lastRenderedPageBreak/>
        <w:t>3</w:t>
      </w:r>
      <w:r w:rsidRPr="007B181D">
        <w:t>.</w:t>
      </w:r>
      <w:r>
        <w:t>5</w:t>
      </w:r>
      <w:r>
        <w:tab/>
      </w:r>
      <w:r w:rsidRPr="00B83614">
        <w:t xml:space="preserve">Safe </w:t>
      </w:r>
      <w:r>
        <w:t>c</w:t>
      </w:r>
      <w:r w:rsidRPr="00B83614">
        <w:t>ycling</w:t>
      </w:r>
    </w:p>
    <w:tbl>
      <w:tblPr>
        <w:tblStyle w:val="TableGridLight"/>
        <w:tblW w:w="9067" w:type="dxa"/>
        <w:tblLook w:val="0000" w:firstRow="0" w:lastRow="0" w:firstColumn="0" w:lastColumn="0" w:noHBand="0" w:noVBand="0"/>
      </w:tblPr>
      <w:tblGrid>
        <w:gridCol w:w="421"/>
        <w:gridCol w:w="8646"/>
      </w:tblGrid>
      <w:tr w:rsidR="00B83614" w:rsidRPr="007B181D" w14:paraId="446A58E5" w14:textId="77777777" w:rsidTr="00B70B0A">
        <w:tc>
          <w:tcPr>
            <w:tcW w:w="421" w:type="dxa"/>
          </w:tcPr>
          <w:p w14:paraId="660EB997" w14:textId="77777777" w:rsidR="00B83614" w:rsidRPr="00A83077" w:rsidRDefault="00B83614" w:rsidP="00B70B0A"/>
        </w:tc>
        <w:tc>
          <w:tcPr>
            <w:tcW w:w="8646" w:type="dxa"/>
          </w:tcPr>
          <w:p w14:paraId="5DF2BDDB" w14:textId="2DA7B2A6" w:rsidR="00B83614" w:rsidRPr="007B181D" w:rsidRDefault="00B83614" w:rsidP="00B70B0A">
            <w:r w:rsidRPr="00B83614">
              <w:t xml:space="preserve">Operators will provide information on how they will promote safe cycling initiatives. Operators will include information on websites, app and on-going communications about accessing cycle training from local providers, </w:t>
            </w:r>
            <w:hyperlink r:id="rId12" w:history="1">
              <w:r w:rsidRPr="00B83614">
                <w:rPr>
                  <w:rStyle w:val="Hyperlink"/>
                </w:rPr>
                <w:t>safe cycling messages</w:t>
              </w:r>
            </w:hyperlink>
            <w:r w:rsidR="00E6676E">
              <w:t xml:space="preserve">, </w:t>
            </w:r>
            <w:r w:rsidRPr="00B83614">
              <w:t xml:space="preserve">and how they </w:t>
            </w:r>
            <w:r>
              <w:t xml:space="preserve">are </w:t>
            </w:r>
            <w:r w:rsidRPr="00B83614">
              <w:t>investing in technology and initiatives to improve safety</w:t>
            </w:r>
            <w:r>
              <w:t>.</w:t>
            </w:r>
          </w:p>
        </w:tc>
      </w:tr>
    </w:tbl>
    <w:p w14:paraId="39510A8F" w14:textId="77777777" w:rsidR="00E6676E" w:rsidRDefault="00E6676E">
      <w:pPr>
        <w:rPr>
          <w:rFonts w:ascii="Raleway" w:eastAsiaTheme="majorEastAsia" w:hAnsi="Raleway" w:cs="Times New Roman (Headings CS)"/>
          <w:b/>
          <w:color w:val="0F4761" w:themeColor="accent1" w:themeShade="BF"/>
          <w:sz w:val="40"/>
          <w:szCs w:val="40"/>
        </w:rPr>
      </w:pPr>
    </w:p>
    <w:p w14:paraId="59C3E9B0" w14:textId="77777777" w:rsidR="00E6676E" w:rsidRDefault="00E6676E">
      <w:pPr>
        <w:rPr>
          <w:rFonts w:ascii="Raleway" w:eastAsiaTheme="majorEastAsia" w:hAnsi="Raleway" w:cs="Times New Roman (Headings CS)"/>
          <w:b/>
          <w:color w:val="0F4761" w:themeColor="accent1" w:themeShade="BF"/>
          <w:sz w:val="40"/>
          <w:szCs w:val="40"/>
        </w:rPr>
      </w:pPr>
      <w:r>
        <w:rPr>
          <w:rFonts w:ascii="Raleway" w:eastAsiaTheme="majorEastAsia" w:hAnsi="Raleway" w:cs="Times New Roman (Headings CS)"/>
          <w:b/>
          <w:color w:val="0F4761" w:themeColor="accent1" w:themeShade="BF"/>
          <w:sz w:val="40"/>
          <w:szCs w:val="40"/>
        </w:rPr>
        <w:br w:type="page"/>
      </w:r>
    </w:p>
    <w:p w14:paraId="7CCD1B47" w14:textId="249AC10B" w:rsidR="00C87AB3" w:rsidRDefault="00E6676E" w:rsidP="00E6676E">
      <w:pPr>
        <w:pStyle w:val="Heading1"/>
      </w:pPr>
      <w:r w:rsidRPr="00E6676E">
        <w:lastRenderedPageBreak/>
        <w:t>Section 4</w:t>
      </w:r>
      <w:r>
        <w:t>: Data collection</w:t>
      </w:r>
    </w:p>
    <w:p w14:paraId="7035966A" w14:textId="7375BEC3" w:rsidR="00E6676E" w:rsidRDefault="00E6676E" w:rsidP="00E6676E">
      <w:r>
        <w:t>Please t</w:t>
      </w:r>
      <w:r w:rsidRPr="00E6676E">
        <w:t>ick</w:t>
      </w:r>
      <w:r>
        <w:t xml:space="preserve"> below</w:t>
      </w:r>
      <w:r w:rsidRPr="00E6676E">
        <w:t xml:space="preserve"> to indicate willingness to comply</w:t>
      </w:r>
      <w:r>
        <w:t>:</w:t>
      </w:r>
    </w:p>
    <w:p w14:paraId="4EB01044" w14:textId="5477C0A7" w:rsidR="00E6676E" w:rsidRDefault="00E6676E" w:rsidP="00E6676E">
      <w:pPr>
        <w:pStyle w:val="Heading2hanging"/>
      </w:pPr>
      <w:r>
        <w:t>4</w:t>
      </w:r>
      <w:r w:rsidRPr="007B181D">
        <w:t>.</w:t>
      </w:r>
      <w:r>
        <w:t>1</w:t>
      </w:r>
      <w:r>
        <w:tab/>
      </w:r>
      <w:r w:rsidRPr="00E6676E">
        <w:t xml:space="preserve">The CoMoUK Annual </w:t>
      </w:r>
      <w:r>
        <w:t>S</w:t>
      </w:r>
      <w:r w:rsidRPr="00E6676E">
        <w:t>hare</w:t>
      </w:r>
      <w:r>
        <w:t>d</w:t>
      </w:r>
      <w:r w:rsidRPr="00E6676E">
        <w:t xml:space="preserve"> </w:t>
      </w:r>
      <w:r>
        <w:t xml:space="preserve">Micromobility </w:t>
      </w:r>
      <w:r w:rsidRPr="00E6676E">
        <w:t>User Survey</w:t>
      </w:r>
    </w:p>
    <w:tbl>
      <w:tblPr>
        <w:tblStyle w:val="TableGridLight"/>
        <w:tblW w:w="9067" w:type="dxa"/>
        <w:tblLook w:val="0000" w:firstRow="0" w:lastRow="0" w:firstColumn="0" w:lastColumn="0" w:noHBand="0" w:noVBand="0"/>
      </w:tblPr>
      <w:tblGrid>
        <w:gridCol w:w="421"/>
        <w:gridCol w:w="8646"/>
      </w:tblGrid>
      <w:tr w:rsidR="00E6676E" w:rsidRPr="007B181D" w14:paraId="2BBEBE62" w14:textId="77777777" w:rsidTr="00B70B0A">
        <w:tc>
          <w:tcPr>
            <w:tcW w:w="421" w:type="dxa"/>
          </w:tcPr>
          <w:p w14:paraId="536CD2C0" w14:textId="77777777" w:rsidR="00E6676E" w:rsidRPr="00A83077" w:rsidRDefault="00E6676E" w:rsidP="00B70B0A"/>
        </w:tc>
        <w:tc>
          <w:tcPr>
            <w:tcW w:w="8646" w:type="dxa"/>
          </w:tcPr>
          <w:p w14:paraId="10DDE59F" w14:textId="68DDF3FE" w:rsidR="00E6676E" w:rsidRPr="007B181D" w:rsidRDefault="00E6676E" w:rsidP="00B70B0A">
            <w:r w:rsidRPr="00E6676E">
              <w:t xml:space="preserve">Operators are required to demonstrate how they will actively promote the survey through </w:t>
            </w:r>
            <w:r w:rsidRPr="00E6676E">
              <w:rPr>
                <w:b/>
                <w:bCs/>
              </w:rPr>
              <w:t>either</w:t>
            </w:r>
            <w:r w:rsidRPr="00E6676E">
              <w:t xml:space="preserve"> an email </w:t>
            </w:r>
            <w:r w:rsidRPr="00E6676E">
              <w:rPr>
                <w:b/>
                <w:bCs/>
              </w:rPr>
              <w:t>or</w:t>
            </w:r>
            <w:r w:rsidRPr="00E6676E">
              <w:t xml:space="preserve"> in-app notifications AS WELL AS social media, providing a direct links to the survey to users on our behalf. The data analysis is verified by an independent academic or consultant</w:t>
            </w:r>
            <w:r>
              <w:t>.</w:t>
            </w:r>
          </w:p>
        </w:tc>
      </w:tr>
    </w:tbl>
    <w:p w14:paraId="646B71EE" w14:textId="50B3A8E4" w:rsidR="00E6676E" w:rsidRDefault="00E6676E" w:rsidP="00E6676E">
      <w:pPr>
        <w:pStyle w:val="Heading2hanging"/>
      </w:pPr>
      <w:r>
        <w:t>4</w:t>
      </w:r>
      <w:r w:rsidRPr="007B181D">
        <w:t>.</w:t>
      </w:r>
      <w:r>
        <w:t>2</w:t>
      </w:r>
      <w:r>
        <w:tab/>
      </w:r>
      <w:r w:rsidRPr="00E6676E">
        <w:t>Twice annual report</w:t>
      </w:r>
    </w:p>
    <w:tbl>
      <w:tblPr>
        <w:tblStyle w:val="TableGridLight"/>
        <w:tblW w:w="9067" w:type="dxa"/>
        <w:tblLook w:val="0000" w:firstRow="0" w:lastRow="0" w:firstColumn="0" w:lastColumn="0" w:noHBand="0" w:noVBand="0"/>
      </w:tblPr>
      <w:tblGrid>
        <w:gridCol w:w="421"/>
        <w:gridCol w:w="8646"/>
      </w:tblGrid>
      <w:tr w:rsidR="00E6676E" w:rsidRPr="007B181D" w14:paraId="2A4A8B90" w14:textId="77777777" w:rsidTr="00B70B0A">
        <w:tc>
          <w:tcPr>
            <w:tcW w:w="421" w:type="dxa"/>
          </w:tcPr>
          <w:p w14:paraId="08FEA456" w14:textId="77777777" w:rsidR="00E6676E" w:rsidRPr="00A83077" w:rsidRDefault="00E6676E" w:rsidP="00B70B0A"/>
        </w:tc>
        <w:tc>
          <w:tcPr>
            <w:tcW w:w="8646" w:type="dxa"/>
          </w:tcPr>
          <w:p w14:paraId="2BF327CC" w14:textId="3473A5D6" w:rsidR="00E6676E" w:rsidRPr="007B181D" w:rsidRDefault="00E6676E" w:rsidP="00B70B0A">
            <w:r w:rsidRPr="00E6676E">
              <w:t>Operators are required to complete the template collating basic metrics twice a year</w:t>
            </w:r>
            <w:r>
              <w:t>.</w:t>
            </w:r>
          </w:p>
        </w:tc>
      </w:tr>
    </w:tbl>
    <w:p w14:paraId="7319CDF0" w14:textId="77777777" w:rsidR="00E6676E" w:rsidRDefault="00E6676E" w:rsidP="00E6676E"/>
    <w:p w14:paraId="77D9D468" w14:textId="12499F8B" w:rsidR="00A83077" w:rsidRPr="00E6676E" w:rsidRDefault="00E6676E" w:rsidP="002A46DE">
      <w:pPr>
        <w:rPr>
          <w:b/>
          <w:bCs/>
        </w:rPr>
      </w:pPr>
      <w:r w:rsidRPr="00E6676E">
        <w:rPr>
          <w:b/>
          <w:bCs/>
        </w:rPr>
        <w:t>Please note that CoMoUK reserves the right to withdraw an operator’s Accreditation if they consistently refuse to cooperate with requests for the data outlined in this document.</w:t>
      </w:r>
    </w:p>
    <w:p w14:paraId="487B3A0B" w14:textId="77777777" w:rsidR="00E6676E" w:rsidRPr="00A83077" w:rsidRDefault="00E6676E" w:rsidP="002A46DE"/>
    <w:tbl>
      <w:tblPr>
        <w:tblStyle w:val="TableGridLight"/>
        <w:tblW w:w="0" w:type="auto"/>
        <w:tblLook w:val="04A0" w:firstRow="1" w:lastRow="0" w:firstColumn="1" w:lastColumn="0" w:noHBand="0" w:noVBand="1"/>
      </w:tblPr>
      <w:tblGrid>
        <w:gridCol w:w="1696"/>
        <w:gridCol w:w="7320"/>
      </w:tblGrid>
      <w:tr w:rsidR="002A46DE" w14:paraId="350A2697" w14:textId="77777777" w:rsidTr="0067334C">
        <w:tc>
          <w:tcPr>
            <w:tcW w:w="9016" w:type="dxa"/>
            <w:gridSpan w:val="2"/>
          </w:tcPr>
          <w:p w14:paraId="3025CBDA" w14:textId="589DF26E" w:rsidR="002A46DE" w:rsidRDefault="002A46DE" w:rsidP="00A83077">
            <w:pPr>
              <w:rPr>
                <w:b/>
              </w:rPr>
            </w:pPr>
            <w:r w:rsidRPr="00A83077">
              <w:t xml:space="preserve">I certify that the information provided in this application form is a true representation of the </w:t>
            </w:r>
            <w:r w:rsidR="00E6676E">
              <w:t>bike share scheme</w:t>
            </w:r>
            <w:r w:rsidRPr="00A83077">
              <w:t xml:space="preserve"> for which we seek accreditation</w:t>
            </w:r>
            <w:r>
              <w:t>.</w:t>
            </w:r>
          </w:p>
        </w:tc>
      </w:tr>
      <w:tr w:rsidR="002A46DE" w14:paraId="398721B7" w14:textId="77777777" w:rsidTr="002A46DE">
        <w:tc>
          <w:tcPr>
            <w:tcW w:w="1696" w:type="dxa"/>
          </w:tcPr>
          <w:p w14:paraId="12C97E97" w14:textId="50DA0506" w:rsidR="002A46DE" w:rsidRDefault="002A46DE" w:rsidP="002A46DE">
            <w:pPr>
              <w:rPr>
                <w:b/>
              </w:rPr>
            </w:pPr>
            <w:r w:rsidRPr="002A46DE">
              <w:t>Sign</w:t>
            </w:r>
            <w:r>
              <w:t>ature</w:t>
            </w:r>
            <w:r w:rsidRPr="002A46DE">
              <w:t>:</w:t>
            </w:r>
          </w:p>
        </w:tc>
        <w:tc>
          <w:tcPr>
            <w:tcW w:w="7320" w:type="dxa"/>
          </w:tcPr>
          <w:p w14:paraId="570A19A8" w14:textId="77777777" w:rsidR="002A46DE" w:rsidRDefault="002A46DE" w:rsidP="00A83077">
            <w:pPr>
              <w:rPr>
                <w:b/>
              </w:rPr>
            </w:pPr>
          </w:p>
        </w:tc>
      </w:tr>
      <w:tr w:rsidR="002A46DE" w14:paraId="71A46EC5" w14:textId="77777777" w:rsidTr="002A46DE">
        <w:tc>
          <w:tcPr>
            <w:tcW w:w="1696" w:type="dxa"/>
          </w:tcPr>
          <w:p w14:paraId="10254199" w14:textId="405BCF09" w:rsidR="002A46DE" w:rsidRDefault="002A46DE" w:rsidP="002A46DE">
            <w:pPr>
              <w:rPr>
                <w:b/>
              </w:rPr>
            </w:pPr>
            <w:r w:rsidRPr="002A46DE">
              <w:t xml:space="preserve">Print name: </w:t>
            </w:r>
          </w:p>
        </w:tc>
        <w:tc>
          <w:tcPr>
            <w:tcW w:w="7320" w:type="dxa"/>
          </w:tcPr>
          <w:p w14:paraId="00525571" w14:textId="77777777" w:rsidR="002A46DE" w:rsidRDefault="002A46DE" w:rsidP="00A83077">
            <w:pPr>
              <w:rPr>
                <w:b/>
              </w:rPr>
            </w:pPr>
          </w:p>
        </w:tc>
      </w:tr>
      <w:tr w:rsidR="002A46DE" w14:paraId="41FC845F" w14:textId="77777777" w:rsidTr="002A46DE">
        <w:tc>
          <w:tcPr>
            <w:tcW w:w="1696" w:type="dxa"/>
          </w:tcPr>
          <w:p w14:paraId="4C3A678A" w14:textId="09BD998F" w:rsidR="002A46DE" w:rsidRPr="002A46DE" w:rsidRDefault="002A46DE" w:rsidP="002A46DE">
            <w:r w:rsidRPr="002A46DE">
              <w:t>Dated:</w:t>
            </w:r>
          </w:p>
        </w:tc>
        <w:tc>
          <w:tcPr>
            <w:tcW w:w="7320" w:type="dxa"/>
          </w:tcPr>
          <w:p w14:paraId="77A2F777" w14:textId="77777777" w:rsidR="002A46DE" w:rsidRDefault="002A46DE" w:rsidP="00A83077">
            <w:pPr>
              <w:rPr>
                <w:b/>
              </w:rPr>
            </w:pPr>
          </w:p>
        </w:tc>
      </w:tr>
    </w:tbl>
    <w:p w14:paraId="43EBDE20" w14:textId="6207A18A" w:rsidR="00340BFF" w:rsidRPr="00802A3F" w:rsidRDefault="00340BFF"/>
    <w:sectPr w:rsidR="00340BFF" w:rsidRPr="00802A3F" w:rsidSect="00B43770">
      <w:footerReference w:type="even" r:id="rId13"/>
      <w:footerReference w:type="defaul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9681" w14:textId="77777777" w:rsidR="00897099" w:rsidRDefault="00897099" w:rsidP="00342C28">
      <w:pPr>
        <w:spacing w:after="0" w:line="240" w:lineRule="auto"/>
      </w:pPr>
      <w:r>
        <w:separator/>
      </w:r>
    </w:p>
  </w:endnote>
  <w:endnote w:type="continuationSeparator" w:id="0">
    <w:p w14:paraId="00A8281A" w14:textId="77777777" w:rsidR="00897099" w:rsidRDefault="00897099" w:rsidP="0034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Raleway">
    <w:panose1 w:val="00000000000000000000"/>
    <w:charset w:val="4D"/>
    <w:family w:val="auto"/>
    <w:pitch w:val="variable"/>
    <w:sig w:usb0="A00002FF" w:usb1="5000205B" w:usb2="00000000" w:usb3="00000000" w:csb0="00000197" w:csb1="00000000"/>
  </w:font>
  <w:font w:name="Times New Roman (Heading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8330044"/>
      <w:docPartObj>
        <w:docPartGallery w:val="Page Numbers (Bottom of Page)"/>
        <w:docPartUnique/>
      </w:docPartObj>
    </w:sdtPr>
    <w:sdtContent>
      <w:p w14:paraId="248DFC1B" w14:textId="77777777" w:rsidR="00342C28" w:rsidRDefault="00342C28" w:rsidP="003E0E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60D69C7" w14:textId="77777777" w:rsidR="00342C28" w:rsidRDefault="00342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2791894"/>
      <w:docPartObj>
        <w:docPartGallery w:val="Page Numbers (Bottom of Page)"/>
        <w:docPartUnique/>
      </w:docPartObj>
    </w:sdtPr>
    <w:sdtContent>
      <w:p w14:paraId="4142E7C4" w14:textId="77777777" w:rsidR="00342C28" w:rsidRDefault="00342C28" w:rsidP="003E0E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C21E7F" w14:textId="74501E07" w:rsidR="00342C28" w:rsidRDefault="00A83077" w:rsidP="00342C28">
    <w:pPr>
      <w:pStyle w:val="Footer"/>
    </w:pPr>
    <w:r>
      <w:t>April 2026</w:t>
    </w:r>
    <w:r w:rsidR="00342C28">
      <w:tab/>
    </w:r>
    <w:r w:rsidR="00342C28">
      <w:tab/>
    </w:r>
    <w:r w:rsidR="00342C28">
      <w:rPr>
        <w:noProof/>
      </w:rPr>
      <w:drawing>
        <wp:anchor distT="0" distB="0" distL="114300" distR="114300" simplePos="0" relativeHeight="251658240" behindDoc="0" locked="0" layoutInCell="1" allowOverlap="1" wp14:anchorId="184C6565" wp14:editId="20CE2E4C">
          <wp:simplePos x="0" y="0"/>
          <wp:positionH relativeFrom="column">
            <wp:posOffset>4673600</wp:posOffset>
          </wp:positionH>
          <wp:positionV relativeFrom="paragraph">
            <wp:posOffset>0</wp:posOffset>
          </wp:positionV>
          <wp:extent cx="1057910" cy="238125"/>
          <wp:effectExtent l="0" t="0" r="0" b="3175"/>
          <wp:wrapNone/>
          <wp:docPr id="644334644" name="Picture 1" descr="CoMo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34644" name="Picture 1" descr="CoMoUK logo"/>
                  <pic:cNvPicPr/>
                </pic:nvPicPr>
                <pic:blipFill>
                  <a:blip r:embed="rId1">
                    <a:extLst>
                      <a:ext uri="{28A0092B-C50C-407E-A947-70E740481C1C}">
                        <a14:useLocalDpi xmlns:a14="http://schemas.microsoft.com/office/drawing/2010/main" val="0"/>
                      </a:ext>
                    </a:extLst>
                  </a:blip>
                  <a:stretch>
                    <a:fillRect/>
                  </a:stretch>
                </pic:blipFill>
                <pic:spPr>
                  <a:xfrm>
                    <a:off x="0" y="0"/>
                    <a:ext cx="1057910" cy="23812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5C9A" w14:textId="40243597" w:rsidR="00802A3F" w:rsidRDefault="00A83077">
    <w:pPr>
      <w:pStyle w:val="Footer"/>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8AC8" w14:textId="77777777" w:rsidR="00897099" w:rsidRDefault="00897099" w:rsidP="00342C28">
      <w:pPr>
        <w:spacing w:after="0" w:line="240" w:lineRule="auto"/>
      </w:pPr>
      <w:r>
        <w:separator/>
      </w:r>
    </w:p>
  </w:footnote>
  <w:footnote w:type="continuationSeparator" w:id="0">
    <w:p w14:paraId="714EC022" w14:textId="77777777" w:rsidR="00897099" w:rsidRDefault="00897099" w:rsidP="00342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BE1"/>
    <w:multiLevelType w:val="hybridMultilevel"/>
    <w:tmpl w:val="CA3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A0E3F"/>
    <w:multiLevelType w:val="hybridMultilevel"/>
    <w:tmpl w:val="577A7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F662F8"/>
    <w:multiLevelType w:val="hybridMultilevel"/>
    <w:tmpl w:val="EBACAEA2"/>
    <w:lvl w:ilvl="0" w:tplc="74F66C9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280A96"/>
    <w:multiLevelType w:val="hybridMultilevel"/>
    <w:tmpl w:val="7926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C2EC7"/>
    <w:multiLevelType w:val="hybridMultilevel"/>
    <w:tmpl w:val="462EE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2E7107"/>
    <w:multiLevelType w:val="hybridMultilevel"/>
    <w:tmpl w:val="72405A1A"/>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4C73F13"/>
    <w:multiLevelType w:val="hybridMultilevel"/>
    <w:tmpl w:val="103A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994DDA"/>
    <w:multiLevelType w:val="hybridMultilevel"/>
    <w:tmpl w:val="F6907C2C"/>
    <w:lvl w:ilvl="0" w:tplc="8E98D1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ED66F5"/>
    <w:multiLevelType w:val="hybridMultilevel"/>
    <w:tmpl w:val="08202162"/>
    <w:lvl w:ilvl="0" w:tplc="EAAA0D7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5436EF8"/>
    <w:multiLevelType w:val="hybridMultilevel"/>
    <w:tmpl w:val="F7B2F33C"/>
    <w:lvl w:ilvl="0" w:tplc="04B0305A">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0C265E"/>
    <w:multiLevelType w:val="hybridMultilevel"/>
    <w:tmpl w:val="D17E5F7E"/>
    <w:lvl w:ilvl="0" w:tplc="E334F880">
      <w:start w:val="2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5D4E48"/>
    <w:multiLevelType w:val="hybridMultilevel"/>
    <w:tmpl w:val="23C0DB20"/>
    <w:lvl w:ilvl="0" w:tplc="4F528A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149982">
    <w:abstractNumId w:val="11"/>
  </w:num>
  <w:num w:numId="2" w16cid:durableId="730661197">
    <w:abstractNumId w:val="4"/>
  </w:num>
  <w:num w:numId="3" w16cid:durableId="630133674">
    <w:abstractNumId w:val="0"/>
  </w:num>
  <w:num w:numId="4" w16cid:durableId="1433546839">
    <w:abstractNumId w:val="3"/>
  </w:num>
  <w:num w:numId="5" w16cid:durableId="1797917495">
    <w:abstractNumId w:val="10"/>
  </w:num>
  <w:num w:numId="6" w16cid:durableId="893084546">
    <w:abstractNumId w:val="2"/>
  </w:num>
  <w:num w:numId="7" w16cid:durableId="873541006">
    <w:abstractNumId w:val="8"/>
  </w:num>
  <w:num w:numId="8" w16cid:durableId="1766656128">
    <w:abstractNumId w:val="5"/>
  </w:num>
  <w:num w:numId="9" w16cid:durableId="128940186">
    <w:abstractNumId w:val="9"/>
  </w:num>
  <w:num w:numId="10" w16cid:durableId="1941373196">
    <w:abstractNumId w:val="6"/>
  </w:num>
  <w:num w:numId="11" w16cid:durableId="111752566">
    <w:abstractNumId w:val="1"/>
  </w:num>
  <w:num w:numId="12" w16cid:durableId="1110784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FB"/>
    <w:rsid w:val="00026369"/>
    <w:rsid w:val="000361B9"/>
    <w:rsid w:val="00094375"/>
    <w:rsid w:val="00166A2D"/>
    <w:rsid w:val="001908E9"/>
    <w:rsid w:val="00191573"/>
    <w:rsid w:val="001A2C37"/>
    <w:rsid w:val="001C5298"/>
    <w:rsid w:val="0029139A"/>
    <w:rsid w:val="002A46DE"/>
    <w:rsid w:val="002E3C33"/>
    <w:rsid w:val="002F6446"/>
    <w:rsid w:val="00340BFF"/>
    <w:rsid w:val="00342C28"/>
    <w:rsid w:val="00363D4D"/>
    <w:rsid w:val="0038762A"/>
    <w:rsid w:val="00435BC4"/>
    <w:rsid w:val="00442789"/>
    <w:rsid w:val="004A28B1"/>
    <w:rsid w:val="004B6989"/>
    <w:rsid w:val="004B6A76"/>
    <w:rsid w:val="004F61B7"/>
    <w:rsid w:val="0056660B"/>
    <w:rsid w:val="005670F4"/>
    <w:rsid w:val="00577E1C"/>
    <w:rsid w:val="005A7A98"/>
    <w:rsid w:val="005E4F20"/>
    <w:rsid w:val="005E74A2"/>
    <w:rsid w:val="00604D09"/>
    <w:rsid w:val="00663ED9"/>
    <w:rsid w:val="00676953"/>
    <w:rsid w:val="0069139D"/>
    <w:rsid w:val="006E02AD"/>
    <w:rsid w:val="007B181D"/>
    <w:rsid w:val="007C6FB7"/>
    <w:rsid w:val="007F2710"/>
    <w:rsid w:val="00802A3F"/>
    <w:rsid w:val="008141F5"/>
    <w:rsid w:val="00846997"/>
    <w:rsid w:val="0086734B"/>
    <w:rsid w:val="00887E10"/>
    <w:rsid w:val="00897099"/>
    <w:rsid w:val="008E65C9"/>
    <w:rsid w:val="00900045"/>
    <w:rsid w:val="0091713D"/>
    <w:rsid w:val="00943E17"/>
    <w:rsid w:val="009E73A1"/>
    <w:rsid w:val="00A33AAE"/>
    <w:rsid w:val="00A42BFB"/>
    <w:rsid w:val="00A50B4C"/>
    <w:rsid w:val="00A83077"/>
    <w:rsid w:val="00AB61F2"/>
    <w:rsid w:val="00B43770"/>
    <w:rsid w:val="00B63551"/>
    <w:rsid w:val="00B65C25"/>
    <w:rsid w:val="00B727F2"/>
    <w:rsid w:val="00B83614"/>
    <w:rsid w:val="00BB4A03"/>
    <w:rsid w:val="00BE4C62"/>
    <w:rsid w:val="00C6795D"/>
    <w:rsid w:val="00C87AB3"/>
    <w:rsid w:val="00CA4AA6"/>
    <w:rsid w:val="00D87BB2"/>
    <w:rsid w:val="00E6676E"/>
    <w:rsid w:val="00EA02AB"/>
    <w:rsid w:val="00EB1A50"/>
    <w:rsid w:val="00F52EAF"/>
    <w:rsid w:val="00FC59D7"/>
    <w:rsid w:val="00FF7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FD63"/>
  <w15:chartTrackingRefBased/>
  <w15:docId w15:val="{6D9C8896-25E1-6843-A2E1-6380A3C5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710"/>
    <w:rPr>
      <w:rFonts w:ascii="Open Sans" w:hAnsi="Open Sans"/>
      <w:sz w:val="22"/>
    </w:rPr>
  </w:style>
  <w:style w:type="paragraph" w:styleId="Heading1">
    <w:name w:val="heading 1"/>
    <w:basedOn w:val="Normal"/>
    <w:next w:val="Normal"/>
    <w:link w:val="Heading1Char"/>
    <w:uiPriority w:val="9"/>
    <w:qFormat/>
    <w:rsid w:val="002E3C33"/>
    <w:pPr>
      <w:keepNext/>
      <w:keepLines/>
      <w:spacing w:before="360" w:after="80"/>
      <w:outlineLvl w:val="0"/>
    </w:pPr>
    <w:rPr>
      <w:rFonts w:ascii="Raleway" w:eastAsiaTheme="majorEastAsia" w:hAnsi="Raleway" w:cs="Times New Roman (Headings CS)"/>
      <w:b/>
      <w:color w:val="0F4761" w:themeColor="accent1" w:themeShade="BF"/>
      <w:sz w:val="40"/>
      <w:szCs w:val="40"/>
    </w:rPr>
  </w:style>
  <w:style w:type="paragraph" w:styleId="Heading2">
    <w:name w:val="heading 2"/>
    <w:basedOn w:val="Heading1"/>
    <w:next w:val="Normal"/>
    <w:link w:val="Heading2Char"/>
    <w:uiPriority w:val="9"/>
    <w:unhideWhenUsed/>
    <w:qFormat/>
    <w:rsid w:val="00676953"/>
    <w:pPr>
      <w:spacing w:before="320"/>
      <w:outlineLvl w:val="1"/>
    </w:pPr>
    <w:rPr>
      <w:rFonts w:cstheme="majorBidi"/>
      <w:sz w:val="32"/>
      <w:szCs w:val="32"/>
    </w:rPr>
  </w:style>
  <w:style w:type="paragraph" w:styleId="Heading3">
    <w:name w:val="heading 3"/>
    <w:basedOn w:val="Heading2"/>
    <w:next w:val="Normal"/>
    <w:link w:val="Heading3Char"/>
    <w:uiPriority w:val="9"/>
    <w:unhideWhenUsed/>
    <w:qFormat/>
    <w:rsid w:val="00676953"/>
    <w:pPr>
      <w:spacing w:before="280" w:after="120"/>
      <w:outlineLvl w:val="2"/>
    </w:pPr>
    <w:rPr>
      <w:sz w:val="28"/>
      <w:szCs w:val="28"/>
    </w:rPr>
  </w:style>
  <w:style w:type="paragraph" w:styleId="Heading4">
    <w:name w:val="heading 4"/>
    <w:basedOn w:val="Heading3"/>
    <w:next w:val="Normal"/>
    <w:link w:val="Heading4Char"/>
    <w:uiPriority w:val="9"/>
    <w:unhideWhenUsed/>
    <w:qFormat/>
    <w:rsid w:val="00F52EAF"/>
    <w:pPr>
      <w:spacing w:before="160" w:after="40"/>
      <w:outlineLvl w:val="3"/>
    </w:pPr>
    <w:rPr>
      <w:iCs/>
      <w:sz w:val="24"/>
    </w:rPr>
  </w:style>
  <w:style w:type="paragraph" w:styleId="Heading5">
    <w:name w:val="heading 5"/>
    <w:basedOn w:val="Heading4"/>
    <w:next w:val="Normal"/>
    <w:link w:val="Heading5Char"/>
    <w:uiPriority w:val="9"/>
    <w:unhideWhenUsed/>
    <w:qFormat/>
    <w:rsid w:val="002E3C33"/>
    <w:pPr>
      <w:spacing w:before="80"/>
      <w:outlineLvl w:val="4"/>
    </w:pPr>
    <w:rPr>
      <w:sz w:val="22"/>
    </w:rPr>
  </w:style>
  <w:style w:type="paragraph" w:styleId="Heading6">
    <w:name w:val="heading 6"/>
    <w:basedOn w:val="Heading5"/>
    <w:next w:val="Normal"/>
    <w:link w:val="Heading6Char"/>
    <w:uiPriority w:val="9"/>
    <w:unhideWhenUsed/>
    <w:qFormat/>
    <w:rsid w:val="002E3C33"/>
    <w:pPr>
      <w:spacing w:before="40" w:after="0"/>
      <w:outlineLvl w:val="5"/>
    </w:pPr>
    <w:rPr>
      <w:iCs w:val="0"/>
      <w:color w:val="595959" w:themeColor="text1" w:themeTint="A6"/>
      <w:sz w:val="21"/>
    </w:rPr>
  </w:style>
  <w:style w:type="paragraph" w:styleId="Heading7">
    <w:name w:val="heading 7"/>
    <w:basedOn w:val="Normal"/>
    <w:next w:val="Normal"/>
    <w:link w:val="Heading7Char"/>
    <w:uiPriority w:val="9"/>
    <w:semiHidden/>
    <w:unhideWhenUsed/>
    <w:qFormat/>
    <w:rsid w:val="002E3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2E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2E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C33"/>
    <w:rPr>
      <w:rFonts w:ascii="Raleway" w:eastAsiaTheme="majorEastAsia" w:hAnsi="Raleway" w:cs="Times New Roman (Headings CS)"/>
      <w:b/>
      <w:color w:val="0F4761" w:themeColor="accent1" w:themeShade="BF"/>
      <w:sz w:val="40"/>
      <w:szCs w:val="40"/>
    </w:rPr>
  </w:style>
  <w:style w:type="character" w:customStyle="1" w:styleId="Heading2Char">
    <w:name w:val="Heading 2 Char"/>
    <w:basedOn w:val="DefaultParagraphFont"/>
    <w:link w:val="Heading2"/>
    <w:uiPriority w:val="9"/>
    <w:rsid w:val="00676953"/>
    <w:rPr>
      <w:rFonts w:ascii="Raleway" w:eastAsiaTheme="majorEastAsia" w:hAnsi="Raleway" w:cstheme="majorBidi"/>
      <w:b/>
      <w:color w:val="0F4761" w:themeColor="accent1" w:themeShade="BF"/>
      <w:sz w:val="32"/>
      <w:szCs w:val="32"/>
    </w:rPr>
  </w:style>
  <w:style w:type="character" w:customStyle="1" w:styleId="Heading3Char">
    <w:name w:val="Heading 3 Char"/>
    <w:basedOn w:val="DefaultParagraphFont"/>
    <w:link w:val="Heading3"/>
    <w:uiPriority w:val="9"/>
    <w:rsid w:val="00676953"/>
    <w:rPr>
      <w:rFonts w:ascii="Raleway" w:eastAsiaTheme="majorEastAsia" w:hAnsi="Raleway" w:cstheme="majorBidi"/>
      <w:b/>
      <w:color w:val="0F4761" w:themeColor="accent1" w:themeShade="BF"/>
      <w:sz w:val="28"/>
      <w:szCs w:val="28"/>
    </w:rPr>
  </w:style>
  <w:style w:type="character" w:customStyle="1" w:styleId="Heading4Char">
    <w:name w:val="Heading 4 Char"/>
    <w:basedOn w:val="DefaultParagraphFont"/>
    <w:link w:val="Heading4"/>
    <w:uiPriority w:val="9"/>
    <w:rsid w:val="00F52EAF"/>
    <w:rPr>
      <w:rFonts w:ascii="Raleway" w:eastAsiaTheme="majorEastAsia" w:hAnsi="Raleway" w:cstheme="majorBidi"/>
      <w:b/>
      <w:iCs/>
      <w:color w:val="0F4761" w:themeColor="accent1" w:themeShade="BF"/>
      <w:szCs w:val="28"/>
    </w:rPr>
  </w:style>
  <w:style w:type="character" w:customStyle="1" w:styleId="Heading5Char">
    <w:name w:val="Heading 5 Char"/>
    <w:basedOn w:val="DefaultParagraphFont"/>
    <w:link w:val="Heading5"/>
    <w:uiPriority w:val="9"/>
    <w:rsid w:val="002E3C33"/>
    <w:rPr>
      <w:rFonts w:ascii="Raleway" w:eastAsiaTheme="majorEastAsia" w:hAnsi="Raleway" w:cstheme="majorBidi"/>
      <w:b/>
      <w:iCs/>
      <w:color w:val="0F4761" w:themeColor="accent1" w:themeShade="BF"/>
      <w:sz w:val="22"/>
      <w:szCs w:val="28"/>
    </w:rPr>
  </w:style>
  <w:style w:type="character" w:customStyle="1" w:styleId="Heading6Char">
    <w:name w:val="Heading 6 Char"/>
    <w:basedOn w:val="DefaultParagraphFont"/>
    <w:link w:val="Heading6"/>
    <w:uiPriority w:val="9"/>
    <w:rsid w:val="002E3C33"/>
    <w:rPr>
      <w:rFonts w:ascii="Raleway" w:eastAsiaTheme="majorEastAsia" w:hAnsi="Raleway" w:cstheme="majorBidi"/>
      <w:b/>
      <w:color w:val="595959" w:themeColor="text1" w:themeTint="A6"/>
      <w:sz w:val="21"/>
      <w:szCs w:val="28"/>
    </w:rPr>
  </w:style>
  <w:style w:type="character" w:customStyle="1" w:styleId="Heading7Char">
    <w:name w:val="Heading 7 Char"/>
    <w:basedOn w:val="DefaultParagraphFont"/>
    <w:link w:val="Heading7"/>
    <w:uiPriority w:val="9"/>
    <w:semiHidden/>
    <w:rsid w:val="002E3C33"/>
    <w:rPr>
      <w:rFonts w:ascii="Open Sans" w:eastAsiaTheme="majorEastAsia" w:hAnsi="Open Sans" w:cstheme="majorBidi"/>
      <w:color w:val="595959" w:themeColor="text1" w:themeTint="A6"/>
      <w:sz w:val="22"/>
    </w:rPr>
  </w:style>
  <w:style w:type="character" w:customStyle="1" w:styleId="Heading8Char">
    <w:name w:val="Heading 8 Char"/>
    <w:basedOn w:val="DefaultParagraphFont"/>
    <w:link w:val="Heading8"/>
    <w:uiPriority w:val="9"/>
    <w:semiHidden/>
    <w:rsid w:val="00F52E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2EAF"/>
    <w:rPr>
      <w:rFonts w:eastAsiaTheme="majorEastAsia" w:cstheme="majorBidi"/>
      <w:color w:val="272727" w:themeColor="text1" w:themeTint="D8"/>
    </w:rPr>
  </w:style>
  <w:style w:type="paragraph" w:styleId="Title">
    <w:name w:val="Title"/>
    <w:basedOn w:val="Heading1"/>
    <w:next w:val="Normal"/>
    <w:link w:val="TitleChar"/>
    <w:uiPriority w:val="10"/>
    <w:qFormat/>
    <w:rsid w:val="001C5298"/>
    <w:pPr>
      <w:spacing w:before="720" w:after="160" w:line="240" w:lineRule="auto"/>
      <w:contextualSpacing/>
    </w:pPr>
    <w:rPr>
      <w:rFonts w:cstheme="majorBidi"/>
      <w:spacing w:val="-10"/>
      <w:kern w:val="28"/>
      <w:sz w:val="56"/>
      <w:szCs w:val="56"/>
    </w:rPr>
  </w:style>
  <w:style w:type="character" w:customStyle="1" w:styleId="TitleChar">
    <w:name w:val="Title Char"/>
    <w:basedOn w:val="DefaultParagraphFont"/>
    <w:link w:val="Title"/>
    <w:uiPriority w:val="10"/>
    <w:rsid w:val="001C5298"/>
    <w:rPr>
      <w:rFonts w:ascii="Raleway" w:eastAsiaTheme="majorEastAsia" w:hAnsi="Raleway" w:cstheme="majorBidi"/>
      <w:b/>
      <w:color w:val="0F4761" w:themeColor="accent1" w:themeShade="BF"/>
      <w:spacing w:val="-10"/>
      <w:kern w:val="28"/>
      <w:sz w:val="56"/>
      <w:szCs w:val="56"/>
    </w:rPr>
  </w:style>
  <w:style w:type="paragraph" w:styleId="Subtitle">
    <w:name w:val="Subtitle"/>
    <w:basedOn w:val="Normal"/>
    <w:next w:val="Normal"/>
    <w:link w:val="SubtitleChar"/>
    <w:uiPriority w:val="11"/>
    <w:qFormat/>
    <w:rsid w:val="00F52EAF"/>
    <w:pPr>
      <w:numPr>
        <w:ilvl w:val="1"/>
      </w:numPr>
    </w:pPr>
    <w:rPr>
      <w:rFonts w:eastAsiaTheme="majorEastAsia" w:cs="Times New Roman (Headings CS)"/>
      <w:color w:val="595959" w:themeColor="text1" w:themeTint="A6"/>
      <w:sz w:val="28"/>
      <w:szCs w:val="28"/>
    </w:rPr>
  </w:style>
  <w:style w:type="character" w:customStyle="1" w:styleId="SubtitleChar">
    <w:name w:val="Subtitle Char"/>
    <w:basedOn w:val="DefaultParagraphFont"/>
    <w:link w:val="Subtitle"/>
    <w:uiPriority w:val="11"/>
    <w:rsid w:val="00F52EAF"/>
    <w:rPr>
      <w:rFonts w:ascii="Open Sans" w:eastAsiaTheme="majorEastAsia" w:hAnsi="Open Sans" w:cs="Times New Roman (Headings CS)"/>
      <w:color w:val="595959" w:themeColor="text1" w:themeTint="A6"/>
      <w:sz w:val="28"/>
      <w:szCs w:val="28"/>
    </w:rPr>
  </w:style>
  <w:style w:type="paragraph" w:styleId="Quote">
    <w:name w:val="Quote"/>
    <w:basedOn w:val="Normal"/>
    <w:next w:val="Normal"/>
    <w:link w:val="QuoteChar"/>
    <w:uiPriority w:val="29"/>
    <w:qFormat/>
    <w:rsid w:val="00F52EAF"/>
    <w:pPr>
      <w:spacing w:before="160"/>
      <w:jc w:val="center"/>
    </w:pPr>
    <w:rPr>
      <w:i/>
      <w:iCs/>
      <w:color w:val="404040" w:themeColor="text1" w:themeTint="BF"/>
    </w:rPr>
  </w:style>
  <w:style w:type="character" w:customStyle="1" w:styleId="QuoteChar">
    <w:name w:val="Quote Char"/>
    <w:basedOn w:val="DefaultParagraphFont"/>
    <w:link w:val="Quote"/>
    <w:uiPriority w:val="29"/>
    <w:rsid w:val="00F52EAF"/>
    <w:rPr>
      <w:i/>
      <w:iCs/>
      <w:color w:val="404040" w:themeColor="text1" w:themeTint="BF"/>
    </w:rPr>
  </w:style>
  <w:style w:type="paragraph" w:styleId="ListParagraph">
    <w:name w:val="List Paragraph"/>
    <w:basedOn w:val="Normal"/>
    <w:uiPriority w:val="34"/>
    <w:qFormat/>
    <w:rsid w:val="00A50B4C"/>
    <w:pPr>
      <w:numPr>
        <w:numId w:val="7"/>
      </w:numPr>
      <w:ind w:left="568" w:hanging="284"/>
    </w:pPr>
  </w:style>
  <w:style w:type="character" w:styleId="IntenseEmphasis">
    <w:name w:val="Intense Emphasis"/>
    <w:basedOn w:val="DefaultParagraphFont"/>
    <w:uiPriority w:val="21"/>
    <w:qFormat/>
    <w:rsid w:val="00F52EAF"/>
    <w:rPr>
      <w:i/>
      <w:iCs/>
      <w:color w:val="0F4761" w:themeColor="accent1" w:themeShade="BF"/>
    </w:rPr>
  </w:style>
  <w:style w:type="paragraph" w:styleId="IntenseQuote">
    <w:name w:val="Intense Quote"/>
    <w:basedOn w:val="Normal"/>
    <w:next w:val="Normal"/>
    <w:link w:val="IntenseQuoteChar"/>
    <w:uiPriority w:val="30"/>
    <w:qFormat/>
    <w:rsid w:val="00F52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2EAF"/>
    <w:rPr>
      <w:i/>
      <w:iCs/>
      <w:color w:val="0F4761" w:themeColor="accent1" w:themeShade="BF"/>
    </w:rPr>
  </w:style>
  <w:style w:type="character" w:styleId="IntenseReference">
    <w:name w:val="Intense Reference"/>
    <w:basedOn w:val="DefaultParagraphFont"/>
    <w:uiPriority w:val="32"/>
    <w:qFormat/>
    <w:rsid w:val="00F52EAF"/>
    <w:rPr>
      <w:b/>
      <w:bCs/>
      <w:smallCaps/>
      <w:color w:val="0F4761" w:themeColor="accent1" w:themeShade="BF"/>
      <w:spacing w:val="5"/>
    </w:rPr>
  </w:style>
  <w:style w:type="paragraph" w:styleId="Header">
    <w:name w:val="header"/>
    <w:basedOn w:val="Normal"/>
    <w:link w:val="HeaderChar"/>
    <w:uiPriority w:val="99"/>
    <w:unhideWhenUsed/>
    <w:rsid w:val="00342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C28"/>
    <w:rPr>
      <w:rFonts w:ascii="Open Sans" w:hAnsi="Open Sans"/>
      <w:sz w:val="22"/>
    </w:rPr>
  </w:style>
  <w:style w:type="paragraph" w:styleId="Footer">
    <w:name w:val="footer"/>
    <w:basedOn w:val="Normal"/>
    <w:link w:val="FooterChar"/>
    <w:uiPriority w:val="99"/>
    <w:unhideWhenUsed/>
    <w:rsid w:val="00342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C28"/>
    <w:rPr>
      <w:rFonts w:ascii="Open Sans" w:hAnsi="Open Sans"/>
      <w:sz w:val="22"/>
    </w:rPr>
  </w:style>
  <w:style w:type="character" w:styleId="PageNumber">
    <w:name w:val="page number"/>
    <w:basedOn w:val="DefaultParagraphFont"/>
    <w:uiPriority w:val="99"/>
    <w:semiHidden/>
    <w:unhideWhenUsed/>
    <w:rsid w:val="00342C28"/>
  </w:style>
  <w:style w:type="paragraph" w:styleId="FootnoteText">
    <w:name w:val="footnote text"/>
    <w:basedOn w:val="Normal"/>
    <w:link w:val="FootnoteTextChar"/>
    <w:uiPriority w:val="99"/>
    <w:semiHidden/>
    <w:unhideWhenUsed/>
    <w:rsid w:val="00340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0BFF"/>
    <w:rPr>
      <w:rFonts w:ascii="Open Sans" w:hAnsi="Open Sans"/>
      <w:sz w:val="20"/>
      <w:szCs w:val="20"/>
    </w:rPr>
  </w:style>
  <w:style w:type="character" w:styleId="FootnoteReference">
    <w:name w:val="footnote reference"/>
    <w:basedOn w:val="DefaultParagraphFont"/>
    <w:uiPriority w:val="99"/>
    <w:semiHidden/>
    <w:unhideWhenUsed/>
    <w:rsid w:val="00340BFF"/>
    <w:rPr>
      <w:vertAlign w:val="superscript"/>
    </w:rPr>
  </w:style>
  <w:style w:type="character" w:styleId="Hyperlink">
    <w:name w:val="Hyperlink"/>
    <w:basedOn w:val="DefaultParagraphFont"/>
    <w:uiPriority w:val="99"/>
    <w:unhideWhenUsed/>
    <w:rsid w:val="00340BFF"/>
    <w:rPr>
      <w:color w:val="467886" w:themeColor="hyperlink"/>
      <w:u w:val="single"/>
    </w:rPr>
  </w:style>
  <w:style w:type="character" w:styleId="UnresolvedMention">
    <w:name w:val="Unresolved Mention"/>
    <w:basedOn w:val="DefaultParagraphFont"/>
    <w:uiPriority w:val="99"/>
    <w:semiHidden/>
    <w:unhideWhenUsed/>
    <w:rsid w:val="00340BFF"/>
    <w:rPr>
      <w:color w:val="605E5C"/>
      <w:shd w:val="clear" w:color="auto" w:fill="E1DFDD"/>
    </w:rPr>
  </w:style>
  <w:style w:type="paragraph" w:customStyle="1" w:styleId="Heading2hanging">
    <w:name w:val="Heading 2 hanging"/>
    <w:basedOn w:val="Heading2"/>
    <w:next w:val="Heading3hanging"/>
    <w:link w:val="Heading2hangingChar"/>
    <w:qFormat/>
    <w:rsid w:val="00A50B4C"/>
    <w:pPr>
      <w:ind w:left="720" w:hanging="720"/>
    </w:pPr>
  </w:style>
  <w:style w:type="paragraph" w:customStyle="1" w:styleId="Heading3hanging">
    <w:name w:val="Heading 3 hanging"/>
    <w:basedOn w:val="Heading3"/>
    <w:next w:val="Normal"/>
    <w:link w:val="Heading3hangingChar"/>
    <w:qFormat/>
    <w:rsid w:val="00A50B4C"/>
    <w:pPr>
      <w:ind w:left="720" w:hanging="720"/>
    </w:pPr>
  </w:style>
  <w:style w:type="character" w:customStyle="1" w:styleId="Heading3hangingChar">
    <w:name w:val="Heading 3 hanging Char"/>
    <w:basedOn w:val="Heading3Char"/>
    <w:link w:val="Heading3hanging"/>
    <w:rsid w:val="00A50B4C"/>
    <w:rPr>
      <w:rFonts w:ascii="Raleway" w:eastAsiaTheme="majorEastAsia" w:hAnsi="Raleway" w:cstheme="majorBidi"/>
      <w:b/>
      <w:color w:val="0F4761" w:themeColor="accent1" w:themeShade="BF"/>
      <w:sz w:val="28"/>
      <w:szCs w:val="28"/>
    </w:rPr>
  </w:style>
  <w:style w:type="character" w:customStyle="1" w:styleId="Heading2hangingChar">
    <w:name w:val="Heading 2 hanging Char"/>
    <w:basedOn w:val="Heading2Char"/>
    <w:link w:val="Heading2hanging"/>
    <w:rsid w:val="00A50B4C"/>
    <w:rPr>
      <w:rFonts w:ascii="Raleway" w:eastAsiaTheme="majorEastAsia" w:hAnsi="Raleway" w:cstheme="majorBidi"/>
      <w:b/>
      <w:color w:val="0F4761" w:themeColor="accent1" w:themeShade="BF"/>
      <w:sz w:val="32"/>
      <w:szCs w:val="32"/>
    </w:rPr>
  </w:style>
  <w:style w:type="paragraph" w:customStyle="1" w:styleId="List-numbered">
    <w:name w:val="List - numbered"/>
    <w:basedOn w:val="ListParagraph"/>
    <w:qFormat/>
    <w:rsid w:val="00676953"/>
    <w:pPr>
      <w:numPr>
        <w:numId w:val="9"/>
      </w:numPr>
      <w:ind w:left="714" w:hanging="357"/>
    </w:pPr>
  </w:style>
  <w:style w:type="table" w:styleId="TableGrid">
    <w:name w:val="Table Grid"/>
    <w:basedOn w:val="TableNormal"/>
    <w:uiPriority w:val="39"/>
    <w:rsid w:val="0067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B18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5" w:type="dxa"/>
        <w:bottom w:w="85" w:type="dxa"/>
      </w:tblCellMar>
    </w:tblPr>
  </w:style>
  <w:style w:type="character" w:styleId="CommentReference">
    <w:name w:val="annotation reference"/>
    <w:basedOn w:val="DefaultParagraphFont"/>
    <w:uiPriority w:val="99"/>
    <w:semiHidden/>
    <w:unhideWhenUsed/>
    <w:rsid w:val="004B6A76"/>
    <w:rPr>
      <w:sz w:val="16"/>
      <w:szCs w:val="16"/>
    </w:rPr>
  </w:style>
  <w:style w:type="paragraph" w:styleId="CommentText">
    <w:name w:val="annotation text"/>
    <w:basedOn w:val="Normal"/>
    <w:link w:val="CommentTextChar"/>
    <w:uiPriority w:val="99"/>
    <w:semiHidden/>
    <w:unhideWhenUsed/>
    <w:rsid w:val="004B6A76"/>
    <w:pPr>
      <w:spacing w:line="240" w:lineRule="auto"/>
    </w:pPr>
    <w:rPr>
      <w:sz w:val="20"/>
      <w:szCs w:val="20"/>
    </w:rPr>
  </w:style>
  <w:style w:type="character" w:customStyle="1" w:styleId="CommentTextChar">
    <w:name w:val="Comment Text Char"/>
    <w:basedOn w:val="DefaultParagraphFont"/>
    <w:link w:val="CommentText"/>
    <w:uiPriority w:val="99"/>
    <w:semiHidden/>
    <w:rsid w:val="004B6A76"/>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4B6A76"/>
    <w:rPr>
      <w:b/>
      <w:bCs/>
    </w:rPr>
  </w:style>
  <w:style w:type="character" w:customStyle="1" w:styleId="CommentSubjectChar">
    <w:name w:val="Comment Subject Char"/>
    <w:basedOn w:val="CommentTextChar"/>
    <w:link w:val="CommentSubject"/>
    <w:uiPriority w:val="99"/>
    <w:semiHidden/>
    <w:rsid w:val="004B6A76"/>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lkwheelcycletrust.org.uk/what-you-can-do/cycling/cycling-safety-and-rules/road-safety-cycli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Library/CloudStorage/OneDrive-SharedLibraries-CoMoUK/Communication%20-%20General/Templates/Word%20templates/CoMoUK%20Word%20template%202026_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8273c8-85b4-4de4-a205-b0ee542c4fcf">
      <Terms xmlns="http://schemas.microsoft.com/office/infopath/2007/PartnerControls"/>
    </lcf76f155ced4ddcb4097134ff3c332f>
    <TaxCatchAll xmlns="aac9c117-ec8b-45a0-8e28-981200c6e1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0E5E61C01E9D439DBA1D55B41857BE" ma:contentTypeVersion="19" ma:contentTypeDescription="Create a new document." ma:contentTypeScope="" ma:versionID="eb9b03dc8d7900abeb4eda697ee61ad7">
  <xsd:schema xmlns:xsd="http://www.w3.org/2001/XMLSchema" xmlns:xs="http://www.w3.org/2001/XMLSchema" xmlns:p="http://schemas.microsoft.com/office/2006/metadata/properties" xmlns:ns2="b08273c8-85b4-4de4-a205-b0ee542c4fcf" xmlns:ns3="aac9c117-ec8b-45a0-8e28-981200c6e1d7" targetNamespace="http://schemas.microsoft.com/office/2006/metadata/properties" ma:root="true" ma:fieldsID="77f521294ea2f581fefb27aacdc22979" ns2:_="" ns3:_="">
    <xsd:import namespace="b08273c8-85b4-4de4-a205-b0ee542c4fcf"/>
    <xsd:import namespace="aac9c117-ec8b-45a0-8e28-981200c6e1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73c8-85b4-4de4-a205-b0ee542c4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c9c37f-f660-414e-acb9-ee27affef8e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c9c117-ec8b-45a0-8e28-981200c6e1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207a8a-624a-4375-818b-5dbf9594a831}" ma:internalName="TaxCatchAll" ma:showField="CatchAllData" ma:web="aac9c117-ec8b-45a0-8e28-981200c6e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810BF-CBB3-4D20-A475-C9B447F05117}">
  <ds:schemaRefs>
    <ds:schemaRef ds:uri="http://schemas.microsoft.com/office/2006/metadata/properties"/>
    <ds:schemaRef ds:uri="http://schemas.microsoft.com/office/infopath/2007/PartnerControls"/>
    <ds:schemaRef ds:uri="b08273c8-85b4-4de4-a205-b0ee542c4fcf"/>
    <ds:schemaRef ds:uri="aac9c117-ec8b-45a0-8e28-981200c6e1d7"/>
  </ds:schemaRefs>
</ds:datastoreItem>
</file>

<file path=customXml/itemProps2.xml><?xml version="1.0" encoding="utf-8"?>
<ds:datastoreItem xmlns:ds="http://schemas.openxmlformats.org/officeDocument/2006/customXml" ds:itemID="{EE99001E-AB69-48A3-9E84-202209B76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73c8-85b4-4de4-a205-b0ee542c4fcf"/>
    <ds:schemaRef ds:uri="aac9c117-ec8b-45a0-8e28-981200c6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41A8F-5539-44D4-B352-564F6BFB2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CoMoUK Word template 2026_v3.dotx</Template>
  <TotalTime>0</TotalTime>
  <Pages>12</Pages>
  <Words>2448</Words>
  <Characters>13106</Characters>
  <Application>Microsoft Office Word</Application>
  <DocSecurity>0</DocSecurity>
  <Lines>365</Lines>
  <Paragraphs>129</Paragraphs>
  <ScaleCrop>false</ScaleCrop>
  <HeadingPairs>
    <vt:vector size="2" baseType="variant">
      <vt:variant>
        <vt:lpstr>Title</vt:lpstr>
      </vt:variant>
      <vt:variant>
        <vt:i4>1</vt:i4>
      </vt:variant>
    </vt:vector>
  </HeadingPairs>
  <TitlesOfParts>
    <vt:vector size="1" baseType="lpstr">
      <vt:lpstr>CoMoUK Response to the Transport Select Committee’s Call for Evidence on the Railways Bill</vt:lpstr>
    </vt:vector>
  </TitlesOfParts>
  <Manager/>
  <Company/>
  <LinksUpToDate>false</LinksUpToDate>
  <CharactersWithSpaces>15453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CoMoUK Response to the Transport Select Committee’s Call for Evidence on the Railways Bill</dc:title>
  <dc:subject/>
  <dc:creator>Dave</dc:creator>
  <cp:keywords/>
  <dc:description/>
  <cp:lastModifiedBy>Dave Sage</cp:lastModifiedBy>
  <cp:revision>3</cp:revision>
  <cp:lastPrinted>2026-03-23T15:46:00Z</cp:lastPrinted>
  <dcterms:created xsi:type="dcterms:W3CDTF">2026-06-10T10:37:00Z</dcterms:created>
  <dcterms:modified xsi:type="dcterms:W3CDTF">2026-06-10T10:37:00Z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0x010100730E5E61C01E9D439DBA1D55B41857BE</vt:lpwstr>
  </property>
  <property fmtid="{D5CDD505-2E9C-101B-9397-08002B2CF9AE}" pid="3" name="MediaServiceImageTags">
    <vt:lpwstr/>
  </property>
</Properties>
</file>